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25400</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51"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19"/>
          <w:szCs w:val="19"/>
          <w:b w:val="1"/>
          <w:bCs w:val="1"/>
          <w:color w:val="auto"/>
        </w:rPr>
        <w:t>FORM 10-Q</w:t>
      </w:r>
    </w:p>
    <w:p>
      <w:pPr>
        <w:ind w:left="28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-67310</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March 31, 2022</w:t>
      </w:r>
    </w:p>
    <w:p>
      <w:pPr>
        <w:spacing w:after="0" w:line="17"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3596005</wp:posOffset>
            </wp:positionH>
            <wp:positionV relativeFrom="paragraph">
              <wp:posOffset>55245</wp:posOffset>
            </wp:positionV>
            <wp:extent cx="2128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tbl>
      <w:tblPr>
        <w:tblLayout w:type="fixed"/>
        <w:tblInd w:w="2120" w:type="dxa"/>
        <w:tblCellMar>
          <w:top w:w="0" w:type="dxa"/>
          <w:left w:w="0" w:type="dxa"/>
          <w:bottom w:w="0" w:type="dxa"/>
          <w:right w:w="0" w:type="dxa"/>
        </w:tblCellMar>
      </w:tblPr>
      <w:tr>
        <w:trPr>
          <w:trHeight w:val="204"/>
        </w:trPr>
        <w:tc>
          <w:tcPr>
            <w:tcW w:w="45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2100" w:type="dxa"/>
            <w:vAlign w:val="bottom"/>
          </w:tcPr>
          <w:p>
            <w:pPr>
              <w:spacing w:after="0"/>
              <w:rPr>
                <w:sz w:val="17"/>
                <w:szCs w:val="17"/>
                <w:color w:val="auto"/>
              </w:rPr>
            </w:pPr>
          </w:p>
        </w:tc>
      </w:tr>
      <w:tr>
        <w:trPr>
          <w:trHeight w:val="213"/>
        </w:trPr>
        <w:tc>
          <w:tcPr>
            <w:tcW w:w="4540" w:type="dxa"/>
            <w:vAlign w:val="bottom"/>
          </w:tcPr>
          <w:p>
            <w:pPr>
              <w:jc w:val="center"/>
              <w:ind w:right="266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100" w:type="dxa"/>
            <w:vAlign w:val="bottom"/>
          </w:tcPr>
          <w:p>
            <w:pPr>
              <w:jc w:val="center"/>
              <w:ind w:left="928"/>
              <w:spacing w:after="0"/>
              <w:rPr>
                <w:sz w:val="20"/>
                <w:szCs w:val="20"/>
                <w:color w:val="auto"/>
              </w:rPr>
            </w:pPr>
            <w:r>
              <w:rPr>
                <w:rFonts w:ascii="Times New Roman" w:cs="Times New Roman" w:eastAsia="Times New Roman" w:hAnsi="Times New Roman"/>
                <w:sz w:val="15"/>
                <w:szCs w:val="15"/>
                <w:b w:val="1"/>
                <w:bCs w:val="1"/>
                <w:color w:val="auto"/>
              </w:rPr>
              <w:t>76-0542208</w:t>
            </w:r>
          </w:p>
        </w:tc>
      </w:tr>
      <w:tr>
        <w:trPr>
          <w:trHeight w:val="182"/>
        </w:trPr>
        <w:tc>
          <w:tcPr>
            <w:tcW w:w="4540" w:type="dxa"/>
            <w:vAlign w:val="bottom"/>
          </w:tcPr>
          <w:p>
            <w:pPr>
              <w:jc w:val="center"/>
              <w:ind w:right="2667"/>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21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93"/>
        </w:trPr>
        <w:tc>
          <w:tcPr>
            <w:tcW w:w="4540" w:type="dxa"/>
            <w:vAlign w:val="bottom"/>
          </w:tcPr>
          <w:p>
            <w:pPr>
              <w:jc w:val="center"/>
              <w:ind w:right="2667"/>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210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9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5"/>
          <w:szCs w:val="15"/>
          <w:b w:val="1"/>
          <w:bCs w:val="1"/>
          <w:color w:val="auto"/>
        </w:rPr>
        <w:t>5433 Westheimer Road, Suite 500,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69" w:lineRule="exact"/>
        <w:rPr>
          <w:sz w:val="24"/>
          <w:szCs w:val="24"/>
          <w:color w:val="auto"/>
        </w:rPr>
      </w:pPr>
    </w:p>
    <w:p>
      <w:pPr>
        <w:ind w:right="48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3" w:lineRule="exact"/>
        <w:rPr>
          <w:sz w:val="24"/>
          <w:szCs w:val="24"/>
          <w:color w:val="auto"/>
        </w:rPr>
      </w:pPr>
    </w:p>
    <w:p>
      <w:pPr>
        <w:ind w:right="3360"/>
        <w:spacing w:after="0" w:line="25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April 27, 2022, there were 20,787,896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2022 and September 30, 2021</w:t>
            </w:r>
          </w:p>
        </w:tc>
        <w:tc>
          <w:tcPr>
            <w:tcW w:w="324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March 31, 2022 and 2021</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 Months Ended March 31, 2022 and 2021</w:t>
            </w:r>
          </w:p>
        </w:tc>
        <w:tc>
          <w:tcPr>
            <w:tcW w:w="700" w:type="dxa"/>
            <w:vAlign w:val="bottom"/>
            <w:gridSpan w:val="2"/>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March 31, 2022 and 2021</w:t>
            </w:r>
          </w:p>
        </w:tc>
        <w:tc>
          <w:tcPr>
            <w:tcW w:w="2100" w:type="dxa"/>
            <w:vAlign w:val="bottom"/>
            <w:gridSpan w:val="3"/>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660" w:type="dxa"/>
            <w:vAlign w:val="bottom"/>
            <w:gridSpan w:val="12"/>
          </w:tcPr>
          <w:p>
            <w:pPr>
              <w:jc w:val="right"/>
              <w:ind w:right="1200"/>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right="60" w:hanging="307"/>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0" w:lineRule="exact"/>
        <w:rPr>
          <w:rFonts w:ascii="Times New Roman" w:cs="Times New Roman" w:eastAsia="Times New Roman" w:hAnsi="Times New Roman"/>
          <w:sz w:val="17"/>
          <w:szCs w:val="17"/>
          <w:color w:val="auto"/>
        </w:rPr>
      </w:pPr>
    </w:p>
    <w:p>
      <w:pPr>
        <w:ind w:left="620" w:right="3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3" w:name="page4"/>
    <w:bookmarkEnd w:id="3"/>
    <w:p>
      <w:pPr>
        <w:ind w:left="307" w:right="7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laws and regulations protecting the environment, including those laws related to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environmental laws and regulations, including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certain tax benefits of our net operating losses may be restricted or reduced in a change in ownership or a decrease in the federal tax rate;</w:t>
      </w:r>
    </w:p>
    <w:p>
      <w:pPr>
        <w:spacing w:after="0" w:line="177" w:lineRule="exact"/>
        <w:rPr>
          <w:rFonts w:ascii="Times New Roman" w:cs="Times New Roman" w:eastAsia="Times New Roman" w:hAnsi="Times New Roman"/>
          <w:sz w:val="17"/>
          <w:szCs w:val="17"/>
          <w:color w:val="auto"/>
        </w:rPr>
      </w:pPr>
    </w:p>
    <w:p>
      <w:pPr>
        <w:ind w:left="307" w:right="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1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77"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4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3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4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307" w:right="12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371"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7"/>
          </w:cols>
          <w:pgMar w:left="633" w:top="432" w:right="379" w:bottom="1440" w:gutter="0" w:footer="0" w:header="0"/>
        </w:sectPr>
      </w:pPr>
    </w:p>
    <w:bookmarkStart w:id="4" w:name="page5"/>
    <w:bookmarkEnd w:id="4"/>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2021,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March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8"/>
                <w:szCs w:val="18"/>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Trade, net of allowance of $4,045 and $2,387,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286,707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41,341</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21,065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484,180</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35,454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85,619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19,009</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831,239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766,622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249,114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62,486</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311,600</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455,733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396,075</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issued and 20,785,498 and 20,732,531 outstanding, respectively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Treasury stock, at cost, 1,264,031 and 1,316,998 shares, respectively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201,899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173,134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345,953</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831,239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766,622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331,961</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267,087</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64,874</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47,655</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(loss)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16,954</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13,343</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(loss)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(loss)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20,772,426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20,780,006</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20,772,426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21,071,059</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7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646,799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523,246</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123,553</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90,441</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33,031</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32,803</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25,553</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6"/>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20,737,253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20,756,879</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21,139,429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21,059,088</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ectPr>
          <w:pgSz w:w="11900" w:h="16838" w:orient="portrait"/>
          <w:cols w:equalWidth="0" w:num="1">
            <w:col w:w="11180"/>
          </w:cols>
          <w:pgMar w:left="380" w:top="6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December 31, 2021</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loss attributable to IES Holdings, Inc.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right="880" w:hanging="89"/>
        <w:spacing w:after="0" w:line="288" w:lineRule="auto"/>
        <w:rPr>
          <w:sz w:val="20"/>
          <w:szCs w:val="20"/>
          <w:color w:val="auto"/>
        </w:rPr>
      </w:pPr>
      <w:r>
        <w:rPr>
          <w:rFonts w:ascii="Times New Roman" w:cs="Times New Roman" w:eastAsia="Times New Roman" w:hAnsi="Times New Roman"/>
          <w:sz w:val="14"/>
          <w:szCs w:val="14"/>
          <w:color w:val="auto"/>
        </w:rPr>
        <w:t>BALANCE, December 31, 2020 Issuances under compensation plans Non-cash compensation</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Net income attributable to IES Holdings,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right="820" w:hanging="128"/>
        <w:spacing w:after="0" w:line="288" w:lineRule="auto"/>
        <w:rPr>
          <w:sz w:val="20"/>
          <w:szCs w:val="20"/>
          <w:color w:val="auto"/>
        </w:rPr>
      </w:pPr>
      <w:r>
        <w:rPr>
          <w:rFonts w:ascii="Times New Roman" w:cs="Times New Roman" w:eastAsia="Times New Roman" w:hAnsi="Times New Roman"/>
          <w:sz w:val="14"/>
          <w:szCs w:val="14"/>
          <w:color w:val="auto"/>
        </w:rPr>
        <w:t>BALANCE, September 30, 2021 Issuances under compensation plans Acquisition of treasury stock Non-cash compensation</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 attributable to IES Holdings, Inc.</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840" w:hanging="115"/>
        <w:spacing w:after="0" w:line="288" w:lineRule="auto"/>
        <w:rPr>
          <w:sz w:val="20"/>
          <w:szCs w:val="20"/>
          <w:color w:val="auto"/>
        </w:rPr>
      </w:pPr>
      <w:r>
        <w:rPr>
          <w:rFonts w:ascii="Times New Roman" w:cs="Times New Roman" w:eastAsia="Times New Roman" w:hAnsi="Times New Roman"/>
          <w:sz w:val="14"/>
          <w:szCs w:val="14"/>
          <w:color w:val="auto"/>
        </w:rPr>
        <w:t>BALANCE, September 30, 2020 Issuances under compensation plans Acquisition of treasury stock</w:t>
      </w:r>
    </w:p>
    <w:p>
      <w:pPr>
        <w:spacing w:after="0" w:line="1"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4"/>
          <w:szCs w:val="14"/>
          <w:color w:val="auto"/>
        </w:rPr>
        <w:t>Cumulative effect adjustment from adoption of new accounting standard</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Non-cash compensation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Increase in noncontrolling interest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income attributable to IES Holdings,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March 31, 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075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555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5"/>
          </w:tcPr>
          <w:p>
            <w:pPr>
              <w:jc w:val="right"/>
              <w:ind w:right="9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12"/>
          </w:tcPr>
          <w:p>
            <w:pPr>
              <w:ind w:left="58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Additional Paid-In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Total Stockholders'</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8"/>
            <w:vMerge w:val="continue"/>
          </w:tcPr>
          <w:p>
            <w:pPr>
              <w:spacing w:after="0"/>
              <w:rPr>
                <w:sz w:val="24"/>
                <w:szCs w:val="24"/>
                <w:color w:val="auto"/>
              </w:rPr>
            </w:pPr>
          </w:p>
        </w:tc>
        <w:tc>
          <w:tcPr>
            <w:tcW w:w="118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18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10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(1,261,444)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199,162</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187,538</w:t>
            </w: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(1,264,031)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181,256</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351,048</w:t>
            </w: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22"/>
          </w:tcPr>
          <w:p>
            <w:pPr>
              <w:ind w:left="780"/>
              <w:spacing w:after="0"/>
              <w:rPr>
                <w:sz w:val="20"/>
                <w:szCs w:val="20"/>
                <w:color w:val="auto"/>
              </w:rPr>
            </w:pPr>
            <w:r>
              <w:rPr>
                <w:rFonts w:ascii="Times New Roman" w:cs="Times New Roman" w:eastAsia="Times New Roman" w:hAnsi="Times New Roman"/>
                <w:sz w:val="14"/>
                <w:szCs w:val="14"/>
                <w:color w:val="auto"/>
              </w:rPr>
              <w:t>Three Months Ended March 31,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5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12"/>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7"/>
          </w:tcPr>
          <w:p>
            <w:pPr>
              <w:ind w:left="8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(1,279,545)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(24,984)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201,219</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119,007</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68,860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(1,345)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0" w:type="dxa"/>
            <w:vAlign w:val="bottom"/>
          </w:tcPr>
          <w:p>
            <w:pPr>
              <w:spacing w:after="0"/>
              <w:rPr>
                <w:sz w:val="1"/>
                <w:szCs w:val="1"/>
                <w:color w:val="auto"/>
              </w:rPr>
            </w:pPr>
          </w:p>
        </w:tc>
      </w:tr>
      <w:tr>
        <w:trPr>
          <w:trHeight w:val="22"/>
        </w:trPr>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(1,210,685)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(23,639)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200,732</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131,222</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Six Months Ended March 31,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Borders>
              <w:bottom w:val="single" w:sz="8" w:color="auto"/>
            </w:tcBorders>
            <w:gridSpan w:val="5"/>
          </w:tcPr>
          <w:p>
            <w:pPr>
              <w:jc w:val="right"/>
              <w:ind w:right="7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10"/>
          </w:tcPr>
          <w:p>
            <w:pPr>
              <w:jc w:val="right"/>
              <w:ind w:right="611"/>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2"/>
                <w:szCs w:val="22"/>
                <w:color w:val="auto"/>
              </w:rPr>
            </w:pPr>
          </w:p>
        </w:tc>
        <w:tc>
          <w:tcPr>
            <w:tcW w:w="88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4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7"/>
          </w:tcPr>
          <w:p>
            <w:pPr>
              <w:ind w:left="20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6"/>
        </w:trPr>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(1,316,998)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201,899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173,134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345,953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color w:val="auto"/>
              </w:rPr>
              <w:t>157,167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(104,200)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9,052</w:t>
            </w:r>
          </w:p>
        </w:tc>
        <w:tc>
          <w:tcPr>
            <w:tcW w:w="0" w:type="dxa"/>
            <w:vAlign w:val="bottom"/>
          </w:tcPr>
          <w:p>
            <w:pPr>
              <w:spacing w:after="0"/>
              <w:rPr>
                <w:sz w:val="1"/>
                <w:szCs w:val="1"/>
                <w:color w:val="auto"/>
              </w:rPr>
            </w:pPr>
          </w:p>
        </w:tc>
      </w:tr>
      <w:tr>
        <w:trPr>
          <w:trHeight w:val="22"/>
        </w:trPr>
        <w:tc>
          <w:tcPr>
            <w:tcW w:w="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(1,264,031)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351,048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20" w:type="dxa"/>
            <w:vAlign w:val="bottom"/>
            <w:gridSpan w:val="21"/>
          </w:tcPr>
          <w:p>
            <w:pPr>
              <w:ind w:left="20"/>
              <w:spacing w:after="0"/>
              <w:rPr>
                <w:sz w:val="20"/>
                <w:szCs w:val="20"/>
                <w:color w:val="auto"/>
              </w:rPr>
            </w:pPr>
            <w:r>
              <w:rPr>
                <w:rFonts w:ascii="Times New Roman" w:cs="Times New Roman" w:eastAsia="Times New Roman" w:hAnsi="Times New Roman"/>
                <w:sz w:val="14"/>
                <w:szCs w:val="14"/>
                <w:color w:val="auto"/>
              </w:rPr>
              <w:t>Six Months Ended March 31,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1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31"/>
              <w:spacing w:after="0"/>
              <w:rPr>
                <w:sz w:val="20"/>
                <w:szCs w:val="20"/>
                <w:color w:val="auto"/>
              </w:rPr>
            </w:pPr>
            <w:r>
              <w:rPr>
                <w:rFonts w:ascii="Times New Roman" w:cs="Times New Roman" w:eastAsia="Times New Roman" w:hAnsi="Times New Roman"/>
                <w:sz w:val="14"/>
                <w:szCs w:val="14"/>
                <w:color w:val="auto"/>
              </w:rPr>
              <w:t>Common Stock</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bottom w:val="single" w:sz="8" w:color="auto"/>
            </w:tcBorders>
            <w:gridSpan w:val="11"/>
          </w:tcPr>
          <w:p>
            <w:pPr>
              <w:jc w:val="right"/>
              <w:ind w:right="640"/>
              <w:spacing w:after="0"/>
              <w:rPr>
                <w:sz w:val="20"/>
                <w:szCs w:val="20"/>
                <w:color w:val="auto"/>
              </w:rPr>
            </w:pPr>
            <w:r>
              <w:rPr>
                <w:rFonts w:ascii="Times New Roman" w:cs="Times New Roman" w:eastAsia="Times New Roman" w:hAnsi="Times New Roman"/>
                <w:sz w:val="14"/>
                <w:szCs w:val="14"/>
                <w:color w:val="auto"/>
              </w:rPr>
              <w:t>Treasury Stock</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8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Additional Paid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Total Stockholders'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In 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7"/>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40" w:type="dxa"/>
            <w:vAlign w:val="bottom"/>
            <w:gridSpan w:val="2"/>
          </w:tcPr>
          <w:p>
            <w:pPr>
              <w:spacing w:after="0"/>
              <w:rPr>
                <w:sz w:val="15"/>
                <w:szCs w:val="15"/>
                <w:color w:val="auto"/>
              </w:rPr>
            </w:pPr>
          </w:p>
        </w:tc>
        <w:tc>
          <w:tcPr>
            <w:tcW w:w="10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(1,287,134)</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(24,499)</w:t>
            </w: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200,587</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107,005</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107,327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(2,086)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(30,878)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24,934</w:t>
            </w:r>
          </w:p>
        </w:tc>
        <w:tc>
          <w:tcPr>
            <w:tcW w:w="0" w:type="dxa"/>
            <w:vAlign w:val="bottom"/>
          </w:tcPr>
          <w:p>
            <w:pPr>
              <w:spacing w:after="0"/>
              <w:rPr>
                <w:sz w:val="1"/>
                <w:szCs w:val="1"/>
                <w:color w:val="auto"/>
              </w:rPr>
            </w:pPr>
          </w:p>
        </w:tc>
      </w:tr>
      <w:tr>
        <w:trPr>
          <w:trHeight w:val="22"/>
        </w:trPr>
        <w:tc>
          <w:tcPr>
            <w:tcW w:w="1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gridSpan w:val="2"/>
          </w:tcPr>
          <w:p>
            <w:pPr>
              <w:spacing w:after="0"/>
              <w:rPr>
                <w:sz w:val="15"/>
                <w:szCs w:val="15"/>
                <w:color w:val="auto"/>
              </w:rPr>
            </w:pP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(1,210,685)</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(23,639)</w:t>
            </w: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200,732</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131,222</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308,535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-6040755</wp:posOffset>
            </wp:positionV>
            <wp:extent cx="7122160" cy="130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130810"/>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-5787390</wp:posOffset>
            </wp:positionV>
            <wp:extent cx="7122160" cy="122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-2046605</wp:posOffset>
            </wp:positionH>
            <wp:positionV relativeFrom="paragraph">
              <wp:posOffset>-5541645</wp:posOffset>
            </wp:positionV>
            <wp:extent cx="712216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-4485640</wp:posOffset>
            </wp:positionV>
            <wp:extent cx="7138670" cy="130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-4231640</wp:posOffset>
            </wp:positionV>
            <wp:extent cx="7138670"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-3985895</wp:posOffset>
            </wp:positionV>
            <wp:extent cx="7138670" cy="12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-2799080</wp:posOffset>
            </wp:positionV>
            <wp:extent cx="7113905"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3905" cy="13081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-2545080</wp:posOffset>
            </wp:positionV>
            <wp:extent cx="7113905" cy="122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-2299970</wp:posOffset>
            </wp:positionV>
            <wp:extent cx="7113905"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3905" cy="122555"/>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-2054225</wp:posOffset>
            </wp:positionV>
            <wp:extent cx="7113905" cy="147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3905" cy="14732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-1112520</wp:posOffset>
            </wp:positionV>
            <wp:extent cx="7138670"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-859155</wp:posOffset>
            </wp:positionV>
            <wp:extent cx="7138670" cy="122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-531495</wp:posOffset>
            </wp:positionV>
            <wp:extent cx="7138670"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-285750</wp:posOffset>
            </wp:positionV>
            <wp:extent cx="7138670" cy="122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220"/>
            <w:col w:w="8000"/>
          </w:cols>
          <w:pgMar w:left="380" w:top="622" w:right="339" w:bottom="1440" w:gutter="0" w:footer="0" w:header="0"/>
          <w:type w:val="continuous"/>
        </w:sectPr>
      </w:pPr>
    </w:p>
    <w:p>
      <w:pPr>
        <w:spacing w:after="0" w:line="6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80" w:top="622"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25,553</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9,848</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5,433</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5,699</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(9,324)</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4,518</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48,358</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business combinations</w:t>
            </w:r>
          </w:p>
        </w:tc>
        <w:tc>
          <w:tcPr>
            <w:tcW w:w="3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(55,468)</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(58,404)</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872,609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584,483</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(842,727)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(584,495)</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(1,198)</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(11,244)</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53,577</w:t>
            </w:r>
          </w:p>
        </w:tc>
      </w:tr>
      <w:tr>
        <w:trPr>
          <w:trHeight w:val="27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19,279</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w:t>
            </w:r>
          </w:p>
        </w:tc>
      </w:tr>
    </w:tbl>
    <w:p>
      <w:pPr>
        <w:spacing w:after="0" w:line="29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end-markets, including data centers, residential housing and commercial and industrial facilities. Our operations are organized into four principal business segments, based upon the nature of our services:</w:t>
      </w:r>
    </w:p>
    <w:p>
      <w:pPr>
        <w:spacing w:after="0" w:line="191" w:lineRule="exact"/>
        <w:rPr>
          <w:sz w:val="20"/>
          <w:szCs w:val="20"/>
          <w:color w:val="auto"/>
        </w:rPr>
      </w:pPr>
    </w:p>
    <w:p>
      <w:pPr>
        <w:ind w:left="620" w:right="48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2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4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2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2021.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(“Edmonson”) and Bayonet Plumbing, Heating &amp; Air-Conditioning, LLC (“Bayonet”) in fiscal 2021, and NEXT Electric, LLC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1" w:name="page12"/>
    <w:bookmarkEnd w:id="11"/>
    <w:p>
      <w:pPr>
        <w:ind w:right="100"/>
        <w:spacing w:after="0" w:line="287" w:lineRule="auto"/>
        <w:rPr>
          <w:sz w:val="20"/>
          <w:szCs w:val="20"/>
          <w:color w:val="auto"/>
        </w:rPr>
      </w:pPr>
      <w:r>
        <w:rPr>
          <w:rFonts w:ascii="Times New Roman" w:cs="Times New Roman" w:eastAsia="Times New Roman" w:hAnsi="Times New Roman"/>
          <w:sz w:val="17"/>
          <w:szCs w:val="17"/>
          <w:color w:val="auto"/>
        </w:rPr>
        <w:t>amounts assuming the noncontrolling interests were redeemable at the balance sheet date. If all of the noncontrolling interests remaining outstanding at March 31, 2022 had been redeemable at that date, the redemption amount would have been $21,942.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24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Times New Roman" w:cs="Times New Roman" w:eastAsia="Times New Roman" w:hAnsi="Times New Roman"/>
          <w:sz w:val="17"/>
          <w:szCs w:val="17"/>
          <w:i w:val="1"/>
          <w:iCs w:val="1"/>
          <w:color w:val="auto"/>
        </w:rPr>
        <w:t>Note 9 - Fair Value Measurements</w:t>
      </w:r>
      <w:r>
        <w:rPr>
          <w:rFonts w:ascii="Times New Roman" w:cs="Times New Roman" w:eastAsia="Times New Roman" w:hAnsi="Times New Roman"/>
          <w:sz w:val="17"/>
          <w:szCs w:val="17"/>
          <w:color w:val="auto"/>
        </w:rPr>
        <w:t xml:space="preserve"> for further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Condensed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 xml:space="preserve">Tontine Associates, L.L.C. ("Tontine Associates"), together with its affiliates (collectively, “Tontine”), is the Company’s controlling stockholder, owning approximately 56 percent of the Company’s outstanding common stock based on the Form 4 filed by Tontine with the SEC on December 3, 2021 and the Company's shares outstanding as of </w:t>
      </w:r>
      <w:r>
        <w:rPr>
          <w:rFonts w:ascii="Times New Roman" w:cs="Times New Roman" w:eastAsia="Times New Roman" w:hAnsi="Times New Roman"/>
          <w:sz w:val="15"/>
          <w:szCs w:val="15"/>
          <w:color w:val="auto"/>
        </w:rPr>
        <w:t>April 27, 2022</w:t>
      </w:r>
      <w:r>
        <w:rPr>
          <w:rFonts w:ascii="Times New Roman" w:cs="Times New Roman" w:eastAsia="Times New Roman" w:hAnsi="Times New Roman"/>
          <w:sz w:val="17"/>
          <w:szCs w:val="17"/>
          <w:color w:val="auto"/>
        </w:rPr>
        <w:t>.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20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ind w:right="80"/>
        <w:spacing w:after="0" w:line="258" w:lineRule="auto"/>
        <w:rPr>
          <w:sz w:val="20"/>
          <w:szCs w:val="20"/>
          <w:color w:val="auto"/>
        </w:rPr>
      </w:pPr>
      <w:r>
        <w:rPr>
          <w:rFonts w:ascii="Times New Roman" w:cs="Times New Roman" w:eastAsia="Times New Roman" w:hAnsi="Times New Roman"/>
          <w:sz w:val="17"/>
          <w:szCs w:val="17"/>
          <w:color w:val="auto"/>
        </w:rPr>
        <w:t>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4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2022 and 2021 was derived from the following activities. See details in the following tables:</w:t>
      </w: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10"/>
          </w:tcPr>
          <w:p>
            <w:pPr>
              <w:ind w:left="3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3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193,242</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192,368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172,602</w:t>
            </w:r>
          </w:p>
        </w:tc>
      </w:tr>
      <w:tr>
        <w:trPr>
          <w:trHeight w:val="21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68,038</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49,860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97,225</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150,336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269,827</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20,588</w:t>
            </w:r>
          </w:p>
        </w:tc>
      </w:tr>
      <w:tr>
        <w:trPr>
          <w:trHeight w:val="219"/>
        </w:trPr>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Custom Power Solutions</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25,896</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24,168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48,529</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69,117</w:t>
            </w:r>
          </w:p>
        </w:tc>
      </w:tr>
      <w:tr>
        <w:trPr>
          <w:trHeight w:val="219"/>
        </w:trPr>
        <w:tc>
          <w:tcPr>
            <w:tcW w:w="38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52,023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114,613</w:t>
            </w:r>
          </w:p>
        </w:tc>
      </w:tr>
      <w:tr>
        <w:trPr>
          <w:trHeight w:val="237"/>
        </w:trPr>
        <w:tc>
          <w:tcPr>
            <w:tcW w:w="38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331,961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646,799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7"/>
                <w:szCs w:val="17"/>
                <w:color w:val="auto"/>
              </w:rPr>
              <w:t>Three Months Ended March 31, 2022</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60" w:type="dxa"/>
            <w:vAlign w:val="bottom"/>
            <w:gridSpan w:val="5"/>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Communications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4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85,722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39,924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64,346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450,398</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1,809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51,195</w:t>
            </w:r>
          </w:p>
        </w:tc>
      </w:tr>
      <w:tr>
        <w:trPr>
          <w:trHeight w:val="237"/>
        </w:trPr>
        <w:tc>
          <w:tcPr>
            <w:tcW w:w="38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41,733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7"/>
                <w:szCs w:val="17"/>
                <w:color w:val="auto"/>
              </w:rPr>
              <w:t>Three Months Ended March 31, 2021</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60" w:type="dxa"/>
            <w:vAlign w:val="bottom"/>
            <w:gridSpan w:val="5"/>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2"/>
        </w:trPr>
        <w:tc>
          <w:tcPr>
            <w:tcW w:w="36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Communications</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7"/>
                <w:szCs w:val="17"/>
                <w:color w:val="auto"/>
              </w:rPr>
              <w:t>Residential</w:t>
            </w: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Industrial</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4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68,551</w:t>
            </w: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32,959</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300,849</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1,757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31,112</w:t>
            </w:r>
          </w:p>
        </w:tc>
      </w:tr>
      <w:tr>
        <w:trPr>
          <w:trHeight w:val="237"/>
        </w:trPr>
        <w:tc>
          <w:tcPr>
            <w:tcW w:w="38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150,336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34,716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331,961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4"/>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7"/>
                <w:szCs w:val="17"/>
                <w:color w:val="auto"/>
              </w:rPr>
              <w:t>Six Months Ended March 31, 2022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174,144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129,206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885,909</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83,884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96,193</w:t>
            </w:r>
          </w:p>
        </w:tc>
      </w:tr>
      <w:tr>
        <w:trPr>
          <w:trHeight w:val="237"/>
        </w:trPr>
        <w:tc>
          <w:tcPr>
            <w:tcW w:w="38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258,028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7"/>
                <w:szCs w:val="17"/>
                <w:color w:val="auto"/>
              </w:rPr>
              <w:t>Six Months Ended March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Solutions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144,565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269,827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109,690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589,705</w:t>
            </w:r>
          </w:p>
        </w:tc>
      </w:tr>
      <w:tr>
        <w:trPr>
          <w:trHeight w:val="21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48,677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57,094</w:t>
            </w:r>
          </w:p>
        </w:tc>
      </w:tr>
      <w:tr>
        <w:trPr>
          <w:trHeight w:val="232"/>
        </w:trPr>
        <w:tc>
          <w:tcPr>
            <w:tcW w:w="3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193,242</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269,827</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69,117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114,613</w:t>
            </w: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646,799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March 31, 2022, Accounts receivable included $21,824 of unbilled receivables for which we have an unconditional right to bill.</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trade receivables due in one year or less, we do not have any other financial assets that are past due or are on non-accrual status.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20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2022 and 2021, we recognized revenue of $38,349 and $28,385 related to our contract liabilities at January 1, 2022 and 2021, respectively. During the six months ended March 31, 2022 and 2021, we recognized revenue of $45,115 and $33,740 related to our contract liabilities at October 1, 2021 and 2020,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March 31, 2022, we had remaining performance obligations of $835,548. The Company expects to recognize revenue on approximately $792,953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and six months ended March 31, 2022, net revenue recognized from our performance obligations satisfied in previous periods was not material.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4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At March 31, 2022 and September 30, 2021, we had $70,220 and $40,339, respectively, in borrowings outstanding under our revolving credit facility with Wells Fargo Bank, N.A. ("Wells Fargo"), and long-term debt related to loans on capital expenditures of $15 and $63, respectively. At March 31, 2022, we also had $4,161 in outstanding letters of credit and total availability of $50,619 under our revolving credit facility without triggering our financial covenants under our Second Amended and Restated Credit and Security Agreement with Wells Fargo (as amended, the "Credit Agreement"). As of March 31, 2022, the Company was in compliance with the financial covenants under the Credit Agreement.</w:t>
      </w:r>
    </w:p>
    <w:p>
      <w:pPr>
        <w:spacing w:after="0" w:line="20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On April 28, 2022 we entered into the Third Amended and Restated Credit and Security Agreement with Wells Fargo (the "Amended Credit Agreement"), which, among other things, increased our maximum borrowing amount from $125,000 to $150,000. Please refer to </w:t>
      </w:r>
      <w:r>
        <w:rPr>
          <w:rFonts w:ascii="Times New Roman" w:cs="Times New Roman" w:eastAsia="Times New Roman" w:hAnsi="Times New Roman"/>
          <w:sz w:val="17"/>
          <w:szCs w:val="17"/>
          <w:i w:val="1"/>
          <w:iCs w:val="1"/>
          <w:color w:val="auto"/>
        </w:rPr>
        <w:t>Note 15 - Subsequent Events</w:t>
      </w:r>
      <w:r>
        <w:rPr>
          <w:rFonts w:ascii="Times New Roman" w:cs="Times New Roman" w:eastAsia="Times New Roman" w:hAnsi="Times New Roman"/>
          <w:sz w:val="17"/>
          <w:szCs w:val="17"/>
          <w:color w:val="auto"/>
        </w:rPr>
        <w:t xml:space="preserve"> for further information regarding the Amended Credit Agreement.</w:t>
      </w:r>
    </w:p>
    <w:p>
      <w:pPr>
        <w:spacing w:after="0" w:line="19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Amended Credit Agreement, which matures on September 30, 2026, contains customary affirmative, negative and financial covenants as disclosed in Item 7 of our Annual Report on Form 10-K for the year ended September 30,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(loss) per share for the three and six months ended March 31, 2022 and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7"/>
                <w:szCs w:val="17"/>
                <w:color w:val="auto"/>
              </w:rPr>
              <w:t>Three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IES Holdings, Inc.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12,836</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 of IES Holdings, Inc.</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20,772,426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20,780,006</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291,053</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20,772,426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21,071,059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share attributable to common stockholders of IES Holdings, Inc.:</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0.58</w:t>
            </w:r>
          </w:p>
        </w:tc>
      </w:tr>
      <w:tr>
        <w:trPr>
          <w:trHeight w:val="563"/>
        </w:trPr>
        <w:tc>
          <w:tcPr>
            <w:tcW w:w="8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7"/>
                <w:szCs w:val="17"/>
                <w:color w:val="auto"/>
              </w:rPr>
              <w:t>Six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9,052</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24,934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1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20,737,253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20,756,879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302,209</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21,139,429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21,059,088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693"/>
        </w:trPr>
        <w:tc>
          <w:tcPr>
            <w:tcW w:w="80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8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6" w:name="page17"/>
    <w:bookmarkEnd w:id="16"/>
    <w:p>
      <w:pPr>
        <w:spacing w:after="0" w:line="270" w:lineRule="auto"/>
        <w:rPr>
          <w:sz w:val="20"/>
          <w:szCs w:val="20"/>
          <w:color w:val="auto"/>
        </w:rPr>
      </w:pPr>
      <w:r>
        <w:rPr>
          <w:rFonts w:ascii="Times New Roman" w:cs="Times New Roman" w:eastAsia="Times New Roman" w:hAnsi="Times New Roman"/>
          <w:sz w:val="17"/>
          <w:szCs w:val="17"/>
          <w:color w:val="auto"/>
        </w:rPr>
        <w:t>For the three and six months ended March 31, 2022 and 2021, the average price of our common shares exceeded the exercise price of all of our outstanding options; therefore, all of our outstanding stock options were included in the computation of diluted earnings per share, except for the quarter ended March 31, 2022, where such options would have had an anti-dilutive impact on the Company's loss per share.</w:t>
      </w:r>
    </w:p>
    <w:p>
      <w:pPr>
        <w:spacing w:after="0" w:line="3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40"/>
          </w:cols>
          <w:pgMar w:left="320" w:top="665" w:right="7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19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between segments for selling, general and administrative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and six months ended March 31, 2022 and 2021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5"/>
                <w:szCs w:val="15"/>
                <w:color w:val="auto"/>
              </w:rPr>
              <w:t>Three Months Ended March 31, 2022</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130,639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260,406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41,733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68,815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501,593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119,518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214,862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34,672</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74,034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443,086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 (loss)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45,544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58,507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10,978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63,430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6,156</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w:t>
            </w:r>
          </w:p>
        </w:tc>
        <w:tc>
          <w:tcPr>
            <w:tcW w:w="1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171,929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363,921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45,851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831,239</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5"/>
                <w:szCs w:val="15"/>
                <w:color w:val="auto"/>
              </w:rPr>
              <w:t>Three Months Ended March 31,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94,886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150,336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331,961</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75,339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120,146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25,161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46,441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267,087</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19,547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30,190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64,874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9,615</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6,242</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6,744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47,655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8,456</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(3,445)</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17,128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133</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12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128,568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215,399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68,243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5"/>
                <w:szCs w:val="15"/>
                <w:color w:val="auto"/>
              </w:rPr>
              <w:t>Six Months Ended March 31, 2022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18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gridSpan w:val="2"/>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10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258,028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83,829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138,063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982,102</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226,408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69,048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134,412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843,868</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31,620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138,234</w:t>
            </w:r>
          </w:p>
        </w:tc>
        <w:tc>
          <w:tcPr>
            <w:tcW w:w="0" w:type="dxa"/>
            <w:vAlign w:val="bottom"/>
          </w:tcPr>
          <w:p>
            <w:pPr>
              <w:spacing w:after="0"/>
              <w:rPr>
                <w:sz w:val="1"/>
                <w:szCs w:val="1"/>
                <w:color w:val="auto"/>
              </w:rPr>
            </w:pPr>
          </w:p>
        </w:tc>
      </w:tr>
      <w:tr>
        <w:trPr>
          <w:trHeight w:val="19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22,363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64,571</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12,449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15,716</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7,733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122,832</w:t>
            </w: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20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12,370</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1,344</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11,139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21,627</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171,929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363,921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831,239</w:t>
            </w:r>
          </w:p>
        </w:tc>
        <w:tc>
          <w:tcPr>
            <w:tcW w:w="0" w:type="dxa"/>
            <w:vAlign w:val="bottom"/>
          </w:tcPr>
          <w:p>
            <w:pPr>
              <w:spacing w:after="0"/>
              <w:rPr>
                <w:sz w:val="1"/>
                <w:szCs w:val="1"/>
                <w:color w:val="auto"/>
              </w:rPr>
            </w:pPr>
          </w:p>
        </w:tc>
      </w:tr>
      <w:tr>
        <w:trPr>
          <w:trHeight w:val="320"/>
        </w:trPr>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5"/>
                <w:szCs w:val="15"/>
                <w:color w:val="auto"/>
              </w:rPr>
              <w:t>Six Months Ended March 31, 2021</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10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193,242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269,827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69,117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114,613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646,799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155,156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216,109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48,625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103,356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523,246</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38,086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53,718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20,492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123,553</w:t>
            </w:r>
          </w:p>
        </w:tc>
        <w:tc>
          <w:tcPr>
            <w:tcW w:w="0" w:type="dxa"/>
            <w:vAlign w:val="bottom"/>
          </w:tcPr>
          <w:p>
            <w:pPr>
              <w:spacing w:after="0"/>
              <w:rPr>
                <w:sz w:val="1"/>
                <w:szCs w:val="1"/>
                <w:color w:val="auto"/>
              </w:rPr>
            </w:pPr>
          </w:p>
        </w:tc>
      </w:tr>
      <w:tr>
        <w:trPr>
          <w:trHeight w:val="19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18,956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38,936</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11,853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90,441</w:t>
            </w:r>
          </w:p>
        </w:tc>
        <w:tc>
          <w:tcPr>
            <w:tcW w:w="0" w:type="dxa"/>
            <w:vAlign w:val="bottom"/>
          </w:tcPr>
          <w:p>
            <w:pPr>
              <w:spacing w:after="0"/>
              <w:rPr>
                <w:sz w:val="1"/>
                <w:szCs w:val="1"/>
                <w:color w:val="auto"/>
              </w:rPr>
            </w:pPr>
          </w:p>
        </w:tc>
      </w:tr>
      <w:tr>
        <w:trPr>
          <w:trHeight w:val="20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20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27"/>
        </w:trPr>
        <w:tc>
          <w:tcPr>
            <w:tcW w:w="3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33,031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265</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3,004</w:t>
            </w:r>
          </w:p>
        </w:tc>
        <w:tc>
          <w:tcPr>
            <w:tcW w:w="0" w:type="dxa"/>
            <w:vAlign w:val="bottom"/>
          </w:tcPr>
          <w:p>
            <w:pPr>
              <w:spacing w:after="0"/>
              <w:rPr>
                <w:sz w:val="1"/>
                <w:szCs w:val="1"/>
                <w:color w:val="auto"/>
              </w:rPr>
            </w:pPr>
          </w:p>
        </w:tc>
      </w:tr>
      <w:tr>
        <w:trPr>
          <w:trHeight w:val="209"/>
        </w:trPr>
        <w:tc>
          <w:tcPr>
            <w:tcW w:w="100" w:type="dxa"/>
            <w:vAlign w:val="bottom"/>
            <w:shd w:val="clear" w:color="auto" w:fill="CCEEFF"/>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128,568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215,399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615,652</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713,151 shares were available for issuance at March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2,587 and 59,002 shares, respectively, of our common stock during the three and six months ended March 31, 2022 in open market transactions at an average price of $49.00 and $46.81, respectively, per share. We repurchased no shares of our common stock during the three and six months ended March 31, 2021 in open market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2022, we issued 73,627 shares of common stock from treasury stock to employees and repurchased 45,198 shares of common stock from our employees to satisfy statutory tax withholding requirements upon the vesting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ind w:right="600"/>
        <w:spacing w:after="0" w:line="287" w:lineRule="auto"/>
        <w:rPr>
          <w:sz w:val="20"/>
          <w:szCs w:val="20"/>
          <w:color w:val="auto"/>
        </w:rPr>
      </w:pPr>
      <w:r>
        <w:rPr>
          <w:rFonts w:ascii="Times New Roman" w:cs="Times New Roman" w:eastAsia="Times New Roman" w:hAnsi="Times New Roman"/>
          <w:sz w:val="17"/>
          <w:szCs w:val="17"/>
          <w:color w:val="auto"/>
        </w:rPr>
        <w:t>certain performance phantom stock units under the Equity Incentive Plan. In addition, we issued 83,540 shares from treasury stock to satisfy the vesting of Director PSUs (as defined below) in conjunction with the departure of a Board member.</w:t>
      </w:r>
    </w:p>
    <w:p>
      <w:pPr>
        <w:spacing w:after="0" w:line="16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7"/>
          <w:szCs w:val="17"/>
          <w:color w:val="auto"/>
        </w:rPr>
        <w:t>During the six months ended March 31, 2021, we issued 38,087 shares of common stock from treasury stock to employees and repurchased 16,882 shares of common stock from our employees to satisfy statutory tax withholding requirements upon the vesting of certain performance phantom stock units under the Equity Incentive Plan. In addition, 13,996 restricted shares were forfeited by certain former employees upon their departure and returned to treasury stock. We also issued 380 unrestricted shares of common stock from treasury to members of our Board of Directors as part of their overall compensation, and we issued 68,860 shares from treasury stock to satisfy the vesting of Director PSUs in conjunction with the departure of a board member.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granted no restricted shares to executives during the six months ended March 31, 2022. Of the awards previously granted, 3,118 shares vested. The remaining restricted shares either vest subject to the achievement of specified levels of cumulative net income before taxes or vest based on the passage of time. During the three months ended March 31, 2022 and 2021, we recognized $36 and $36, respectively, in compensation expense related to all restricted stock awards. During the six months ended March 31, 2022 and 2021, we recognized $71 and $74, respectively, in compensation expense related to all restricted stock awards. At March 31, 2022, the unamortized compensation cost related to outstanding unvested restricted stock was $95.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March 31, 2022 and 2021, we recognized $96 and $90, respectively, in compensation expense related to these grants. During the six months ended March 31, 2022 and 2021, we recognized $193 and $186, respectively, in compensation expense related to these grants.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As of March 31, 2022, the Company had outstanding Employee PSUs, which, subject to the achievement of certain performance metrics, could result in the issuance of 321,463 shares of common stock. During the six months ended March 31, 2022, we granted 150,447 Employee PSUs, 4,962 were forfeited, and 106,964 vested. During the three months ended March 31, 2022 and 2021, we recognized $864 and $711, respectively, in compensation expense related to Employee PSU grants. During the six months ended March 31, 2022 and 2021, we recognized $1,632 and $1,408, respectively, in compensation expense related to Employee PSU grants.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8.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24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March 31, 2022 and 2021, we recognized $1,195 and $773, respectively, in matching expense. During the six months ended March 31, 2022 and 2021, we recognized $2,116 and $1,479, respectively, in matching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At March 31, 2022,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19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Financial assets and liabilities measured at fair value on a recurring basis as of March 31, 2022 and September 30, 2021,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March 31, 2022</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0" w:type="dxa"/>
            <w:vAlign w:val="bottom"/>
          </w:tcPr>
          <w:p>
            <w:pPr>
              <w:spacing w:after="0"/>
              <w:rPr>
                <w:sz w:val="1"/>
                <w:szCs w:val="1"/>
                <w:color w:val="auto"/>
              </w:rPr>
            </w:pPr>
          </w:p>
        </w:tc>
      </w:tr>
      <w:tr>
        <w:trPr>
          <w:trHeight w:val="237"/>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September 30, 2021</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At March 31, 2022, we estimated the fair value of this contingent consideration liability at $4,252. The table below presents the fair value of this obligation, which used significant unobservable inputs (Level 3).</w:t>
      </w:r>
    </w:p>
    <w:tbl>
      <w:tblPr>
        <w:tblLayout w:type="fixed"/>
        <w:tblInd w:w="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40" w:type="dxa"/>
            <w:vAlign w:val="bottom"/>
            <w:gridSpan w:val="2"/>
          </w:tcPr>
          <w:p>
            <w:pPr>
              <w:jc w:val="center"/>
              <w:ind w:right="2200"/>
              <w:spacing w:after="0" w:line="182" w:lineRule="exact"/>
              <w:rPr>
                <w:sz w:val="20"/>
                <w:szCs w:val="20"/>
                <w:color w:val="auto"/>
              </w:rPr>
            </w:pPr>
            <w:r>
              <w:rPr>
                <w:rFonts w:ascii="Times New Roman" w:cs="Times New Roman" w:eastAsia="Times New Roman" w:hAnsi="Times New Roman"/>
                <w:sz w:val="17"/>
                <w:szCs w:val="17"/>
                <w:color w:val="auto"/>
              </w:rPr>
              <w:t>Contingent</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40" w:type="dxa"/>
            <w:vAlign w:val="bottom"/>
            <w:gridSpan w:val="2"/>
          </w:tcPr>
          <w:p>
            <w:pPr>
              <w:jc w:val="center"/>
              <w:ind w:right="2200"/>
              <w:spacing w:after="0" w:line="172" w:lineRule="exact"/>
              <w:rPr>
                <w:sz w:val="20"/>
                <w:szCs w:val="20"/>
                <w:color w:val="auto"/>
              </w:rPr>
            </w:pPr>
            <w:r>
              <w:rPr>
                <w:rFonts w:ascii="Times New Roman" w:cs="Times New Roman" w:eastAsia="Times New Roman" w:hAnsi="Times New Roman"/>
                <w:sz w:val="17"/>
                <w:szCs w:val="17"/>
                <w:color w:val="auto"/>
              </w:rPr>
              <w:t>Consideration</w:t>
            </w:r>
          </w:p>
        </w:tc>
        <w:tc>
          <w:tcPr>
            <w:tcW w:w="0" w:type="dxa"/>
            <w:vAlign w:val="bottom"/>
          </w:tcPr>
          <w:p>
            <w:pPr>
              <w:spacing w:after="0"/>
              <w:rPr>
                <w:sz w:val="1"/>
                <w:szCs w:val="1"/>
                <w:color w:val="auto"/>
              </w:rPr>
            </w:pPr>
          </w:p>
        </w:tc>
      </w:tr>
      <w:tr>
        <w:trPr>
          <w:trHeight w:val="219"/>
        </w:trPr>
        <w:tc>
          <w:tcPr>
            <w:tcW w:w="22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40" w:type="dxa"/>
            <w:vAlign w:val="bottom"/>
            <w:gridSpan w:val="2"/>
          </w:tcPr>
          <w:p>
            <w:pPr>
              <w:jc w:val="center"/>
              <w:ind w:right="2200"/>
              <w:spacing w:after="0"/>
              <w:rPr>
                <w:sz w:val="20"/>
                <w:szCs w:val="20"/>
                <w:color w:val="auto"/>
              </w:rPr>
            </w:pPr>
            <w:r>
              <w:rPr>
                <w:rFonts w:ascii="Times New Roman" w:cs="Times New Roman" w:eastAsia="Times New Roman" w:hAnsi="Times New Roman"/>
                <w:sz w:val="17"/>
                <w:szCs w:val="17"/>
                <w:color w:val="auto"/>
              </w:rPr>
              <w:t>Agreements</w:t>
            </w:r>
          </w:p>
        </w:tc>
        <w:tc>
          <w:tcPr>
            <w:tcW w:w="0" w:type="dxa"/>
            <w:vAlign w:val="bottom"/>
          </w:tcPr>
          <w:p>
            <w:pPr>
              <w:spacing w:after="0"/>
              <w:rPr>
                <w:sz w:val="1"/>
                <w:szCs w:val="1"/>
                <w:color w:val="auto"/>
              </w:rPr>
            </w:pPr>
          </w:p>
        </w:tc>
      </w:tr>
      <w:tr>
        <w:trPr>
          <w:trHeight w:val="219"/>
        </w:trPr>
        <w:tc>
          <w:tcPr>
            <w:tcW w:w="22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2021</w:t>
            </w:r>
          </w:p>
        </w:tc>
        <w:tc>
          <w:tcPr>
            <w:tcW w:w="2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21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March 31, 2022</w:t>
            </w:r>
          </w:p>
        </w:tc>
        <w:tc>
          <w:tcPr>
            <w:tcW w:w="2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414"/>
              <w:spacing w:after="0"/>
              <w:rPr>
                <w:sz w:val="20"/>
                <w:szCs w:val="20"/>
                <w:color w:val="auto"/>
              </w:rPr>
            </w:pPr>
            <w:r>
              <w:rPr>
                <w:rFonts w:ascii="Times New Roman" w:cs="Times New Roman" w:eastAsia="Times New Roman" w:hAnsi="Times New Roman"/>
                <w:sz w:val="17"/>
                <w:szCs w:val="17"/>
                <w:color w:val="auto"/>
              </w:rPr>
              <w:t>21</w:t>
            </w: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INVENTORY</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March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54,352</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March 31, 2022, which was unchanged from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Infrastructure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6"/>
          </w:tcPr>
          <w:p>
            <w:pPr>
              <w:jc w:val="center"/>
              <w:ind w:right="540"/>
              <w:spacing w:after="0"/>
              <w:rPr>
                <w:sz w:val="20"/>
                <w:szCs w:val="20"/>
                <w:color w:val="auto"/>
              </w:rPr>
            </w:pPr>
            <w:r>
              <w:rPr>
                <w:rFonts w:ascii="Times New Roman" w:cs="Times New Roman" w:eastAsia="Times New Roman" w:hAnsi="Times New Roman"/>
                <w:sz w:val="17"/>
                <w:szCs w:val="17"/>
                <w:color w:val="auto"/>
              </w:rPr>
              <w:t>Commercial &amp;</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ind w:left="200"/>
              <w:spacing w:after="0"/>
              <w:rPr>
                <w:sz w:val="20"/>
                <w:szCs w:val="20"/>
                <w:color w:val="auto"/>
              </w:rPr>
            </w:pPr>
            <w:r>
              <w:rPr>
                <w:rFonts w:ascii="Times New Roman" w:cs="Times New Roman" w:eastAsia="Times New Roman" w:hAnsi="Times New Roman"/>
                <w:sz w:val="17"/>
                <w:szCs w:val="17"/>
                <w:color w:val="auto"/>
              </w:rPr>
              <w:t>Residential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Solutions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6"/>
          </w:tcPr>
          <w:p>
            <w:pPr>
              <w:jc w:val="center"/>
              <w:ind w:right="520"/>
              <w:spacing w:after="0"/>
              <w:rPr>
                <w:sz w:val="20"/>
                <w:szCs w:val="20"/>
                <w:color w:val="auto"/>
              </w:rPr>
            </w:pPr>
            <w:r>
              <w:rPr>
                <w:rFonts w:ascii="Times New Roman" w:cs="Times New Roman" w:eastAsia="Times New Roman" w:hAnsi="Times New Roman"/>
                <w:sz w:val="17"/>
                <w:szCs w:val="17"/>
                <w:color w:val="auto"/>
              </w:rPr>
              <w:t>Industrial</w:t>
            </w:r>
          </w:p>
        </w:tc>
        <w:tc>
          <w:tcPr>
            <w:tcW w:w="36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7"/>
        </w:trPr>
        <w:tc>
          <w:tcPr>
            <w:tcW w:w="30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51,370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jc w:val="center"/>
              <w:ind w:right="540"/>
              <w:spacing w:after="0"/>
              <w:rPr>
                <w:sz w:val="20"/>
                <w:szCs w:val="20"/>
                <w:color w:val="auto"/>
              </w:rPr>
            </w:pPr>
            <w:r>
              <w:rPr>
                <w:rFonts w:ascii="Times New Roman" w:cs="Times New Roman" w:eastAsia="Times New Roman" w:hAnsi="Times New Roman"/>
                <w:sz w:val="17"/>
                <w:szCs w:val="17"/>
                <w:color w:val="auto"/>
                <w:w w:val="99"/>
              </w:rPr>
              <w:t>March 31, 2022</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5"/>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19"/>
                <w:szCs w:val="19"/>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66,943</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3"/>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117,538</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(38,844)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78,694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right="440"/>
              <w:spacing w:after="0"/>
              <w:rPr>
                <w:sz w:val="20"/>
                <w:szCs w:val="20"/>
                <w:color w:val="auto"/>
              </w:rPr>
            </w:pPr>
            <w:r>
              <w:rPr>
                <w:rFonts w:ascii="Times New Roman" w:cs="Times New Roman" w:eastAsia="Times New Roman" w:hAnsi="Times New Roman"/>
                <w:sz w:val="17"/>
                <w:szCs w:val="17"/>
                <w:color w:val="auto"/>
              </w:rPr>
              <w:t>September 30, 2021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6"/>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5"/>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8"/>
          </w:tcPr>
          <w:p>
            <w:pPr>
              <w:jc w:val="center"/>
              <w:ind w:right="1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360" w:type="dxa"/>
            <w:vAlign w:val="bottom"/>
          </w:tcPr>
          <w:p>
            <w:pPr>
              <w:spacing w:after="0"/>
              <w:rPr>
                <w:sz w:val="20"/>
                <w:szCs w:val="20"/>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1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12,371</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72,858</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12"/>
        </w:trPr>
        <w:tc>
          <w:tcPr>
            <w:tcW w:w="3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117,538</w:t>
            </w:r>
          </w:p>
        </w:tc>
        <w:tc>
          <w:tcPr>
            <w:tcW w:w="6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(31,919)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85,619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11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right="400"/>
        <w:spacing w:after="0" w:line="287" w:lineRule="auto"/>
        <w:rPr>
          <w:sz w:val="20"/>
          <w:szCs w:val="20"/>
          <w:color w:val="auto"/>
        </w:rPr>
      </w:pPr>
      <w:r>
        <w:rPr>
          <w:rFonts w:ascii="Times New Roman" w:cs="Times New Roman" w:eastAsia="Times New Roman" w:hAnsi="Times New Roman"/>
          <w:sz w:val="17"/>
          <w:szCs w:val="17"/>
          <w:color w:val="auto"/>
        </w:rPr>
        <w:t>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80"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On June 22, 2021, the United States Department of Labor Wage and Hour Division (the “DOL”) notified IES Residential, Inc. (“IESR”), a wholly-owned subsidiary of the Company, that the DOL had commenced an administrative investigation of IESR’s compliance with laws regulating employee wage payment. The inquiry concerned overtime calculations and record keeping with respect to certain Arizona employees who are paid on a piece rate basis. In response to certain DOL requests, IESR produced documents and made employees available for interviews.</w:t>
      </w:r>
    </w:p>
    <w:p>
      <w:pPr>
        <w:spacing w:after="0" w:line="19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On November 10, 2021, the DOL indicated that it believes IESR piece rate employees did not record all hours worked, and therefore, IESR was not in compliance with the Fair Labor Standards Act. We are conducting an internal investigation on this matter, and plan to vigorously defend the Company against these allegations. We have established a reserve of $350 for the costs to investigate and resolve this matter. At this time, it is not possible for us to estimate a range of costs we expect to incur.</w:t>
      </w:r>
    </w:p>
    <w:p>
      <w:pPr>
        <w:spacing w:after="0" w:line="18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March 31, 2022, we had an aggregate $9,700 of trade accounts receivable where payment has been delayed as a result of contractual disputes. We believe that we are contractually entitled to all of these amounts, and intend to vigorously pursue recovery. However, based on uncertainty around the timing and amount of recovery, at March 31, 2022, we have recorded a reserve of $1,800 against these receivables.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March 31, 2022 and September 30, 2021, we had $6,039 and $5,787,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2022 and September 30, 2021, $3,962 and $4,327, respectively, of our outstanding letters of credit was utilized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As of March 31, 2022, the estimated cost to complete our bonded projects was approximately $125,880.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2022, we had commitments of $12,058 outstanding under agreements to purchase copper wire and other materials over the next 12 months in the ordinary course of business.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Current operating and finance liabilities of $14,877 and $1,546, respectively, as of March 31, 2022, and $13,973 and $1,033, respectively, as of September 30, 2021,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March 31, 2022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5"/>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13,494</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7,308</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4,588</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4,722</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53,249</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4,099</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5,903</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49,150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March 31, 2022 is $2,346.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5"/>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gridSpan w:val="6"/>
          </w:tcPr>
          <w:p>
            <w:pPr>
              <w:jc w:val="right"/>
              <w:ind w:right="1160"/>
              <w:spacing w:after="0"/>
              <w:rPr>
                <w:sz w:val="20"/>
                <w:szCs w:val="20"/>
                <w:color w:val="auto"/>
              </w:rPr>
            </w:pPr>
            <w:r>
              <w:rPr>
                <w:rFonts w:ascii="Times New Roman" w:cs="Times New Roman" w:eastAsia="Times New Roman" w:hAnsi="Times New Roman"/>
                <w:sz w:val="17"/>
                <w:szCs w:val="17"/>
                <w:color w:val="auto"/>
              </w:rPr>
              <w:t>Three Months Ended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4"/>
          </w:tcPr>
          <w:p>
            <w:pPr>
              <w:jc w:val="right"/>
              <w:ind w:right="95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2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March 31, 2022</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March 31, 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March 31, 2022</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March 31, 2021</w:t>
            </w:r>
          </w:p>
        </w:tc>
      </w:tr>
      <w:tr>
        <w:trPr>
          <w:trHeight w:val="212"/>
        </w:trPr>
        <w:tc>
          <w:tcPr>
            <w:tcW w:w="4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2"/>
        </w:trPr>
        <w:tc>
          <w:tcPr>
            <w:tcW w:w="4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12"/>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8,523</w:t>
            </w:r>
          </w:p>
        </w:tc>
      </w:tr>
      <w:tr>
        <w:trPr>
          <w:trHeight w:val="20"/>
        </w:trPr>
        <w:tc>
          <w:tcPr>
            <w:tcW w:w="4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08"/>
        </w:trPr>
        <w:tc>
          <w:tcPr>
            <w:tcW w:w="950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gridSpan w:val="6"/>
          </w:tcPr>
          <w:p>
            <w:pPr>
              <w:jc w:val="center"/>
              <w:ind w:right="260"/>
              <w:spacing w:after="0"/>
              <w:rPr>
                <w:sz w:val="20"/>
                <w:szCs w:val="20"/>
                <w:color w:val="auto"/>
              </w:rPr>
            </w:pPr>
            <w:r>
              <w:rPr>
                <w:rFonts w:ascii="Times New Roman" w:cs="Times New Roman" w:eastAsia="Times New Roman" w:hAnsi="Times New Roman"/>
                <w:sz w:val="17"/>
                <w:szCs w:val="17"/>
                <w:color w:val="auto"/>
              </w:rPr>
              <w:t>Three Months Ended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4"/>
          </w:tcPr>
          <w:p>
            <w:pPr>
              <w:jc w:val="right"/>
              <w:ind w:right="974"/>
              <w:spacing w:after="0"/>
              <w:rPr>
                <w:sz w:val="20"/>
                <w:szCs w:val="20"/>
                <w:color w:val="auto"/>
              </w:rPr>
            </w:pPr>
            <w:r>
              <w:rPr>
                <w:rFonts w:ascii="Times New Roman" w:cs="Times New Roman" w:eastAsia="Times New Roman" w:hAnsi="Times New Roman"/>
                <w:sz w:val="17"/>
                <w:szCs w:val="17"/>
                <w:color w:val="auto"/>
              </w:rPr>
              <w:t>Six Months Ended</w:t>
            </w:r>
          </w:p>
        </w:tc>
      </w:tr>
      <w:tr>
        <w:trPr>
          <w:trHeight w:val="212"/>
        </w:trPr>
        <w:tc>
          <w:tcPr>
            <w:tcW w:w="4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March 31, 2022</w:t>
            </w: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March 31, 2021</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March 31, 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March 31, 2021</w:t>
            </w:r>
          </w:p>
        </w:tc>
      </w:tr>
      <w:tr>
        <w:trPr>
          <w:trHeight w:val="212"/>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9,351</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7,649</w:t>
            </w:r>
          </w:p>
        </w:tc>
      </w:tr>
      <w:tr>
        <w:trPr>
          <w:trHeight w:val="219"/>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9"/>
                <w:szCs w:val="19"/>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177"/>
        </w:trPr>
        <w:tc>
          <w:tcPr>
            <w:tcW w:w="4260" w:type="dxa"/>
            <w:vAlign w:val="bottom"/>
            <w:shd w:val="clear" w:color="auto" w:fill="CCEEFF"/>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3"/>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3,984</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14,861</w:t>
            </w:r>
          </w:p>
        </w:tc>
      </w:tr>
      <w:tr>
        <w:trPr>
          <w:trHeight w:val="177"/>
        </w:trPr>
        <w:tc>
          <w:tcPr>
            <w:tcW w:w="426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3"/>
        </w:trPr>
        <w:tc>
          <w:tcPr>
            <w:tcW w:w="4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lease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1,328</w:t>
            </w:r>
          </w:p>
        </w:tc>
        <w:tc>
          <w:tcPr>
            <w:tcW w:w="2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r>
      <w:tr>
        <w:trPr>
          <w:trHeight w:val="941"/>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8"/>
        </w:trPr>
        <w:tc>
          <w:tcPr>
            <w:tcW w:w="4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19"/>
                <w:szCs w:val="19"/>
                <w:color w:val="auto"/>
              </w:rPr>
            </w:pPr>
          </w:p>
        </w:tc>
        <w:tc>
          <w:tcPr>
            <w:tcW w:w="21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March 31, 2022</w:t>
            </w:r>
          </w:p>
        </w:tc>
        <w:tc>
          <w:tcPr>
            <w:tcW w:w="21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September 30, 2021</w:t>
            </w:r>
          </w:p>
        </w:tc>
      </w:tr>
      <w:tr>
        <w:trPr>
          <w:trHeight w:val="212"/>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years</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years</w:t>
            </w:r>
          </w:p>
        </w:tc>
      </w:tr>
      <w:tr>
        <w:trPr>
          <w:trHeight w:val="21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2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 years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years</w:t>
            </w: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BUSINESS COMBINATIONS AND DIVESTITURES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completed no acquisitions during the six months ended March 31, 2022. We completed four acquisitions in fiscal year 2021 for total aggregate cash consideration of $92,462. In November 2020, we acquired both Wedlake Fabricating, Inc., a Tulsa, Oklahoma-based manufacturer of custom generator enclosures that are primarily used by data centers and large commercial and industrial facilities, and K.E.P. Electric, Inc., a Batavia, Ohio-based electrical contractor specializing in the design and installation of electrical systems for single-family housing and multi-family developments. In December 2020, we acquired an 80% interest in Bayonet Plumbing, Heating &amp; Air-Conditioning, LLC, a Hudson, Florida-based provider of residential heating, ventilation and air conditioning ("HVAC") and plumbing installation and maintenance services. In May 2021, we acquired an 80% ownership interest in Edmonson Electric, LLC, a Land O'Lakes, Florida-based provider of residential electric, low voltage, and HVAC installation services.</w:t>
      </w:r>
    </w:p>
    <w:p>
      <w:pPr>
        <w:spacing w:after="0" w:line="20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to the cash consideration, the purchase price included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SUBSEQUENT EVENTS</w:t>
      </w:r>
    </w:p>
    <w:p>
      <w:pPr>
        <w:spacing w:after="0" w:line="2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On April 28, 2022, we entered into the Amended Credit Agreement with Wells Fargo which increased the maximum revolver amount from $125,000 to $150,000. The Amended Credit Agreement also removed the aggregate cap on Company investments in certain securities and the cap on the Company’s ability to make stock repurchases, in each case subject to the satisfaction of certain liquidity requirements. The Amended Credit Agreement continues to contain other customary affirmative, negative and financial covenants as well as events of default.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year ended September 30, 2021, and the Condensed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year ended September 30, 2021, for a discussion of the Company’s services and corporate strategy. IES Holdings, Inc., a Delaware corporation, designs and installs integrated electrical and technology systems and provides infrastructure products and services to a variety of end markets. Our operations are organized into four principal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 and Current Market Conditions on Our Business</w:t>
      </w:r>
    </w:p>
    <w:p>
      <w:pPr>
        <w:spacing w:after="0" w:line="2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The coronavirus disease 2019 (“COVID-19”) pandemic and its ongoing impact on markets, the supply chain and the labor force continue to influence trends affecting our business. Continuing effects of supply chain disruptions include elevated prices, limited availability or delays in deliveries for certain materials necessary for our projects, notably copper, steel, aluminum, electronic components, and certain plastics. Reduced availability of certain materials has resulted in a continuing need to take actions such as carrying higher levels of inventory than we typically hold, or, in some cases, substituting higher-cost materials or sourcing materials from new suppliers which may offer less favorable terms or pricing than our usual suppliers. We seek to mitigate supply chain risk by maintaining relationships with multiple vendors, and to recoup higher materials costs through adjusted pricing. However, we are not able to pass on all increased costs, and our suppliers are facing challenges in providing the materials we require. We are also continuing to experience workforce disruptions related to exposure to, or illness from, COVID-19, which have resulted in production inefficiencies and delays, higher overtime costs, and the need to outsource activities or use more expensive contract labor. An inability to procure materials in a timely manner, to complete work on schedule, and to reflect higher materials or labor costs in our pricing to customers has had, and could continue to have, a significant impact on our operating results.</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Factors related to the COVID-19 pandemic that we expect will continue to affect our results of operations in the future include, but are not limited to, the potential impacts on our workforce of either illness or the shut-down of job sites; the impact of any vaccine mandates or testing requirements on employee recruiting and retention; a reduced demand for our services; increases in operating costs due to disruptions, personal protective equipment requirements and other increased employment-related costs; supply chain disruptions; increased material prices; and limitations on the ability of our customers to pay us on a timely basis. With respect to employees working remotely, we may also be more vulnerable to security breaches, cyber-attacks, computer viruses, ransomware, or other similar events. Although we have implemented policies, procedures and security software intended to protect our information technology systems, networks and infrastructure, these measures may not be effective against all potential cybersecurity threats.</w:t>
      </w:r>
    </w:p>
    <w:p>
      <w:pPr>
        <w:spacing w:after="0" w:line="20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operations and financial condition are difficult to predict and depend on numerous evolving factors outside our control including: emergence of new variants of the virus; government, social, business and other actions taken in response to the pandemic; any additional waves of COVID-19 infections; vaccine efficacy on new variants of the virus; the impact of vaccine mandates or testing requirements on employee recruiting and retention; and the effect of the pandemic on short- and long-term general economic conditions, including the supply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color w:val="212529"/>
        </w:rPr>
        <w:t>" of our Annual Report on Form 10-K for the year ended September 30, 2021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as well as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2022</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10"/>
          </w:tcPr>
          <w:p>
            <w:pPr>
              <w:jc w:val="right"/>
              <w:ind w:right="10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88.3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267,087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80.5</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19.5</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14.4</w:t>
            </w:r>
          </w:p>
        </w:tc>
        <w:tc>
          <w:tcPr>
            <w:tcW w:w="260" w:type="dxa"/>
            <w:vAlign w:val="bottom"/>
          </w:tcPr>
          <w:p>
            <w:pPr>
              <w:spacing w:after="0"/>
              <w:rPr>
                <w:sz w:val="19"/>
                <w:szCs w:val="19"/>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 (loss)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tcPr>
          <w:p>
            <w:pPr>
              <w:spacing w:after="0"/>
              <w:rPr>
                <w:sz w:val="18"/>
                <w:szCs w:val="18"/>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(loss)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shd w:val="clear" w:color="auto" w:fill="CCEEFF"/>
          </w:tcPr>
          <w:p>
            <w:pPr>
              <w:spacing w:after="0"/>
              <w:rPr>
                <w:sz w:val="18"/>
                <w:szCs w:val="18"/>
                <w:color w:val="auto"/>
              </w:rPr>
            </w:pPr>
          </w:p>
        </w:tc>
      </w:tr>
      <w:tr>
        <w:trPr>
          <w:trHeight w:val="219"/>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Borders>
              <w:bottom w:val="single" w:sz="8" w:color="auto"/>
            </w:tcBorders>
          </w:tcPr>
          <w:p>
            <w:pPr>
              <w:spacing w:after="0"/>
              <w:rPr>
                <w:sz w:val="19"/>
                <w:szCs w:val="19"/>
                <w:color w:val="auto"/>
              </w:rPr>
            </w:pPr>
          </w:p>
        </w:tc>
      </w:tr>
      <w:tr>
        <w:trPr>
          <w:trHeight w:val="212"/>
        </w:trPr>
        <w:tc>
          <w:tcPr>
            <w:tcW w:w="6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(0.8)</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Borders>
              <w:bottom w:val="single" w:sz="8" w:color="auto"/>
            </w:tcBorders>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(loss)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March 31, 2022, were $169.6 million higher than for the three months ended March 31, 2021, an increase of 51.1%, with increases at all four of our operating segments driven by strong demand and the contribution of Edmonson Electric, LLC ("Edmonson"), which was acquired subsequent to the second quarter of fiscal 2021.</w:t>
      </w:r>
    </w:p>
    <w:p>
      <w:pPr>
        <w:spacing w:after="0" w:line="19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March 31, 2022 decreased $6.4 million compared to the three months ended March 31, 2021. Our overall gross profit percentage decreased to 11.7% during the three months ended March 31, 2022, as compared to 19.5% during the three months ended March 31, 2021. Gross profit as a percentage of revenue decreased at all four of our operating segments. See further discussion below of changes in gross margin for our individual segments.</w:t>
      </w:r>
    </w:p>
    <w:p>
      <w:pPr>
        <w:spacing w:after="0" w:line="197"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2022, our selling, general and administrative expenses were $63.4 million, an increase of $15.8 million, or 33.1%, over the three months ended March 31, 2021, driven largely by increased personnel costs at our Residential operating segment in connection with its growth, and by expenses incurred at Edmonson, including amortization of intangible assets. Selling, general and administrative expense as a percent of revenue decreased from 14.4% for the three months ended March 31, 2021 to 12.6% for the three months ended March 31, 2022,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12"/>
        </w:trPr>
        <w:tc>
          <w:tcPr>
            <w:tcW w:w="6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2021</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3"/>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gridSpan w:val="10"/>
          </w:tcPr>
          <w:p>
            <w:pPr>
              <w:ind w:left="7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85.9</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523,246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80.9</w:t>
            </w:r>
          </w:p>
        </w:tc>
        <w:tc>
          <w:tcPr>
            <w:tcW w:w="260" w:type="dxa"/>
            <w:vAlign w:val="bottom"/>
            <w:tcBorders>
              <w:bottom w:val="single" w:sz="8" w:color="auto"/>
            </w:tcBorders>
          </w:tcPr>
          <w:p>
            <w:pPr>
              <w:spacing w:after="0"/>
              <w:rPr>
                <w:sz w:val="19"/>
                <w:szCs w:val="19"/>
                <w:color w:val="auto"/>
              </w:rPr>
            </w:pPr>
          </w:p>
        </w:tc>
      </w:tr>
      <w:tr>
        <w:trPr>
          <w:trHeight w:val="21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19.1</w:t>
            </w:r>
          </w:p>
        </w:tc>
        <w:tc>
          <w:tcPr>
            <w:tcW w:w="260" w:type="dxa"/>
            <w:vAlign w:val="bottom"/>
            <w:shd w:val="clear" w:color="auto" w:fill="CCEEFF"/>
          </w:tcPr>
          <w:p>
            <w:pPr>
              <w:spacing w:after="0"/>
              <w:rPr>
                <w:sz w:val="18"/>
                <w:szCs w:val="18"/>
                <w:color w:val="auto"/>
              </w:rPr>
            </w:pPr>
          </w:p>
        </w:tc>
      </w:tr>
      <w:tr>
        <w:trPr>
          <w:trHeight w:val="219"/>
        </w:trPr>
        <w:tc>
          <w:tcPr>
            <w:tcW w:w="6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14.0</w:t>
            </w:r>
          </w:p>
        </w:tc>
        <w:tc>
          <w:tcPr>
            <w:tcW w:w="260" w:type="dxa"/>
            <w:vAlign w:val="bottom"/>
          </w:tcPr>
          <w:p>
            <w:pPr>
              <w:spacing w:after="0"/>
              <w:rPr>
                <w:sz w:val="19"/>
                <w:szCs w:val="19"/>
                <w:color w:val="auto"/>
              </w:rPr>
            </w:pPr>
          </w:p>
        </w:tc>
      </w:tr>
      <w:tr>
        <w:trPr>
          <w:trHeight w:val="21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9"/>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r>
      <w:tr>
        <w:trPr>
          <w:trHeight w:val="21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shd w:val="clear" w:color="auto" w:fill="CCEEFF"/>
          </w:tcPr>
          <w:p>
            <w:pPr>
              <w:spacing w:after="0"/>
              <w:rPr>
                <w:sz w:val="18"/>
                <w:szCs w:val="18"/>
                <w:color w:val="auto"/>
              </w:rPr>
            </w:pPr>
          </w:p>
        </w:tc>
      </w:tr>
      <w:tr>
        <w:trPr>
          <w:trHeight w:val="258"/>
        </w:trPr>
        <w:tc>
          <w:tcPr>
            <w:tcW w:w="6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Borders>
              <w:bottom w:val="single" w:sz="8" w:color="auto"/>
            </w:tcBorders>
          </w:tcPr>
          <w:p>
            <w:pPr>
              <w:spacing w:after="0"/>
              <w:rPr>
                <w:sz w:val="22"/>
                <w:szCs w:val="22"/>
                <w:color w:val="auto"/>
              </w:rPr>
            </w:pPr>
          </w:p>
        </w:tc>
      </w:tr>
      <w:tr>
        <w:trPr>
          <w:trHeight w:val="21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tcBorders>
              <w:bottom w:val="single" w:sz="8" w:color="auto"/>
            </w:tcBorders>
            <w:shd w:val="clear" w:color="auto" w:fill="CCEEFF"/>
          </w:tcPr>
          <w:p>
            <w:pPr>
              <w:spacing w:after="0"/>
              <w:rPr>
                <w:sz w:val="18"/>
                <w:szCs w:val="18"/>
                <w:color w:val="auto"/>
              </w:rPr>
            </w:pPr>
          </w:p>
        </w:tc>
      </w:tr>
      <w:tr>
        <w:trPr>
          <w:trHeight w:val="212"/>
        </w:trPr>
        <w:tc>
          <w:tcPr>
            <w:tcW w:w="6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tcPr>
          <w:p>
            <w:pPr>
              <w:spacing w:after="0"/>
              <w:rPr>
                <w:sz w:val="18"/>
                <w:szCs w:val="18"/>
                <w:color w:val="auto"/>
              </w:rPr>
            </w:pPr>
          </w:p>
        </w:tc>
      </w:tr>
      <w:tr>
        <w:trPr>
          <w:trHeight w:val="237"/>
        </w:trPr>
        <w:tc>
          <w:tcPr>
            <w:tcW w:w="6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7"/>
          <w:szCs w:val="17"/>
          <w:color w:val="auto"/>
        </w:rPr>
        <w:t>Consolidated revenues for the six months ended March 31, 2022, were $335.3 million higher than for the six months ended March 31, 2021, an increase of 51.8%, with increases at all four of our operating segments, driven by strong demand and the contribution of businesses acquired in fiscal 2021.</w:t>
      </w:r>
    </w:p>
    <w:p>
      <w:pPr>
        <w:spacing w:after="0" w:line="17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decreased to 14.1% during the six months ended March 31, 2022, as compared to 19.1% during the six months ended March 31, 2021. Gross profit as a percentage of revenue decreased at all four of our operating segments. See further discussion below of changes in gross margin for our individual segments.</w:t>
      </w:r>
    </w:p>
    <w:p>
      <w:pPr>
        <w:spacing w:after="0" w:line="1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During the six months ended March 31, 2022, our selling, general and administrative expenses were $122.8 million, an increase of $32.4 million, or 35.8%, over the six months ended March 31, 2021, driven by increased personnel costs at our Communications and Residential operating segments in connection with their growth and the impact of businesses acquired during fiscal 2021, including amortization of intangible assets. Selling, general and administrative expense as a percent of revenue decreased from 14.0% for the six months ended March 31, 2021, to 12.5% for the six months ended March 31, 2022, as we benefited from the increased scale of our operations.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72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7"/>
                <w:szCs w:val="17"/>
                <w:color w:val="auto"/>
              </w:rPr>
              <w:t>2022</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119,518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79.4</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20.6</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10.1</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10.5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$35.8 million during the three months ended March 31, 2022, or 37.7%,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The increase primarily resulted from increased demand from our data center customers.</w:t>
      </w:r>
    </w:p>
    <w:p>
      <w:pPr>
        <w:spacing w:after="0" w:line="1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March 31, 2022 decreased by $8.4 million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2021. Gross profit as a percentage of revenue decreased from 20.6% to 8.5%. We recently expanded our offerings to our data center customers into a new, adjacent service area; however, we had execution issues and recorded a combined loss of $9.3 million on a series of these projects. Most such contracts were substantially complete as of March 31, 2022, and the loss recorded for the quarter includes our current best estimate with respect to any additional costs we expect to</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28" w:name="page29"/>
    <w:bookmarkEnd w:id="28"/>
    <w:p>
      <w:pPr>
        <w:ind w:right="300"/>
        <w:spacing w:after="0" w:line="270" w:lineRule="auto"/>
        <w:rPr>
          <w:sz w:val="20"/>
          <w:szCs w:val="20"/>
          <w:color w:val="auto"/>
        </w:rPr>
      </w:pPr>
      <w:r>
        <w:rPr>
          <w:rFonts w:ascii="Times New Roman" w:cs="Times New Roman" w:eastAsia="Times New Roman" w:hAnsi="Times New Roman"/>
          <w:sz w:val="17"/>
          <w:szCs w:val="17"/>
          <w:color w:val="auto"/>
        </w:rPr>
        <w:t>incur to complete the remaining work on these projects. Additionally, a change in customer mix negatively affected our margins for the quarter. Supply chain challenges and workforce disruptions related to COVID-19 have also continued to affect project efficiency. Finally, we continue to invest in hiring and training personnel, particularly in estimating and project management, to grow the business.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$1.4 million, or 14.2%,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2022, compared to the three months ended March 31, 2021. The increase is a result of higher personnel cost in connection with the growth of our business, as well as higher wages in an increasingly competitive labor market. We also experienced a more typical level of selling expense for the three months ended March 31, 2022 as compared to the same period in 2021, when travel and other activities were curtailed due to the pandemic. Selling, general and administrative expenses as a percentage of revenue in the Communications segment were 8.4% during the three months ended March 31, 2022, compared to 10.1% for the three months ended March 31, 2021, as we have benefited from the scale of our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gridSpan w:val="10"/>
          </w:tcPr>
          <w:p>
            <w:pPr>
              <w:jc w:val="right"/>
              <w:ind w:right="46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80.3</w:t>
            </w:r>
          </w:p>
        </w:tc>
        <w:tc>
          <w:tcPr>
            <w:tcW w:w="28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38,086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19.7</w:t>
            </w:r>
          </w:p>
        </w:tc>
        <w:tc>
          <w:tcPr>
            <w:tcW w:w="28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9.8</w:t>
            </w:r>
          </w:p>
        </w:tc>
        <w:tc>
          <w:tcPr>
            <w:tcW w:w="28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19,130</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9.9</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5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$64.8 million during the six months ended March 31, 2022, or 33.5%,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The increase primarily resulted from increased demand from our data center customers.</w:t>
      </w:r>
    </w:p>
    <w:p>
      <w:pPr>
        <w:spacing w:after="0" w:line="16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six months ended March 31, 2022 decreased $6.5 million, or 17.0%,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Gross profit as a percentage of revenue decreased from 19.7% to 12.3%. The decrease was driven primarily by certain project losses incurred in the quarter ended March 31, 2022, as discussed above. Additionally, a change in customer mix negatively affected our margins for the quarter. Supply chain challenges and workforce disruptions related to COVID-19 have also continued to affect project efficiency. Finally, we continue to invest in hiring and training personnel, particularly in estimating and project management, to grow the business.</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$3.4 million, or 18.0%,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2022, compared to the six months ended March 31, 2021. The increase is a result of higher personnel cost in connection with the growth of our business, as well as higher wages in an increasingly competitive labor market. We also experienced a more typical level of selling expense for the six months ended March 31, 2022 as compared to the same period in 2021, when travel and other activities were curtailed due to the pandemic. Selling, general and administrative expenses as a percentage of revenues in the Communications segment decreased from 9.8% to 8.7% of segment revenue during the six months ended March 31, 2022, compared to the six months ended March 31, 2021, as we have benefited from the scale of our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56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2022</w:t>
            </w: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214,862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82.5</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79.9</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20.1</w:t>
            </w:r>
          </w:p>
        </w:tc>
        <w:tc>
          <w:tcPr>
            <w:tcW w:w="280" w:type="dxa"/>
            <w:vAlign w:val="bottom"/>
            <w:shd w:val="clear" w:color="auto" w:fill="CCEEFF"/>
          </w:tcPr>
          <w:p>
            <w:pPr>
              <w:spacing w:after="0"/>
              <w:rPr>
                <w:sz w:val="18"/>
                <w:szCs w:val="18"/>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14.4</w:t>
            </w:r>
          </w:p>
        </w:tc>
        <w:tc>
          <w:tcPr>
            <w:tcW w:w="280" w:type="dxa"/>
            <w:vAlign w:val="bottom"/>
          </w:tcPr>
          <w:p>
            <w:pPr>
              <w:spacing w:after="0"/>
              <w:rPr>
                <w:sz w:val="19"/>
                <w:szCs w:val="19"/>
                <w:color w:val="auto"/>
              </w:rPr>
            </w:pPr>
          </w:p>
        </w:tc>
      </w:tr>
      <w:tr>
        <w:trPr>
          <w:trHeight w:val="219"/>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340" w:type="dxa"/>
            <w:vAlign w:val="bottom"/>
          </w:tcPr>
          <w:p>
            <w:pPr>
              <w:spacing w:after="0"/>
              <w:rPr>
                <w:sz w:val="19"/>
                <w:szCs w:val="19"/>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r>
      <w:tr>
        <w:trPr>
          <w:trHeight w:val="212"/>
        </w:trPr>
        <w:tc>
          <w:tcPr>
            <w:tcW w:w="56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5.6</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$110.1 million, or 73.2%, during the three months ended March 31, 2022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The increase was driven by the revenue contributed by the acquisition of Edmonson subsequent to the second fiscal quarter of 2021, strong demand for single-family and multi-family housing and the impact of price increases in connection with a higher cost of materials. Edmonson contributed $43.6 million of the total increase in revenue for the three months ended March 31, 2022 compared to the three months ended March 31, 2021. Inclusive of Edmonson, single-family revenues and multi-family and other revenues increased by $91.9 million and $18.2 million, respectively, for the three months ended March 31, 2022 compared to 2021. Excluding the impact of Edmonson, our Residential segment's revenues grew by 44.2% for the three months ended March 31, 2022 compared to the three months ended March 31, 2021.</w:t>
      </w:r>
    </w:p>
    <w:p>
      <w:pPr>
        <w:spacing w:after="0" w:line="1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March 31, 2022, our Residential segment's gross profit increased by $15.4 million, or 50.9%,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months ended March 31, 2021. The increase in gross profit was driven primarily by contributions from Edmonson, as well as the impact of price increases. Gross profit as a percentage of revenue decreased to 17.5% during the three months ended March 31, 2022, from 20.1% for the three months ended March 31, 2021, primarily as a result of increased commodity prices and a reduction in project efficiency related to supply-chain challenges and the COVID-19 pandemic. </w:t>
      </w: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$12.0 million, or 55.4%,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March 31, 2022, compared to the three months ended March 31, 2021. Selling, general and administrative expenses incurred at Edmonson, including amortization of intangible assets, contributed $4.0 million of the net increase. The remaining increase was driven by higher personnel cost in connection with business growth, including incentive profit sharing for division management. Selling, general and administrative expenses as a percentage of revenue in the Residential segment decreased to 12.9% of segment revenue during the three months ended March 31, 2022, compared to 14.4% in the three months ended March 31, 2021, as we benefited from the scale of our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502,182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414,000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216,109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80.1</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19.9</w:t>
            </w:r>
          </w:p>
        </w:tc>
        <w:tc>
          <w:tcPr>
            <w:tcW w:w="280" w:type="dxa"/>
            <w:vAlign w:val="bottom"/>
            <w:shd w:val="clear" w:color="auto" w:fill="CCEEFF"/>
          </w:tcPr>
          <w:p>
            <w:pPr>
              <w:spacing w:after="0"/>
              <w:rPr>
                <w:sz w:val="18"/>
                <w:szCs w:val="18"/>
                <w:color w:val="auto"/>
              </w:rPr>
            </w:pPr>
          </w:p>
        </w:tc>
      </w:tr>
      <w:tr>
        <w:trPr>
          <w:trHeight w:val="219"/>
        </w:trPr>
        <w:tc>
          <w:tcPr>
            <w:tcW w:w="5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14.4</w:t>
            </w:r>
          </w:p>
        </w:tc>
        <w:tc>
          <w:tcPr>
            <w:tcW w:w="280" w:type="dxa"/>
            <w:vAlign w:val="bottom"/>
          </w:tcPr>
          <w:p>
            <w:pPr>
              <w:spacing w:after="0"/>
              <w:rPr>
                <w:sz w:val="19"/>
                <w:szCs w:val="19"/>
                <w:color w:val="auto"/>
              </w:rPr>
            </w:pPr>
          </w:p>
        </w:tc>
      </w:tr>
      <w:tr>
        <w:trPr>
          <w:trHeight w:val="219"/>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$232.4 million, or 86.1%, during the six months ended March 31, 2022, compared to the six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2021, reflecting the revenue contribution of businesses acquired in fiscal 2021, strong demand for single-family and multi-family housing and the impact of price increases in connection with a higher cost of materials. Businesses acquired in fiscal 2021 contributed $139.9 million of the total increase in revenue for the six months ended March 31, 2022 compared to the six months ended March 31, 2021. Inclusive of these acquired businesses, revenue in our single-family business increased by $193.2 million for the six months ended March 31, 2022, compared to the six months ended March 31, 2021, while multi-family and other revenue increased by $39.1 million. Excluding the impact of the businesses acquired during fiscal 2021, our Residential segment's revenues grew by 34.2% for the six months ended March 31, 2022.</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ind w:right="8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six months ended March 31, 2022, our Residential segment's gross profit increased by $34.5 million, or 64.2%,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The increase in gross profit was driven primarily by contributions from the businesses acquired in fiscal 2021 and higher volumes, partly offset by increased commodity prices. Gross margin as a percentage of revenue decreased to 17.6% during the six months ended March 31, 2022, from</w:t>
      </w:r>
    </w:p>
    <w:p>
      <w:pPr>
        <w:spacing w:after="0" w:line="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7"/>
          <w:szCs w:val="17"/>
          <w:color w:val="auto"/>
        </w:rPr>
        <w:t>19.9% during the six months ended March 31, 2021, primarily as a result of increased commodity prices and a reduction in project efficiency related to supply-chain challenges and the COVID-19 pandemic.</w:t>
      </w:r>
    </w:p>
    <w:p>
      <w:pPr>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$25.6 million, or 65.8%,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six months ended March 31, 2022, compared to the six months ended March 31, 2021. Selling, general and administrative expenses incurred at the businesses acquired during fiscal 2021, including amortization of intangible assets, contributed $13.9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to 12.9% of segment revenue during the six months ended March 31, 2022, from 14.4% during the six months ended March 31, 2021, as we benefited from the increased scale of our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right"/>
              <w:ind w:right="76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2022</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34,716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34,672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83.1</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72.5</w:t>
            </w:r>
          </w:p>
        </w:tc>
        <w:tc>
          <w:tcPr>
            <w:tcW w:w="26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27.5</w:t>
            </w:r>
          </w:p>
        </w:tc>
        <w:tc>
          <w:tcPr>
            <w:tcW w:w="260" w:type="dxa"/>
            <w:vAlign w:val="bottom"/>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18.0</w:t>
            </w:r>
          </w:p>
        </w:tc>
        <w:tc>
          <w:tcPr>
            <w:tcW w:w="26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$7.0 million during the three months ended March 31, 2022, an increase of 20.2%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three months ended March 31, 2021. The increase in revenue was driven primarily by increased demand at our generator enclosure business. Wedlake Fabricating, Inc. ("Wedlake"), which we acquired during the first quarter of fiscal 2021, contributed $4.8 million of the increase, reflecting our investment in growing this business.</w:t>
      </w:r>
    </w:p>
    <w:p>
      <w:pPr>
        <w:spacing w:after="0" w:line="190"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March 31, 2022 decreased $2.5 million as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reflecting the impact of supply chain disruptions on our generator enclosure business, COVID-19 related labor inefficiencies, and operating inefficiencies in connection with the relocation of the Wedlake business to a new, larger facility that will expand capacity while allowing for improved workflow and process efficiency. Gross profit as a percentage of revenue decreased from 27.5% to 16.9%.</w:t>
      </w:r>
    </w:p>
    <w:p>
      <w:pPr>
        <w:spacing w:after="0" w:line="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increased $0.2 million when compared to the three months ended March 31, 2021, primarily as a result of expense incurred at the Wedlake business acquired during the first quarter of fiscal 2021. Selling, general and administrative expenses as a percent of revenue decreased from 18.0% to 15.3%, as we benefited from the scale of our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320" w:type="dxa"/>
            <w:vAlign w:val="bottom"/>
            <w:gridSpan w:val="9"/>
          </w:tcPr>
          <w:p>
            <w:pPr>
              <w:jc w:val="center"/>
              <w:ind w:right="2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69,117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82.4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70.4</w:t>
            </w:r>
          </w:p>
        </w:tc>
        <w:tc>
          <w:tcPr>
            <w:tcW w:w="280" w:type="dxa"/>
            <w:vAlign w:val="bottom"/>
            <w:tcBorders>
              <w:bottom w:val="single" w:sz="8" w:color="auto"/>
            </w:tcBorders>
          </w:tcPr>
          <w:p>
            <w:pPr>
              <w:spacing w:after="0"/>
              <w:rPr>
                <w:sz w:val="19"/>
                <w:szCs w:val="19"/>
                <w:color w:val="auto"/>
              </w:rPr>
            </w:pPr>
          </w:p>
        </w:tc>
      </w:tr>
      <w:tr>
        <w:trPr>
          <w:trHeight w:val="212"/>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29.6</w:t>
            </w:r>
          </w:p>
        </w:tc>
        <w:tc>
          <w:tcPr>
            <w:tcW w:w="280" w:type="dxa"/>
            <w:vAlign w:val="bottom"/>
            <w:shd w:val="clear" w:color="auto" w:fill="CCEEFF"/>
          </w:tcPr>
          <w:p>
            <w:pPr>
              <w:spacing w:after="0"/>
              <w:rPr>
                <w:sz w:val="18"/>
                <w:szCs w:val="18"/>
                <w:color w:val="auto"/>
              </w:rPr>
            </w:pPr>
          </w:p>
        </w:tc>
      </w:tr>
      <w:tr>
        <w:trPr>
          <w:trHeight w:val="219"/>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17.1</w:t>
            </w:r>
          </w:p>
        </w:tc>
        <w:tc>
          <w:tcPr>
            <w:tcW w:w="280" w:type="dxa"/>
            <w:vAlign w:val="bottom"/>
          </w:tcPr>
          <w:p>
            <w:pPr>
              <w:spacing w:after="0"/>
              <w:rPr>
                <w:sz w:val="19"/>
                <w:szCs w:val="19"/>
                <w:color w:val="auto"/>
              </w:rPr>
            </w:pPr>
          </w:p>
        </w:tc>
      </w:tr>
      <w:tr>
        <w:trPr>
          <w:trHeight w:val="219"/>
        </w:trPr>
        <w:tc>
          <w:tcPr>
            <w:tcW w:w="5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r>
      <w:tr>
        <w:trPr>
          <w:trHeight w:val="216"/>
        </w:trPr>
        <w:tc>
          <w:tcPr>
            <w:tcW w:w="5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$14.7 million, or 21.3%, during the six months ended March 31, 2022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The increase in revenue was driven primarily by increased demand at our generator enclosure business as well as the acquisition of Wedlake during the first quarter of fiscal 2021, which contributed $8.1 million of the increase.</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six months ended March 31, 2022 decreased $5.7 million as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reflecting the impact of supply chain disruptions on our generator enclosure business, COVID-19 related labor inefficiencies, and operating inefficiencies in connection with the relocation of the Wedlake business to a new, larger facility as discussed above. Gross profit as a percentage of revenues decreased to 17.6% for the six months ended March 31, 2022 compared to 29.6% for the six months ended March 31, 2021. Additionally, during the six months ended March 31, 2021, we benefited from workers' compensation refunds received from the State of Ohio.</w:t>
      </w:r>
    </w:p>
    <w:p>
      <w:pPr>
        <w:spacing w:after="0" w:line="19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increased $0.6 million compared to the six months ended March 31, 2021, primarily as a result of expenses incurred at the Wedlake business acquired during the first fiscal quarter of 2021, including amortization of intangible assets. Selling, general and administrative expenses as a percent of revenue decreased from 17.1% for the six months ended March 31, 2021 to 14.9% for the six months ended March 31, 2022, as we benefited from the scale of our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2022</w:t>
            </w: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20" w:type="dxa"/>
            <w:vAlign w:val="bottom"/>
            <w:gridSpan w:val="9"/>
          </w:tcPr>
          <w:p>
            <w:pPr>
              <w:jc w:val="center"/>
              <w:ind w:right="300"/>
              <w:spacing w:after="0"/>
              <w:rPr>
                <w:sz w:val="20"/>
                <w:szCs w:val="20"/>
                <w:color w:val="auto"/>
              </w:rPr>
            </w:pPr>
            <w:r>
              <w:rPr>
                <w:rFonts w:ascii="Times New Roman" w:cs="Times New Roman" w:eastAsia="Times New Roman" w:hAnsi="Times New Roman"/>
                <w:sz w:val="17"/>
                <w:szCs w:val="17"/>
                <w:color w:val="auto"/>
              </w:rPr>
              <w:t>(Dollars in thousands, Percentage of revenues)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74,034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107.6</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89.3</w:t>
            </w:r>
          </w:p>
        </w:tc>
        <w:tc>
          <w:tcPr>
            <w:tcW w:w="26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10.7</w:t>
            </w:r>
          </w:p>
        </w:tc>
        <w:tc>
          <w:tcPr>
            <w:tcW w:w="26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13.0</w:t>
            </w:r>
          </w:p>
        </w:tc>
        <w:tc>
          <w:tcPr>
            <w:tcW w:w="26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693"/>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914"/>
              <w:spacing w:after="0"/>
              <w:rPr>
                <w:sz w:val="20"/>
                <w:szCs w:val="20"/>
                <w:color w:val="auto"/>
              </w:rPr>
            </w:pPr>
            <w:r>
              <w:rPr>
                <w:rFonts w:ascii="Times New Roman" w:cs="Times New Roman" w:eastAsia="Times New Roman" w:hAnsi="Times New Roman"/>
                <w:sz w:val="17"/>
                <w:szCs w:val="17"/>
                <w:color w:val="auto"/>
                <w:w w:val="93"/>
              </w:rPr>
              <w:t>32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8"/>
        </w:trPr>
        <w:tc>
          <w:tcPr>
            <w:tcW w:w="5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32" w:name="page33"/>
    <w:bookmarkEnd w:id="32"/>
    <w:p>
      <w:pPr>
        <w:jc w:val="both"/>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$16.8 million, or 32.3%, during the three months ended March 31, 2022,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2021. During the quarter ended March 31, 2022, we benefited from the start-up of projects that were delayed in fiscal 2021. While activity in this segment has been curtailed during the COVID-19 pandemic, many customers have returned to more typical levels of activity. However, this market remains highly competitive.</w:t>
      </w:r>
    </w:p>
    <w:p>
      <w:pPr>
        <w:spacing w:after="0" w:line="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March 31, 2022, decreased by $10.8 million,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March 31, 2021. During the quarter ended March 31, 2022, one of our Commercial &amp; Industrial branches experienced execution issues on a large contract, resulting in significant project rework. As a result, we recorded expense of $10.4 million related to this project including the accrual of estimated costs to complete the project, including demolition, purchase of replacement materials, and performance of the rework. Additionally, a second job at that same branch was affected by a delay in receiving materials from a supplier, resulting in a reduction to gross profit of $1.8 million.</w:t>
      </w:r>
    </w:p>
    <w:p>
      <w:pPr>
        <w:spacing w:after="0" w:line="20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increased $1.7 million, or 25.3%, compared to the three months ended March 31, 2021. The increase was driven higher pay rates in an increasingly competitive labor market, as well as $1.4 million of reserves in connection with legal matters in connection with certain contractual disputes. Selling, general and administrative expenses as a percentage of revenue decreased from 13.0% to 12.3% for the three months ended March 31, 2022 compared to the three months ended March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ind w:right="900"/>
              <w:spacing w:after="0"/>
              <w:rPr>
                <w:sz w:val="20"/>
                <w:szCs w:val="20"/>
                <w:color w:val="auto"/>
              </w:rPr>
            </w:pPr>
            <w:r>
              <w:rPr>
                <w:rFonts w:ascii="Times New Roman" w:cs="Times New Roman" w:eastAsia="Times New Roman" w:hAnsi="Times New Roman"/>
                <w:sz w:val="17"/>
                <w:szCs w:val="17"/>
                <w:color w:val="auto"/>
              </w:rPr>
              <w:t>Six Months Ended March 31,</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gridSpan w:val="9"/>
          </w:tcPr>
          <w:p>
            <w:pPr>
              <w:jc w:val="right"/>
              <w:ind w:right="6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1"/>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8"/>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134,412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32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32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32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r>
      <w:tr>
        <w:trPr>
          <w:trHeight w:val="248"/>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91"/>
              </w:rPr>
              <w:t>%</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r>
    </w:tbl>
    <w:p>
      <w:pPr>
        <w:spacing w:after="0" w:line="2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$23.5 million during the six months ended March 31, 2022, or 20.5%, compared to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March 31, 2021. During the six months ended March 31, 2022, we benefited from the start-up of projects that were delayed in fiscal 2021. While activity in this segment was curtailed earlier in the COVID-19 pandemic, many customers have returned to more typical levels of activity. However, this market remains highly competitive.</w:t>
      </w:r>
    </w:p>
    <w:p>
      <w:pPr>
        <w:spacing w:after="0" w:line="1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six months ended March 31, 2022 decreased by $7.6 million, or 67.6%,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six months ended March 31, 2021. The reduction in gross margin is the result of project loss recorded in the quarter ended March 31, 2022, as discussed above. As a result, gross profit as a percentage of revenue decreased from 9.8% for the six months ended March 31, 2021 to 2.6% for the six months ended March 31, 2022.</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2022 increased $2.5 million, or 19.4%, compared to the six months ended March 31, 2021. The increase was driven higher pay rates in an increasingly competitive labor market, as well as the $1.4 million reserve in connection with legal matters discussed above. Selling, general and administrative expenses as a percentage of revenue decreased slightly, from 11.5% for the six months ended March 31, 2021 to 11.4% for the six months ended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5480" w:type="dxa"/>
            <w:vAlign w:val="bottom"/>
            <w:gridSpan w:val="2"/>
          </w:tcPr>
          <w:p>
            <w:pPr>
              <w:jc w:val="center"/>
              <w:ind w:right="81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88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Three Months Ended March 31,</w:t>
            </w:r>
          </w:p>
        </w:tc>
        <w:tc>
          <w:tcPr>
            <w:tcW w:w="4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gridSpan w:val="3"/>
          </w:tcPr>
          <w:p>
            <w:pPr>
              <w:jc w:val="right"/>
              <w:ind w:right="694"/>
              <w:spacing w:after="0"/>
              <w:rPr>
                <w:sz w:val="20"/>
                <w:szCs w:val="20"/>
                <w:color w:val="auto"/>
              </w:rPr>
            </w:pPr>
            <w:r>
              <w:rPr>
                <w:rFonts w:ascii="Times New Roman" w:cs="Times New Roman" w:eastAsia="Times New Roman" w:hAnsi="Times New Roman"/>
                <w:sz w:val="15"/>
                <w:szCs w:val="15"/>
                <w:color w:val="auto"/>
              </w:rPr>
              <w:t>(In thousands)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48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4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1954"/>
              <w:spacing w:after="0"/>
              <w:rPr>
                <w:sz w:val="20"/>
                <w:szCs w:val="20"/>
                <w:color w:val="auto"/>
              </w:rPr>
            </w:pPr>
            <w:r>
              <w:rPr>
                <w:rFonts w:ascii="Times New Roman" w:cs="Times New Roman" w:eastAsia="Times New Roman" w:hAnsi="Times New Roman"/>
                <w:sz w:val="17"/>
                <w:szCs w:val="17"/>
                <w:color w:val="auto"/>
              </w:rPr>
              <w:t>33</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3" w:name="page34"/>
    <w:bookmarkEnd w:id="33"/>
    <w:p>
      <w:pPr>
        <w:ind w:right="80"/>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2022, we incurred interest expense of $0.5 million primarily comprised of interest expense from our revolving credit facility and fees on an average letter of credit balance of $5.0 million under our revolving credit facility and an average unused line of credit balance of $46.1 million. This compares to interest expense of $0.2 million for the three months ended March 31, 2021, primarily comprised of interest expense from our revolving credit facility and fees on an average letter of credit balance of $6.4 million under our revolving credit facility and an average unused line of credit balance of $87.7 million.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color w:val="auto"/>
              </w:rPr>
              <w:t>Six Months Ended March 31,</w:t>
            </w:r>
          </w:p>
        </w:tc>
        <w:tc>
          <w:tcPr>
            <w:tcW w:w="500" w:type="dxa"/>
            <w:vAlign w:val="bottom"/>
            <w:tcBorders>
              <w:bottom w:val="single" w:sz="8" w:color="auto"/>
            </w:tcBorders>
          </w:tcPr>
          <w:p>
            <w:pPr>
              <w:spacing w:after="0"/>
              <w:rPr>
                <w:sz w:val="19"/>
                <w:szCs w:val="19"/>
                <w:color w:val="auto"/>
              </w:rPr>
            </w:pPr>
          </w:p>
        </w:tc>
      </w:tr>
      <w:tr>
        <w:trPr>
          <w:trHeight w:val="212"/>
        </w:trPr>
        <w:tc>
          <w:tcPr>
            <w:tcW w:w="7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2021</w:t>
            </w:r>
          </w:p>
        </w:tc>
        <w:tc>
          <w:tcPr>
            <w:tcW w:w="500" w:type="dxa"/>
            <w:vAlign w:val="bottom"/>
            <w:tcBorders>
              <w:bottom w:val="single" w:sz="8" w:color="auto"/>
            </w:tcBorders>
          </w:tcPr>
          <w:p>
            <w:pPr>
              <w:spacing w:after="0"/>
              <w:rPr>
                <w:sz w:val="18"/>
                <w:szCs w:val="18"/>
                <w:color w:val="auto"/>
              </w:rPr>
            </w:pP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40" w:type="dxa"/>
            <w:vAlign w:val="bottom"/>
            <w:gridSpan w:val="3"/>
          </w:tcPr>
          <w:p>
            <w:pPr>
              <w:jc w:val="right"/>
              <w:ind w:right="594"/>
              <w:spacing w:after="0"/>
              <w:rPr>
                <w:sz w:val="20"/>
                <w:szCs w:val="20"/>
                <w:color w:val="auto"/>
              </w:rPr>
            </w:pPr>
            <w:r>
              <w:rPr>
                <w:rFonts w:ascii="Times New Roman" w:cs="Times New Roman" w:eastAsia="Times New Roman" w:hAnsi="Times New Roman"/>
                <w:sz w:val="15"/>
                <w:szCs w:val="15"/>
                <w:color w:val="auto"/>
              </w:rPr>
              <w:t>(In thousands)</w:t>
            </w:r>
          </w:p>
        </w:tc>
        <w:tc>
          <w:tcPr>
            <w:tcW w:w="500" w:type="dxa"/>
            <w:vAlign w:val="bottom"/>
          </w:tcPr>
          <w:p>
            <w:pPr>
              <w:spacing w:after="0"/>
              <w:rPr>
                <w:sz w:val="17"/>
                <w:szCs w:val="17"/>
                <w:color w:val="auto"/>
              </w:rPr>
            </w:pPr>
          </w:p>
        </w:tc>
      </w:tr>
      <w:tr>
        <w:trPr>
          <w:trHeight w:val="22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bl>
    <w:p>
      <w:pPr>
        <w:spacing w:after="0" w:line="30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During the six months ended March 31, 2022, we incurred interest expense of $1.0 million primarily comprised of interest expense from our revolving credit facility and fees on an average letter of credit balance of $4.9 million under our revolving credit facility and an average unused line of credit balance of $44.5 million. This compares to interest expense of $0.4 million for the six months ended March 31, 2021, primarily comprised of interest expense from our revolving credit facility and fees on an average letter of credit balance of $6.3 million under our revolving credit facility and an average unused line of credit balance of $89.1 million.</w:t>
      </w:r>
    </w:p>
    <w:p>
      <w:pPr>
        <w:spacing w:after="0" w:line="200"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The increase in other expense for the six months ended March 31, 2022 as compared with March 31, 2021 is the result of unrealized losses on investments in equity securities of $0.6 million.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We recorded an income tax benefit of $1.3 million for the three months ended March 31, 2022, compared to income tax expense of $3.6 million for the three months ended March 31, 2021.</w:t>
      </w:r>
    </w:p>
    <w:p>
      <w:pPr>
        <w:spacing w:after="0" w:line="17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We recorded income tax expense of $2.7 million for the six months ended March 31, 2022, compared to income tax expense of $7.3 million for the six months ended March 31, 2021. Income tax expense for the six months ended March 31, 2022 and 2021 included a benefit of $0.8 million and $0.8 million, respectively, related to the vesting of stock-based compensation.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2021. Some of the more significant estimates include revenue recognition, business combinations, valuation allowance for deferred tax assets and income taxes.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Recent accounting pronouncements are described in Note 1, "Business and Accounting Policies - Accounting Standards Recently Adopted" in the Notes to our Condensed Consolidated Financial Statements set forth in Part I, Item 1 of this Quarterly Report on Form 10-Q and at relevant sections in this discussion and analysis.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March 31,</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June 30,</w:t>
            </w: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r>
    </w:tbl>
    <w:p>
      <w:pPr>
        <w:spacing w:after="0" w:line="1" w:lineRule="exact"/>
        <w:rPr>
          <w:sz w:val="20"/>
          <w:szCs w:val="20"/>
          <w:color w:val="auto"/>
        </w:rPr>
      </w:pPr>
    </w:p>
    <w:p>
      <w:pPr>
        <w:ind w:left="120" w:right="420" w:firstLine="10"/>
        <w:spacing w:after="0" w:line="253" w:lineRule="auto"/>
        <w:tabs>
          <w:tab w:leader="none" w:pos="33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-222885</wp:posOffset>
            </wp:positionV>
            <wp:extent cx="40360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During the six months ended March 31, 2022, working capital exclusive of cash increased by $20.0 million from September 30, 2021, reflecting a $55.7 million increase in current assets excluding cash and a $35.7 million increase in current liabilities during the period.</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During the six months ended March 31, 2022, our current assets exclusive of cash increased to $516.8 million, as compared to $461.1 million as of September 30, 2021. An increase in business activity drove a $22.7 million increase in trade accounts receivable. Days sales outstanding increased to 61 at March 31, 2022 from 57 at September 30, 2021. While the rate of collections may vary, our typically secured position, resulting from our ability in general to secure liens against our customers’ overdue receivables, offers some protection that collection will occur eventually to the extent that our security retains value. Additionally, inventory increased by $17.3 million in connection with rising commodity prices as well as growth of our business. Further, we have increased the quantity of inventory we are currently carrying to manage procurement risks. Costs and estimated earnings in excess of billings increased by $12.1 million as a result of increased levels of activity at our Communications business, as well as supply chain disruptions in our Infrastructure Solutions business.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six months ended March 31, 2022, our total current liabilities increased by $35.7 million to $347.3 million, compared to $311.6 million as of September 30, 2021, driven by increased levels of business activity, offset in part by remittance of payroll taxes deferred under the CARES Act, and the timing of payment of certain year-end accruals.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2022, the estimated cost to complete our bonded projects was approximately $125.9 million.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On April 28, 2022, we entered into a Third Amended and Restated Credit and Security Agreement (the "Amended Credit Agreement") with Wells Fargo Bank N.A. ("Wells Fargo"), which increased our maximum borrowing amount from $125 million to $150 million.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w:t>
      </w:r>
    </w:p>
    <w:p>
      <w:pPr>
        <w:spacing w:after="0" w:line="19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that is determined monthly by Wells Fargo based on available collateral, primarily certain accounts receivables, inventories, and equipment. Amounts outstanding bear interest at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5" w:name="page36"/>
    <w:bookmarkEnd w:id="35"/>
    <w:p>
      <w:pPr>
        <w:ind w:right="160"/>
        <w:spacing w:after="0" w:line="287" w:lineRule="auto"/>
        <w:rPr>
          <w:sz w:val="20"/>
          <w:szCs w:val="20"/>
          <w:color w:val="auto"/>
        </w:rPr>
      </w:pPr>
      <w:r>
        <w:rPr>
          <w:rFonts w:ascii="Times New Roman" w:cs="Times New Roman" w:eastAsia="Times New Roman" w:hAnsi="Times New Roman"/>
          <w:sz w:val="17"/>
          <w:szCs w:val="17"/>
          <w:color w:val="auto"/>
        </w:rPr>
        <w:t>a per annum rate equal to the Daily Three Month Secured Overnight Financing Rate ("SOFR"), plus an interest rate margin, which is determined quarterly, based on the following thresholds: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(as defined in the Amended Credit Agreement) at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2022,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80" w:hanging="317"/>
        <w:spacing w:after="0" w:line="287" w:lineRule="auto"/>
        <w:tabs>
          <w:tab w:leader="none" w:pos="1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$12.5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At March 31, 2022, our Liquidity was $69.9 million, our Excess Availability was $50.6 million (or greater than 50% of minimum Liquidity), and our Fixed Charge Coverage Ratio was 3.8:1.0.</w:t>
      </w:r>
    </w:p>
    <w:p>
      <w:pPr>
        <w:spacing w:after="0" w:line="1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In connection with the Amended Credit Agreement increase in our maximum revolver amount, our current minimum liquidity requirement is $15.0 million. 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180"/>
        <w:spacing w:after="0" w:line="287" w:lineRule="auto"/>
        <w:rPr>
          <w:sz w:val="20"/>
          <w:szCs w:val="20"/>
          <w:color w:val="auto"/>
        </w:rPr>
      </w:pPr>
      <w:r>
        <w:rPr>
          <w:rFonts w:ascii="Times New Roman" w:cs="Times New Roman" w:eastAsia="Times New Roman" w:hAnsi="Times New Roman"/>
          <w:sz w:val="17"/>
          <w:szCs w:val="17"/>
          <w:color w:val="auto"/>
        </w:rPr>
        <w:t>At March 31, 2022, we had $4.2 million in outstanding letters of credit with Wells Fargo and outstanding borrowings of $70.2 million under our 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rising commodity prices, and the impact of supply chain disruptions.</w:t>
      </w:r>
    </w:p>
    <w:p>
      <w:pPr>
        <w:spacing w:after="0" w:line="20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Operating activities used net cash of $2.9 million during the six months ended March 31, 2022, as compared to $48.4 million of net cash provided in the six months ended March 31, 2021. The decrease in operating cash flow resulted from lower earnings and an increase in working capital, including an increase in inventory, during the six months ended March 31, 2022. In addition to the impact on inventory of higher commodity prices, supply chain disruptions have resulted in longer lead times for deliveries, and reduced availability for certain products we procure, particularly copper wire. As a result, we have increased the amount of inventory we are currently carrying in an effort to ensure the availability of materials to serve our customers. Trade accounts receivable also increased due to increased business activity. We also remitted $7.0 million of payroll taxes previously deferred under the CARES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$21.9 million for the six months ended March 31, 2022, compared to $58.4 million for the six months ended March 31, 2021. We used $21.6 million for capital expenditures in the six months ended March 31, 2022, primarily related to the acquisition of a new operating facility for our Wedlake business, as well as an additional facility to support the growth of our Residential business in Florida. During the six months ended March 31, 2021, we used $55.5 million to complete three acquisitions and $3.0 million for capital expenditures.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financing activities for the six months ended March 31, 2022 was $21.0 million, compared to net cash used of $1.2 million for the six months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March 31, 2021. Net cash provided by financing activities for the six months ended March 31, 2022 included net borrowings on our credit facility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$29.9 million, partly offset by $4.9 million used for repurchases of our common stock, including repurchases to satisfy statutory withholding requirements upon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vesting of employee stock compensation. For the six months ended March 31, 2021, we used $0.7 million to repurchase our shares to satisfy statutory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withholding requirements upon the vesting of employee stock compensation.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59,002 shares pursuant to this program during the six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2022, we had commitments of $12.1 million outstanding under agreements to purchase copper wire and other materials over the next 12 months in the ordinary course of business. There have been no other material changes in our material cash requirements from those disclosed in our Annual Report on Form 10-K for the fiscal year ended September 30, 2021.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428"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On December 2, 2021, we entered into an amendment to our credit agreement which replaced LIBOR with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as of March 31, 2022 would cause a $0.6 million pre-tax annual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2022,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36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2021.</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gridSpan w:val="3"/>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Total Number of Shares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5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rPr>
              <w:t>Purchased as Part of a  Maximum Number of Shares That May</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900" w:type="dxa"/>
            <w:vAlign w:val="bottom"/>
          </w:tcPr>
          <w:p>
            <w:pPr>
              <w:jc w:val="right"/>
              <w:ind w:right="134"/>
              <w:spacing w:after="0" w:line="181" w:lineRule="exact"/>
              <w:rPr>
                <w:sz w:val="20"/>
                <w:szCs w:val="20"/>
                <w:color w:val="auto"/>
              </w:rPr>
            </w:pPr>
            <w:r>
              <w:rPr>
                <w:rFonts w:ascii="Times New Roman" w:cs="Times New Roman" w:eastAsia="Times New Roman" w:hAnsi="Times New Roman"/>
                <w:sz w:val="17"/>
                <w:szCs w:val="17"/>
                <w:color w:val="auto"/>
              </w:rPr>
              <w:t>Total Number of</w:t>
            </w:r>
          </w:p>
        </w:tc>
        <w:tc>
          <w:tcPr>
            <w:tcW w:w="120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7"/>
                <w:szCs w:val="17"/>
                <w:color w:val="auto"/>
              </w:rPr>
              <w:t>Average Price</w:t>
            </w:r>
          </w:p>
        </w:tc>
        <w:tc>
          <w:tcPr>
            <w:tcW w:w="18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Publicly Announced</w:t>
            </w:r>
          </w:p>
        </w:tc>
        <w:tc>
          <w:tcPr>
            <w:tcW w:w="2760" w:type="dxa"/>
            <w:vAlign w:val="bottom"/>
          </w:tcPr>
          <w:p>
            <w:pPr>
              <w:jc w:val="right"/>
              <w:ind w:right="34"/>
              <w:spacing w:after="0" w:line="181" w:lineRule="exact"/>
              <w:rPr>
                <w:sz w:val="20"/>
                <w:szCs w:val="20"/>
                <w:color w:val="auto"/>
              </w:rPr>
            </w:pPr>
            <w:r>
              <w:rPr>
                <w:rFonts w:ascii="Times New Roman" w:cs="Times New Roman" w:eastAsia="Times New Roman" w:hAnsi="Times New Roman"/>
                <w:sz w:val="17"/>
                <w:szCs w:val="17"/>
                <w:color w:val="auto"/>
              </w:rPr>
              <w:t>Yet Be Purchased Under the Publicly</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060" w:type="dxa"/>
            <w:vAlign w:val="bottom"/>
            <w:vMerge w:val="continue"/>
          </w:tcPr>
          <w:p>
            <w:pPr>
              <w:spacing w:after="0"/>
              <w:rPr>
                <w:sz w:val="19"/>
                <w:szCs w:val="19"/>
                <w:color w:val="auto"/>
              </w:rPr>
            </w:pPr>
          </w:p>
        </w:tc>
        <w:tc>
          <w:tcPr>
            <w:tcW w:w="1900" w:type="dxa"/>
            <w:vAlign w:val="bottom"/>
          </w:tcPr>
          <w:p>
            <w:pPr>
              <w:jc w:val="right"/>
              <w:ind w:right="34"/>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Paid 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Plan</w:t>
            </w:r>
          </w:p>
        </w:tc>
        <w:tc>
          <w:tcPr>
            <w:tcW w:w="2760" w:type="dxa"/>
            <w:vAlign w:val="bottom"/>
          </w:tcPr>
          <w:p>
            <w:pPr>
              <w:jc w:val="right"/>
              <w:ind w:right="654"/>
              <w:spacing w:after="0" w:line="219" w:lineRule="exact"/>
              <w:rPr>
                <w:sz w:val="20"/>
                <w:szCs w:val="20"/>
                <w:color w:val="auto"/>
              </w:rPr>
            </w:pPr>
            <w:r>
              <w:rPr>
                <w:rFonts w:ascii="Times New Roman" w:cs="Times New Roman" w:eastAsia="Times New Roman" w:hAnsi="Times New Roman"/>
                <w:sz w:val="17"/>
                <w:szCs w:val="17"/>
                <w:color w:val="auto"/>
              </w:rPr>
              <w:t xml:space="preserve">Announced Plan </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2022 – January 31, 2022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810,618</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1, 2022 – February 28,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810,618</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1, 2022 – March 31, 2022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810,618</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2,587</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810,618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plan described in footnote (2) below.</w:t>
      </w:r>
    </w:p>
    <w:p>
      <w:pPr>
        <w:spacing w:after="0" w:line="58" w:lineRule="exact"/>
        <w:rPr>
          <w:rFonts w:ascii="Times New Roman" w:cs="Times New Roman" w:eastAsia="Times New Roman" w:hAnsi="Times New Roman"/>
          <w:sz w:val="14"/>
          <w:szCs w:val="14"/>
          <w:color w:val="auto"/>
        </w:rPr>
      </w:pPr>
    </w:p>
    <w:p>
      <w:pPr>
        <w:ind w:left="620" w:right="200" w:hanging="385"/>
        <w:spacing w:after="0" w:line="333" w:lineRule="auto"/>
        <w:tabs>
          <w:tab w:leader="none" w:pos="56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2015, our Board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28, 2022, we entered into the Third Amended and Restated Credit and Security Agreement with Wells Fargo Bank, N.A. ("Wells Fargo"), which increased the size of our revolving credit facility from $125 million to $150 million (the "Amended Credit Agreement").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foregoing description of the Amended Credit Agreement does not purport to be complete and is qualified in its entirety by reference to, and should be read in conjunction with, the full text of the Amended Credit Agreement, which is attached as Exhibit 10.1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81">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81">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82">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82">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84">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84">
        <w:r>
          <w:rPr>
            <w:rFonts w:ascii="Times New Roman" w:cs="Times New Roman" w:eastAsia="Times New Roman" w:hAnsi="Times New Roman"/>
            <w:sz w:val="17"/>
            <w:szCs w:val="17"/>
            <w:u w:val="single" w:color="auto"/>
            <w:color w:val="0000FF"/>
          </w:rPr>
          <w:t>2016).</w:t>
        </w:r>
      </w:hyperlink>
    </w:p>
    <w:p>
      <w:pPr>
        <w:spacing w:after="0" w:line="33" w:lineRule="exact"/>
        <w:rPr>
          <w:sz w:val="20"/>
          <w:szCs w:val="20"/>
          <w:color w:val="auto"/>
        </w:rPr>
      </w:pPr>
    </w:p>
    <w:p>
      <w:pPr>
        <w:ind w:left="1000" w:right="160" w:hanging="497"/>
        <w:spacing w:after="0" w:line="239" w:lineRule="auto"/>
        <w:rPr>
          <w:sz w:val="20"/>
          <w:szCs w:val="20"/>
          <w:color w:val="auto"/>
        </w:rPr>
      </w:pPr>
      <w:r>
        <w:rPr>
          <w:rFonts w:ascii="Times New Roman" w:cs="Times New Roman" w:eastAsia="Times New Roman" w:hAnsi="Times New Roman"/>
          <w:sz w:val="15"/>
          <w:szCs w:val="15"/>
          <w:color w:val="auto"/>
        </w:rPr>
        <w:t xml:space="preserve">10.1 — </w:t>
      </w:r>
      <w:r>
        <w:rPr>
          <w:rFonts w:ascii="Times New Roman" w:cs="Times New Roman" w:eastAsia="Times New Roman" w:hAnsi="Times New Roman"/>
          <w:sz w:val="17"/>
          <w:szCs w:val="17"/>
          <w:u w:val="single" w:color="auto"/>
          <w:color w:val="0000FF"/>
        </w:rPr>
        <w:t>Third Amended and Restated Credit and Security Agreement, dated April 28, 2022 by and among IES Holdings, Inc., each of the other Borrowers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u w:val="single" w:color="auto"/>
          <w:color w:val="0000FF"/>
        </w:rPr>
        <w:t>and Guarantors named therein and Wells Fargo Bank, National Association, as Administrative Agent.</w:t>
      </w:r>
    </w:p>
    <w:p>
      <w:pPr>
        <w:ind w:left="500"/>
        <w:spacing w:after="0" w:line="224" w:lineRule="auto"/>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8670" cy="139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500"/>
        <w:spacing w:after="0" w:line="218"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540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April 29, 2022.</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42</w:t>
            </w:r>
          </w:p>
        </w:tc>
      </w:tr>
    </w:tbl>
    <w:p>
      <w:pPr>
        <w:sectPr>
          <w:pgSz w:w="11900" w:h="16838" w:orient="portrait"/>
          <w:cols w:equalWidth="0" w:num="1">
            <w:col w:w="11240"/>
          </w:cols>
          <w:pgMar w:left="320" w:top="42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132715</wp:posOffset>
            </wp:positionV>
            <wp:extent cx="589280" cy="5892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89280"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THIRD AMENDED AND RESTATED</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CREDIT AND SECURITY AGREEMENT</w:t>
      </w:r>
    </w:p>
    <w:p>
      <w:pPr>
        <w:spacing w:after="0" w:line="14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b w:val="1"/>
          <w:bCs w:val="1"/>
          <w:color w:val="auto"/>
        </w:rPr>
        <w:t>by and among</w:t>
      </w:r>
    </w:p>
    <w:p>
      <w:pPr>
        <w:spacing w:after="0" w:line="16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IES HOLDINGS,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COMMUNICATIONS,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COMMERCIAL,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MANAGEMENT LP</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MANAGEMENT ROO, LP</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RESIDENTIAL,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INTEGRATED ELECTRICAL FINANCE,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SUBSIDIARY HOLDINGS,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MAGNETECH INDUSTRIAL SERVICES,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SOUTHERN INDUSTRIAL SALES AND SERVICES,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CALUMET ARMATURE AND ELECTRIC,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INFRASTRUCTURE SOLUTIONS,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TECHNIBUS,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FREEMAN ENCLOSURE SYSTEMS,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NEXT ELECTRIC,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AZIMUTH COMMUNICATIONS,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AERIAL LIGHTING &amp; ELECTRIC,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HOTCHKISS ALARMS,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K.E.P. ELECTRIC,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WEDLAKE FABRICATING, INC.</w:t>
      </w:r>
    </w:p>
    <w:p>
      <w:pPr>
        <w:jc w:val="center"/>
        <w:ind w:right="1120"/>
        <w:spacing w:after="0" w:line="215" w:lineRule="auto"/>
        <w:rPr>
          <w:sz w:val="20"/>
          <w:szCs w:val="20"/>
          <w:color w:val="auto"/>
        </w:rPr>
      </w:pPr>
      <w:r>
        <w:rPr>
          <w:rFonts w:ascii="Times New Roman" w:cs="Times New Roman" w:eastAsia="Times New Roman" w:hAnsi="Times New Roman"/>
          <w:sz w:val="20"/>
          <w:szCs w:val="20"/>
          <w:b w:val="1"/>
          <w:bCs w:val="1"/>
          <w:color w:val="auto"/>
        </w:rPr>
        <w:t>BAYONET PLUMBING HEATING AND AIR-CONDITIONING,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EDMONSON ELECTRIC,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STR MECHANICAL,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TECHNICAL SERVICES II,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INVESTMENTS,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FL RE, LLC</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IES OK RE, LLC</w:t>
      </w:r>
    </w:p>
    <w:p>
      <w:pPr>
        <w:spacing w:after="0" w:line="1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as Borrowers,</w:t>
      </w:r>
    </w:p>
    <w:p>
      <w:pPr>
        <w:spacing w:after="0" w:line="1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IES CONSOLIDATION, LLC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IES SHARED SERVICES, INC.</w:t>
      </w:r>
    </w:p>
    <w:p>
      <w:pPr>
        <w:jc w:val="center"/>
        <w:ind w:right="1120"/>
        <w:spacing w:after="0" w:line="205" w:lineRule="auto"/>
        <w:rPr>
          <w:sz w:val="20"/>
          <w:szCs w:val="20"/>
          <w:color w:val="auto"/>
        </w:rPr>
      </w:pPr>
      <w:r>
        <w:rPr>
          <w:rFonts w:ascii="Times New Roman" w:cs="Times New Roman" w:eastAsia="Times New Roman" w:hAnsi="Times New Roman"/>
          <w:sz w:val="21"/>
          <w:szCs w:val="21"/>
          <w:b w:val="1"/>
          <w:bCs w:val="1"/>
          <w:color w:val="auto"/>
        </w:rPr>
        <w:t>KEY ELECTRICAL SUPPLY, INC.</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IES OPERATIONS GROUP, INC.</w:t>
      </w:r>
    </w:p>
    <w:p>
      <w:pPr>
        <w:sectPr>
          <w:pgSz w:w="11900" w:h="16838" w:orient="portrait"/>
          <w:cols w:equalWidth="0" w:num="1">
            <w:col w:w="10120"/>
          </w:cols>
          <w:pgMar w:left="1440" w:top="1339" w:right="339" w:bottom="1440" w:gutter="0" w:footer="0" w:header="0"/>
        </w:sectPr>
      </w:pPr>
    </w:p>
    <w:bookmarkStart w:id="43" w:name="page44"/>
    <w:bookmarkEnd w:id="43"/>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ICS HOLDINGS LLC</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Guarantors,</w:t>
      </w:r>
    </w:p>
    <w:p>
      <w:pPr>
        <w:spacing w:after="0" w:line="14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6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Administrative Agent for itself and the other Lenders party hereto</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Dated as of April 28, 2022</w:t>
      </w:r>
    </w:p>
    <w:p>
      <w:pPr>
        <w:sectPr>
          <w:pgSz w:w="11900" w:h="16838" w:orient="portrait"/>
          <w:cols w:equalWidth="0" w:num="1">
            <w:col w:w="9019"/>
          </w:cols>
          <w:pgMar w:left="1440" w:top="1440" w:right="1440" w:bottom="1440" w:gutter="0" w:footer="0" w:header="0"/>
        </w:sectPr>
      </w:pPr>
    </w:p>
    <w:bookmarkStart w:id="44" w:name="page45"/>
    <w:bookmarkEnd w:id="44"/>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40" w:type="dxa"/>
            <w:vAlign w:val="bottom"/>
          </w:tcPr>
          <w:p>
            <w:pPr>
              <w:ind w:left="33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960" w:type="dxa"/>
            <w:vAlign w:val="bottom"/>
          </w:tcPr>
          <w:p>
            <w:pPr>
              <w:spacing w:after="0"/>
              <w:rPr>
                <w:sz w:val="23"/>
                <w:szCs w:val="23"/>
                <w:color w:val="auto"/>
              </w:rPr>
            </w:pPr>
          </w:p>
        </w:tc>
      </w:tr>
      <w:tr>
        <w:trPr>
          <w:trHeight w:val="458"/>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1.</w:t>
            </w:r>
          </w:p>
        </w:tc>
        <w:tc>
          <w:tcPr>
            <w:tcW w:w="888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DEFINITIONS AND 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54"/>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1.1.</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Definitions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1.2.</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Accounting Terms.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1.3.</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Code</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1.4.</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254"/>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1.5.</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Time References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1.6.</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Schedules and 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1.7.</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Divisions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54"/>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1.8.</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48"/>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2.</w:t>
            </w:r>
          </w:p>
        </w:tc>
        <w:tc>
          <w:tcPr>
            <w:tcW w:w="888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LOANS AND TERMS OF PAYMENT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Revolving Loans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2.2.</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2.3.</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Borrowing Procedures and Settlements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2.4.</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Payments; Reductions of Commitments; Prepayments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2.5.</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Promise to Pay; Promissory Notes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2.6.</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Interest Rates and Letter of Credit Fee: Rates, Payments, and Calculations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2.7.</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Crediting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2.8.</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Designated Account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2.9.</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Maintenance of Loan Account; Statements of Obligations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2.10.</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Fees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2.11.</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Letters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2.12.</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Special Provisions Applicable to Daily Simple SOFR</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2.13.</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Capital Requirements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2.14.</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2.15.</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Joint and Several Liability of Borrowers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58"/>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3.</w:t>
            </w:r>
          </w:p>
        </w:tc>
        <w:tc>
          <w:tcPr>
            <w:tcW w:w="888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CONDITIONS; TERM OF AGREEMENT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3.1.</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Conditions Precedent to the Initial Extension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3.2.</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Conditions Precedent to all Extensions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3.3.</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Maturity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3.4.</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Effect of Maturity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w:t>
            </w:r>
          </w:p>
        </w:tc>
      </w:tr>
      <w:tr>
        <w:trPr>
          <w:trHeight w:val="258"/>
        </w:trPr>
        <w:tc>
          <w:tcPr>
            <w:tcW w:w="3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3.5.</w:t>
            </w:r>
          </w:p>
        </w:tc>
        <w:tc>
          <w:tcPr>
            <w:tcW w:w="80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Early Termination by Borrowers</w:t>
            </w:r>
          </w:p>
        </w:tc>
        <w:tc>
          <w:tcPr>
            <w:tcW w:w="1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40" w:right="359" w:bottom="1440" w:gutter="0" w:footer="0" w:header="0"/>
        </w:sectPr>
      </w:pPr>
    </w:p>
    <w:bookmarkStart w:id="45" w:name="page46"/>
    <w:bookmarkEnd w:id="45"/>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3.6.</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Conditions Subsequent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80"/>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4.</w:t>
            </w:r>
          </w:p>
        </w:tc>
        <w:tc>
          <w:tcPr>
            <w:tcW w:w="9040" w:type="dxa"/>
            <w:vAlign w:val="bottom"/>
            <w:gridSpan w:val="2"/>
          </w:tcPr>
          <w:p>
            <w:pPr>
              <w:ind w:left="240"/>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Due Organization and Qualification; Subsidiaries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Due Authorization; No Conflict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4.3.</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Governmental Consents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4.4.</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Binding Obligations; Perfected Liens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4.5.</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Title to Assets; No Encumbrances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4.6.</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Litigation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4.7.</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Compliance with Laws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4.8.</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No Material Adverse Effect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4.9.</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Solvency</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80"/>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4.10.</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Employee Benefits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4.11.</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Environmental Condition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4.12.</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Complete Disclosure</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4.13.</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Patriot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4.14.</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4.15.</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Payment of Taxes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84"/>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4.16.</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Margin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84"/>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4.17.</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Governmental Regulation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80"/>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4.18.</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OFAC; Sanctions; Anti-Corruption Laws; Anti-Money Laundering Laws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4.19.</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Employee and Labor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4.20.</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4.21.</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Leases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4.22.</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Eligible Accounts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4.23.</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Eligible Inventory</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4.24.</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Eligible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4.25.</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Location of Inventory and Equipment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w:t>
            </w:r>
          </w:p>
        </w:tc>
      </w:tr>
      <w:tr>
        <w:trPr>
          <w:trHeight w:val="241"/>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4.26.</w:t>
            </w:r>
          </w:p>
        </w:tc>
        <w:tc>
          <w:tcPr>
            <w:tcW w:w="820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Inventory Records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4.27.</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4.28.</w:t>
            </w:r>
          </w:p>
        </w:tc>
        <w:tc>
          <w:tcPr>
            <w:tcW w:w="82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84"/>
        </w:trPr>
        <w:tc>
          <w:tcPr>
            <w:tcW w:w="3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4.29.</w:t>
            </w:r>
          </w:p>
        </w:tc>
        <w:tc>
          <w:tcPr>
            <w:tcW w:w="8200" w:type="dxa"/>
            <w:vAlign w:val="bottom"/>
          </w:tcPr>
          <w:p>
            <w:pPr>
              <w:ind w:left="240"/>
              <w:spacing w:after="0"/>
              <w:rPr>
                <w:sz w:val="20"/>
                <w:szCs w:val="20"/>
                <w:color w:val="auto"/>
              </w:rPr>
            </w:pPr>
            <w:r>
              <w:rPr>
                <w:rFonts w:ascii="Times New Roman" w:cs="Times New Roman" w:eastAsia="Times New Roman" w:hAnsi="Times New Roman"/>
                <w:sz w:val="21"/>
                <w:szCs w:val="21"/>
                <w:b w:val="1"/>
                <w:bCs w:val="1"/>
                <w:color w:val="auto"/>
              </w:rPr>
              <w:t>Hedge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sectPr>
      </w:pPr>
    </w:p>
    <w:bookmarkStart w:id="46" w:name="page47"/>
    <w:bookmarkEnd w:id="46"/>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940" w:type="dxa"/>
            <w:vAlign w:val="bottom"/>
          </w:tcPr>
          <w:p>
            <w:pPr>
              <w:ind w:left="33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060" w:type="dxa"/>
            <w:vAlign w:val="bottom"/>
          </w:tcPr>
          <w:p>
            <w:pPr>
              <w:spacing w:after="0"/>
              <w:rPr>
                <w:sz w:val="21"/>
                <w:szCs w:val="21"/>
                <w:color w:val="auto"/>
              </w:rPr>
            </w:pPr>
          </w:p>
        </w:tc>
      </w:tr>
      <w:tr>
        <w:trPr>
          <w:trHeight w:val="272"/>
        </w:trPr>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940" w:type="dxa"/>
            <w:vAlign w:val="bottom"/>
          </w:tcPr>
          <w:p>
            <w:pPr>
              <w:ind w:left="3900"/>
              <w:spacing w:after="0"/>
              <w:rPr>
                <w:sz w:val="20"/>
                <w:szCs w:val="20"/>
                <w:color w:val="auto"/>
              </w:rPr>
            </w:pPr>
            <w:r>
              <w:rPr>
                <w:rFonts w:ascii="Times New Roman" w:cs="Times New Roman" w:eastAsia="Times New Roman" w:hAnsi="Times New Roman"/>
                <w:sz w:val="21"/>
                <w:szCs w:val="21"/>
                <w:b w:val="1"/>
                <w:bCs w:val="1"/>
                <w:color w:val="auto"/>
              </w:rPr>
              <w:t>(continued)</w:t>
            </w:r>
          </w:p>
        </w:tc>
        <w:tc>
          <w:tcPr>
            <w:tcW w:w="2060" w:type="dxa"/>
            <w:vAlign w:val="bottom"/>
          </w:tcPr>
          <w:p>
            <w:pPr>
              <w:spacing w:after="0"/>
              <w:rPr>
                <w:sz w:val="23"/>
                <w:szCs w:val="23"/>
                <w:color w:val="auto"/>
              </w:rPr>
            </w:pP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4.30.</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Surety Agreements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4.31.</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Surety Bonds Cash and LCs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4.32.</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Bonded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4.33.</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Thomas Popp &amp;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5.</w:t>
            </w:r>
          </w:p>
        </w:tc>
        <w:tc>
          <w:tcPr>
            <w:tcW w:w="878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AFFIRMATIVE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Financial Statements, Reports, Certificates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5.2.</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5.3.</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Existence</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5.4.</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Maintenance of Properties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5.5.</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5.6.</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5.7.</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Inspection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5.8.</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5.9.</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Environmental</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5.10.</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Disclosure Updates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5.11.</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Formation of Subsidiaries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5.12.</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Further Assurances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5.13.</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5.14.</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Location of Inventory and Equipment; Chief Executive Office</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5.15.</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OFAC; Sanctions; Anti-Corruption Laws; Anti-Money Laundering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5.16.</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Material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jc w:val="right"/>
              <w:ind w:right="126"/>
              <w:spacing w:after="0"/>
              <w:rPr>
                <w:sz w:val="20"/>
                <w:szCs w:val="20"/>
                <w:color w:val="auto"/>
              </w:rPr>
            </w:pPr>
            <w:r>
              <w:rPr>
                <w:rFonts w:ascii="Times New Roman" w:cs="Times New Roman" w:eastAsia="Times New Roman" w:hAnsi="Times New Roman"/>
                <w:sz w:val="19"/>
                <w:szCs w:val="19"/>
                <w:b w:val="1"/>
                <w:bCs w:val="1"/>
                <w:color w:val="auto"/>
                <w:w w:val="83"/>
              </w:rPr>
              <w:t>6.</w:t>
            </w:r>
          </w:p>
        </w:tc>
        <w:tc>
          <w:tcPr>
            <w:tcW w:w="8780" w:type="dxa"/>
            <w:vAlign w:val="bottom"/>
            <w:gridSpan w:val="2"/>
          </w:tcPr>
          <w:p>
            <w:pPr>
              <w:ind w:left="240"/>
              <w:spacing w:after="0"/>
              <w:rPr>
                <w:sz w:val="20"/>
                <w:szCs w:val="20"/>
                <w:color w:val="auto"/>
              </w:rPr>
            </w:pPr>
            <w:r>
              <w:rPr>
                <w:rFonts w:ascii="Times New Roman" w:cs="Times New Roman" w:eastAsia="Times New Roman" w:hAnsi="Times New Roman"/>
                <w:sz w:val="19"/>
                <w:szCs w:val="19"/>
                <w:b w:val="1"/>
                <w:bCs w:val="1"/>
                <w:color w:val="auto"/>
              </w:rPr>
              <w:t>NEGATIVE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6.1.</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6.2.</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Liens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6.3.</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Restrictions on Fundamental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6.4.</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Disposal of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6.5.</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Nature of Business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6.6.</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Prepayments and Amendments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6.7.</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Restricted Payments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6.8.</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Accounting Methods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5"/>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6.9.</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Investments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r>
        <w:trPr>
          <w:trHeight w:val="248"/>
        </w:trPr>
        <w:tc>
          <w:tcPr>
            <w:tcW w:w="36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6.10.</w:t>
            </w:r>
          </w:p>
        </w:tc>
        <w:tc>
          <w:tcPr>
            <w:tcW w:w="794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Transactions with Affiliates</w:t>
            </w: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sectPr>
      </w:pPr>
    </w:p>
    <w:bookmarkStart w:id="47" w:name="page48"/>
    <w:bookmarkEnd w:id="47"/>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Use of Proceeds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Limitation on Issuance of Equity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6.13.</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Inventory or Equipment with Bailees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6.14.</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Parent as Holding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6.15.</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Surety Bonds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6.16.</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Thomas Popp &amp;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7.</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FINANCIAL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8.</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Payments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8.3.</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Judgments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8.4.</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Voluntary Bankruptcy,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8.5.</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Involuntary Bankruptcy,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8.6.</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Default Under Other Agreements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8.7.</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Representations,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8.8.</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Guaranty</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8.9.</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Security Documents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8.10.</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Loan Documents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8.11.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Change of Control</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8.12.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Surety Bond</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9.</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RIGHTS AND REMEDIES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9.1.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Rights and Remedies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9.2.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Remedies Cumulative</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10.</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WAIVERS; INDEMNIFICATION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Demand; Protest;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The Lender Group's Liability for Collateral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10.3.</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Indemnification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11.</w:t>
            </w: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w w:val="95"/>
              </w:rPr>
              <w:t>NOTICES</w:t>
            </w:r>
          </w:p>
        </w:tc>
        <w:tc>
          <w:tcPr>
            <w:tcW w:w="8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12.</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CHOICE OF LAW AND VENUE; JURY TRIAL WAIVER; JUDICIAL REFERENCE PROVISION</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r>
      <w:tr>
        <w:trPr>
          <w:trHeight w:val="245"/>
        </w:trPr>
        <w:tc>
          <w:tcPr>
            <w:tcW w:w="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13.</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ASSIGNMENTS AND PARTICIPATIONS; SUCCESSORS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45"/>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13.1.</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Assignments and Participations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48"/>
        </w:trPr>
        <w:tc>
          <w:tcPr>
            <w:tcW w:w="420" w:type="dxa"/>
            <w:vAlign w:val="bottom"/>
          </w:tcPr>
          <w:p>
            <w:pPr>
              <w:spacing w:after="0"/>
              <w:rPr>
                <w:sz w:val="21"/>
                <w:szCs w:val="21"/>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13.2.</w:t>
            </w:r>
          </w:p>
        </w:tc>
        <w:tc>
          <w:tcPr>
            <w:tcW w:w="8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Successors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00"/>
          </w:cols>
          <w:pgMar w:left="340" w:top="1440" w:right="359" w:bottom="1440" w:gutter="0" w:footer="0" w:header="0"/>
        </w:sectPr>
      </w:pPr>
    </w:p>
    <w:bookmarkStart w:id="48" w:name="page49"/>
    <w:bookmarkEnd w:id="48"/>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20" w:type="dxa"/>
            <w:vAlign w:val="bottom"/>
          </w:tcPr>
          <w:p>
            <w:pPr>
              <w:ind w:left="324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920" w:type="dxa"/>
            <w:vAlign w:val="bottom"/>
          </w:tcPr>
          <w:p>
            <w:pPr>
              <w:spacing w:after="0"/>
              <w:rPr>
                <w:sz w:val="21"/>
                <w:szCs w:val="21"/>
                <w:color w:val="auto"/>
              </w:rPr>
            </w:pPr>
          </w:p>
        </w:tc>
      </w:tr>
      <w:tr>
        <w:trPr>
          <w:trHeight w:val="272"/>
        </w:trPr>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20" w:type="dxa"/>
            <w:vAlign w:val="bottom"/>
          </w:tcPr>
          <w:p>
            <w:pPr>
              <w:ind w:left="3840"/>
              <w:spacing w:after="0"/>
              <w:rPr>
                <w:sz w:val="20"/>
                <w:szCs w:val="20"/>
                <w:color w:val="auto"/>
              </w:rPr>
            </w:pPr>
            <w:r>
              <w:rPr>
                <w:rFonts w:ascii="Times New Roman" w:cs="Times New Roman" w:eastAsia="Times New Roman" w:hAnsi="Times New Roman"/>
                <w:sz w:val="21"/>
                <w:szCs w:val="21"/>
                <w:b w:val="1"/>
                <w:bCs w:val="1"/>
                <w:color w:val="auto"/>
              </w:rPr>
              <w:t>(continued)</w:t>
            </w:r>
          </w:p>
        </w:tc>
        <w:tc>
          <w:tcPr>
            <w:tcW w:w="920" w:type="dxa"/>
            <w:vAlign w:val="bottom"/>
          </w:tcPr>
          <w:p>
            <w:pPr>
              <w:spacing w:after="0"/>
              <w:rPr>
                <w:sz w:val="23"/>
                <w:szCs w:val="23"/>
                <w:color w:val="auto"/>
              </w:rPr>
            </w:pPr>
          </w:p>
        </w:tc>
      </w:tr>
      <w:tr>
        <w:trPr>
          <w:trHeight w:val="248"/>
        </w:trPr>
        <w:tc>
          <w:tcPr>
            <w:tcW w:w="420" w:type="dxa"/>
            <w:vAlign w:val="bottom"/>
          </w:tcPr>
          <w:p>
            <w:pPr>
              <w:jc w:val="right"/>
              <w:ind w:right="86"/>
              <w:spacing w:after="0"/>
              <w:rPr>
                <w:sz w:val="20"/>
                <w:szCs w:val="20"/>
                <w:color w:val="auto"/>
              </w:rPr>
            </w:pPr>
            <w:r>
              <w:rPr>
                <w:rFonts w:ascii="Times New Roman" w:cs="Times New Roman" w:eastAsia="Times New Roman" w:hAnsi="Times New Roman"/>
                <w:sz w:val="19"/>
                <w:szCs w:val="19"/>
                <w:b w:val="1"/>
                <w:bCs w:val="1"/>
                <w:color w:val="auto"/>
                <w:w w:val="92"/>
              </w:rPr>
              <w:t>14.</w:t>
            </w:r>
          </w:p>
        </w:tc>
        <w:tc>
          <w:tcPr>
            <w:tcW w:w="986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AMENDMENTS; WAIVERS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14.1.</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Amendments and Waivers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14.2.</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Replacement of Certain Lenders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14.3.</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No Waivers; Cumulative Remedies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45"/>
        </w:trPr>
        <w:tc>
          <w:tcPr>
            <w:tcW w:w="420" w:type="dxa"/>
            <w:vAlign w:val="bottom"/>
          </w:tcPr>
          <w:p>
            <w:pPr>
              <w:jc w:val="right"/>
              <w:ind w:right="86"/>
              <w:spacing w:after="0"/>
              <w:rPr>
                <w:sz w:val="20"/>
                <w:szCs w:val="20"/>
                <w:color w:val="auto"/>
              </w:rPr>
            </w:pPr>
            <w:r>
              <w:rPr>
                <w:rFonts w:ascii="Times New Roman" w:cs="Times New Roman" w:eastAsia="Times New Roman" w:hAnsi="Times New Roman"/>
                <w:sz w:val="19"/>
                <w:szCs w:val="19"/>
                <w:b w:val="1"/>
                <w:bCs w:val="1"/>
                <w:color w:val="auto"/>
                <w:w w:val="92"/>
              </w:rPr>
              <w:t>15.</w:t>
            </w:r>
          </w:p>
        </w:tc>
        <w:tc>
          <w:tcPr>
            <w:tcW w:w="986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AGENT; THE LENDER GROUP</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Appointment and Authorization of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15.2.</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Delegation of Duties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15.3.</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Liability of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15.4.</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Reliance by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15.5.</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Notice of Default or Event of Default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15.6.</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Credit Decision</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15.7.</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Costs and Expenses; Indemnification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15.8.</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Agent in Individual Capacity</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15.9.</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Successor Agent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15.10.</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Lender in Individual Capacity</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15.11.</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Collateral Matters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15.12.</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Restrictions on Actions by Lenders; Sharing of Payments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15.13.</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Agency for Perfection</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15.14.</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Payments by Agent to the Lenders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15.15.</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Concerning the Collateral and Related Loan Documents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15.16.</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Field Examination Reports; Confidentiality; Disclaimers by Lenders; Other Reports and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15.17.</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Several Obligations; No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45"/>
        </w:trPr>
        <w:tc>
          <w:tcPr>
            <w:tcW w:w="420" w:type="dxa"/>
            <w:vAlign w:val="bottom"/>
          </w:tcPr>
          <w:p>
            <w:pPr>
              <w:jc w:val="right"/>
              <w:ind w:right="86"/>
              <w:spacing w:after="0"/>
              <w:rPr>
                <w:sz w:val="20"/>
                <w:szCs w:val="20"/>
                <w:color w:val="auto"/>
              </w:rPr>
            </w:pPr>
            <w:r>
              <w:rPr>
                <w:rFonts w:ascii="Times New Roman" w:cs="Times New Roman" w:eastAsia="Times New Roman" w:hAnsi="Times New Roman"/>
                <w:sz w:val="19"/>
                <w:szCs w:val="19"/>
                <w:b w:val="1"/>
                <w:bCs w:val="1"/>
                <w:color w:val="auto"/>
                <w:w w:val="92"/>
              </w:rPr>
              <w:t>16.</w:t>
            </w:r>
          </w:p>
        </w:tc>
        <w:tc>
          <w:tcPr>
            <w:tcW w:w="986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WITHHOLDING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16.1.</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Payments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16.2.</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Exemptions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16.3.</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Reductions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16.4.</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Refunds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5"/>
        </w:trPr>
        <w:tc>
          <w:tcPr>
            <w:tcW w:w="420" w:type="dxa"/>
            <w:vAlign w:val="bottom"/>
          </w:tcPr>
          <w:p>
            <w:pPr>
              <w:jc w:val="right"/>
              <w:ind w:right="86"/>
              <w:spacing w:after="0"/>
              <w:rPr>
                <w:sz w:val="20"/>
                <w:szCs w:val="20"/>
                <w:color w:val="auto"/>
              </w:rPr>
            </w:pPr>
            <w:r>
              <w:rPr>
                <w:rFonts w:ascii="Times New Roman" w:cs="Times New Roman" w:eastAsia="Times New Roman" w:hAnsi="Times New Roman"/>
                <w:sz w:val="19"/>
                <w:szCs w:val="19"/>
                <w:b w:val="1"/>
                <w:bCs w:val="1"/>
                <w:color w:val="auto"/>
                <w:w w:val="92"/>
              </w:rPr>
              <w:t>17.</w:t>
            </w:r>
          </w:p>
        </w:tc>
        <w:tc>
          <w:tcPr>
            <w:tcW w:w="986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GENERAL PROVISIONS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17.1.</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Effectiveness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5"/>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17.2.</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Section Headings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8"/>
        </w:trPr>
        <w:tc>
          <w:tcPr>
            <w:tcW w:w="4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17.3.</w:t>
            </w:r>
          </w:p>
        </w:tc>
        <w:tc>
          <w:tcPr>
            <w:tcW w:w="90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Interpretation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200"/>
          </w:cols>
          <w:pgMar w:left="340" w:top="1440" w:right="359" w:bottom="1440" w:gutter="0" w:footer="0" w:header="0"/>
        </w:sectPr>
      </w:pPr>
    </w:p>
    <w:bookmarkStart w:id="49" w:name="page50"/>
    <w:bookmarkEnd w:id="49"/>
    <w:p>
      <w:pPr>
        <w:spacing w:after="0" w:line="19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1"/>
          <w:szCs w:val="21"/>
          <w:b w:val="1"/>
          <w:bCs w:val="1"/>
          <w:color w:val="auto"/>
        </w:rPr>
        <w:t>(continued)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17.4.</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Severability of Provisions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17.5.</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Bank Product Providers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17.6.</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Debtor-Creditor Relationship</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17.7.</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Counterparts; Electronic Execution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17.8.</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Revival and Reinstatement of Obligations; Certain Waivers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17.9.</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Confidentiality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17.10.</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Survival</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17.11.</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Patriot Act; Due Diligence</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17.12.</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Integration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17.13.</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Parent as Agent for Borrowers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17.14.</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Acknowledgement and Consent to Bail-In of Affected Financial Institutions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17.15.</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Acknowledgement Regarding Any Supported QFCs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w:t>
            </w: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17.16.</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Erroneous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w:t>
            </w:r>
          </w:p>
        </w:tc>
      </w:tr>
      <w:tr>
        <w:trPr>
          <w:trHeight w:val="24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17.17.</w:t>
            </w:r>
          </w:p>
        </w:tc>
        <w:tc>
          <w:tcPr>
            <w:tcW w:w="796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Amendment and Restatement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1">
            <w:col w:w="10600"/>
          </w:cols>
          <w:pgMar w:left="940" w:top="1440" w:right="359" w:bottom="1440" w:gutter="0" w:footer="0" w:header="0"/>
        </w:sectPr>
      </w:pPr>
    </w:p>
    <w:bookmarkStart w:id="50" w:name="page51"/>
    <w:bookmarkEnd w:id="50"/>
    <w:p>
      <w:pPr>
        <w:spacing w:after="0" w:line="19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(continued)</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J-1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P-1</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EXHIBITS AND SCHEDULES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Assignment and Acceptance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Borrowing Base Certificate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Bank Product Provider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Compliance Certificate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Joinder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Perfection Certificate</w:t>
      </w:r>
    </w:p>
    <w:p>
      <w:pPr>
        <w:spacing w:after="0" w:line="200" w:lineRule="exact"/>
        <w:rPr>
          <w:sz w:val="20"/>
          <w:szCs w:val="20"/>
          <w:color w:val="auto"/>
        </w:rPr>
      </w:pPr>
    </w:p>
    <w:p>
      <w:pPr>
        <w:sectPr>
          <w:pgSz w:w="11900" w:h="16838" w:orient="portrait"/>
          <w:cols w:equalWidth="0" w:num="2">
            <w:col w:w="2020" w:space="720"/>
            <w:col w:w="7379"/>
          </w:cols>
          <w:pgMar w:left="340" w:top="1440" w:right="1440"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A-1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A-2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C-1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D-1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P-1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P-2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4.1(b)</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4.1(c)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4.6(b)</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4.14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4.32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5.2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Agent's Account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Authorized Persons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Designated Account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Investments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Liens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Conditions Precedent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Conditions Subsequent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Capitalization of Borrowers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Capitalization of Borrowers'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Subscriptions, Options, Warrants, Calls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Litigation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Environmental Matters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Indebtedness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Location of Inventory and Equipment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Surety Agreements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Surety Bonds Cash and LCs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Bonded Contracts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Reports, Certificates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Collateral Reporting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Nature of Business</w:t>
      </w:r>
    </w:p>
    <w:p>
      <w:pPr>
        <w:spacing w:after="0" w:line="200" w:lineRule="exact"/>
        <w:rPr>
          <w:sz w:val="20"/>
          <w:szCs w:val="20"/>
          <w:color w:val="auto"/>
        </w:rPr>
      </w:pPr>
    </w:p>
    <w:p>
      <w:pPr>
        <w:sectPr>
          <w:pgSz w:w="11900" w:h="16838" w:orient="portrait"/>
          <w:cols w:equalWidth="0" w:num="2">
            <w:col w:w="2020" w:space="720"/>
            <w:col w:w="737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-vii-</w:t>
      </w:r>
    </w:p>
    <w:p>
      <w:pPr>
        <w:sectPr>
          <w:pgSz w:w="11900" w:h="16838" w:orient="portrait"/>
          <w:cols w:equalWidth="0" w:num="1">
            <w:col w:w="10119"/>
          </w:cols>
          <w:pgMar w:left="340" w:top="1440" w:right="1440" w:bottom="1440" w:gutter="0" w:footer="0" w:header="0"/>
          <w:type w:val="continuous"/>
        </w:sectPr>
      </w:pPr>
    </w:p>
    <w:bookmarkStart w:id="51" w:name="page52"/>
    <w:bookmarkEnd w:id="51"/>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CREDIT AGREEMENT</w:t>
      </w:r>
    </w:p>
    <w:p>
      <w:pPr>
        <w:spacing w:after="0" w:line="197" w:lineRule="exact"/>
        <w:rPr>
          <w:sz w:val="20"/>
          <w:szCs w:val="20"/>
          <w:color w:val="auto"/>
        </w:rPr>
      </w:pPr>
    </w:p>
    <w:p>
      <w:pPr>
        <w:jc w:val="both"/>
        <w:ind w:firstLine="619"/>
        <w:spacing w:after="0" w:line="22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THIRD AMENDED AND RESTATED CREDIT AGREEMENT</w:t>
      </w:r>
      <w:r>
        <w:rPr>
          <w:rFonts w:ascii="Times New Roman" w:cs="Times New Roman" w:eastAsia="Times New Roman" w:hAnsi="Times New Roman"/>
          <w:sz w:val="20"/>
          <w:szCs w:val="20"/>
          <w:color w:val="auto"/>
        </w:rPr>
        <w:t>, is entered into as of April 28, 2022 by and among the lenders identified on the signature pages hereof (each of such lenders, together with its successors and permitted assigns, is referred to hereinafter as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as that term is hereinafter further defined), </w:t>
      </w: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 national banking association, as administrative agent for each member of the Lender Group and the Bank Product Providers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IES HOLDINGS,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xml:space="preserve">"), the Subsidiaries of Parent identified on the signature pages hereof as "Borrowers", and those additional entities that hereafter become parties hereto as Borrowers in accordance with the terms hereof by executing the form of Joinder attached hereto as </w:t>
      </w:r>
      <w:r>
        <w:rPr>
          <w:rFonts w:ascii="Times New Roman" w:cs="Times New Roman" w:eastAsia="Times New Roman" w:hAnsi="Times New Roman"/>
          <w:sz w:val="20"/>
          <w:szCs w:val="20"/>
          <w:u w:val="single" w:color="auto"/>
          <w:color w:val="auto"/>
        </w:rPr>
        <w:t>Exhibit J-1</w:t>
      </w:r>
      <w:r>
        <w:rPr>
          <w:rFonts w:ascii="Times New Roman" w:cs="Times New Roman" w:eastAsia="Times New Roman" w:hAnsi="Times New Roman"/>
          <w:sz w:val="20"/>
          <w:szCs w:val="20"/>
          <w:color w:val="auto"/>
        </w:rPr>
        <w:t xml:space="preserve"> (including Parent,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individually and collectively, jointly and severally,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Parent, certain subsidiaries of Parent, and Wells Fargo Bank, National Association, a national banking association, as the sole lender ("</w:t>
      </w:r>
      <w:r>
        <w:rPr>
          <w:rFonts w:ascii="Times New Roman" w:cs="Times New Roman" w:eastAsia="Times New Roman" w:hAnsi="Times New Roman"/>
          <w:sz w:val="21"/>
          <w:szCs w:val="21"/>
          <w:u w:val="single" w:color="auto"/>
          <w:color w:val="auto"/>
        </w:rPr>
        <w:t>Existing Lender</w:t>
      </w:r>
      <w:r>
        <w:rPr>
          <w:rFonts w:ascii="Times New Roman" w:cs="Times New Roman" w:eastAsia="Times New Roman" w:hAnsi="Times New Roman"/>
          <w:sz w:val="21"/>
          <w:szCs w:val="21"/>
          <w:color w:val="auto"/>
        </w:rPr>
        <w:t>"), are parties to that certain Second Amended and Restated Credit and Security Agreement dated as of April 10, 2017, executed by and among certain Borrowers, Guarantors, and Existing Lender as the same has been amended, restated, modified or supplemented from time to time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pursuant to which Existing Lender made certain revolving loans and other financial accommodations to Borrowers (the "</w:t>
      </w:r>
      <w:r>
        <w:rPr>
          <w:rFonts w:ascii="Times New Roman" w:cs="Times New Roman" w:eastAsia="Times New Roman" w:hAnsi="Times New Roman"/>
          <w:sz w:val="21"/>
          <w:szCs w:val="21"/>
          <w:u w:val="single" w:color="auto"/>
          <w:color w:val="auto"/>
        </w:rPr>
        <w:t>Existing Loans</w:t>
      </w:r>
      <w:r>
        <w:rPr>
          <w:rFonts w:ascii="Times New Roman" w:cs="Times New Roman" w:eastAsia="Times New Roman" w:hAnsi="Times New Roman"/>
          <w:sz w:val="21"/>
          <w:szCs w:val="21"/>
          <w:color w:val="auto"/>
        </w:rPr>
        <w:t>"), issued certain letters of credit ("</w:t>
      </w: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and Borrowers and Guarantors granted to Existing Lender a security interest in all of the Collateral (as described in the Existing Credit Agreement, the "</w:t>
      </w:r>
      <w:r>
        <w:rPr>
          <w:rFonts w:ascii="Times New Roman" w:cs="Times New Roman" w:eastAsia="Times New Roman" w:hAnsi="Times New Roman"/>
          <w:sz w:val="21"/>
          <w:szCs w:val="21"/>
          <w:u w:val="single" w:color="auto"/>
          <w:color w:val="auto"/>
        </w:rPr>
        <w:t>Existing Collateral</w:t>
      </w:r>
      <w:r>
        <w:rPr>
          <w:rFonts w:ascii="Times New Roman" w:cs="Times New Roman" w:eastAsia="Times New Roman" w:hAnsi="Times New Roman"/>
          <w:sz w:val="21"/>
          <w:szCs w:val="21"/>
          <w:color w:val="auto"/>
        </w:rPr>
        <w:t>") as security for all of the Indebtedness (as defined therein, the "</w:t>
      </w:r>
      <w:r>
        <w:rPr>
          <w:rFonts w:ascii="Times New Roman" w:cs="Times New Roman" w:eastAsia="Times New Roman" w:hAnsi="Times New Roman"/>
          <w:sz w:val="21"/>
          <w:szCs w:val="21"/>
          <w:u w:val="single" w:color="auto"/>
          <w:color w:val="auto"/>
        </w:rPr>
        <w:t>Existing Obligations</w:t>
      </w:r>
      <w:r>
        <w:rPr>
          <w:rFonts w:ascii="Times New Roman" w:cs="Times New Roman" w:eastAsia="Times New Roman" w:hAnsi="Times New Roman"/>
          <w:sz w:val="21"/>
          <w:szCs w:val="21"/>
          <w:color w:val="auto"/>
        </w:rPr>
        <w:t>"). Pursuant to the Existing Credit Agreement, Existing Lender, Borrowers and Guarantors entered into various other Loan Documents (as defined in the Existing Credit Agreement) (collectively, including the Existing Credit Agreement, the "</w:t>
      </w:r>
      <w:r>
        <w:rPr>
          <w:rFonts w:ascii="Times New Roman" w:cs="Times New Roman" w:eastAsia="Times New Roman" w:hAnsi="Times New Roman"/>
          <w:sz w:val="21"/>
          <w:szCs w:val="21"/>
          <w:u w:val="single" w:color="auto"/>
          <w:color w:val="auto"/>
        </w:rPr>
        <w:t>Existing Loan Documents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Borrowers have requested that Existing Lender agree to increase, extend, and continue to provide the Existing Loans and the Existing Letters of Credit, as well as make certain additional financial accommodations to Borrowers.</w:t>
      </w:r>
    </w:p>
    <w:p>
      <w:pPr>
        <w:spacing w:after="0" w:line="146"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As further described in the Restructuring Agreement, the parties have agreed (i) to amend and restate the Existing Credit Agreement in its entirety both as set forth herein and as set forth in the Guaranty and Security Agreement, (ii) that, from and after the date hereof, the Existing Loans, the Existing Letters of Credit and the other Existing Obligations outstanding under the Existing Credit Agreement shall be governed by and deemed to be outstanding under the amended and restated terms set forth in this Agreement, the Guaranty and Security Agreement and the other Loan Documents, and (iii) that the Existing Obligations are and shall continue to be (and all Obligations incurred pursuant hereto shall be) secured by, among other things, the Existing Collateral as well as the other Collateral (as defined herein) as set forth in the Guaranty and Security Agreement and the other Loan Documents.</w:t>
      </w:r>
    </w:p>
    <w:p>
      <w:pPr>
        <w:spacing w:after="0" w:line="150"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It is the intent of the parties that the execution and delivery of this Agreement, which is made for the purposes described in the foregoing recitals, shall not effectuate a novation of any of the Existing Loan Documents, constitute a release or discharge of the Existing Obligations or the Existing Collateral, but rather as a substitution of certain terms governing the payment and performance of and security for such obligations and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86"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1"/>
          <w:szCs w:val="21"/>
          <w:color w:val="auto"/>
        </w:rPr>
        <w:t>NOW, THEREFORE, for valuable consideration the receipt and sufficiency of which are hereby acknowledged, the parties agree as follows:</w:t>
      </w:r>
    </w:p>
    <w:p>
      <w:pPr>
        <w:spacing w:after="0" w:line="168" w:lineRule="exact"/>
        <w:rPr>
          <w:sz w:val="20"/>
          <w:szCs w:val="20"/>
          <w:color w:val="auto"/>
        </w:rPr>
      </w:pPr>
    </w:p>
    <w:p>
      <w:pPr>
        <w:ind w:left="980" w:hanging="358"/>
        <w:spacing w:after="0"/>
        <w:tabs>
          <w:tab w:leader="none" w:pos="9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DEFINITIONS AND CONSTRUCTION</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As used in this Agreement, the following terms shall have the following definitions:</w:t>
      </w:r>
    </w:p>
    <w:p>
      <w:pPr>
        <w:spacing w:after="0" w:line="149"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Acceptable Appraisal</w:t>
      </w:r>
      <w:r>
        <w:rPr>
          <w:rFonts w:ascii="Times New Roman" w:cs="Times New Roman" w:eastAsia="Times New Roman" w:hAnsi="Times New Roman"/>
          <w:sz w:val="21"/>
          <w:szCs w:val="21"/>
          <w:color w:val="auto"/>
        </w:rPr>
        <w:t>" means, with respect to an appraisal of Inventory, the most recent appraisal of such property received by Agent (a) from an appraisal company satisfactory to Agent, (b) the scope and methodology (including, to the extent relevant, any sampling procedure employed by such appraisal company) of which are satisfactory to Agent, and (c) the results of which are satisfactory to Agent, in each case, in Agent's Permitted Discretion.</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an account (as that term is defined in the Code).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Debtor</w:t>
      </w:r>
      <w:r>
        <w:rPr>
          <w:rFonts w:ascii="Times New Roman" w:cs="Times New Roman" w:eastAsia="Times New Roman" w:hAnsi="Times New Roman"/>
          <w:sz w:val="21"/>
          <w:szCs w:val="21"/>
          <w:color w:val="auto"/>
        </w:rPr>
        <w:t>" means any Person who is obligated on an Account, chattel paper, or a general intangible.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Party</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2.11(h)</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Accounting Changes</w:t>
      </w:r>
      <w:r>
        <w:rPr>
          <w:rFonts w:ascii="Times New Roman" w:cs="Times New Roman" w:eastAsia="Times New Roman" w:hAnsi="Times New Roman"/>
          <w:sz w:val="21"/>
          <w:szCs w:val="21"/>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Accounts Availability Amount</w:t>
      </w:r>
      <w:r>
        <w:rPr>
          <w:rFonts w:ascii="Times New Roman" w:cs="Times New Roman" w:eastAsia="Times New Roman" w:hAnsi="Times New Roman"/>
          <w:sz w:val="21"/>
          <w:szCs w:val="21"/>
          <w:color w:val="auto"/>
        </w:rPr>
        <w:t>" means, as of any date of determination, the sum of:</w:t>
      </w:r>
    </w:p>
    <w:p>
      <w:pPr>
        <w:spacing w:after="0" w:line="167" w:lineRule="exact"/>
        <w:rPr>
          <w:sz w:val="20"/>
          <w:szCs w:val="20"/>
          <w:color w:val="auto"/>
        </w:rPr>
      </w:pPr>
    </w:p>
    <w:p>
      <w:pPr>
        <w:ind w:firstLine="1860"/>
        <w:spacing w:after="0" w:line="237" w:lineRule="auto"/>
        <w:tabs>
          <w:tab w:leader="none" w:pos="246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ninety percent (90%)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amount, if any, of the Dilution Reserve applicable to Eligible Accounts, if applicable) of the amount of Eligible Accounts, </w:t>
      </w:r>
      <w:r>
        <w:rPr>
          <w:rFonts w:ascii="Times New Roman" w:cs="Times New Roman" w:eastAsia="Times New Roman" w:hAnsi="Times New Roman"/>
          <w:sz w:val="21"/>
          <w:szCs w:val="21"/>
          <w:i w:val="1"/>
          <w:iCs w:val="1"/>
          <w:u w:val="single" w:color="auto"/>
          <w:color w:val="auto"/>
        </w:rPr>
        <w:t>plus</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 (x) seventy-five percent (75%) (less the amount, if any, of the Dilution Reserve applicable to Eligible Progress Billing Accounts, if applicable) of the amount of Eligible Progress Billing Accounts or (y) $55,000,000.</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xml:space="preserve">" means (a) the purchase or other acquisition by a Person or its Subsidiaries of all or substantially all (or such lesser amount as Agent, after a request from a Loan Party, may approve, in writing, in its sole discretion) of the assets of (or any division or business line of)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purchase or other acquisition of Real Property from a Person whose only asset is such Real Property shall not constitute an Acquisition under this clause (a), or (b) the purchase or other acquisition (whether by means of a merger, consolidation, or otherwise) by a Person or its Subsidiaries of all (or such lesser amount as Agent, after a request from a Loan Party, may approve, in writing, in its sole discretion) of the Equity Interests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Documents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Borrower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17.13</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the definition of Eligible Accounts and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xml:space="preserve"> of this Agreement: (a) if any Person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has the meaning specified therefor in the preamble to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Persons</w:t>
      </w:r>
      <w:r>
        <w:rPr>
          <w:rFonts w:ascii="Times New Roman" w:cs="Times New Roman" w:eastAsia="Times New Roman" w:hAnsi="Times New Roman"/>
          <w:sz w:val="20"/>
          <w:szCs w:val="20"/>
          <w:color w:val="auto"/>
        </w:rPr>
        <w:t>" means Agent, together with its Affiliates, officers, directors, employees, attorneys, and agents.</w:t>
      </w:r>
    </w:p>
    <w:p>
      <w:pPr>
        <w:spacing w:after="0" w:line="183"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Agent's Account</w:t>
      </w:r>
      <w:r>
        <w:rPr>
          <w:rFonts w:ascii="Times New Roman" w:cs="Times New Roman" w:eastAsia="Times New Roman" w:hAnsi="Times New Roman"/>
          <w:sz w:val="21"/>
          <w:szCs w:val="21"/>
          <w:color w:val="auto"/>
        </w:rPr>
        <w:t xml:space="preserve">" means the Deposit Account of Agent identified on </w:t>
      </w:r>
      <w:r>
        <w:rPr>
          <w:rFonts w:ascii="Times New Roman" w:cs="Times New Roman" w:eastAsia="Times New Roman" w:hAnsi="Times New Roman"/>
          <w:sz w:val="21"/>
          <w:szCs w:val="21"/>
          <w:u w:val="single" w:color="auto"/>
          <w:color w:val="auto"/>
        </w:rPr>
        <w:t>Schedule A-1</w:t>
      </w:r>
      <w:r>
        <w:rPr>
          <w:rFonts w:ascii="Times New Roman" w:cs="Times New Roman" w:eastAsia="Times New Roman" w:hAnsi="Times New Roman"/>
          <w:sz w:val="21"/>
          <w:szCs w:val="21"/>
          <w:color w:val="auto"/>
        </w:rPr>
        <w:t xml:space="preserve"> to this Agreement (or such other Deposit Account of Agent that has been designated as such, in writing, by Agent to Borrowers and the Lenders).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Agent's Liens</w:t>
      </w:r>
      <w:r>
        <w:rPr>
          <w:rFonts w:ascii="Times New Roman" w:cs="Times New Roman" w:eastAsia="Times New Roman" w:hAnsi="Times New Roman"/>
          <w:sz w:val="21"/>
          <w:szCs w:val="21"/>
          <w:color w:val="auto"/>
        </w:rPr>
        <w:t>" means the Liens granted by each Loan Party or its Subsidiaries to Agent under the Loan Documents and securing the Obligations.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Credit Agreement, as amended, restated, amended and restated, supplemented or otherwise modified from time to time.</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the FCPA, the U.K. Bribery Act of 2010, as amended, and all other applicable laws and regulations or ordinances concerning or relating to bribery or corruption in any jurisdiction in which any Loan Party or any of its Subsidiaries or Affiliates is located or is doing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86" w:lineRule="exact"/>
        <w:rPr>
          <w:sz w:val="20"/>
          <w:szCs w:val="20"/>
          <w:color w:val="auto"/>
        </w:rPr>
      </w:pPr>
    </w:p>
    <w:p>
      <w:pPr>
        <w:jc w:val="both"/>
        <w:ind w:right="20"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46" w:lineRule="exact"/>
        <w:rPr>
          <w:sz w:val="20"/>
          <w:szCs w:val="20"/>
          <w:color w:val="auto"/>
        </w:rPr>
      </w:pPr>
    </w:p>
    <w:p>
      <w:pPr>
        <w:jc w:val="both"/>
        <w:ind w:right="20"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xml:space="preserve">" means, as of any date of determination and with respect to Base Rate Loans or SOFR Loans, as applicable, the applicable margin set forth in the following table that corresponds to the Liquidity of Borrowers for the most recently completed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period from the Closing Date through and including June 30, 2022, the Applicable Margin shall be set at the margin in the row styled "Level II";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any time an Event of Default has occurred and is continuing, the Applicable Margin shall be set at the margin in the row styled "Level I":</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60" w:type="dxa"/>
            <w:vAlign w:val="bottom"/>
            <w:tcBorders>
              <w:top w:val="single" w:sz="8" w:color="auto"/>
              <w:left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0" w:type="dxa"/>
            <w:vAlign w:val="bottom"/>
            <w:tcBorders>
              <w:top w:val="single" w:sz="8" w:color="auto"/>
              <w:right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21"/>
                <w:szCs w:val="21"/>
                <w:color w:val="auto"/>
                <w:w w:val="98"/>
              </w:rPr>
              <w:t>Applicable Margin for Base Rate</w:t>
            </w:r>
          </w:p>
        </w:tc>
        <w:tc>
          <w:tcPr>
            <w:tcW w:w="3200" w:type="dxa"/>
            <w:vAlign w:val="bottom"/>
            <w:tcBorders>
              <w:top w:val="single" w:sz="8" w:color="auto"/>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21"/>
                <w:szCs w:val="21"/>
                <w:color w:val="auto"/>
                <w:w w:val="98"/>
              </w:rPr>
              <w:t>Applicable Margin for SOFR Loans</w:t>
            </w: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40" w:type="dxa"/>
            <w:vAlign w:val="bottom"/>
            <w:tcBorders>
              <w:top w:val="single" w:sz="8" w:color="auto"/>
            </w:tcBorders>
            <w:gridSpan w:val="5"/>
          </w:tcPr>
          <w:p>
            <w:pPr>
              <w:jc w:val="center"/>
              <w:spacing w:after="0" w:line="187" w:lineRule="exact"/>
              <w:rPr>
                <w:sz w:val="20"/>
                <w:szCs w:val="20"/>
                <w:color w:val="auto"/>
              </w:rPr>
            </w:pPr>
            <w:r>
              <w:rPr>
                <w:rFonts w:ascii="Times New Roman" w:cs="Times New Roman" w:eastAsia="Times New Roman" w:hAnsi="Times New Roman"/>
                <w:sz w:val="21"/>
                <w:szCs w:val="21"/>
                <w:color w:val="auto"/>
                <w:w w:val="95"/>
              </w:rPr>
              <w:t>Loans which are Revolving Loans</w:t>
            </w:r>
          </w:p>
        </w:tc>
        <w:tc>
          <w:tcPr>
            <w:tcW w:w="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top w:val="single" w:sz="8" w:color="auto"/>
            </w:tcBorders>
            <w:gridSpan w:val="5"/>
          </w:tcPr>
          <w:p>
            <w:pPr>
              <w:jc w:val="center"/>
              <w:ind w:right="20"/>
              <w:spacing w:after="0" w:line="187" w:lineRule="exact"/>
              <w:rPr>
                <w:sz w:val="20"/>
                <w:szCs w:val="20"/>
                <w:color w:val="auto"/>
              </w:rPr>
            </w:pPr>
            <w:r>
              <w:rPr>
                <w:rFonts w:ascii="Times New Roman" w:cs="Times New Roman" w:eastAsia="Times New Roman" w:hAnsi="Times New Roman"/>
                <w:sz w:val="21"/>
                <w:szCs w:val="21"/>
                <w:color w:val="auto"/>
                <w:w w:val="97"/>
              </w:rPr>
              <w:t>which are Revolving Loans (the</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Borders>
              <w:left w:val="single" w:sz="8" w:color="auto"/>
            </w:tcBorders>
          </w:tcPr>
          <w:p>
            <w:pPr>
              <w:spacing w:after="0"/>
              <w:rPr>
                <w:sz w:val="16"/>
                <w:szCs w:val="16"/>
                <w:color w:val="auto"/>
              </w:rPr>
            </w:pPr>
          </w:p>
        </w:tc>
        <w:tc>
          <w:tcPr>
            <w:tcW w:w="7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Level</w:t>
            </w:r>
          </w:p>
        </w:tc>
        <w:tc>
          <w:tcPr>
            <w:tcW w:w="1520" w:type="dxa"/>
            <w:vAlign w:val="bottom"/>
          </w:tcPr>
          <w:p>
            <w:pPr>
              <w:spacing w:after="0"/>
              <w:rPr>
                <w:sz w:val="16"/>
                <w:szCs w:val="16"/>
                <w:color w:val="auto"/>
              </w:rPr>
            </w:pPr>
          </w:p>
        </w:tc>
        <w:tc>
          <w:tcPr>
            <w:tcW w:w="232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Liquidity</w:t>
            </w: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5"/>
          </w:tcPr>
          <w:p>
            <w:pPr>
              <w:jc w:val="center"/>
              <w:ind w:right="380"/>
              <w:spacing w:after="0" w:line="187" w:lineRule="exact"/>
              <w:rPr>
                <w:sz w:val="20"/>
                <w:szCs w:val="20"/>
                <w:color w:val="auto"/>
              </w:rPr>
            </w:pPr>
            <w:r>
              <w:rPr>
                <w:rFonts w:ascii="Times New Roman" w:cs="Times New Roman" w:eastAsia="Times New Roman" w:hAnsi="Times New Roman"/>
                <w:sz w:val="21"/>
                <w:szCs w:val="21"/>
                <w:color w:val="auto"/>
                <w:w w:val="98"/>
              </w:rPr>
              <w:t>(the "Base Rate Margin")</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Borders>
              <w:top w:val="single" w:sz="8" w:color="auto"/>
            </w:tcBorders>
            <w:gridSpan w:val="3"/>
          </w:tcPr>
          <w:p>
            <w:pPr>
              <w:jc w:val="center"/>
              <w:spacing w:after="0" w:line="187" w:lineRule="exact"/>
              <w:rPr>
                <w:sz w:val="20"/>
                <w:szCs w:val="20"/>
                <w:color w:val="auto"/>
              </w:rPr>
            </w:pPr>
            <w:r>
              <w:rPr>
                <w:rFonts w:ascii="Times New Roman" w:cs="Times New Roman" w:eastAsia="Times New Roman" w:hAnsi="Times New Roman"/>
                <w:sz w:val="21"/>
                <w:szCs w:val="21"/>
                <w:color w:val="auto"/>
                <w:w w:val="98"/>
              </w:rPr>
              <w:t>"SOFR Margin")</w:t>
            </w:r>
          </w:p>
        </w:tc>
        <w:tc>
          <w:tcPr>
            <w:tcW w:w="300" w:type="dxa"/>
            <w:vAlign w:val="bottom"/>
            <w:tcBorders>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2320" w:type="dxa"/>
            <w:vAlign w:val="bottom"/>
            <w:tcBorders>
              <w:right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60" w:type="dxa"/>
            <w:vAlign w:val="bottom"/>
            <w:tcBorders>
              <w:left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00" w:type="dxa"/>
            <w:vAlign w:val="bottom"/>
            <w:tcBorders>
              <w:left w:val="single" w:sz="8" w:color="auto"/>
              <w:right w:val="single" w:sz="8" w:color="auto"/>
            </w:tcBorders>
            <w:gridSpan w:val="3"/>
          </w:tcPr>
          <w:p>
            <w:pPr>
              <w:ind w:left="80"/>
              <w:spacing w:after="0" w:line="187" w:lineRule="exact"/>
              <w:rPr>
                <w:sz w:val="20"/>
                <w:szCs w:val="20"/>
                <w:color w:val="auto"/>
              </w:rPr>
            </w:pPr>
            <w:r>
              <w:rPr>
                <w:rFonts w:ascii="Times New Roman" w:cs="Times New Roman" w:eastAsia="Times New Roman" w:hAnsi="Times New Roman"/>
                <w:sz w:val="21"/>
                <w:szCs w:val="21"/>
                <w:color w:val="auto"/>
              </w:rPr>
              <w:t>I</w:t>
            </w:r>
          </w:p>
        </w:tc>
        <w:tc>
          <w:tcPr>
            <w:tcW w:w="3840" w:type="dxa"/>
            <w:vAlign w:val="bottom"/>
            <w:tcBorders>
              <w:right w:val="single" w:sz="8" w:color="auto"/>
            </w:tcBorders>
            <w:gridSpan w:val="3"/>
          </w:tcPr>
          <w:p>
            <w:pPr>
              <w:ind w:left="20"/>
              <w:spacing w:after="0" w:line="187" w:lineRule="exact"/>
              <w:rPr>
                <w:sz w:val="20"/>
                <w:szCs w:val="20"/>
                <w:color w:val="auto"/>
              </w:rPr>
            </w:pPr>
            <w:r>
              <w:rPr>
                <w:rFonts w:ascii="Times New Roman" w:cs="Times New Roman" w:eastAsia="Times New Roman" w:hAnsi="Times New Roman"/>
                <w:sz w:val="21"/>
                <w:szCs w:val="21"/>
                <w:color w:val="auto"/>
              </w:rPr>
              <w:t>If Liquidity is less than thirty-five percent</w:t>
            </w:r>
          </w:p>
        </w:tc>
        <w:tc>
          <w:tcPr>
            <w:tcW w:w="3220" w:type="dxa"/>
            <w:vAlign w:val="bottom"/>
            <w:tcBorders>
              <w:right w:val="single" w:sz="8" w:color="auto"/>
            </w:tcBorders>
            <w:gridSpan w:val="9"/>
          </w:tcPr>
          <w:p>
            <w:pPr>
              <w:ind w:left="60"/>
              <w:spacing w:after="0" w:line="187" w:lineRule="exact"/>
              <w:rPr>
                <w:sz w:val="20"/>
                <w:szCs w:val="20"/>
                <w:color w:val="auto"/>
              </w:rPr>
            </w:pPr>
            <w:r>
              <w:rPr>
                <w:rFonts w:ascii="Times New Roman" w:cs="Times New Roman" w:eastAsia="Times New Roman" w:hAnsi="Times New Roman"/>
                <w:sz w:val="21"/>
                <w:szCs w:val="21"/>
                <w:color w:val="auto"/>
              </w:rPr>
              <w:t>1.00 percentage points</w:t>
            </w:r>
          </w:p>
        </w:tc>
        <w:tc>
          <w:tcPr>
            <w:tcW w:w="3200" w:type="dxa"/>
            <w:vAlign w:val="bottom"/>
            <w:tcBorders>
              <w:right w:val="single" w:sz="8" w:color="auto"/>
            </w:tcBorders>
            <w:gridSpan w:val="7"/>
          </w:tcPr>
          <w:p>
            <w:pPr>
              <w:ind w:left="60"/>
              <w:spacing w:after="0" w:line="187" w:lineRule="exact"/>
              <w:rPr>
                <w:sz w:val="20"/>
                <w:szCs w:val="20"/>
                <w:color w:val="auto"/>
              </w:rPr>
            </w:pPr>
            <w:r>
              <w:rPr>
                <w:rFonts w:ascii="Times New Roman" w:cs="Times New Roman" w:eastAsia="Times New Roman" w:hAnsi="Times New Roman"/>
                <w:sz w:val="21"/>
                <w:szCs w:val="21"/>
                <w:color w:val="auto"/>
              </w:rPr>
              <w:t>2.00 percentage points</w:t>
            </w: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rPr>
              <w:t>(35%) of the Maximum Revolver Amount at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3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1"/>
                <w:szCs w:val="21"/>
                <w:color w:val="auto"/>
              </w:rPr>
              <w:t>any time during such period</w:t>
            </w: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II</w:t>
            </w:r>
          </w:p>
        </w:tc>
        <w:tc>
          <w:tcPr>
            <w:tcW w:w="3840" w:type="dxa"/>
            <w:vAlign w:val="bottom"/>
            <w:tcBorders>
              <w:right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21"/>
                <w:szCs w:val="21"/>
                <w:color w:val="auto"/>
              </w:rPr>
              <w:t>If Liquidity is greater than or equal to thirty-</w:t>
            </w:r>
          </w:p>
        </w:tc>
        <w:tc>
          <w:tcPr>
            <w:tcW w:w="3220" w:type="dxa"/>
            <w:vAlign w:val="bottom"/>
            <w:tcBorders>
              <w:right w:val="single" w:sz="8" w:color="auto"/>
            </w:tcBorders>
            <w:gridSpan w:val="9"/>
          </w:tcPr>
          <w:p>
            <w:pPr>
              <w:ind w:left="60"/>
              <w:spacing w:after="0" w:line="188" w:lineRule="exact"/>
              <w:rPr>
                <w:sz w:val="20"/>
                <w:szCs w:val="20"/>
                <w:color w:val="auto"/>
              </w:rPr>
            </w:pPr>
            <w:r>
              <w:rPr>
                <w:rFonts w:ascii="Times New Roman" w:cs="Times New Roman" w:eastAsia="Times New Roman" w:hAnsi="Times New Roman"/>
                <w:sz w:val="21"/>
                <w:szCs w:val="21"/>
                <w:color w:val="auto"/>
              </w:rPr>
              <w:t>0.75 percentage points</w:t>
            </w:r>
          </w:p>
        </w:tc>
        <w:tc>
          <w:tcPr>
            <w:tcW w:w="3200" w:type="dxa"/>
            <w:vAlign w:val="bottom"/>
            <w:tcBorders>
              <w:right w:val="single" w:sz="8" w:color="auto"/>
            </w:tcBorders>
            <w:gridSpan w:val="7"/>
          </w:tcPr>
          <w:p>
            <w:pPr>
              <w:ind w:left="60"/>
              <w:spacing w:after="0" w:line="188" w:lineRule="exact"/>
              <w:rPr>
                <w:sz w:val="20"/>
                <w:szCs w:val="20"/>
                <w:color w:val="auto"/>
              </w:rPr>
            </w:pPr>
            <w:r>
              <w:rPr>
                <w:rFonts w:ascii="Times New Roman" w:cs="Times New Roman" w:eastAsia="Times New Roman" w:hAnsi="Times New Roman"/>
                <w:sz w:val="21"/>
                <w:szCs w:val="21"/>
                <w:color w:val="auto"/>
              </w:rPr>
              <w:t>1.75 percentage points</w:t>
            </w: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w w:val="97"/>
              </w:rPr>
              <w:t>five percent (35%) of the Maximum Revolver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rPr>
              <w:t>Amount at all times during such period and</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w w:val="98"/>
              </w:rPr>
              <w:t>less than fifty percent (50%) of the Maximum</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rPr>
              <w:t>Revolver Amount at any time during such</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3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1"/>
                <w:szCs w:val="21"/>
                <w:color w:val="auto"/>
              </w:rPr>
              <w:t>period</w:t>
            </w: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right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21"/>
                <w:szCs w:val="21"/>
                <w:color w:val="auto"/>
              </w:rPr>
              <w:t>III</w:t>
            </w:r>
          </w:p>
        </w:tc>
        <w:tc>
          <w:tcPr>
            <w:tcW w:w="3840" w:type="dxa"/>
            <w:vAlign w:val="bottom"/>
            <w:tcBorders>
              <w:right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21"/>
                <w:szCs w:val="21"/>
                <w:color w:val="auto"/>
              </w:rPr>
              <w:t>If Liquidity is greater than or equal to fifty</w:t>
            </w:r>
          </w:p>
        </w:tc>
        <w:tc>
          <w:tcPr>
            <w:tcW w:w="3220" w:type="dxa"/>
            <w:vAlign w:val="bottom"/>
            <w:tcBorders>
              <w:right w:val="single" w:sz="8" w:color="auto"/>
            </w:tcBorders>
            <w:gridSpan w:val="9"/>
          </w:tcPr>
          <w:p>
            <w:pPr>
              <w:ind w:left="60"/>
              <w:spacing w:after="0" w:line="188" w:lineRule="exact"/>
              <w:rPr>
                <w:sz w:val="20"/>
                <w:szCs w:val="20"/>
                <w:color w:val="auto"/>
              </w:rPr>
            </w:pPr>
            <w:r>
              <w:rPr>
                <w:rFonts w:ascii="Times New Roman" w:cs="Times New Roman" w:eastAsia="Times New Roman" w:hAnsi="Times New Roman"/>
                <w:sz w:val="21"/>
                <w:szCs w:val="21"/>
                <w:color w:val="auto"/>
              </w:rPr>
              <w:t>0.50 percentage points</w:t>
            </w:r>
          </w:p>
        </w:tc>
        <w:tc>
          <w:tcPr>
            <w:tcW w:w="3200" w:type="dxa"/>
            <w:vAlign w:val="bottom"/>
            <w:tcBorders>
              <w:right w:val="single" w:sz="8" w:color="auto"/>
            </w:tcBorders>
            <w:gridSpan w:val="7"/>
          </w:tcPr>
          <w:p>
            <w:pPr>
              <w:ind w:left="60"/>
              <w:spacing w:after="0" w:line="188" w:lineRule="exact"/>
              <w:rPr>
                <w:sz w:val="20"/>
                <w:szCs w:val="20"/>
                <w:color w:val="auto"/>
              </w:rPr>
            </w:pPr>
            <w:r>
              <w:rPr>
                <w:rFonts w:ascii="Times New Roman" w:cs="Times New Roman" w:eastAsia="Times New Roman" w:hAnsi="Times New Roman"/>
                <w:sz w:val="21"/>
                <w:szCs w:val="21"/>
                <w:color w:val="auto"/>
              </w:rPr>
              <w:t>1.50 percentage points</w:t>
            </w:r>
          </w:p>
        </w:tc>
        <w:tc>
          <w:tcPr>
            <w:tcW w:w="0" w:type="dxa"/>
            <w:vAlign w:val="bottom"/>
          </w:tcPr>
          <w:p>
            <w:pPr>
              <w:spacing w:after="0"/>
              <w:rPr>
                <w:sz w:val="1"/>
                <w:szCs w:val="1"/>
                <w:color w:val="auto"/>
              </w:rPr>
            </w:pPr>
          </w:p>
        </w:tc>
      </w:tr>
      <w:tr>
        <w:trPr>
          <w:trHeight w:val="206"/>
        </w:trPr>
        <w:tc>
          <w:tcPr>
            <w:tcW w:w="260" w:type="dxa"/>
            <w:vAlign w:val="bottom"/>
            <w:tcBorders>
              <w:lef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21"/>
                <w:szCs w:val="21"/>
                <w:color w:val="auto"/>
              </w:rPr>
              <w:t>percent (50%) of the Maximum Revolver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38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1"/>
                <w:szCs w:val="21"/>
                <w:color w:val="auto"/>
              </w:rPr>
              <w:t>Amount at all times during such period</w:t>
            </w: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Applicable Margin shall be re-determined as of the first day of each quarter.</w:t>
      </w:r>
    </w:p>
    <w:p>
      <w:pPr>
        <w:spacing w:after="0" w:line="171" w:lineRule="exact"/>
        <w:rPr>
          <w:sz w:val="20"/>
          <w:szCs w:val="20"/>
          <w:color w:val="auto"/>
        </w:rPr>
      </w:pPr>
    </w:p>
    <w:p>
      <w:pPr>
        <w:jc w:val="both"/>
        <w:ind w:right="20"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xml:space="preserve">" means (i) Daily Simple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SOFR Margin, or (ii) subject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if Daily Simple SOFR is no longer available or cannot be calculated for any reason (including as a result of any market disruption generally) or Wells Fargo determines that it is unlawful or impractical to offer Daily Simple SOFR,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Base Rate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60"/>
          </w:cols>
          <w:pgMar w:left="320" w:top="1440" w:right="319" w:bottom="1440" w:gutter="0" w:footer="0" w:header="0"/>
        </w:sectPr>
      </w:pPr>
    </w:p>
    <w:bookmarkStart w:id="55" w:name="page56"/>
    <w:bookmarkEnd w:id="55"/>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Application Event</w:t>
      </w:r>
      <w:r>
        <w:rPr>
          <w:rFonts w:ascii="Times New Roman" w:cs="Times New Roman" w:eastAsia="Times New Roman" w:hAnsi="Times New Roman"/>
          <w:sz w:val="21"/>
          <w:szCs w:val="21"/>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Acceptance</w:t>
      </w:r>
      <w:r>
        <w:rPr>
          <w:rFonts w:ascii="Times New Roman" w:cs="Times New Roman" w:eastAsia="Times New Roman" w:hAnsi="Times New Roman"/>
          <w:sz w:val="21"/>
          <w:szCs w:val="21"/>
          <w:color w:val="auto"/>
        </w:rPr>
        <w:t xml:space="preserve">" means an Assignment and Acceptance Agreement substantially in the form of </w:t>
      </w:r>
      <w:r>
        <w:rPr>
          <w:rFonts w:ascii="Times New Roman" w:cs="Times New Roman" w:eastAsia="Times New Roman" w:hAnsi="Times New Roman"/>
          <w:sz w:val="21"/>
          <w:szCs w:val="21"/>
          <w:u w:val="single" w:color="auto"/>
          <w:color w:val="auto"/>
        </w:rPr>
        <w:t>Exhibit A-1</w:t>
      </w:r>
      <w:r>
        <w:rPr>
          <w:rFonts w:ascii="Times New Roman" w:cs="Times New Roman" w:eastAsia="Times New Roman" w:hAnsi="Times New Roman"/>
          <w:sz w:val="21"/>
          <w:szCs w:val="21"/>
          <w:color w:val="auto"/>
        </w:rPr>
        <w:t xml:space="preserve"> to this Agreement.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Person</w:t>
      </w:r>
      <w:r>
        <w:rPr>
          <w:rFonts w:ascii="Times New Roman" w:cs="Times New Roman" w:eastAsia="Times New Roman" w:hAnsi="Times New Roman"/>
          <w:sz w:val="21"/>
          <w:szCs w:val="21"/>
          <w:color w:val="auto"/>
        </w:rPr>
        <w:t xml:space="preserve">" means any one of the individuals identified as an officer of a Borrower on </w:t>
      </w:r>
      <w:r>
        <w:rPr>
          <w:rFonts w:ascii="Times New Roman" w:cs="Times New Roman" w:eastAsia="Times New Roman" w:hAnsi="Times New Roman"/>
          <w:sz w:val="21"/>
          <w:szCs w:val="21"/>
          <w:u w:val="single" w:color="auto"/>
          <w:color w:val="auto"/>
        </w:rPr>
        <w:t>Schedule A-2</w:t>
      </w:r>
      <w:r>
        <w:rPr>
          <w:rFonts w:ascii="Times New Roman" w:cs="Times New Roman" w:eastAsia="Times New Roman" w:hAnsi="Times New Roman"/>
          <w:sz w:val="21"/>
          <w:szCs w:val="21"/>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w:t>
      </w:r>
      <w:r>
        <w:rPr>
          <w:rFonts w:ascii="Times New Roman" w:cs="Times New Roman" w:eastAsia="Times New Roman" w:hAnsi="Times New Roman"/>
          <w:sz w:val="21"/>
          <w:szCs w:val="21"/>
          <w:color w:val="auto"/>
        </w:rPr>
        <w:t xml:space="preserve">" means, as of any date of determination, the amount that Borrowers are entitled to borrow as Revolving Loans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 (after giving effect to the then outstanding Revolver Usage).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Average Revolver Usage</w:t>
      </w:r>
      <w:r>
        <w:rPr>
          <w:rFonts w:ascii="Times New Roman" w:cs="Times New Roman" w:eastAsia="Times New Roman" w:hAnsi="Times New Roman"/>
          <w:sz w:val="21"/>
          <w:szCs w:val="21"/>
          <w:color w:val="auto"/>
        </w:rPr>
        <w:t>" means, with respect to any period, the sum of the aggregate amount of Revolver Usage for each day in such period (calculated as of the end of each respective day) divided by the number of days in such period.</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w:t>
      </w:r>
      <w:r>
        <w:rPr>
          <w:rFonts w:ascii="Times New Roman" w:cs="Times New Roman" w:eastAsia="Times New Roman" w:hAnsi="Times New Roman"/>
          <w:sz w:val="21"/>
          <w:szCs w:val="21"/>
          <w:color w:val="auto"/>
        </w:rPr>
        <w:t>" means any one or more of the following financial products or accommodations extended to any Loan Party or any of its Subsidiaries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31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Agreements</w:t>
      </w:r>
      <w:r>
        <w:rPr>
          <w:rFonts w:ascii="Times New Roman" w:cs="Times New Roman" w:eastAsia="Times New Roman" w:hAnsi="Times New Roman"/>
          <w:sz w:val="21"/>
          <w:szCs w:val="21"/>
          <w:color w:val="auto"/>
        </w:rPr>
        <w:t>" means those agreements entered into from time to time by any Loan Party or any of its Subsidiaries with a Bank Product Provider in connection with the obtaining of any of the Bank Products.</w:t>
      </w:r>
    </w:p>
    <w:p>
      <w:pPr>
        <w:spacing w:after="0" w:line="155"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Collateralization</w:t>
      </w:r>
      <w:r>
        <w:rPr>
          <w:rFonts w:ascii="Times New Roman" w:cs="Times New Roman" w:eastAsia="Times New Roman" w:hAnsi="Times New Roman"/>
          <w:sz w:val="21"/>
          <w:szCs w:val="21"/>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spacing w:after="0" w:line="146"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Obligations</w:t>
      </w:r>
      <w:r>
        <w:rPr>
          <w:rFonts w:ascii="Times New Roman" w:cs="Times New Roman" w:eastAsia="Times New Roman" w:hAnsi="Times New Roman"/>
          <w:sz w:val="21"/>
          <w:szCs w:val="21"/>
          <w:color w:val="auto"/>
        </w:rPr>
        <w:t>" means (a) all obligations, liabilities, reimbursement obligations, fees, or expenses owing by each Loan Party and its Subsidiaries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spacing w:after="0" w:line="15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Provider</w:t>
      </w:r>
      <w:r>
        <w:rPr>
          <w:rFonts w:ascii="Times New Roman" w:cs="Times New Roman" w:eastAsia="Times New Roman" w:hAnsi="Times New Roman"/>
          <w:sz w:val="21"/>
          <w:szCs w:val="21"/>
          <w:color w:val="auto"/>
        </w:rPr>
        <w:t>" means Wells Fargo or any of its Affiliates, including each of the foregoing in its capacity, if applicable, as a Hedge Provider.</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Provider Agreement</w:t>
      </w:r>
      <w:r>
        <w:rPr>
          <w:rFonts w:ascii="Times New Roman" w:cs="Times New Roman" w:eastAsia="Times New Roman" w:hAnsi="Times New Roman"/>
          <w:sz w:val="21"/>
          <w:szCs w:val="21"/>
          <w:color w:val="auto"/>
        </w:rPr>
        <w:t xml:space="preserve">" means an agreement in substantially the form attached hereto as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 xml:space="preserve"> to this Agreement, in form and substance satisfactory to Agent, duly executed by the applicable Bank Product Provider, the applicable Loan Parties, and Agent.</w:t>
      </w:r>
    </w:p>
    <w:p>
      <w:pPr>
        <w:spacing w:after="0" w:line="146"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Reserves</w:t>
      </w:r>
      <w:r>
        <w:rPr>
          <w:rFonts w:ascii="Times New Roman" w:cs="Times New Roman" w:eastAsia="Times New Roman" w:hAnsi="Times New Roman"/>
          <w:sz w:val="20"/>
          <w:szCs w:val="20"/>
          <w:color w:val="auto"/>
        </w:rPr>
        <w:t>" means, as of any date of determination, those reserves that Agent reasonably deems necessary or appropriate to establish (based upon the Bank Product Providers' good faith determination of the liabilities and obligations of each Loan Party and its Subsidiaries in respect of Bank Product Obligations) in respect of Bank Products then provided or outstanding.</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title 11 of the United States Code, as in effect from time to time.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Bayonet</w:t>
      </w:r>
      <w:r>
        <w:rPr>
          <w:rFonts w:ascii="Times New Roman" w:cs="Times New Roman" w:eastAsia="Times New Roman" w:hAnsi="Times New Roman"/>
          <w:sz w:val="21"/>
          <w:szCs w:val="21"/>
          <w:color w:val="auto"/>
        </w:rPr>
        <w:t>" means Bayonet Plumbing, Heating &amp; Air-Conditioning, LLC, a Florida limited liability company.</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on any day, the greatest of (a) the Floor, (b) the Federal Funds Rate in effect on such day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½%,</w:t>
      </w:r>
    </w:p>
    <w:p>
      <w:pPr>
        <w:spacing w:after="0" w:line="2" w:lineRule="exact"/>
        <w:rPr>
          <w:sz w:val="20"/>
          <w:szCs w:val="20"/>
          <w:color w:val="auto"/>
        </w:rPr>
      </w:pPr>
    </w:p>
    <w:p>
      <w:pPr>
        <w:jc w:val="both"/>
        <w:ind w:firstLine="3"/>
        <w:spacing w:after="0" w:line="214" w:lineRule="auto"/>
        <w:tabs>
          <w:tab w:leader="none" w:pos="28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Daily Simple SOFR in effect on such day,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1%, and (d)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internal publications as Wells Fargo may designate (and, if any such announced rate is below zero, then the rate determined pursuant to this clause (d) shall be deemed to be zero).</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each portion of the Revolving Loans that bears interest at a rate determined by reference to the</w:t>
      </w:r>
    </w:p>
    <w:p>
      <w:pPr>
        <w:spacing w:after="0"/>
        <w:rPr>
          <w:sz w:val="20"/>
          <w:szCs w:val="20"/>
          <w:color w:val="auto"/>
        </w:rPr>
      </w:pPr>
      <w:r>
        <w:rPr>
          <w:rFonts w:ascii="Times New Roman" w:cs="Times New Roman" w:eastAsia="Times New Roman" w:hAnsi="Times New Roman"/>
          <w:sz w:val="21"/>
          <w:szCs w:val="21"/>
          <w:color w:val="auto"/>
        </w:rPr>
        <w:t>Base Rate.</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Margin</w:t>
      </w:r>
      <w:r>
        <w:rPr>
          <w:rFonts w:ascii="Times New Roman" w:cs="Times New Roman" w:eastAsia="Times New Roman" w:hAnsi="Times New Roman"/>
          <w:sz w:val="21"/>
          <w:szCs w:val="21"/>
          <w:color w:val="auto"/>
        </w:rPr>
        <w:t>" has the meaning set forth in the definition of Applicable Margin.</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Daily Simple SOFR, provided, that, if a Benchmark Transition Event, has occurred with respect to Daily Simple SOFR or the then-current Benchmark, then “Benchmark” means the applicable Benchmark Replacement to the extent that such Benchmark Replacement has become effective pursuant to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Administrator</w:t>
      </w:r>
      <w:r>
        <w:rPr>
          <w:rFonts w:ascii="Times New Roman" w:cs="Times New Roman" w:eastAsia="Times New Roman" w:hAnsi="Times New Roman"/>
          <w:sz w:val="21"/>
          <w:szCs w:val="21"/>
          <w:color w:val="auto"/>
        </w:rPr>
        <w:t>” means, initially, the Federal Reserve Bank of New York, or any successor administrator of the then-current Benchmark or any insolvency or resolution official with authority over such administrator</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the sum of: (a) the alternate rate of interest that has been selected by Agent and Administrative Borrower as the replacement for the then-current Benchmark; and (b) the spread adjustment or method for calculating or determining such spread adjustment, (which may be a positive or negative value or zero) that has been selected by Agent and Administrative Borrower, in each case, giving due consideration to (i) any selection or recommendation by the Relevant Governmental Body at such time for a replacement rate, the mechanism for determining such a rate, the methodology or conventions applicable to such rate, or the spread adjustment, or method for calculating or determining such spread adjustment, for such rate, or (ii) any evolving or then-prevailing market convention for determining a rate of interest as a replacement to the then-current Benchmark, the methodology or conventions applicable to such rate, or the spread adjustment, or method for calculating or determining such spread adjustment, for such alternate rate for U.S. dollar-denominated syndicated or bilateral credit facilities at such time; provided, that, if the Benchmark Replacement as determined as provided above would be less than zero, then the Benchmark Replacement shall be deemed to be zero.</w:t>
      </w:r>
    </w:p>
    <w:p>
      <w:pPr>
        <w:spacing w:after="0" w:line="151"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any technical, administrative or operational changes (including changes to the timing and frequency of determining rates and making payments of interest, prepayment provisions, and other technical, administrative or operational matters) that Agent decides may be appropriate to reflect the adoption and implementation of such Benchmark Replacement and to permit the administration thereof by Agent in a manner substantially consistent with market practice (or, if Agent decides that adoption of any portion of such market practice is not administratively feasible or if Agent determines that no market practice for the administration of the Benchmark Replacement exists, in such other manner of administration as Agent decides is reasonably necessary in connection with the administration of any Loan Document).</w:t>
      </w:r>
    </w:p>
    <w:p>
      <w:pPr>
        <w:spacing w:after="0" w:line="13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the earliest to occur of the following events with respect to the then-current</w:t>
      </w:r>
    </w:p>
    <w:p>
      <w:pPr>
        <w:spacing w:after="0"/>
        <w:rPr>
          <w:sz w:val="20"/>
          <w:szCs w:val="20"/>
          <w:color w:val="auto"/>
        </w:rPr>
      </w:pPr>
      <w:r>
        <w:rPr>
          <w:rFonts w:ascii="Times New Roman" w:cs="Times New Roman" w:eastAsia="Times New Roman" w:hAnsi="Times New Roman"/>
          <w:sz w:val="21"/>
          <w:szCs w:val="21"/>
          <w:color w:val="auto"/>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86" w:lineRule="exact"/>
        <w:rPr>
          <w:sz w:val="20"/>
          <w:szCs w:val="20"/>
          <w:color w:val="auto"/>
        </w:rPr>
      </w:pPr>
    </w:p>
    <w:p>
      <w:pPr>
        <w:jc w:val="both"/>
        <w:ind w:firstLine="1241"/>
        <w:spacing w:after="0" w:line="225" w:lineRule="auto"/>
        <w:tabs>
          <w:tab w:leader="none" w:pos="173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(a) of the definition of “Benchmark Transition Event,” the later of (i) the date of the public statement or publication of information referenced therein and (ii) the date on which the Benchmark Administrator permanently or indefinitely ceases to provide the Benchmark;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68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(b) of the definition of “Benchmark Transition Event”, the first date on which such Benchmark has been determined and announced by or on behalf of the regulatory supervisor for the Benchmark Administrator to be non-representative of underlying markets; provided, that such non-representativeness will be determined by reference to the most recent statement or publication referenced in such clause (b) and even if the Benchmark continues to be provided on such date.</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the occurrence of one or more of the following events with respect to the then-current Benchmark: a public statement or publication of information by or on behalf of the Benchmark Administrator or a regulatory supervisor for the Benchmark Administrator announcing that (a) the Benchmark Administrator has ceased or will cease to provide the Benchmark permanently or indefinitely or (b) the Benchmark is no longer representative.</w:t>
      </w:r>
    </w:p>
    <w:p>
      <w:pPr>
        <w:spacing w:after="0" w:line="146" w:lineRule="exact"/>
        <w:rPr>
          <w:sz w:val="20"/>
          <w:szCs w:val="20"/>
          <w:color w:val="auto"/>
        </w:rPr>
      </w:pPr>
    </w:p>
    <w:p>
      <w:pPr>
        <w:jc w:val="both"/>
        <w:ind w:firstLine="123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if a Benchmark Transition Event and its related Benchmark Replacement Date have occurred with respect to the then-current Benchmark and solely to the extent that the Benchmark has not been replaced with a Benchmark Replacement, the period (a) beginning at the time that such Benchmark Replacement Date has occurred if, at such time, no Benchmark Replacement has replaced the Benchmark for all purposes hereunder in accordance with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 xml:space="preserve"> and (b) ending at the time that a Benchmark Replacement has replaced the Benchmark for all purposes hereunder pursuant to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 "defined benefit plan" (as defined in Section 3(35) of ERISA) for which any Loan Party or any of its Subsidiaries or ERISA Affiliates has been an "employer" (as defined in Section 3(5) of ERISA) within the past six years.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Person means an "affiliate" (as such term is defined under, and interpreted in accordance with, 12 U.S.C. 1841(k)) of such Person.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as to any Person, the board of directors (or comparable managers) of such Person, or any committee thereof duly authorized to act on behalf of the board of directors (or comparable managers).</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Governors</w:t>
      </w:r>
      <w:r>
        <w:rPr>
          <w:rFonts w:ascii="Times New Roman" w:cs="Times New Roman" w:eastAsia="Times New Roman" w:hAnsi="Times New Roman"/>
          <w:sz w:val="21"/>
          <w:szCs w:val="21"/>
          <w:color w:val="auto"/>
        </w:rPr>
        <w:t>" means the Board of Governors of the Federal Reserve System of the United States (or any</w:t>
      </w:r>
    </w:p>
    <w:p>
      <w:pPr>
        <w:spacing w:after="0"/>
        <w:rPr>
          <w:sz w:val="20"/>
          <w:szCs w:val="20"/>
          <w:color w:val="auto"/>
        </w:rPr>
      </w:pPr>
      <w:r>
        <w:rPr>
          <w:rFonts w:ascii="Times New Roman" w:cs="Times New Roman" w:eastAsia="Times New Roman" w:hAnsi="Times New Roman"/>
          <w:sz w:val="21"/>
          <w:szCs w:val="21"/>
          <w:color w:val="auto"/>
        </w:rPr>
        <w:t>successor).</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Bonded Accounts</w:t>
      </w:r>
      <w:r>
        <w:rPr>
          <w:rFonts w:ascii="Times New Roman" w:cs="Times New Roman" w:eastAsia="Times New Roman" w:hAnsi="Times New Roman"/>
          <w:sz w:val="21"/>
          <w:szCs w:val="21"/>
          <w:color w:val="auto"/>
        </w:rPr>
        <w:t>" as to any Borrower, all now owned or hereafter acquired Accounts and (whether included in such definition) accounts receivable; and proceeds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than such proceeds which are negotiable instruments or cash or Cash Equivalents in the possession or control of Lender), including without limitation, all insurance proceeds and letter of credit proceeds, in each case solely to the extent such accounts, accounts receivable, and proceeds arise out of a Bonded Contract, including, but not limited to, Bonded Retainage, and all forms of obligations whatsoever owing to any Loan Party under instruments and documents of title constituting the foregoing or proceeds thereof; and all rights, securities, and guarantees with respect to each of the foregoing.</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Bonded Contract</w:t>
      </w:r>
      <w:r>
        <w:rPr>
          <w:rFonts w:ascii="Times New Roman" w:cs="Times New Roman" w:eastAsia="Times New Roman" w:hAnsi="Times New Roman"/>
          <w:sz w:val="21"/>
          <w:szCs w:val="21"/>
          <w:color w:val="auto"/>
        </w:rPr>
        <w:t xml:space="preserve">" the contracts listed on </w:t>
      </w:r>
      <w:r>
        <w:rPr>
          <w:rFonts w:ascii="Times New Roman" w:cs="Times New Roman" w:eastAsia="Times New Roman" w:hAnsi="Times New Roman"/>
          <w:sz w:val="21"/>
          <w:szCs w:val="21"/>
          <w:u w:val="single" w:color="auto"/>
          <w:color w:val="auto"/>
        </w:rPr>
        <w:t>Schedule 4.32</w:t>
      </w:r>
      <w:r>
        <w:rPr>
          <w:rFonts w:ascii="Times New Roman" w:cs="Times New Roman" w:eastAsia="Times New Roman" w:hAnsi="Times New Roman"/>
          <w:sz w:val="21"/>
          <w:szCs w:val="21"/>
          <w:color w:val="auto"/>
        </w:rPr>
        <w:t xml:space="preserve"> on the Closing Date and any future contract in respect of which any Surety Bond is issued on behalf of any Borrower and Lender receives written notice of such Surety Bond from Borrower prior to any Account related thereto being included in the Borrowing Base or reported on a Borrowing Base Certificate.</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Bonded Equipment</w:t>
      </w:r>
      <w:r>
        <w:rPr>
          <w:rFonts w:ascii="Times New Roman" w:cs="Times New Roman" w:eastAsia="Times New Roman" w:hAnsi="Times New Roman"/>
          <w:sz w:val="21"/>
          <w:szCs w:val="21"/>
          <w:color w:val="auto"/>
        </w:rPr>
        <w:t>" all now owned or hereafter acquired right, title and interest with respect to Equipment, owned by a Borrower and (whether or not included in such definition) all other personal property in each case which is delivered to, prefabricated for or specifically ordered for a Bonded Job Site, whether or not the same will be deemed to be affixed to, arise out of or relate to any real property, together with all accessions thereto.</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Bonded Inventory</w:t>
      </w:r>
      <w:r>
        <w:rPr>
          <w:rFonts w:ascii="Times New Roman" w:cs="Times New Roman" w:eastAsia="Times New Roman" w:hAnsi="Times New Roman"/>
          <w:sz w:val="21"/>
          <w:szCs w:val="21"/>
          <w:color w:val="auto"/>
        </w:rPr>
        <w:t>" all now owned and hereafter acquired Inventory of Borrowers, including, without limitation, goods, merchandise and other personal property in each case which is furnished under any Bonded Contract, all raw materials, work in process, finished goods and materials and supplies of any kind, nature or description in each case which is delivered to, prefabricated for or specifically ordered for a Bonded Job Site.</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Bonded Job Site</w:t>
      </w:r>
      <w:r>
        <w:rPr>
          <w:rFonts w:ascii="Times New Roman" w:cs="Times New Roman" w:eastAsia="Times New Roman" w:hAnsi="Times New Roman"/>
          <w:sz w:val="21"/>
          <w:szCs w:val="21"/>
          <w:color w:val="auto"/>
        </w:rPr>
        <w:t>" the site specified in a Bonded Contract where any Borrower is to perform the specialized electrical and communication services required thereunder, including all other labor, materials, equipment and services provided or to be provided to fulfill its obligations thereunder.</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Bonded Retainage</w:t>
      </w:r>
      <w:r>
        <w:rPr>
          <w:rFonts w:ascii="Times New Roman" w:cs="Times New Roman" w:eastAsia="Times New Roman" w:hAnsi="Times New Roman"/>
          <w:sz w:val="21"/>
          <w:szCs w:val="21"/>
          <w:color w:val="auto"/>
        </w:rPr>
        <w:t>" contract proceeds periodically withheld by an account debtor to provide further security for the performance by any Borrower of a Bonded Contract, and as such are payable to it only upon a clear demonstration of compliance with terms of the Bonded Contract.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have the respective meanings specified therefor in the preamble to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17.9(c)</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Borrowing</w:t>
      </w:r>
      <w:r>
        <w:rPr>
          <w:rFonts w:ascii="Times New Roman" w:cs="Times New Roman" w:eastAsia="Times New Roman" w:hAnsi="Times New Roman"/>
          <w:sz w:val="21"/>
          <w:szCs w:val="21"/>
          <w:color w:val="auto"/>
        </w:rPr>
        <w:t>" means a borrowing consisting of Revolving Loans made on the same day by the Lenders (or Agent on behalf thereof), or by Swing Lender in the case of a Swing Loan, or by Agent in the case of an Extraordinary Advance.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means, as of any date of determination, the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86" w:lineRule="exact"/>
        <w:rPr>
          <w:sz w:val="20"/>
          <w:szCs w:val="20"/>
          <w:color w:val="auto"/>
        </w:rPr>
      </w:pPr>
    </w:p>
    <w:p>
      <w:pPr>
        <w:ind w:left="1860" w:hanging="619"/>
        <w:spacing w:after="0"/>
        <w:tabs>
          <w:tab w:leader="none" w:pos="18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Accounts Availability Amount,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lowest of</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$5,000,000,</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sixty-five percent (65%) of the Value of Eligible Inventory, or</w:t>
      </w:r>
    </w:p>
    <w:p>
      <w:pPr>
        <w:spacing w:after="0" w:line="169"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eighty-five percent (85%) times the most recently determined Net Liquidation Percentage times the Value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 xml:space="preserve">of Eligible Inventory, </w:t>
      </w:r>
      <w:r>
        <w:rPr>
          <w:rFonts w:ascii="Times New Roman" w:cs="Times New Roman" w:eastAsia="Times New Roman" w:hAnsi="Times New Roman"/>
          <w:sz w:val="21"/>
          <w:szCs w:val="21"/>
          <w:u w:val="single" w:color="auto"/>
          <w:color w:val="auto"/>
        </w:rPr>
        <w:t>plus</w:t>
      </w:r>
    </w:p>
    <w:p>
      <w:pPr>
        <w:spacing w:after="0" w:line="149"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[reserved], </w:t>
      </w:r>
      <w:r>
        <w:rPr>
          <w:rFonts w:ascii="Times New Roman" w:cs="Times New Roman" w:eastAsia="Times New Roman" w:hAnsi="Times New Roman"/>
          <w:sz w:val="21"/>
          <w:szCs w:val="21"/>
          <w:u w:val="single" w:color="auto"/>
          <w:color w:val="auto"/>
        </w:rPr>
        <w:t>plus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Fixed Asset Availability, </w:t>
      </w:r>
      <w:r>
        <w:rPr>
          <w:rFonts w:ascii="Times New Roman" w:cs="Times New Roman" w:eastAsia="Times New Roman" w:hAnsi="Times New Roman"/>
          <w:sz w:val="21"/>
          <w:szCs w:val="21"/>
          <w:u w:val="single" w:color="auto"/>
          <w:color w:val="auto"/>
        </w:rPr>
        <w:t>minus</w:t>
      </w:r>
    </w:p>
    <w:p>
      <w:pPr>
        <w:spacing w:after="0" w:line="157"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Reserves, if any, established by Agent from time to time under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of this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49"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Notwithstanding the foregoing, any Accounts, Equipment, or Inventory acquired in connection with any Permitted Acquisition shall not be included in the calculation of the Borrowing Base until the completion of an appraisal and field examination of such Accounts, Equipment, or Inventory, in each case, with results satisfactory to the Agent in its Permitted Discretion.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Base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 xml:space="preserve"> to this Agreement, which such form of Borrowing Base Certificate may be amended, restated, supplemented or otherwise modified from time to time (including without limitation, changes to the format thereof), as approved by Agent in Agent's sole discretion.</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Sunday or other day on which the Federal Reserve Bank of New</w:t>
      </w:r>
    </w:p>
    <w:p>
      <w:pPr>
        <w:spacing w:after="0"/>
        <w:rPr>
          <w:sz w:val="20"/>
          <w:szCs w:val="20"/>
          <w:color w:val="auto"/>
        </w:rPr>
      </w:pPr>
      <w:r>
        <w:rPr>
          <w:rFonts w:ascii="Times New Roman" w:cs="Times New Roman" w:eastAsia="Times New Roman" w:hAnsi="Times New Roman"/>
          <w:sz w:val="21"/>
          <w:szCs w:val="21"/>
          <w:color w:val="auto"/>
        </w:rPr>
        <w:t>York is closed.</w:t>
      </w:r>
    </w:p>
    <w:p>
      <w:pPr>
        <w:spacing w:after="0" w:line="149"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xml:space="preserve">"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expenditures made during such period in connection with the replacement, substitution, or restoration of assets or properties pursuant to </w:t>
      </w:r>
      <w:r>
        <w:rPr>
          <w:rFonts w:ascii="Times New Roman" w:cs="Times New Roman" w:eastAsia="Times New Roman" w:hAnsi="Times New Roman"/>
          <w:sz w:val="21"/>
          <w:szCs w:val="21"/>
          <w:u w:val="single" w:color="auto"/>
          <w:color w:val="auto"/>
        </w:rPr>
        <w:t>Section 2.4(e)(iii)</w:t>
      </w:r>
      <w:r>
        <w:rPr>
          <w:rFonts w:ascii="Times New Roman" w:cs="Times New Roman" w:eastAsia="Times New Roman" w:hAnsi="Times New Roman"/>
          <w:sz w:val="21"/>
          <w:szCs w:val="21"/>
          <w:color w:val="auto"/>
        </w:rPr>
        <w:t xml:space="preserve"> of this Agreement, (b)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(c) expenditures made during such period to consummate one or more Permitted Acquisitions.</w:t>
      </w:r>
    </w:p>
    <w:p>
      <w:pPr>
        <w:spacing w:after="0" w:line="15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means a lease that is required to be capitalized for financial reporting purposes in accordance with GAAP (subject to the provisions of Section 1.2 hereof).</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Capitalized Lease Obligation</w:t>
      </w:r>
      <w:r>
        <w:rPr>
          <w:rFonts w:ascii="Times New Roman" w:cs="Times New Roman" w:eastAsia="Times New Roman" w:hAnsi="Times New Roman"/>
          <w:sz w:val="21"/>
          <w:szCs w:val="21"/>
          <w:color w:val="auto"/>
        </w:rPr>
        <w:t>" means that portion of the obligations under a Capital Lease that is required to be capitalized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8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or Moody's Investors Service, Inc. ("</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w:t>
      </w:r>
    </w:p>
    <w:p>
      <w:pPr>
        <w:spacing w:after="0" w:line="5" w:lineRule="exact"/>
        <w:rPr>
          <w:sz w:val="20"/>
          <w:szCs w:val="20"/>
          <w:color w:val="auto"/>
        </w:rPr>
      </w:pPr>
    </w:p>
    <w:p>
      <w:pPr>
        <w:jc w:val="both"/>
        <w:ind w:firstLine="3"/>
        <w:spacing w:after="0" w:line="209" w:lineRule="auto"/>
        <w:tabs>
          <w:tab w:leader="none" w:pos="31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of any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152"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Management Services</w:t>
      </w:r>
      <w:r>
        <w:rPr>
          <w:rFonts w:ascii="Times New Roman" w:cs="Times New Roman" w:eastAsia="Times New Roman" w:hAnsi="Times New Roman"/>
          <w:sz w:val="21"/>
          <w:szCs w:val="21"/>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(c) any new, or adjustment to, requirements prescribed by the Board of Governors for "Eurocurrency Liabilities" (as defined in Regulation D of the Board of Governors),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SOFR or Daily Simple SOFR, or (d) the making or issuance by any Governmental Authority of any request, rule, guideline or directive, whether or not having the force of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the Basel Committee on Banking Supervision (or any successor or similar authority) or the United States or foreign regulatory authorities shall, in each case, be deemed to be a "</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regardless of the date enacted, adopted or issued.</w:t>
      </w:r>
    </w:p>
    <w:p>
      <w:pPr>
        <w:spacing w:after="0" w:line="146" w:lineRule="exact"/>
        <w:rPr>
          <w:sz w:val="20"/>
          <w:szCs w:val="20"/>
          <w:color w:val="auto"/>
        </w:rPr>
      </w:pPr>
    </w:p>
    <w:p>
      <w:pPr>
        <w:jc w:val="both"/>
        <w:ind w:firstLine="1238"/>
        <w:spacing w:after="0" w:line="21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that (a) any Person or two or more Persons acting in concert (other than the Permitted Holder), shall have acquired beneficial ownership, directly or indirectly, of Equity Interests of Parent (or other securities convertible into such Equity Interests) representing 30% or more of the combined voting power of all Equity Interests of Parent entitled (without regard to the occurrence of any contingency) to vote for the election of members of the Board of Directors of Parent, (b) any Person or two or more Persons acting in concert (other than the Permitted Holder), shall have acquired by contract or otherwise, or shall have entered into a contract or arrangement that, upon consummation thereof, will result in its or their acquisition of Equity Interests of Parent (or other securities convertible into such Equity Interests) representing 30% or more of the combined voting power of Equity Interests of Parent entitled (without regard to the occurrence of any contingency) to vote for the election of members of the Board of Directors of Parent, (c) during any period of 12 consecutive months commencing on or after the Closing Date, the occurrence of a change in the composition of the Board of Directors of Parent such that a majority of the members of such Board of Directors are not Continuing Directors, (d) each Borrower fails to own and control, directly or indirectly, one hundred percent (100%) of the Equity Interests of each of its Subsidiaries (other than the Non-Wholly Owned Subsidiaries), or (e) the applicable Loan Parties decrease the percentage of Equity Interests of any Non-Wholly Owned Subsidiary of a Loan Party acquired pursuant to a Permitted Acquisition (or any other Acquisition consented to by Lender, in writing, in its sole discretion) below the same percentage of Equity Interests owned by the Loan Parties as of the closing date of such Permitted Acquisition or any other Acquisition consented to by Lender, in writing, in its sole discretion (or below such greater percentage that the Loan Parties may own from time to time following the closing date of the applicable Permitted Acquisition or any other applicable Acquisition consented to by Lender, in writing, in its sole discretion).</w:t>
      </w:r>
    </w:p>
    <w:p>
      <w:pPr>
        <w:spacing w:after="0" w:line="145"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Chartis</w:t>
      </w:r>
      <w:r>
        <w:rPr>
          <w:rFonts w:ascii="Times New Roman" w:cs="Times New Roman" w:eastAsia="Times New Roman" w:hAnsi="Times New Roman"/>
          <w:sz w:val="21"/>
          <w:szCs w:val="21"/>
          <w:color w:val="auto"/>
        </w:rPr>
        <w:t>" means Chartis Property Casualty Company or any of its Affiliates or Subsidiaries, including, without limitation, National Union Fire Insurance Company of Pittsburgh, Pa.</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Chartis Intercreditor</w:t>
      </w:r>
      <w:r>
        <w:rPr>
          <w:rFonts w:ascii="Times New Roman" w:cs="Times New Roman" w:eastAsia="Times New Roman" w:hAnsi="Times New Roman"/>
          <w:sz w:val="21"/>
          <w:szCs w:val="21"/>
          <w:color w:val="auto"/>
        </w:rPr>
        <w:t>" means an Intercreditor Agreement entered into after August 9, 2012 by and among Agent, Chartis and certain Loan Parties, in form and substance satisfactory to Agent in its sole and absolute discretion, as the same may be amended, amended and restated or otherwise modified from time to time.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April 28, 2022.</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New York Uniform Commercial Code, as in effect from time to time.</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means all assets and interests in assets and proceeds thereof now owned or hereafter acquired by any Loan Party or its Subsidiaries in or upon which a Lien is granted by such Person in favor of Agent or the Lenders under any of the Loan Documents, other than Excluded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8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 Access Agreement</w:t>
      </w:r>
      <w:r>
        <w:rPr>
          <w:rFonts w:ascii="Times New Roman" w:cs="Times New Roman" w:eastAsia="Times New Roman" w:hAnsi="Times New Roman"/>
          <w:sz w:val="21"/>
          <w:szCs w:val="21"/>
          <w:color w:val="auto"/>
        </w:rPr>
        <w:t>" means a landlord waiver, bailee letter, or acknowledgement agreement of any lessor, warehouseman, processor, consignee, or other Person in possession of, having a Lien upon, or having rights or interests in any Loan Party's or its Subsidiaries' books and records, Equipment, or Inventory, in each case, in form and substance reasonably satisfactory to Agent.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Collections</w:t>
      </w:r>
      <w:r>
        <w:rPr>
          <w:rFonts w:ascii="Times New Roman" w:cs="Times New Roman" w:eastAsia="Times New Roman" w:hAnsi="Times New Roman"/>
          <w:sz w:val="21"/>
          <w:szCs w:val="21"/>
          <w:color w:val="auto"/>
        </w:rPr>
        <w:t>" means, all cash, checks, notes, instruments, and other items of payment (including insurance proceeds, cash proceeds of asset sales, rental proceeds and tax refunds).</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xml:space="preserve">" means, with respect to each Lender, its Revolver Commitment, and, with respect to all Lenders, their Revolver Commitments, in each case as such Dollar amounts are set forth beside such Lender's name under the applicable heading on </w:t>
      </w:r>
      <w:r>
        <w:rPr>
          <w:rFonts w:ascii="Times New Roman" w:cs="Times New Roman" w:eastAsia="Times New Roman" w:hAnsi="Times New Roman"/>
          <w:sz w:val="21"/>
          <w:szCs w:val="21"/>
          <w:u w:val="single" w:color="auto"/>
          <w:color w:val="auto"/>
        </w:rPr>
        <w:t>Schedule C-1</w:t>
      </w:r>
      <w:r>
        <w:rPr>
          <w:rFonts w:ascii="Times New Roman" w:cs="Times New Roman" w:eastAsia="Times New Roman" w:hAnsi="Times New Roman"/>
          <w:sz w:val="21"/>
          <w:szCs w:val="21"/>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Commodity Exchange Act</w:t>
      </w:r>
      <w:r>
        <w:rPr>
          <w:rFonts w:ascii="Times New Roman" w:cs="Times New Roman" w:eastAsia="Times New Roman" w:hAnsi="Times New Roman"/>
          <w:sz w:val="21"/>
          <w:szCs w:val="21"/>
          <w:color w:val="auto"/>
        </w:rPr>
        <w:t>" means the Commodity Exchange Act (7 U.S.C. § 1 et seq.), as amended from time to time, and any successor statute.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to this Agreement delivered by the chief financial officer or treasurer of Parent to Agent.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either the use or administration of Daily Simple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spacing w:after="0" w:line="15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Continuing Director</w:t>
      </w:r>
      <w:r>
        <w:rPr>
          <w:rFonts w:ascii="Times New Roman" w:cs="Times New Roman" w:eastAsia="Times New Roman" w:hAnsi="Times New Roman"/>
          <w:sz w:val="21"/>
          <w:szCs w:val="21"/>
          <w:color w:val="auto"/>
        </w:rPr>
        <w:t>" means (a) any member of the Board of Directors who was a director (or comparable manager) of Parent on the Closing Date, and (b) any individual who becomes a member of the Board of Directors after the Closing Date if such individual was approved, appointed or nominated for election to the Board of Directors by either the Permitted Holder or a majority of the Continuing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 Agreement</w:t>
      </w:r>
      <w:r>
        <w:rPr>
          <w:rFonts w:ascii="Times New Roman" w:cs="Times New Roman" w:eastAsia="Times New Roman" w:hAnsi="Times New Roman"/>
          <w:sz w:val="21"/>
          <w:szCs w:val="21"/>
          <w:color w:val="auto"/>
        </w:rPr>
        <w:t>" means a control agreement, in form and substance reasonably satisfactory to Agent, executed and delivered by a Loan Party or one of its Subsidiaries, Agent, and the applicable securities intermediary (with respect to a Securities Account) or bank (with respect to a Deposit Account).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Copyright Security Agreement"</w:t>
      </w:r>
      <w:r>
        <w:rPr>
          <w:rFonts w:ascii="Times New Roman" w:cs="Times New Roman" w:eastAsia="Times New Roman" w:hAnsi="Times New Roman"/>
          <w:sz w:val="21"/>
          <w:szCs w:val="21"/>
          <w:color w:val="auto"/>
        </w:rPr>
        <w:t xml:space="preserve"> has the meaning specified therefor in the Guaranty and Security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171" w:lineRule="exact"/>
        <w:rPr>
          <w:sz w:val="20"/>
          <w:szCs w:val="20"/>
          <w:color w:val="auto"/>
        </w:rPr>
      </w:pPr>
    </w:p>
    <w:p>
      <w:pPr>
        <w:ind w:left="1860" w:hanging="619"/>
        <w:spacing w:after="0"/>
        <w:tabs>
          <w:tab w:leader="none" w:pos="18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17.15</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a rate per annum equal to the greater of (a) a per annum rate of interest equal to SOFR for the day (such day, a "</w:t>
      </w:r>
      <w:r>
        <w:rPr>
          <w:rFonts w:ascii="Times New Roman" w:cs="Times New Roman" w:eastAsia="Times New Roman" w:hAnsi="Times New Roman"/>
          <w:sz w:val="21"/>
          <w:szCs w:val="21"/>
          <w:u w:val="single" w:color="auto"/>
          <w:color w:val="auto"/>
        </w:rPr>
        <w:t>SOFR Determination Day</w:t>
      </w:r>
      <w:r>
        <w:rPr>
          <w:rFonts w:ascii="Times New Roman" w:cs="Times New Roman" w:eastAsia="Times New Roman" w:hAnsi="Times New Roman"/>
          <w:sz w:val="21"/>
          <w:szCs w:val="21"/>
          <w:color w:val="auto"/>
        </w:rPr>
        <w:t>")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Date, in each case, as such SOFR is published by the SOFR Administrator on the SOFR Administrator's Website and (b) a per annum rate of interest equal to the Floor. If by 3:00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U.S. Government Securities Business Day for which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Administrative Borrower.</w:t>
      </w:r>
    </w:p>
    <w:p>
      <w:pPr>
        <w:spacing w:after="0" w:line="154"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 event, condition, or default that, with the giving of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312" w:lineRule="exact"/>
        <w:rPr>
          <w:sz w:val="20"/>
          <w:szCs w:val="20"/>
          <w:color w:val="auto"/>
        </w:rPr>
      </w:pPr>
    </w:p>
    <w:p>
      <w:pPr>
        <w:jc w:val="both"/>
        <w:ind w:firstLine="123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ind w:firstLine="1238"/>
        <w:spacing w:after="0" w:line="21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 (ii) pay to Agent, Issuing Bank, or any other Lender any other amount required to be paid by it hereunder (including in respect of its participation in Letters of Credit) within two Business Days of the date when due, (b) has notified any Borrower, Agent or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w:t>
      </w:r>
    </w:p>
    <w:p>
      <w:pPr>
        <w:spacing w:after="0" w:line="6" w:lineRule="exact"/>
        <w:rPr>
          <w:sz w:val="20"/>
          <w:szCs w:val="20"/>
          <w:color w:val="auto"/>
        </w:rPr>
      </w:pPr>
    </w:p>
    <w:p>
      <w:pPr>
        <w:ind w:firstLine="3"/>
        <w:spacing w:after="0" w:line="224" w:lineRule="auto"/>
        <w:tabs>
          <w:tab w:leader="none" w:pos="317"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shall be conclusive and binding absent manifest error, and such Lender shall be deemed to be a Defaulting Lender upon delivery of written notice of such determination to Administrative Borrower, Issuing Bank, and each Lender.</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 Rate</w:t>
      </w:r>
      <w:r>
        <w:rPr>
          <w:rFonts w:ascii="Times New Roman" w:cs="Times New Roman" w:eastAsia="Times New Roman" w:hAnsi="Times New Roman"/>
          <w:sz w:val="21"/>
          <w:szCs w:val="21"/>
          <w:color w:val="auto"/>
        </w:rPr>
        <w:t>" means (a) for the first three days from and after the date the relevant payment is due, the Base Rate, and (b) thereafter, the Applicable Rate.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Deposit Account</w:t>
      </w:r>
      <w:r>
        <w:rPr>
          <w:rFonts w:ascii="Times New Roman" w:cs="Times New Roman" w:eastAsia="Times New Roman" w:hAnsi="Times New Roman"/>
          <w:sz w:val="21"/>
          <w:szCs w:val="21"/>
          <w:color w:val="auto"/>
        </w:rPr>
        <w:t>" means any deposit account (as that term is defined in the Code).</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Account</w:t>
      </w:r>
      <w:r>
        <w:rPr>
          <w:rFonts w:ascii="Times New Roman" w:cs="Times New Roman" w:eastAsia="Times New Roman" w:hAnsi="Times New Roman"/>
          <w:sz w:val="21"/>
          <w:szCs w:val="21"/>
          <w:color w:val="auto"/>
        </w:rPr>
        <w:t xml:space="preserve">" means the Deposit Account of Administrative Borrower identified on </w:t>
      </w:r>
      <w:r>
        <w:rPr>
          <w:rFonts w:ascii="Times New Roman" w:cs="Times New Roman" w:eastAsia="Times New Roman" w:hAnsi="Times New Roman"/>
          <w:sz w:val="21"/>
          <w:szCs w:val="21"/>
          <w:u w:val="single" w:color="auto"/>
          <w:color w:val="auto"/>
        </w:rPr>
        <w:t>Schedule D-1</w:t>
      </w:r>
      <w:r>
        <w:rPr>
          <w:rFonts w:ascii="Times New Roman" w:cs="Times New Roman" w:eastAsia="Times New Roman" w:hAnsi="Times New Roman"/>
          <w:sz w:val="21"/>
          <w:szCs w:val="21"/>
          <w:color w:val="auto"/>
        </w:rPr>
        <w:t xml:space="preserve"> to this Agreement (or such other Deposit Account of Administrative Borrower located at Designated Account Bank that has been designated as such, in writing, by Borrowers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8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Account Bank</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Schedule D-1</w:t>
      </w:r>
      <w:r>
        <w:rPr>
          <w:rFonts w:ascii="Times New Roman" w:cs="Times New Roman" w:eastAsia="Times New Roman" w:hAnsi="Times New Roman"/>
          <w:sz w:val="21"/>
          <w:szCs w:val="21"/>
          <w:color w:val="auto"/>
        </w:rPr>
        <w:t xml:space="preserve"> to this Agreement (or such other bank that is located within the United States that has been designated as such, in writing, by Borrowers to Agent).</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w:t>
      </w:r>
      <w:r>
        <w:rPr>
          <w:rFonts w:ascii="Times New Roman" w:cs="Times New Roman" w:eastAsia="Times New Roman" w:hAnsi="Times New Roman"/>
          <w:sz w:val="21"/>
          <w:szCs w:val="21"/>
          <w:color w:val="auto"/>
        </w:rPr>
        <w:t>" means, as of any date of determination, a percentage, based upon the experience of the immediately prior trailing twelve months,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Reserve</w:t>
      </w:r>
      <w:r>
        <w:rPr>
          <w:rFonts w:ascii="Times New Roman" w:cs="Times New Roman" w:eastAsia="Times New Roman" w:hAnsi="Times New Roman"/>
          <w:sz w:val="21"/>
          <w:szCs w:val="21"/>
          <w:color w:val="auto"/>
        </w:rPr>
        <w:t>" means, as of any date of determination, an amount sufficient to reduce the advance rate against (i) Eligible Accounts by one (1) percentage point for each percentage point by which Dilution is in excess of two and one-half of one percent (2.5%) and (ii) Eligible Progress Billing Accounts by one (1) percentage point for each percentage point by which Dilution is in excess of five percent (5.0%).</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means any Equity Interests that, by their terms (or by the terms of any security or other Equity Interests into which they are convertible or for which they are exchangeable), or upon the happening of any event or condition</w:t>
      </w:r>
    </w:p>
    <w:p>
      <w:pPr>
        <w:spacing w:after="0" w:line="2" w:lineRule="exact"/>
        <w:rPr>
          <w:sz w:val="20"/>
          <w:szCs w:val="20"/>
          <w:color w:val="auto"/>
        </w:rPr>
      </w:pPr>
    </w:p>
    <w:p>
      <w:pPr>
        <w:jc w:val="both"/>
        <w:ind w:firstLine="3"/>
        <w:spacing w:after="0" w:line="210" w:lineRule="auto"/>
        <w:tabs>
          <w:tab w:leader="none" w:pos="29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means United States dollars.</w:t>
      </w:r>
    </w:p>
    <w:p>
      <w:pPr>
        <w:spacing w:after="0" w:line="171" w:lineRule="exact"/>
        <w:rPr>
          <w:sz w:val="20"/>
          <w:szCs w:val="20"/>
          <w:color w:val="auto"/>
        </w:rPr>
      </w:pPr>
    </w:p>
    <w:p>
      <w:pPr>
        <w:jc w:val="both"/>
        <w:ind w:firstLine="123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Drawing Document</w:t>
      </w:r>
      <w:r>
        <w:rPr>
          <w:rFonts w:ascii="Times New Roman" w:cs="Times New Roman" w:eastAsia="Times New Roman" w:hAnsi="Times New Roman"/>
          <w:sz w:val="20"/>
          <w:szCs w:val="20"/>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32"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Earn-Outs</w:t>
      </w:r>
      <w:r>
        <w:rPr>
          <w:rFonts w:ascii="Times New Roman" w:cs="Times New Roman" w:eastAsia="Times New Roman" w:hAnsi="Times New Roman"/>
          <w:sz w:val="21"/>
          <w:szCs w:val="21"/>
          <w:color w:val="auto"/>
        </w:rPr>
        <w:t>" means unsecured liabilities of a Loan Party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EBITDA</w:t>
      </w:r>
      <w:r>
        <w:rPr>
          <w:rFonts w:ascii="Times New Roman" w:cs="Times New Roman" w:eastAsia="Times New Roman" w:hAnsi="Times New Roman"/>
          <w:sz w:val="21"/>
          <w:szCs w:val="21"/>
          <w:color w:val="auto"/>
        </w:rPr>
        <w:t>" means, with respect to any fiscal period and with respect to Borrowers determined, in each case, on a consolidated basis in accordance with GAAP:</w:t>
      </w:r>
    </w:p>
    <w:p>
      <w:pPr>
        <w:spacing w:after="0" w:line="146" w:lineRule="exact"/>
        <w:rPr>
          <w:sz w:val="20"/>
          <w:szCs w:val="20"/>
          <w:color w:val="auto"/>
        </w:rPr>
      </w:pPr>
    </w:p>
    <w:p>
      <w:pPr>
        <w:ind w:left="1860" w:hanging="619"/>
        <w:spacing w:after="0"/>
        <w:tabs>
          <w:tab w:leader="none" w:pos="186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net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i w:val="1"/>
          <w:iCs w:val="1"/>
          <w:u w:val="single" w:color="auto"/>
          <w:color w:val="auto"/>
        </w:rPr>
        <w:t>minus</w:t>
      </w:r>
    </w:p>
    <w:p>
      <w:pPr>
        <w:spacing w:after="0" w:line="175" w:lineRule="exact"/>
        <w:rPr>
          <w:sz w:val="20"/>
          <w:szCs w:val="20"/>
          <w:color w:val="auto"/>
        </w:rPr>
      </w:pPr>
    </w:p>
    <w:p>
      <w:pPr>
        <w:ind w:firstLine="1241"/>
        <w:spacing w:after="0" w:line="235" w:lineRule="auto"/>
        <w:tabs>
          <w:tab w:leader="none" w:pos="185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the sum of the following amounts for such period to the extent included in determining consolidated net income (or loss) for such period:</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unusual or non-recurring gains, and</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income,</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i w:val="1"/>
          <w:iCs w:val="1"/>
          <w:u w:val="single" w:color="auto"/>
          <w:color w:val="auto"/>
        </w:rPr>
        <w:t>plus</w:t>
      </w:r>
    </w:p>
    <w:p>
      <w:pPr>
        <w:spacing w:after="0" w:line="175" w:lineRule="exact"/>
        <w:rPr>
          <w:sz w:val="20"/>
          <w:szCs w:val="20"/>
          <w:color w:val="auto"/>
        </w:rPr>
      </w:pPr>
    </w:p>
    <w:p>
      <w:pPr>
        <w:ind w:firstLine="1241"/>
        <w:spacing w:after="0" w:line="235" w:lineRule="auto"/>
        <w:tabs>
          <w:tab w:leader="none" w:pos="185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the sum of the following amounts for such period to the extent deducted in determining consolidated net income (or loss) for such period:</w:t>
      </w:r>
    </w:p>
    <w:p>
      <w:pPr>
        <w:spacing w:after="0" w:line="132"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unusual or non-recurring losses, including without limitation non-cash impairment charges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write downs,</w:t>
      </w:r>
    </w:p>
    <w:p>
      <w:pPr>
        <w:spacing w:after="0" w:line="149"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Expense,</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income taxes,</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depreciation and amortization and increases in any change in LIFO reserves for such period, and</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stock compensation expense.</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For the purposes of calculating EBITDA for any period of twelve consecutive months (each, a "</w:t>
      </w:r>
      <w:r>
        <w:rPr>
          <w:rFonts w:ascii="Times New Roman" w:cs="Times New Roman" w:eastAsia="Times New Roman" w:hAnsi="Times New Roman"/>
          <w:sz w:val="21"/>
          <w:szCs w:val="21"/>
          <w:u w:val="single" w:color="auto"/>
          <w:color w:val="auto"/>
        </w:rPr>
        <w:t>Reference Period</w:t>
      </w:r>
      <w:r>
        <w:rPr>
          <w:rFonts w:ascii="Times New Roman" w:cs="Times New Roman" w:eastAsia="Times New Roman" w:hAnsi="Times New Roman"/>
          <w:sz w:val="21"/>
          <w:szCs w:val="21"/>
          <w:color w:val="auto"/>
        </w:rPr>
        <w:t xml:space="preserve">"), if at any time during such Reference Period (and after the Closing Date), any Loan Party or any of its Subsidiaries shall have made a Permitted Acquisition, EBITDA for such Reference Period shall be calculated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(including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forma </w:t>
      </w:r>
      <w:r>
        <w:rPr>
          <w:rFonts w:ascii="Times New Roman" w:cs="Times New Roman" w:eastAsia="Times New Roman" w:hAnsi="Times New Roman"/>
          <w:sz w:val="21"/>
          <w:szCs w:val="21"/>
          <w:color w:val="auto"/>
        </w:rPr>
        <w:t>adjustments arising out of events which are directly attributable to such Permitted Acquisition), are factually supportable, and are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expected to have a continuing impact, in each case to be reasonably agreed to by Agent as if any such Permitted Acquisition or adjustment occurred on the first day of such Reference Period.</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Edmonson</w:t>
      </w:r>
      <w:r>
        <w:rPr>
          <w:rFonts w:ascii="Times New Roman" w:cs="Times New Roman" w:eastAsia="Times New Roman" w:hAnsi="Times New Roman"/>
          <w:sz w:val="21"/>
          <w:szCs w:val="21"/>
          <w:color w:val="auto"/>
        </w:rPr>
        <w:t>" means Edmonson Electric, LLC, a Florida limited liability company.</w:t>
      </w:r>
    </w:p>
    <w:p>
      <w:pPr>
        <w:spacing w:after="0" w:line="171"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firstLine="1238"/>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Accounts</w:t>
      </w:r>
      <w:r>
        <w:rPr>
          <w:rFonts w:ascii="Times New Roman" w:cs="Times New Roman" w:eastAsia="Times New Roman" w:hAnsi="Times New Roman"/>
          <w:sz w:val="20"/>
          <w:szCs w:val="20"/>
          <w:color w:val="auto"/>
        </w:rPr>
        <w:t xml:space="preserve">" means those Accounts, other than Eligible Progress Billing Accounts, created by each Borrower in the ordinary course of its business, that arise out of such Borrower's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criteria may be revised from time to time by Agent in Agent's Permitted Discretion to address the results of any information with respect to the Borrowers' business or assets of which Agent becomes aware after the Closing Date, including any field examination performed by (or on behalf of) Agent from time to time after the Closing Date. In determining the amount to be included, Eligible Accounts shall be calculated net of customer deposits, unapplied cash, taxes, finance charges, discounts, credits, allowances, and rebates. Eligible Accounts shall not include the following:</w:t>
      </w:r>
    </w:p>
    <w:p>
      <w:pPr>
        <w:spacing w:after="0" w:line="147" w:lineRule="exact"/>
        <w:rPr>
          <w:sz w:val="20"/>
          <w:szCs w:val="20"/>
          <w:color w:val="auto"/>
        </w:rPr>
      </w:pPr>
    </w:p>
    <w:p>
      <w:pPr>
        <w:ind w:left="1860" w:hanging="619"/>
        <w:spacing w:after="0"/>
        <w:tabs>
          <w:tab w:leader="none" w:pos="1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that the Account Debtor has failed to pay within ninety (90) days of the original invoice date,</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owed by an Account Debtor (or its Affiliates) where fifty percent (50%) or more of all Accounts owed by that Account Debtor (or its Affiliates) are deemed ineligible under clauses (a) above or clauses (c), (i), or (s) below,</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selling terms of more than 30 days,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is an Affiliate of any Borrower or an employee or agent of any Borrower or any Affiliate of any Borrower,</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(i) arising in a transaction wherein goods are placed on consignment or are sold pursuant to a guaranteed sale, a sale or return, a sale on approval, or any other terms by reason of which the payment by the Account Debtor may be conditional, or (ii) with respect to which the payment terms are "C.O.D.", cash on delivery or other similar terms,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that are not payable in Dollars,</w:t>
      </w:r>
    </w:p>
    <w:p>
      <w:pPr>
        <w:spacing w:after="0" w:line="171"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either (i) does not maintain its chief executive office in the United States or Canada, or (ii) is not organized under the laws of the United States or Canada or any state or province thereof, or (iii) is the government of any foreign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if requested by Agent, is directly drawable by Agent, or (B) the Account is covered by credit insurance in form, substance, and amount, and by an insurer, reasonably satisfactory to Agent,</w:t>
      </w:r>
    </w:p>
    <w:p>
      <w:pPr>
        <w:spacing w:after="0" w:line="149"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86" w:lineRule="exact"/>
        <w:rPr>
          <w:sz w:val="20"/>
          <w:szCs w:val="20"/>
          <w:color w:val="auto"/>
        </w:rPr>
      </w:pPr>
    </w:p>
    <w:p>
      <w:pPr>
        <w:jc w:val="both"/>
        <w:ind w:firstLine="1241"/>
        <w:spacing w:after="0" w:line="225" w:lineRule="auto"/>
        <w:tabs>
          <w:tab w:leader="none" w:pos="18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is a creditor of a Borrower, has or has asserted a right of recoupment or setoff, or has disputed its obligation to pay all or any portion of the Account, to the extent of such claim, right of recoupment or setoff, or dispute,</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portion of Accounts which reflect a reasonable reserve for warranty claims or returns or amounts which are owed to Account Debtors, including those for rebates, allowances, co-op advertising, new store allowances or other deductions;</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Accounts with respect to an Account Debtor (or group of affiliated Account Debtors) whose Eligible Accounts and Eligible Progress Billing Accounts owing to Borrowers exceed 15% (such percentage, as applied to a particular Account Debtor (or group of affiliated Account Debtors), being subject to reduction by Agent in its Permitted Discretion if the creditworthiness of such Account Debtor(s) deteriorates) of all Eligible Accounts, to the extent of the obligations owing by such Account Debtor(s) in excess of such percentage;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is subject to an Insolvency Proceeding, is not Solvent, has gone out of business, or as to which any Borrower has received notice of an imminent Insolvency Proceeding or a material impairment of the financial condition of such Account Debtor,</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the collection of which, Agent, in its Permitted Discretion, believes to be doubtful, including by reason of the Account Debtor's financial condition,</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that are not subject to a valid and perfected first priority Agent's Lien,</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(other than bill and hold invoices) with respect to which (i) the goods giving rise to such Account have not been shipped and billed to the Account Debtor, or (ii) the services giving rise to such Account have not been performed and billed to the Account Debtor,</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is a Sanctioned Person or Sanctioned Entity,</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(i) that consist of progress billings (such that the services giving rise to such receivables have not been fully performed by the applicable Borrower) or retainage invoices, or (ii) that represent credit card sales,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portion of Accounts which represent finance charges, sales taxes or excise taxes;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portion of Accounts which has been restructured, extended, amended or otherwise modified, other than in connection with a change order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86" w:lineRule="exact"/>
        <w:rPr>
          <w:sz w:val="20"/>
          <w:szCs w:val="20"/>
          <w:color w:val="auto"/>
        </w:rPr>
      </w:pPr>
    </w:p>
    <w:p>
      <w:pPr>
        <w:jc w:val="both"/>
        <w:ind w:firstLine="1241"/>
        <w:spacing w:after="0" w:line="220" w:lineRule="auto"/>
        <w:tabs>
          <w:tab w:leader="none" w:pos="184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bill and hold invoices, except those with respect to which Agent shall have received an agreement in writing from the Account Debtor, in form and substance satisfactory to Agent, confirming the unconditional obligation of the Account Debtor to take the Goods related thereto and pay such invoice, so long as such Accounts satisfy all other criteria for Eligible Accounts hereunder;</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which have not been invoiced;</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constituting (i) Proceeds of copyrightable material unless such copyrightable material shall have been registered with the United States Copyright Office, or (ii) Proceeds of patentable inventions unless such patentable inventions have been registered with the United States Patent and Trademark Office;</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that constitute Bonded Accounts;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portion of Accounts that represent billings in excess of cost;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or that portion of Accounts otherwise deemed ineligible by Agent in its Permitted Discretion; and</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owned by a target acquired in connection with a Permitted Acquisition or Permitted Investment, or Accounts owned by a Person that is joined to this Agreement as a Borrower pursuant to the provisions of this Agreement, until the completion of a field examination with respect to such Accounts, in each case, satisfactory to Agent in its Permitted Discretion.</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Any Accounts which are not Eligible Accounts shall nonetheless constitute Collateral.</w:t>
      </w:r>
    </w:p>
    <w:p>
      <w:pPr>
        <w:spacing w:after="0" w:line="171"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Equipment</w:t>
      </w:r>
      <w:r>
        <w:rPr>
          <w:rFonts w:ascii="Times New Roman" w:cs="Times New Roman" w:eastAsia="Times New Roman" w:hAnsi="Times New Roman"/>
          <w:sz w:val="21"/>
          <w:szCs w:val="21"/>
          <w:color w:val="auto"/>
        </w:rPr>
        <w:t>" means Equipment owned by a Borrower designated by Agent as eligible from time to time in its sole discretion, but excluding Equipment having any of the following characteristics:</w:t>
      </w:r>
    </w:p>
    <w:p>
      <w:pPr>
        <w:spacing w:after="0" w:line="146" w:lineRule="exact"/>
        <w:rPr>
          <w:sz w:val="20"/>
          <w:szCs w:val="20"/>
          <w:color w:val="auto"/>
        </w:rPr>
      </w:pPr>
    </w:p>
    <w:p>
      <w:pPr>
        <w:jc w:val="both"/>
        <w:ind w:firstLine="1241"/>
        <w:spacing w:after="0" w:line="220" w:lineRule="auto"/>
        <w:tabs>
          <w:tab w:leader="none" w:pos="185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located on real property leased by a Borrower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that is subject to any Lien other than in favor of Agent;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located outside the United States of America;</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that is not subject to the first priority, valid and perfected security interest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86" w:lineRule="exact"/>
        <w:rPr>
          <w:sz w:val="20"/>
          <w:szCs w:val="20"/>
          <w:color w:val="auto"/>
        </w:rPr>
      </w:pPr>
    </w:p>
    <w:p>
      <w:pPr>
        <w:ind w:firstLine="1241"/>
        <w:spacing w:after="0" w:line="235" w:lineRule="auto"/>
        <w:tabs>
          <w:tab w:leader="none" w:pos="185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damaged or defective Equipment or Equipment not used or usable in the ordinary course of Borrowers' business as presently conducted or Equipment which is obsolete or not currently saleable or has been removed from service;</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that is not covered by "all risk" hazard insurance for an amount equal to its replacement cost;</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that requires proprietary software in order to operate in the manner in which it is intended when such software is not freely assignable to Agent or any potential purchaser of such Equipment;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consisting of computer hardware or software,; or</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Equipment otherwise deemed unacceptable by Agent in its Permitted Discretion.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Any Equipment which is not Eligible Equipment shall nonetheless constitute Collateral.</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Inventory</w:t>
      </w:r>
      <w:r>
        <w:rPr>
          <w:rFonts w:ascii="Times New Roman" w:cs="Times New Roman" w:eastAsia="Times New Roman" w:hAnsi="Times New Roman"/>
          <w:sz w:val="20"/>
          <w:szCs w:val="20"/>
          <w:color w:val="auto"/>
        </w:rPr>
        <w:t>" means Inventory consisting of (i) raw materials at all times after the Raw Materials Trigger Date or</w:t>
      </w:r>
    </w:p>
    <w:p>
      <w:pPr>
        <w:jc w:val="both"/>
        <w:ind w:firstLine="3"/>
        <w:spacing w:after="0" w:line="221" w:lineRule="auto"/>
        <w:tabs>
          <w:tab w:leader="none" w:pos="3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first quality finished goods held for sale in the ordinary course of each Borrower's business, that complies with each of the representations and warranties respecting Eligible Inventory made in the Loan Documents, and that is not excluded as ineligible by virtue of one or more of the excluding criteria set forth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criteria may be revised from time to time by Agent in Agent's Permitted Discretion to address the results of any information with respect to the Borrowers' business or assets of which Agent becomes aware after the Closing Date, including any field examination or appraisal performed or received by Agent from time to time after the Closing Date. In determining the amount to be so included, Inventory shall be valued at the lower of cost or market on a basis consistent with Borrowers' historical accounting practices. An item of Inventory shall not be included in Eligible Inventory if:</w:t>
      </w:r>
    </w:p>
    <w:p>
      <w:pPr>
        <w:spacing w:after="0" w:line="145"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Borrower does not have good, valid, and marketable title thereto,</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work-in-process Inventory, components which are not raw materials (at all times after the Raw Materials Trigger Date) or part of finished goods, supplies used or consumed in such Borrower's business, or Goods that constitute spare parts, maintenance parts, packaging and shipping materials, or sample inventory or customer supplied parts or Inventory,</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Inventory that is perishable or live or where less than 8 weeks remain until the Inventory's stated expiration or "sell-by" or "use by" date,</w:t>
      </w:r>
    </w:p>
    <w:p>
      <w:pPr>
        <w:spacing w:after="0" w:line="144"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Borrower does not have actual and exclusive possession thereof (either directly or through a bailee or agent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of such Borrower),</w:t>
      </w:r>
    </w:p>
    <w:p>
      <w:pPr>
        <w:spacing w:after="0" w:line="149" w:lineRule="exact"/>
        <w:rPr>
          <w:rFonts w:ascii="Times New Roman" w:cs="Times New Roman" w:eastAsia="Times New Roman" w:hAnsi="Times New Roman"/>
          <w:sz w:val="20"/>
          <w:szCs w:val="20"/>
          <w:color w:val="auto"/>
        </w:rPr>
      </w:pPr>
    </w:p>
    <w:p>
      <w:pPr>
        <w:ind w:firstLine="1241"/>
        <w:spacing w:after="0" w:line="235" w:lineRule="auto"/>
        <w:tabs>
          <w:tab w:leader="none" w:pos="185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not located at one of the locations in the continental United States set forth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(as such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may be amended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time in accordance with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(or in-transit from one such location to another such location),</w:t>
      </w:r>
    </w:p>
    <w:p>
      <w:pPr>
        <w:spacing w:after="0" w:line="171" w:lineRule="exact"/>
        <w:rPr>
          <w:sz w:val="20"/>
          <w:szCs w:val="20"/>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stored at locations holding less than $50,000 of the aggregate value of such Borrower's Inventory,</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in-transit to or from a location of a Borrower (other than in-transit from one location set forth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to another location set forth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(as such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may be amended from time to time in accordance with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located on real property leased by a Borrower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 (ii) Agent has established a Landlord Reserve with respect to such location,</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subject of a bill of lading or other document of title,</w:t>
      </w:r>
    </w:p>
    <w:p>
      <w:pPr>
        <w:spacing w:after="0" w:line="171"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4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on consignment from any consignor; or on consignment to any consignee or subject to any bailment unless the consignee or bailee has (i) executed an agreement with Agent, and (ii) provided evidence acceptable to Agent that the applicable Borrower has properly perfected a first priority security interest in such consigned Inventory and has properly notified in writing the other creditors of consignee who hold an interest in such Inventory of Borrower's security interest in such Inventory, and (iii) the applicable Borrower has taken such other actions with respect to such consigned Inventory as Agent may reasonably request,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subject to a valid and perfected first priority Agent's Lien,</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Goods that are damaged, defective, obsolete or slow moving,</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Inventory that such Borrower has returned, has attempted to return, is in the process of returning or intends to return to the vendor of such Inventory,</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Goods that are restricted or controlled, or regulated items,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Goods that are bill and hold Goods,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damaged or defective Goods or "seconds",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subject to third party intellectual property, licensing or other proprietary rights, unless Agent is satisfied that such Inventory can be freely sold by Agent on and after the occurrence of an Event of Default despite such third party rights,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customer-specific Inventory not supported by purchase orders;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Bonded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86" w:lineRule="exact"/>
        <w:rPr>
          <w:sz w:val="20"/>
          <w:szCs w:val="20"/>
          <w:color w:val="auto"/>
        </w:rPr>
      </w:pPr>
    </w:p>
    <w:p>
      <w:pPr>
        <w:ind w:firstLine="1241"/>
        <w:spacing w:after="0" w:line="235" w:lineRule="auto"/>
        <w:tabs>
          <w:tab w:leader="none" w:pos="184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has not completed an initial appraisal and field examination of such Inventory, in each case, reasonably satisfactory to Agent,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was acquired in connection with a Permitted Acquisition or Permitted Investment, or such Inventory is owned by a Person that is joined to this Agreement as a Borrower pursuant to the provisions of this Agreement, until the completion of an Acceptable Appraisal of such Inventory and the completion of a field examination with respect to such Inventory that is satisfactory to Agent in its Permitted Discretion.</w:t>
      </w:r>
    </w:p>
    <w:p>
      <w:pPr>
        <w:spacing w:after="0" w:line="146" w:lineRule="exact"/>
        <w:rPr>
          <w:sz w:val="20"/>
          <w:szCs w:val="20"/>
          <w:color w:val="auto"/>
        </w:rPr>
      </w:pPr>
    </w:p>
    <w:p>
      <w:pPr>
        <w:jc w:val="both"/>
        <w:ind w:firstLine="1238"/>
        <w:spacing w:after="0" w:line="21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Progress Billing Accounts</w:t>
      </w:r>
      <w:r>
        <w:rPr>
          <w:rFonts w:ascii="Times New Roman" w:cs="Times New Roman" w:eastAsia="Times New Roman" w:hAnsi="Times New Roman"/>
          <w:sz w:val="20"/>
          <w:szCs w:val="20"/>
          <w:color w:val="auto"/>
        </w:rPr>
        <w:t>" means those Accounts, other than Eligible Accounts, created by each Borrower in the ordinary course of its business, which represent progress or milestone billings or which are otherwise conditioned upon the applicable Borrower's completion of any further performance or service, that (a) are in accordance with the applicable billing procedures, performance thresholds and other provisions of an executed contract or other documentation satisfactory to Agent in its Permitted Discretion with the applicable Account Debtor, (b) do not require a period of more than forty-eight (48) months for the applicable Borrower to start and complete performance or service, (c) have been verified to Agent's satisfaction pursuant to field examinations and other verifications from time to time performed on behalf of Agent pursuant to the terms of this Agreement, (d) are otherwise satisfactory to Agent in its sole discretion, and (e) would otherwise constitute Eligible Accounts in all respects but for clause</w:t>
      </w:r>
    </w:p>
    <w:p>
      <w:pPr>
        <w:spacing w:after="0" w:line="1" w:lineRule="exact"/>
        <w:rPr>
          <w:sz w:val="20"/>
          <w:szCs w:val="20"/>
          <w:color w:val="auto"/>
        </w:rPr>
      </w:pPr>
    </w:p>
    <w:p>
      <w:pPr>
        <w:jc w:val="both"/>
        <w:ind w:firstLine="3"/>
        <w:spacing w:after="0" w:line="209" w:lineRule="auto"/>
        <w:tabs>
          <w:tab w:leader="none" w:pos="30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such definition. Without limiting the foregoing, an Account shall not be deemed an Eligible Progress Billing Account unless (i) such receivable is subject to Agent's first priority perfected Lien and is not subject to any other Lien or (ii) if such Account (A) would be deemed ineligible under any of clauses (a) through (p) or clauses (r) through (z) of the definition of "Eligible Accounts, (B) consists of a retainage invoice or represents billings in excess of cost, (C) does not comply with each of the representations and warranties respecting Eligible Accounts (without regard to whether such Account is an Eligible Account), or (D) is otherwise deemed ineligible by Agent in its Permitted Discretion. Notwithstanding anything in this Agreement to the contrary, until such time that Borrowers have demonstrated an ability to reliably distinguish Accounts representing progress billings from other Accounts in their Collateral reporting in a manner satisfactory to Agent in its sole discretion, each Account that would otherwise constitute an Eligible Account under this Agreement shall be deemed an Eligible Progress Billing Account.</w:t>
      </w:r>
    </w:p>
    <w:p>
      <w:pPr>
        <w:spacing w:after="0" w:line="148"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Transferee</w:t>
      </w:r>
      <w:r>
        <w:rPr>
          <w:rFonts w:ascii="Times New Roman" w:cs="Times New Roman" w:eastAsia="Times New Roman" w:hAnsi="Times New Roman"/>
          <w:sz w:val="20"/>
          <w:szCs w:val="20"/>
          <w:color w:val="auto"/>
        </w:rPr>
        <w:t xml:space="preserve">" means (a) any Lender (other than a Defaulting Lender), any Affiliate of any Lender and any Related Fund of any Lender; (b) (i) a commercial bank organized under the laws of the United States or any state thereof, and having total assets in excess of $1,000,000,000; (ii) a savings and loan association or savings bank organized under the laws of the United States or any state thereof, and having total assets in excess of $1,000,000,000; (iii) a commercial bank organized under the laws of any other country or a political subdivision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$1,000,000,000;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$1,000,000,000; and (d) any other Person approved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8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Action</w:t>
      </w:r>
      <w:r>
        <w:rPr>
          <w:rFonts w:ascii="Times New Roman" w:cs="Times New Roman" w:eastAsia="Times New Roman" w:hAnsi="Times New Roman"/>
          <w:sz w:val="21"/>
          <w:szCs w:val="21"/>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Subsidiary of any Borrower, or any of their predecessors in interest, (b) from adjoining properties or businesses, or (c) from or onto any facilities which received Hazardous Materials generated by any Borrower, any Subsidiary of any Borrower, or any of their predecessors in interest.</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 judgment, in each case, to the extent binding on any Loan Party or its Subsidiaries, relating to the environment, the effect of the environment on employee health, or Hazardous Materials, in each case as amended from time to time.</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Liabilities</w:t>
      </w:r>
      <w:r>
        <w:rPr>
          <w:rFonts w:ascii="Times New Roman" w:cs="Times New Roman" w:eastAsia="Times New Roman" w:hAnsi="Times New Roman"/>
          <w:sz w:val="21"/>
          <w:szCs w:val="21"/>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Lien</w:t>
      </w:r>
      <w:r>
        <w:rPr>
          <w:rFonts w:ascii="Times New Roman" w:cs="Times New Roman" w:eastAsia="Times New Roman" w:hAnsi="Times New Roman"/>
          <w:sz w:val="21"/>
          <w:szCs w:val="21"/>
          <w:color w:val="auto"/>
        </w:rPr>
        <w:t>" means any Lien in favor of any Governmental Authority for Environmental Liabilities.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Equipment</w:t>
      </w:r>
      <w:r>
        <w:rPr>
          <w:rFonts w:ascii="Times New Roman" w:cs="Times New Roman" w:eastAsia="Times New Roman" w:hAnsi="Times New Roman"/>
          <w:sz w:val="21"/>
          <w:szCs w:val="21"/>
          <w:color w:val="auto"/>
        </w:rPr>
        <w:t>" means equipment (as that term is defined in the Code).</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any successor statute thereto.</w:t>
      </w:r>
    </w:p>
    <w:p>
      <w:pPr>
        <w:spacing w:after="0" w:line="183" w:lineRule="exact"/>
        <w:rPr>
          <w:sz w:val="20"/>
          <w:szCs w:val="20"/>
          <w:color w:val="auto"/>
        </w:rPr>
      </w:pPr>
    </w:p>
    <w:p>
      <w:pPr>
        <w:jc w:val="both"/>
        <w:ind w:firstLine="1238"/>
        <w:spacing w:after="0" w:line="219"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 is a member under IRC Section 414(m), or</w:t>
      </w:r>
    </w:p>
    <w:p>
      <w:pPr>
        <w:spacing w:after="0" w:line="4" w:lineRule="exact"/>
        <w:rPr>
          <w:sz w:val="20"/>
          <w:szCs w:val="20"/>
          <w:color w:val="auto"/>
        </w:rPr>
      </w:pPr>
    </w:p>
    <w:p>
      <w:pPr>
        <w:jc w:val="both"/>
        <w:ind w:firstLine="3"/>
        <w:spacing w:after="0" w:line="218" w:lineRule="auto"/>
        <w:tabs>
          <w:tab w:leader="none" w:pos="32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for purposes of Section 302 of ERISA and Section 412 of the IRC, any Person subject to ERISA that is a party to an arrangement with any Loan Party or any of its Subsidiaries and whose employees are aggregated with the employees of such Loan Party or its Subsidiaries under IRC Section 414(o).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Impacted Loans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Everest</w:t>
      </w:r>
      <w:r>
        <w:rPr>
          <w:rFonts w:ascii="Times New Roman" w:cs="Times New Roman" w:eastAsia="Times New Roman" w:hAnsi="Times New Roman"/>
          <w:sz w:val="21"/>
          <w:szCs w:val="21"/>
          <w:color w:val="auto"/>
        </w:rPr>
        <w:t>" means Everest Reinsurance Company, Everest National Insurance Company or any of their Affiliates or</w:t>
      </w:r>
    </w:p>
    <w:p>
      <w:pPr>
        <w:spacing w:after="0"/>
        <w:rPr>
          <w:sz w:val="20"/>
          <w:szCs w:val="20"/>
          <w:color w:val="auto"/>
        </w:rPr>
      </w:pPr>
      <w:r>
        <w:rPr>
          <w:rFonts w:ascii="Times New Roman" w:cs="Times New Roman" w:eastAsia="Times New Roman" w:hAnsi="Times New Roman"/>
          <w:sz w:val="21"/>
          <w:szCs w:val="21"/>
          <w:color w:val="auto"/>
        </w:rPr>
        <w:t>Subsidiaries.</w:t>
      </w:r>
    </w:p>
    <w:p>
      <w:pPr>
        <w:spacing w:after="0" w:line="149"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Everest Intercreditor</w:t>
      </w:r>
      <w:r>
        <w:rPr>
          <w:rFonts w:ascii="Times New Roman" w:cs="Times New Roman" w:eastAsia="Times New Roman" w:hAnsi="Times New Roman"/>
          <w:sz w:val="21"/>
          <w:szCs w:val="21"/>
          <w:color w:val="auto"/>
        </w:rPr>
        <w:t>" means an Intercreditor Agreement entered into as of September 9, 2016 by and among Agent, Everest and certain Loan Parties, in form and substance satisfactory to Agent in its sole and absolute discretion, as the same may be amended, amended and restated or otherwise modified from time to time.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Availability</w:t>
      </w:r>
      <w:r>
        <w:rPr>
          <w:rFonts w:ascii="Times New Roman" w:cs="Times New Roman" w:eastAsia="Times New Roman" w:hAnsi="Times New Roman"/>
          <w:sz w:val="21"/>
          <w:szCs w:val="21"/>
          <w:color w:val="auto"/>
        </w:rPr>
        <w:t>" means, as of any date of determination, the amount equal to Availability minus the aggregate amount, if any, of all trade payables and other obligations each Borrower and its Subsidiaries aged in excess of sixty (60) days beyond their terms as of the end of the immediately preceding month, and all book overdrafts and fees of each Borrower and its Subsidiaries, in each case as determined by Agent in its Permitted Discretion.</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in effect from time to time.</w:t>
      </w:r>
    </w:p>
    <w:p>
      <w:pPr>
        <w:spacing w:after="0" w:line="17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Excluded Collateral</w:t>
      </w:r>
      <w:r>
        <w:rPr>
          <w:rFonts w:ascii="Times New Roman" w:cs="Times New Roman" w:eastAsia="Times New Roman" w:hAnsi="Times New Roman"/>
          <w:sz w:val="21"/>
          <w:szCs w:val="21"/>
          <w:color w:val="auto"/>
        </w:rPr>
        <w:t>" means (a) the Surety Collateral to the extent (i) the issuer of the Surety Bond is Chartis, Everest, Liberty Mutual Federal Insurance Company, or other Surety (so long as such Surety has entered into an intercreditor agreement with Agent in form and substance satisfactory to Agent) or a co-surety of such Person under the Specified Surety Agreements in effect on the Closing Date, provided that the Chartis Intercreditor, Everest Intercreditor, the Federal Insurance Company and Liberty Mutual Intercreditor, or an intercreditor agreement entered into after the Closing Date in form and substance satisfactory to Agent, as applicable, is in full force and effect and (ii) such Surety Collateral has not previously been included in a Borrowing Base Certificate delivered to Agent, (b) all cash collateral pledged to Federal Insurance Company, Everest, Liberty Mutual, Chartis or such other Surety pursuant to the Specified Surety Agreements that is in the possession or under the control of Federal Insurance Company, Everest, Liberty Mutual, Chartis or such other Surety, as applicable, provided that the Chartis Intercreditor, Everest Intercreditor, the Federal Insurance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8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Liberty Mutual Intercreditor, or an intercreditor agreement entered into after the Closing Date in form and substance satisfactory to Agent, as applicable, is in full force and effect, (c) cash collateral pledged to Sureties (other than Federal Insurance Company, Everest, Liberty Mutual, Chartis or any other Surety (so long as such Surety has entered into an intercreditor agreement with Agent in form and substance satisfactory to Agent)) up to an aggregate amount of $2,000,000 (exclusive of any drawings under letters of credit issued for the benefit of such Surety) that is in the possession or under the control of such Surety provided that the Chartis Intercreditor, Everest Intercreditor, the Federal Insurance Company and Liberty Mutual Intercreditor, or an intercreditor agreement entered into after the Closing Date in form and substance satisfactory to Agent, as applicable, is in full force and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Excluded Collateral include any amounts which from time to time may be in any Deposit Account in which cash collateral or Qualified Cash is held, and (d) the Permitted Florida Statutory Account.</w:t>
      </w:r>
    </w:p>
    <w:p>
      <w:pPr>
        <w:spacing w:after="0" w:line="152"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Excluded Swap Obligation</w:t>
      </w:r>
      <w:r>
        <w:rPr>
          <w:rFonts w:ascii="Times New Roman" w:cs="Times New Roman" w:eastAsia="Times New Roman" w:hAnsi="Times New Roman"/>
          <w:sz w:val="21"/>
          <w:szCs w:val="21"/>
          <w:color w:val="auto"/>
        </w:rPr>
        <w:t xml:space="preserve">" means, with respect to any Loan Party, any Swap Obligation if, and to the extent that, all or a portion of the guaranty of such Loan Party of (including by virtue of the joint and several liability provisions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52" w:lineRule="exact"/>
        <w:rPr>
          <w:sz w:val="20"/>
          <w:szCs w:val="20"/>
          <w:color w:val="auto"/>
        </w:rPr>
      </w:pPr>
    </w:p>
    <w:p>
      <w:pPr>
        <w:jc w:val="both"/>
        <w:ind w:firstLine="1238"/>
        <w:spacing w:after="0" w:line="21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Excluded Taxes shall not include (A) any amount that such Foreign Lender (or its assignor, if any) was previously entitled to receive pursuant to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other decision or other Change in Law with respect to any of the foregoing by any Governmental Authority, and (iv) any United States federal withholding taxes imposed under FATCA.</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Collateral</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Lender</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Loan Documents</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Loans</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Obligations</w:t>
      </w:r>
      <w:r>
        <w:rPr>
          <w:rFonts w:ascii="Times New Roman" w:cs="Times New Roman" w:eastAsia="Times New Roman" w:hAnsi="Times New Roman"/>
          <w:sz w:val="21"/>
          <w:szCs w:val="21"/>
          <w:color w:val="auto"/>
        </w:rPr>
        <w:t>" shall have the meaning set forth in the Recitals.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Extraordinary Advances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2.3(d)(iii)</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means the Foreign Corrupt Practices Act of 1977, as amended, and the rules and regulations thereunder.</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Insurance Company</w:t>
      </w:r>
      <w:r>
        <w:rPr>
          <w:rFonts w:ascii="Times New Roman" w:cs="Times New Roman" w:eastAsia="Times New Roman" w:hAnsi="Times New Roman"/>
          <w:sz w:val="21"/>
          <w:szCs w:val="21"/>
          <w:color w:val="auto"/>
        </w:rPr>
        <w:t>" means Federal Insurance Company, an Indiana corporation, or any of its Affiliates or</w:t>
      </w:r>
    </w:p>
    <w:p>
      <w:pPr>
        <w:spacing w:after="0"/>
        <w:rPr>
          <w:sz w:val="20"/>
          <w:szCs w:val="20"/>
          <w:color w:val="auto"/>
        </w:rPr>
      </w:pPr>
      <w:r>
        <w:rPr>
          <w:rFonts w:ascii="Times New Roman" w:cs="Times New Roman" w:eastAsia="Times New Roman" w:hAnsi="Times New Roman"/>
          <w:sz w:val="21"/>
          <w:szCs w:val="21"/>
          <w:color w:val="auto"/>
        </w:rPr>
        <w:t>Subsidiaries.</w:t>
      </w:r>
    </w:p>
    <w:p>
      <w:pPr>
        <w:spacing w:after="0" w:line="149"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Federal Insurance Company and Liberty Mutual Intercreditor</w:t>
      </w:r>
      <w:r>
        <w:rPr>
          <w:rFonts w:ascii="Times New Roman" w:cs="Times New Roman" w:eastAsia="Times New Roman" w:hAnsi="Times New Roman"/>
          <w:sz w:val="21"/>
          <w:szCs w:val="21"/>
          <w:color w:val="auto"/>
        </w:rPr>
        <w:t>" means an Intercreditor Agreement entered into after August 9, 2012 by and among Agent, Federal Insurance Company, Liberty Mutual and certain Loan Parties, in form and substance satisfactory to Agent in its sole and absolute discretion, as the same may be amended, amended and restated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 Letter</w:t>
      </w:r>
      <w:r>
        <w:rPr>
          <w:rFonts w:ascii="Times New Roman" w:cs="Times New Roman" w:eastAsia="Times New Roman" w:hAnsi="Times New Roman"/>
          <w:sz w:val="21"/>
          <w:szCs w:val="21"/>
          <w:color w:val="auto"/>
        </w:rPr>
        <w:t>" means that certain fee letter, dated as of even date with this Agreement, among Borrowers and Agent, in form and substance reasonably satisfactory to Agent, as amended, restated, supplemented, or otherwise modified from time to time after the date hereof.</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Fixed Asset Availability</w:t>
      </w:r>
      <w:r>
        <w:rPr>
          <w:rFonts w:ascii="Times New Roman" w:cs="Times New Roman" w:eastAsia="Times New Roman" w:hAnsi="Times New Roman"/>
          <w:sz w:val="21"/>
          <w:szCs w:val="21"/>
          <w:color w:val="auto"/>
        </w:rPr>
        <w:t xml:space="preserve">" means, as of any date of determination, the lesser of (a) $10,000,000, or (b) eighty-five percent (85%) of the NOLV of all Eligible Equipment as set forth in the NOLV Appraisal most recently delivered to Lender prior to the first inclusion of an amount for "Fixed Asset Availability" on the first Borrower Base Certificate after the Closing Date that includes an amount for "Fixed Asset Availability", which amount shall be reduced by 1/60 on a monthly basis beginning on the first day of the first month after the first inclusion of any amount for "Fixed Asset Availability" on the first Borrowing Base Certificate after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"Fixed Asset Availability" shall be $0.00 at all times (1) until the Administrative Borrower has delivered to Lender an acceptable NOLV Appraisal in form and substance satisfactory to Lender, and (2) either (A) Administrative Borrower has not yet elected after the Closing Date to include an amount for "Fixed Asset Availability" on a Borrowing Base Certificate or (B) after June 30, 2022, if Administrative Borrower has not elected to include an amount for "Fixed Asset Availability" on a Borrowing Base Certificate prior to such date.</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Fixed Charge Coverage Ratio</w:t>
      </w:r>
      <w:r>
        <w:rPr>
          <w:rFonts w:ascii="Times New Roman" w:cs="Times New Roman" w:eastAsia="Times New Roman" w:hAnsi="Times New Roman"/>
          <w:sz w:val="21"/>
          <w:szCs w:val="21"/>
          <w:color w:val="auto"/>
        </w:rPr>
        <w:t xml:space="preserve">" means, with respect to any fiscal period and with respect to Borrowers and their Subsidiaries determined on a consolidated basis in accordance with GAAP, the ratio of (a) EBITDA for such period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Unfinanced Capital Expenditures made (to the extent not already incurred in a prior period) or incurred during such period </w:t>
      </w:r>
      <w:r>
        <w:rPr>
          <w:rFonts w:ascii="Times New Roman" w:cs="Times New Roman" w:eastAsia="Times New Roman" w:hAnsi="Times New Roman"/>
          <w:sz w:val="21"/>
          <w:szCs w:val="21"/>
          <w:i w:val="1"/>
          <w:iCs w:val="1"/>
          <w:u w:val="single" w:color="auto"/>
          <w:color w:val="auto"/>
        </w:rPr>
        <w:t>minu</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 xml:space="preserve"> cash taxes paid during such period, to the extent greater than zero,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all Restricted Payments consisting of Pass-Through Tax Liabilities, to (b) Fixed Charges for such period.</w:t>
      </w:r>
    </w:p>
    <w:p>
      <w:pPr>
        <w:spacing w:after="0" w:line="146" w:lineRule="exact"/>
        <w:rPr>
          <w:sz w:val="20"/>
          <w:szCs w:val="20"/>
          <w:color w:val="auto"/>
        </w:rPr>
      </w:pPr>
    </w:p>
    <w:p>
      <w:pPr>
        <w:jc w:val="both"/>
        <w:ind w:firstLine="1238"/>
        <w:spacing w:after="0" w:line="231" w:lineRule="auto"/>
        <w:rPr>
          <w:sz w:val="20"/>
          <w:szCs w:val="20"/>
          <w:color w:val="auto"/>
        </w:rPr>
      </w:pPr>
      <w:r>
        <w:rPr>
          <w:rFonts w:ascii="Times New Roman" w:cs="Times New Roman" w:eastAsia="Times New Roman" w:hAnsi="Times New Roman"/>
          <w:sz w:val="20"/>
          <w:szCs w:val="20"/>
          <w:color w:val="auto"/>
        </w:rPr>
        <w:t xml:space="preserve">For the purposes of calculating Fixed Charge Coverage Ratio for any Reference Period, if at any time during such Reference Period (and after the Closing Date), any Loan Party or any of its Subsidiaries shall have made a Permitted Acquisition, Fixed Charges and Unfinanced Capital Expenditures for such Reference Period shall be calculated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or in such other manner acceptable to Agent as if any such Permitted Acquisition occurred on the first day of such Reference Period.</w:t>
      </w:r>
    </w:p>
    <w:p>
      <w:pPr>
        <w:spacing w:after="0" w:line="146" w:lineRule="exact"/>
        <w:rPr>
          <w:sz w:val="20"/>
          <w:szCs w:val="20"/>
          <w:color w:val="auto"/>
        </w:rPr>
      </w:pPr>
    </w:p>
    <w:p>
      <w:pPr>
        <w:jc w:val="both"/>
        <w:ind w:firstLine="1238"/>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Fixed Charges</w:t>
      </w:r>
      <w:r>
        <w:rPr>
          <w:rFonts w:ascii="Times New Roman" w:cs="Times New Roman" w:eastAsia="Times New Roman" w:hAnsi="Times New Roman"/>
          <w:sz w:val="21"/>
          <w:szCs w:val="21"/>
          <w:color w:val="auto"/>
        </w:rPr>
        <w:t>" means, with respect to any fiscal period and with respect to Borrowers and their Subsidiaries determined on a consolidated basis in accordance with GAAP, the sum, without duplication, of (a) Interest Expense required to be paid (other than interest paid-in-kind, amortization of financing fees, and other non-cash Interest Expense) during such period, (b) scheduled principal payments in respect of Indebtedness that are required to be paid during such period, including cash payments with respect to Capital Leases, (c) all management, consulting, monitoring, and advisory fees paid to an Affiliate during such period (whether or not permitted hereunder), and (d) all Restricted Payments (other than Pass-Through Tax Liabilities) paid (whether in cash or other property, other than common Equity Interests)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8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Flood Laws</w:t>
      </w:r>
      <w:r>
        <w:rPr>
          <w:rFonts w:ascii="Times New Roman" w:cs="Times New Roman" w:eastAsia="Times New Roman" w:hAnsi="Times New Roman"/>
          <w:sz w:val="21"/>
          <w:szCs w:val="21"/>
          <w:color w:val="auto"/>
        </w:rPr>
        <w:t>" means the National Flood Insurance Act of 1968, Flood Disaster Protection Act of 1973, and related laws, rules and regulations, including any amendments or successor provisions.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a rate of interest equal to 0%.</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or Participant that is not a United States person within the meaning of IRC section</w:t>
      </w:r>
    </w:p>
    <w:p>
      <w:pPr>
        <w:spacing w:after="0"/>
        <w:rPr>
          <w:sz w:val="20"/>
          <w:szCs w:val="20"/>
          <w:color w:val="auto"/>
        </w:rPr>
      </w:pPr>
      <w:r>
        <w:rPr>
          <w:rFonts w:ascii="Times New Roman" w:cs="Times New Roman" w:eastAsia="Times New Roman" w:hAnsi="Times New Roman"/>
          <w:sz w:val="21"/>
          <w:szCs w:val="21"/>
          <w:color w:val="auto"/>
        </w:rPr>
        <w:t>7701(a)(30).</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Funding Date</w:t>
      </w:r>
      <w:r>
        <w:rPr>
          <w:rFonts w:ascii="Times New Roman" w:cs="Times New Roman" w:eastAsia="Times New Roman" w:hAnsi="Times New Roman"/>
          <w:sz w:val="21"/>
          <w:szCs w:val="21"/>
          <w:color w:val="auto"/>
        </w:rPr>
        <w:t>" means the date on which a Borrowing occurs.</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as in effect from time to time in the United States, consistently</w:t>
      </w:r>
    </w:p>
    <w:p>
      <w:pPr>
        <w:spacing w:after="0"/>
        <w:rPr>
          <w:sz w:val="20"/>
          <w:szCs w:val="20"/>
          <w:color w:val="auto"/>
        </w:rPr>
      </w:pPr>
      <w:r>
        <w:rPr>
          <w:rFonts w:ascii="Times New Roman" w:cs="Times New Roman" w:eastAsia="Times New Roman" w:hAnsi="Times New Roman"/>
          <w:sz w:val="21"/>
          <w:szCs w:val="21"/>
          <w:color w:val="auto"/>
        </w:rPr>
        <w:t>applied.</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Governing Documents</w:t>
      </w:r>
      <w:r>
        <w:rPr>
          <w:rFonts w:ascii="Times New Roman" w:cs="Times New Roman" w:eastAsia="Times New Roman" w:hAnsi="Times New Roman"/>
          <w:sz w:val="21"/>
          <w:szCs w:val="21"/>
          <w:color w:val="auto"/>
        </w:rPr>
        <w:t>" means, with respect to any Person, the certificate or articles of incorporation, by-laws, or other organizational documents of such Person.</w:t>
      </w:r>
    </w:p>
    <w:p>
      <w:pPr>
        <w:spacing w:after="0" w:line="146" w:lineRule="exact"/>
        <w:rPr>
          <w:sz w:val="20"/>
          <w:szCs w:val="20"/>
          <w:color w:val="auto"/>
        </w:rPr>
      </w:pPr>
    </w:p>
    <w:p>
      <w:pPr>
        <w:jc w:val="both"/>
        <w:ind w:firstLine="123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xml:space="preserve">" means (a) each Person that guaranties all or a portion of the Obligations, including any Person that is a "Guarantor" under the Guaranty and Security Agreement, and (b) each other Person that becomes a guarantor after the Closing Date pursuant to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 and Security Agreement</w:t>
      </w:r>
      <w:r>
        <w:rPr>
          <w:rFonts w:ascii="Times New Roman" w:cs="Times New Roman" w:eastAsia="Times New Roman" w:hAnsi="Times New Roman"/>
          <w:sz w:val="21"/>
          <w:szCs w:val="21"/>
          <w:color w:val="auto"/>
        </w:rPr>
        <w:t>" means a guaranty and security agreement, dated as of even date with this Agreement, in form and substance reasonably satisfactory to Agent, executed and delivered by each of the Loan Parties to Agent.</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w:t>
      </w:r>
      <w:r>
        <w:rPr>
          <w:rFonts w:ascii="Times New Roman" w:cs="Times New Roman" w:eastAsia="Times New Roman" w:hAnsi="Times New Roman"/>
          <w:sz w:val="20"/>
          <w:szCs w:val="20"/>
          <w:color w:val="auto"/>
        </w:rPr>
        <w:t>" means a "swap agreement" as that term is defined in Section 101(53B)(A)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Obligations</w:t>
      </w:r>
      <w:r>
        <w:rPr>
          <w:rFonts w:ascii="Times New Roman" w:cs="Times New Roman" w:eastAsia="Times New Roman" w:hAnsi="Times New Roman"/>
          <w:sz w:val="21"/>
          <w:szCs w:val="21"/>
          <w:color w:val="auto"/>
        </w:rPr>
        <w:t>" means any and all obligations or liabilities, whether absolute or contingent, due or to become due, now existing or hereafter arising, of each Loan Party and its Subsidiaries arising under, owing pursuant to, or existing in respect of Hedge Agreements entered into with one or more of the Hedge Providers.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Provider</w:t>
      </w:r>
      <w:r>
        <w:rPr>
          <w:rFonts w:ascii="Times New Roman" w:cs="Times New Roman" w:eastAsia="Times New Roman" w:hAnsi="Times New Roman"/>
          <w:sz w:val="21"/>
          <w:szCs w:val="21"/>
          <w:color w:val="auto"/>
        </w:rPr>
        <w:t>" means Wells Fargo or any of its Affiliates.</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Increased Reporting Event</w:t>
      </w:r>
      <w:r>
        <w:rPr>
          <w:rFonts w:ascii="Times New Roman" w:cs="Times New Roman" w:eastAsia="Times New Roman" w:hAnsi="Times New Roman"/>
          <w:sz w:val="21"/>
          <w:szCs w:val="21"/>
          <w:color w:val="auto"/>
        </w:rPr>
        <w:t>" means if at any time Liquidity is less than the greater of (a) twenty percent (20%) of the Maximum Revolver Amount and (b) $30,000,000.</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Increased Reporting Period</w:t>
      </w:r>
      <w:r>
        <w:rPr>
          <w:rFonts w:ascii="Times New Roman" w:cs="Times New Roman" w:eastAsia="Times New Roman" w:hAnsi="Times New Roman"/>
          <w:sz w:val="21"/>
          <w:szCs w:val="21"/>
          <w:color w:val="auto"/>
        </w:rPr>
        <w:t>" means the period commencing after the continuance of an Increased Reporting Event and continuing until the date when no Increased Reporting Event has occurred for 30 consecutive days.</w:t>
      </w:r>
    </w:p>
    <w:p>
      <w:pPr>
        <w:spacing w:after="0" w:line="146" w:lineRule="exact"/>
        <w:rPr>
          <w:sz w:val="20"/>
          <w:szCs w:val="20"/>
          <w:color w:val="auto"/>
        </w:rPr>
      </w:pPr>
    </w:p>
    <w:p>
      <w:pPr>
        <w:jc w:val="both"/>
        <w:ind w:firstLine="1238"/>
        <w:spacing w:after="0" w:line="2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for the avoidance of doubt, other than royalty payments payable in the ordinary course of business in respect of non-exclusive licenses) and any earn-out or similar obligations,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8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Proceeding</w:t>
      </w:r>
      <w:r>
        <w:rPr>
          <w:rFonts w:ascii="Times New Roman" w:cs="Times New Roman" w:eastAsia="Times New Roman" w:hAnsi="Times New Roman"/>
          <w:sz w:val="21"/>
          <w:szCs w:val="21"/>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Premium Lender</w:t>
      </w:r>
      <w:r>
        <w:rPr>
          <w:rFonts w:ascii="Times New Roman" w:cs="Times New Roman" w:eastAsia="Times New Roman" w:hAnsi="Times New Roman"/>
          <w:sz w:val="21"/>
          <w:szCs w:val="21"/>
          <w:color w:val="auto"/>
        </w:rPr>
        <w:t>" shall have the meaning set forth in the definition of Permitted Insurance Premium</w:t>
      </w:r>
    </w:p>
    <w:p>
      <w:pPr>
        <w:spacing w:after="0"/>
        <w:rPr>
          <w:sz w:val="20"/>
          <w:szCs w:val="20"/>
          <w:color w:val="auto"/>
        </w:rPr>
      </w:pPr>
      <w:r>
        <w:rPr>
          <w:rFonts w:ascii="Times New Roman" w:cs="Times New Roman" w:eastAsia="Times New Roman" w:hAnsi="Times New Roman"/>
          <w:sz w:val="21"/>
          <w:szCs w:val="21"/>
          <w:color w:val="auto"/>
        </w:rPr>
        <w:t>Indebtedness.</w:t>
      </w:r>
    </w:p>
    <w:p>
      <w:pPr>
        <w:spacing w:after="0" w:line="149"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Insurance Premium Loan Documents</w:t>
      </w:r>
      <w:r>
        <w:rPr>
          <w:rFonts w:ascii="Times New Roman" w:cs="Times New Roman" w:eastAsia="Times New Roman" w:hAnsi="Times New Roman"/>
          <w:sz w:val="21"/>
          <w:szCs w:val="21"/>
          <w:color w:val="auto"/>
        </w:rPr>
        <w:t>" shall have the meaning set forth in the definition of Permitted Insurance Premium Indebtedness.</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Intercompany Subordination Agreement</w:t>
      </w:r>
      <w:r>
        <w:rPr>
          <w:rFonts w:ascii="Times New Roman" w:cs="Times New Roman" w:eastAsia="Times New Roman" w:hAnsi="Times New Roman"/>
          <w:sz w:val="21"/>
          <w:szCs w:val="21"/>
          <w:color w:val="auto"/>
        </w:rPr>
        <w:t>" means an intercompany subordination agreement, dated as of April 10, 2017, executed and delivered by each Loan Party and each of its Subsidiaries, and Agent, the form and substance of which is reasonably satisfactory to Agent, as amended, restated, supplemented, or otherwise modified from time to time.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Expense</w:t>
      </w:r>
      <w:r>
        <w:rPr>
          <w:rFonts w:ascii="Times New Roman" w:cs="Times New Roman" w:eastAsia="Times New Roman" w:hAnsi="Times New Roman"/>
          <w:sz w:val="21"/>
          <w:szCs w:val="21"/>
          <w:color w:val="auto"/>
        </w:rPr>
        <w:t>" means, for any period, the aggregate of the interest expense of Borrowers for such period, determined on a consolidated basis in accordance with GAAP.</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means inventory (as that term is defined in the Code).</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 Reserves</w:t>
      </w:r>
      <w:r>
        <w:rPr>
          <w:rFonts w:ascii="Times New Roman" w:cs="Times New Roman" w:eastAsia="Times New Roman" w:hAnsi="Times New Roman"/>
          <w:sz w:val="21"/>
          <w:szCs w:val="21"/>
          <w:color w:val="auto"/>
        </w:rPr>
        <w:t xml:space="preserve">" means, as of any date of determination, (a) Landlord Reserves in respect of Inventory, and (b) those reserves that Agent deems necessary or appropriate, in its Permitted Discretion and subject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to establish and maintain (including reserves for slow moving Inventory and Inventory shrinkage) with respect to Eligible Inventory or the Maximum Revolver Amount, including based on the results of appraisals.</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the cost of all additions thereto, without any adjustment for increases or decreases in value, or write-ups, write-downs, or write-offs with respect to such Investment.</w:t>
      </w:r>
    </w:p>
    <w:p>
      <w:pPr>
        <w:spacing w:after="0" w:line="1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IRC</w:t>
      </w:r>
      <w:r>
        <w:rPr>
          <w:rFonts w:ascii="Times New Roman" w:cs="Times New Roman" w:eastAsia="Times New Roman" w:hAnsi="Times New Roman"/>
          <w:sz w:val="21"/>
          <w:szCs w:val="21"/>
          <w:color w:val="auto"/>
        </w:rPr>
        <w:t>" means the Internal Revenue Code of 1986, as in effect from time to time.</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with respect to any Letter of Credit, the International Standby Practices 1998 (International Chamber of Commerce Publication No. 590) and any version or revision thereof accepted by the Issuing Bank for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8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Issuer Document</w:t>
      </w:r>
      <w:r>
        <w:rPr>
          <w:rFonts w:ascii="Times New Roman" w:cs="Times New Roman" w:eastAsia="Times New Roman" w:hAnsi="Times New Roman"/>
          <w:sz w:val="21"/>
          <w:szCs w:val="21"/>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xml:space="preserve">" means Wells Fargo or any other Lender that, at the request of Borrowers and with the consent of Agent, agrees, in such Lender's sole discretion, to become an Issuing Bank for the purpose of issuing Letters of Credit pursuant to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of this Agreement, and Issuing Bank shall be a Lender.</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Joinder</w:t>
      </w:r>
      <w:r>
        <w:rPr>
          <w:rFonts w:ascii="Times New Roman" w:cs="Times New Roman" w:eastAsia="Times New Roman" w:hAnsi="Times New Roman"/>
          <w:sz w:val="21"/>
          <w:szCs w:val="21"/>
          <w:color w:val="auto"/>
        </w:rPr>
        <w:t xml:space="preserve">" means a joinder agreement substantially in the form of </w:t>
      </w:r>
      <w:r>
        <w:rPr>
          <w:rFonts w:ascii="Times New Roman" w:cs="Times New Roman" w:eastAsia="Times New Roman" w:hAnsi="Times New Roman"/>
          <w:sz w:val="21"/>
          <w:szCs w:val="21"/>
          <w:u w:val="single" w:color="auto"/>
          <w:color w:val="auto"/>
        </w:rPr>
        <w:t>Exhibit J-1</w:t>
      </w:r>
      <w:r>
        <w:rPr>
          <w:rFonts w:ascii="Times New Roman" w:cs="Times New Roman" w:eastAsia="Times New Roman" w:hAnsi="Times New Roman"/>
          <w:sz w:val="21"/>
          <w:szCs w:val="21"/>
          <w:color w:val="auto"/>
        </w:rPr>
        <w:t xml:space="preserve"> to this Agreement.</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Landlord Reserve</w:t>
      </w:r>
      <w:r>
        <w:rPr>
          <w:rFonts w:ascii="Times New Roman" w:cs="Times New Roman" w:eastAsia="Times New Roman" w:hAnsi="Times New Roman"/>
          <w:sz w:val="21"/>
          <w:szCs w:val="21"/>
          <w:color w:val="auto"/>
        </w:rPr>
        <w:t>" means, as to each location at which a Borrower has Inventory, Equipment, or books and records located and as to which a Collateral Access Agreement has not been received by Agent, a reserve in an amount equal to 3 months' rent, storage charges, fees or other amounts under the lease or other applicable agreement relative to such location or, if greater and Agent so elects, the number of months' rent, storage charges, fees or other amounts for which the landlord, bailee, warehouseman or other property owner will have, under applicable law, a Lien in the Inventory or Equipment of such Borrower to secure the payment of such amounts under the lease or other applicable agreement relative to such location.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has the meaning set forth in the preamble to this Agreement, shall include Issuing Bank and the Swing Lender, and shall also include any other Person made a party to this Agreement pursuant to the provisions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of this Agreement and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means each of the Lenders or any one or more of them.</w:t>
      </w:r>
    </w:p>
    <w:p>
      <w:pPr>
        <w:spacing w:after="0" w:line="13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Group</w:t>
      </w:r>
      <w:r>
        <w:rPr>
          <w:rFonts w:ascii="Times New Roman" w:cs="Times New Roman" w:eastAsia="Times New Roman" w:hAnsi="Times New Roman"/>
          <w:sz w:val="21"/>
          <w:szCs w:val="21"/>
          <w:color w:val="auto"/>
        </w:rPr>
        <w:t>" means each of the Lenders (including Issuing Bank and the Swing Lender) and Agent, or any one or</w:t>
      </w:r>
    </w:p>
    <w:p>
      <w:pPr>
        <w:spacing w:after="0"/>
        <w:rPr>
          <w:sz w:val="20"/>
          <w:szCs w:val="20"/>
          <w:color w:val="auto"/>
        </w:rPr>
      </w:pPr>
      <w:r>
        <w:rPr>
          <w:rFonts w:ascii="Times New Roman" w:cs="Times New Roman" w:eastAsia="Times New Roman" w:hAnsi="Times New Roman"/>
          <w:sz w:val="21"/>
          <w:szCs w:val="21"/>
          <w:color w:val="auto"/>
        </w:rPr>
        <w:t>more of them.</w:t>
      </w:r>
    </w:p>
    <w:p>
      <w:pPr>
        <w:spacing w:after="0" w:line="149" w:lineRule="exact"/>
        <w:rPr>
          <w:sz w:val="20"/>
          <w:szCs w:val="20"/>
          <w:color w:val="auto"/>
        </w:rPr>
      </w:pPr>
    </w:p>
    <w:p>
      <w:pPr>
        <w:jc w:val="both"/>
        <w:ind w:firstLine="1238"/>
        <w:spacing w:after="0" w:line="20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Group Expenses</w:t>
      </w:r>
      <w:r>
        <w:rPr>
          <w:rFonts w:ascii="Times New Roman" w:cs="Times New Roman" w:eastAsia="Times New Roman" w:hAnsi="Times New Roman"/>
          <w:sz w:val="21"/>
          <w:szCs w:val="21"/>
          <w:color w:val="auto"/>
        </w:rPr>
        <w:t>" means all (a) costs or expenses (including taxes and insurance premiums) required to be paid by any Loan Party or its Subsidiaries under any of the Loan Documents that are paid, advanced, or incurred by the Lender Group, (b) documented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any Loan Party or its Subsidiaries, (d) 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8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 xml:space="preserve">expenses of Agent related to any field examinations, appraisals, or valuation to the extent of the fees and charges (and up to the amount of any limitation) provided in </w:t>
      </w:r>
      <w:r>
        <w:rPr>
          <w:rFonts w:ascii="Times New Roman" w:cs="Times New Roman" w:eastAsia="Times New Roman" w:hAnsi="Times New Roman"/>
          <w:sz w:val="21"/>
          <w:szCs w:val="21"/>
          <w:u w:val="single" w:color="auto"/>
          <w:color w:val="auto"/>
        </w:rPr>
        <w:t>Section 5.7(c)</w:t>
      </w:r>
      <w:r>
        <w:rPr>
          <w:rFonts w:ascii="Times New Roman" w:cs="Times New Roman" w:eastAsia="Times New Roman" w:hAnsi="Times New Roman"/>
          <w:sz w:val="21"/>
          <w:szCs w:val="21"/>
          <w:color w:val="auto"/>
        </w:rPr>
        <w:t xml:space="preserve"> of this Agreement, (h)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and documented costs and expenses (including reasonable and documented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Group Representatives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means, with respect to any Lender, such Lender, together with such Lender's Affiliates, officers, directors, employees, attorneys, and agents.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a letter of credit (as that term is defined in the Code) issued by Issuing Bank.</w:t>
      </w:r>
    </w:p>
    <w:p>
      <w:pPr>
        <w:spacing w:after="0" w:line="171"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Collateralization</w:t>
      </w:r>
      <w:r>
        <w:rPr>
          <w:rFonts w:ascii="Times New Roman" w:cs="Times New Roman" w:eastAsia="Times New Roman" w:hAnsi="Times New Roman"/>
          <w:sz w:val="21"/>
          <w:szCs w:val="21"/>
          <w:color w:val="auto"/>
        </w:rPr>
        <w:t xml:space="preserve">" 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xml:space="preserve"> of this Agreement (including any fronting fees) will continue to accrue while the Letters of Credit are outstanding) to be held by Agent for the benefit of the Revolving Lenders in an amount equal to 105% of the then existing Letter of Credit Usage, (b) 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Disbursement</w:t>
      </w:r>
      <w:r>
        <w:rPr>
          <w:rFonts w:ascii="Times New Roman" w:cs="Times New Roman" w:eastAsia="Times New Roman" w:hAnsi="Times New Roman"/>
          <w:sz w:val="21"/>
          <w:szCs w:val="21"/>
          <w:color w:val="auto"/>
        </w:rPr>
        <w:t>" means a payment made by Issuing Bank pursuant to a Letter of Credit.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Exposure</w:t>
      </w:r>
      <w:r>
        <w:rPr>
          <w:rFonts w:ascii="Times New Roman" w:cs="Times New Roman" w:eastAsia="Times New Roman" w:hAnsi="Times New Roman"/>
          <w:sz w:val="21"/>
          <w:szCs w:val="21"/>
          <w:color w:val="auto"/>
        </w:rPr>
        <w:t xml:space="preserve">" means, as of any date of determination with respect to any Lender, such Lender's participation in the Letter of Credit Usage pursuant to </w:t>
      </w:r>
      <w:r>
        <w:rPr>
          <w:rFonts w:ascii="Times New Roman" w:cs="Times New Roman" w:eastAsia="Times New Roman" w:hAnsi="Times New Roman"/>
          <w:sz w:val="21"/>
          <w:szCs w:val="21"/>
          <w:u w:val="single" w:color="auto"/>
          <w:color w:val="auto"/>
        </w:rPr>
        <w:t>Section 2.11(e)</w:t>
      </w:r>
      <w:r>
        <w:rPr>
          <w:rFonts w:ascii="Times New Roman" w:cs="Times New Roman" w:eastAsia="Times New Roman" w:hAnsi="Times New Roman"/>
          <w:sz w:val="21"/>
          <w:szCs w:val="21"/>
          <w:color w:val="auto"/>
        </w:rPr>
        <w:t xml:space="preserve"> on such date.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Indemnified Costs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2.11(f)</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Related Person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2.11(f)</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Sublimit</w:t>
      </w:r>
      <w:r>
        <w:rPr>
          <w:rFonts w:ascii="Times New Roman" w:cs="Times New Roman" w:eastAsia="Times New Roman" w:hAnsi="Times New Roman"/>
          <w:sz w:val="21"/>
          <w:szCs w:val="21"/>
          <w:color w:val="auto"/>
        </w:rPr>
        <w:t>" means $15,000,000.</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Usage</w:t>
      </w:r>
      <w:r>
        <w:rPr>
          <w:rFonts w:ascii="Times New Roman" w:cs="Times New Roman" w:eastAsia="Times New Roman" w:hAnsi="Times New Roman"/>
          <w:sz w:val="21"/>
          <w:szCs w:val="21"/>
          <w:color w:val="auto"/>
        </w:rPr>
        <w:t xml:space="preserve">" means, as of any date of determination, the sum of (a) the aggregate undrawn amount of all outstanding Letters of Credit,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amount of outstanding reimbursement obligations with respect to Letters of Credit which remain unreimbursed or which have not been paid through a Revolving Loan.</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Line Cap</w:t>
      </w:r>
      <w:r>
        <w:rPr>
          <w:rFonts w:ascii="Times New Roman" w:cs="Times New Roman" w:eastAsia="Times New Roman" w:hAnsi="Times New Roman"/>
          <w:sz w:val="21"/>
          <w:szCs w:val="21"/>
          <w:color w:val="auto"/>
        </w:rPr>
        <w:t>" means, as of any date of determination, the lesser of (a) the Maximum Revolver Amount, and (b) the Borrowing Base as of such date of determination.</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means, as of any date of determination, the sum of (a) Excess Availability and (b) Borrowers' Qualified Cash (in an amount not to exceed 50% of Excess Availability as of such date of determination); provided that solely for purposes of any Liquidity calculation for purposes of making any Permitted Investment pursuant to Section 6.9 or any Restricted Payment pursuant to Section 6.7, Qualified Cash shall not exceed 15% of Excess Availability as of such date of determination .</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any Revolving Loan, Swing Loan, or Extraordinary Advance made (or to be made) hereunder.</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Account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Control Agreements, the Copyright Security Agreement, any Borrowing Base Certificate, the Fee Letter, the Guaranty and Security Agreement, the Intercompany Subordination Agreement, the Federal Insurance and Liberty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Mutual Intercreditor, the Everest Intercreditor, the Chartis Intercreditor, any intercreditor agreement entered into in connection with this Agreement in form and substance satisfactory to Lender, any Issuer Documents, the Letters of Credit, the Mortgages, the Patent Security Agreement, the Trademark Security Agreement, the Loan Manager Side Letter, any note or notes executed by Borrowers in connection with this Agreement and payable to any member of the Lender Group, and any other instrument or agreement entered into, now or in the future, by any Loan Party or any of its Subsidiaries and any member of the Lender Group in connection with this Agreement (but specifically excluding Bank Product Agreements).</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Manager Side Letter</w:t>
      </w:r>
      <w:r>
        <w:rPr>
          <w:rFonts w:ascii="Times New Roman" w:cs="Times New Roman" w:eastAsia="Times New Roman" w:hAnsi="Times New Roman"/>
          <w:sz w:val="21"/>
          <w:szCs w:val="21"/>
          <w:color w:val="auto"/>
        </w:rPr>
        <w:t>" means that certain letter agreement between the Borrowers and Wells Fargo regarding the terms under which Wells Fargo will provide services to the Borrowers in respect of Wells Fargo's proprietary automated loan management program.</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Party</w:t>
      </w:r>
      <w:r>
        <w:rPr>
          <w:rFonts w:ascii="Times New Roman" w:cs="Times New Roman" w:eastAsia="Times New Roman" w:hAnsi="Times New Roman"/>
          <w:sz w:val="21"/>
          <w:szCs w:val="21"/>
          <w:color w:val="auto"/>
        </w:rPr>
        <w:t>" means any Borrower or any Guarantor.</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as defined in Regulation U of the Board of Governors as in effect from time to time.</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a material adverse effect in the business, operations, results of operations, assets, liabilities or financial condition of the Loan Parties and their Subsidiaries, taken as a whole, (b) a material impairment of the Loan Parties' and their Subsidiaries' ability to perform their obligations under the Loan Documents to which they are parties or of the Lender Group's ability to enforce the Obligations or realize upon the Collateral (other than as a result of as a result of an action taken or not taken that is solely in the control of Agent), or (c) a material impairment of the enforceability or priority of Agent's Liens with respect to all or a material portion of the Collateral.</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Material Contract</w:t>
      </w:r>
      <w:r>
        <w:rPr>
          <w:rFonts w:ascii="Times New Roman" w:cs="Times New Roman" w:eastAsia="Times New Roman" w:hAnsi="Times New Roman"/>
          <w:sz w:val="21"/>
          <w:szCs w:val="21"/>
          <w:color w:val="auto"/>
        </w:rPr>
        <w:t>" means, an agreement to which a Loan Party is a party (other than the Loan Documents (i) which is deemed to be a material contract as provided in Regulation S-K promulgated by the SEC under the Securities Act of 1933 or (ii) for which breach, termination, cancellation, nonperformance or failure to renew could reasonably be expected to result in a Material Adverse Change.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September 30, 2026.</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Revolver Amount</w:t>
      </w:r>
      <w:r>
        <w:rPr>
          <w:rFonts w:ascii="Times New Roman" w:cs="Times New Roman" w:eastAsia="Times New Roman" w:hAnsi="Times New Roman"/>
          <w:sz w:val="21"/>
          <w:szCs w:val="21"/>
          <w:color w:val="auto"/>
        </w:rPr>
        <w:t xml:space="preserve">" means $150,000,000, decreased by the amount of reductions in the Revolver Commitments made in accordance with </w:t>
      </w:r>
      <w:r>
        <w:rPr>
          <w:rFonts w:ascii="Times New Roman" w:cs="Times New Roman" w:eastAsia="Times New Roman" w:hAnsi="Times New Roman"/>
          <w:sz w:val="21"/>
          <w:szCs w:val="21"/>
          <w:u w:val="single" w:color="auto"/>
          <w:color w:val="auto"/>
        </w:rPr>
        <w:t>Section 2.4(c)</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has the meaning specified therefor in the definition of Cash Equivalents.</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Mortgages</w:t>
      </w:r>
      <w:r>
        <w:rPr>
          <w:rFonts w:ascii="Times New Roman" w:cs="Times New Roman" w:eastAsia="Times New Roman" w:hAnsi="Times New Roman"/>
          <w:sz w:val="21"/>
          <w:szCs w:val="21"/>
          <w:color w:val="auto"/>
        </w:rPr>
        <w:t>" means, individually and collectively, one or more mortgages, deeds of trust, or deeds to secure debt, executed and delivered by a Loan Party or one of its Subsidiaries in favor of Agent, in form and substance reasonably satisfactory to Agent, that encumber the Real Property pledged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8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Liquidation Percentage</w:t>
      </w:r>
      <w:r>
        <w:rPr>
          <w:rFonts w:ascii="Times New Roman" w:cs="Times New Roman" w:eastAsia="Times New Roman" w:hAnsi="Times New Roman"/>
          <w:sz w:val="21"/>
          <w:szCs w:val="21"/>
          <w:color w:val="auto"/>
        </w:rPr>
        <w:t>" means the percentage of the Value of a Borrower's Inventory that is estimated to be recoverable in an orderly liquidation of such Inventory as set forth in the most recent Acceptable Appraisal received by Agent and upon which Agent may rely, net of all operating expenses and associated costs and expenses of such liquidation, such percentage to be as determined from time to time by an appraisal company selected or approved by Lender with such most recent Acceptable Appraisal to be in form, scope, methodology and content acceptable to Agent.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NEXT</w:t>
      </w:r>
      <w:r>
        <w:rPr>
          <w:rFonts w:ascii="Times New Roman" w:cs="Times New Roman" w:eastAsia="Times New Roman" w:hAnsi="Times New Roman"/>
          <w:sz w:val="21"/>
          <w:szCs w:val="21"/>
          <w:color w:val="auto"/>
        </w:rPr>
        <w:t>" means NEXT Electric, LLC, a Wisconsin limited liability company.</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NOLV</w:t>
      </w:r>
      <w:r>
        <w:rPr>
          <w:rFonts w:ascii="Times New Roman" w:cs="Times New Roman" w:eastAsia="Times New Roman" w:hAnsi="Times New Roman"/>
          <w:sz w:val="21"/>
          <w:szCs w:val="21"/>
          <w:color w:val="auto"/>
        </w:rPr>
        <w:t xml:space="preserve">" means, as of any date of determination, with respect to Eligible Equipment of any Person, the value of such Eligible Equipment that is estimated to be recoverable in an orderly liquidation of such Eligible Equipment, net of all associated costs and expenses of such liquidation, as determined based upon the most recent NOLV Appraisal of Borrowers' Eligible Equipment;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NOLV Appraisal does not provide the costs and expenses of such liquidation on an item by item basis, then costs and expenses of liquidation for each item of Eligible Equipment will be such amount as determined by Agent in its Permitted Discretion.</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NOLV Appraisal</w:t>
      </w:r>
      <w:r>
        <w:rPr>
          <w:rFonts w:ascii="Times New Roman" w:cs="Times New Roman" w:eastAsia="Times New Roman" w:hAnsi="Times New Roman"/>
          <w:sz w:val="21"/>
          <w:szCs w:val="21"/>
          <w:color w:val="auto"/>
        </w:rPr>
        <w:t>" means an on-site appraisal or desk-top update to such an appraisal, as applicable, conducted to determine the NOLV of the Borrowers' Eligible Equipment; such appraisal to be conducted (whether on-site or through desk-top update) from time to time by an appraisal company acceptable to Agent in its sole discretion, which appraisal shall be conducted in accordance with Agent's requirements and otherwise in form, scope, methodology and content acceptable to Agent.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14.2(a)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Non-Defaulting Lender</w:t>
      </w:r>
      <w:r>
        <w:rPr>
          <w:rFonts w:ascii="Times New Roman" w:cs="Times New Roman" w:eastAsia="Times New Roman" w:hAnsi="Times New Roman"/>
          <w:sz w:val="21"/>
          <w:szCs w:val="21"/>
          <w:color w:val="auto"/>
        </w:rPr>
        <w:t>" means each Lender other than a Defaulting Lender.</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Non-Wholly Owned Subsidiary</w:t>
      </w:r>
      <w:r>
        <w:rPr>
          <w:rFonts w:ascii="Times New Roman" w:cs="Times New Roman" w:eastAsia="Times New Roman" w:hAnsi="Times New Roman"/>
          <w:sz w:val="21"/>
          <w:szCs w:val="21"/>
          <w:color w:val="auto"/>
        </w:rPr>
        <w:t>" means any Subsidiary of any Loan Party whereby the applicable Loan Party owns, directly or indirectly, less than 100% of the Equity Interests of such Subsidiary.</w:t>
      </w:r>
    </w:p>
    <w:p>
      <w:pPr>
        <w:spacing w:after="0" w:line="146" w:lineRule="exact"/>
        <w:rPr>
          <w:sz w:val="20"/>
          <w:szCs w:val="20"/>
          <w:color w:val="auto"/>
        </w:rPr>
      </w:pPr>
    </w:p>
    <w:p>
      <w:pPr>
        <w:jc w:val="both"/>
        <w:ind w:firstLine="1238"/>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 all loans (including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 xml:space="preserve">interest not paid when due and all other expenses or other amounts that any Loan Party is required to pay or reimburse by the Loan Documents or by law or otherwise in connection with the Loan Documents, and (b) all Bank Product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anything to the contrary contained in the foregoing notwithstanding, the Obligations shall exclude any Excluded Swap Obligation. Without limiting the generality of the foregoing, the Obligations of Borrowers under the Loan Documents include the obligation to pay</w:t>
      </w:r>
    </w:p>
    <w:p>
      <w:pPr>
        <w:spacing w:after="0" w:line="4" w:lineRule="exact"/>
        <w:rPr>
          <w:sz w:val="20"/>
          <w:szCs w:val="20"/>
          <w:color w:val="auto"/>
        </w:rPr>
      </w:pPr>
    </w:p>
    <w:p>
      <w:pPr>
        <w:jc w:val="both"/>
        <w:ind w:firstLine="3"/>
        <w:spacing w:after="0" w:line="211" w:lineRule="auto"/>
        <w:tabs>
          <w:tab w:leader="none" w:pos="25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the Revolving Loans, (ii) interest accrued on the Revolving Loans,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spacing w:after="0" w:line="1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U.S. Department of the Treasury.</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Originating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13.1(e)</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Third Amendment Closing Date</w:t>
      </w:r>
      <w:r>
        <w:rPr>
          <w:rFonts w:ascii="Times New Roman" w:cs="Times New Roman" w:eastAsia="Times New Roman" w:hAnsi="Times New Roman"/>
          <w:sz w:val="21"/>
          <w:szCs w:val="21"/>
          <w:color w:val="auto"/>
        </w:rPr>
        <w:t>" means September 9, 2016.</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Overadvance</w:t>
      </w:r>
      <w:r>
        <w:rPr>
          <w:rFonts w:ascii="Times New Roman" w:cs="Times New Roman" w:eastAsia="Times New Roman" w:hAnsi="Times New Roman"/>
          <w:sz w:val="21"/>
          <w:szCs w:val="21"/>
          <w:color w:val="auto"/>
        </w:rPr>
        <w:t xml:space="preserve">" means, as of any date of determination, that the Revolver Usage is greater than any of the limitations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has the meaning specified therefor in the preamble to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13.1(e)</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13.1(i)</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Pass-Through Tax Liabilities</w:t>
      </w:r>
      <w:r>
        <w:rPr>
          <w:rFonts w:ascii="Times New Roman" w:cs="Times New Roman" w:eastAsia="Times New Roman" w:hAnsi="Times New Roman"/>
          <w:sz w:val="21"/>
          <w:szCs w:val="21"/>
          <w:color w:val="auto"/>
        </w:rPr>
        <w:t>" means the amount of state and federal income tax paid or to be paid by the owner of any Equity Interests in a Borrower on taxable income earned by a Borrower and attributable to such owner of Equity Interests as a result of such Borrower's "pass-through" tax status, assuming the highest marginal income tax rate for federal and state (for the state or states in which any owner of Equity Interests is liable for income taxes with respect to such income) income tax purposes, after taking into account any deduction for state income taxes in calculating the federal income tax liability and all other deductions, credits, deferrals and other reductions available to such owners of Equity Interests from or through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Security Agreement</w:t>
      </w:r>
      <w:r>
        <w:rPr>
          <w:rFonts w:ascii="Times New Roman" w:cs="Times New Roman" w:eastAsia="Times New Roman" w:hAnsi="Times New Roman"/>
          <w:sz w:val="21"/>
          <w:szCs w:val="21"/>
          <w:color w:val="auto"/>
        </w:rPr>
        <w:t>" has the meaning specified therefor in the Guaranty and Security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Conditions</w:t>
      </w:r>
      <w:r>
        <w:rPr>
          <w:rFonts w:ascii="Times New Roman" w:cs="Times New Roman" w:eastAsia="Times New Roman" w:hAnsi="Times New Roman"/>
          <w:sz w:val="21"/>
          <w:szCs w:val="21"/>
          <w:color w:val="auto"/>
        </w:rPr>
        <w:t>" means, at the time of determination with respect to a proposed payment to fund a Specified Transaction, that:</w:t>
      </w:r>
    </w:p>
    <w:p>
      <w:pPr>
        <w:spacing w:after="0" w:line="133" w:lineRule="exact"/>
        <w:rPr>
          <w:sz w:val="20"/>
          <w:szCs w:val="20"/>
          <w:color w:val="auto"/>
        </w:rPr>
      </w:pPr>
    </w:p>
    <w:p>
      <w:pPr>
        <w:ind w:left="1860" w:hanging="619"/>
        <w:spacing w:after="0"/>
        <w:tabs>
          <w:tab w:leader="none" w:pos="18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then exists or would arise as a result of the consummation of such Specified</w:t>
      </w:r>
    </w:p>
    <w:p>
      <w:pPr>
        <w:spacing w:after="0"/>
        <w:rPr>
          <w:sz w:val="20"/>
          <w:szCs w:val="20"/>
          <w:color w:val="auto"/>
        </w:rPr>
      </w:pPr>
      <w:r>
        <w:rPr>
          <w:rFonts w:ascii="Times New Roman" w:cs="Times New Roman" w:eastAsia="Times New Roman" w:hAnsi="Times New Roman"/>
          <w:sz w:val="21"/>
          <w:szCs w:val="21"/>
          <w:color w:val="auto"/>
        </w:rPr>
        <w:t>Transaction,</w:t>
      </w:r>
    </w:p>
    <w:p>
      <w:pPr>
        <w:spacing w:after="0" w:line="149" w:lineRule="exact"/>
        <w:rPr>
          <w:sz w:val="20"/>
          <w:szCs w:val="20"/>
          <w:color w:val="auto"/>
        </w:rPr>
      </w:pPr>
    </w:p>
    <w:p>
      <w:pPr>
        <w:jc w:val="both"/>
        <w:ind w:firstLine="1241"/>
        <w:spacing w:after="0" w:line="215" w:lineRule="auto"/>
        <w:tabs>
          <w:tab w:leader="none" w:pos="185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have provided Agent with written confirmation, supported by reasonably detailed calculations, that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pursuant to the proposed Specified Transaction, the Loan Parties and their Subsidiaries (i) would have been in compliance with the financial covenant(s)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Agreement for the fiscal quarter ended immediately prior to the proposed date of consummation of such proposed Specified Transaction, and (ii) are projected to be in compliance with the financial covenant(s)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Agreement for each of the four fiscal quarters in the period ended one year after the proposed date of consummation of such proposed Specified Transaction,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have Liquidity (i) at all times during the 30 consecutive days immediately preceding the date of consummation of such Specified Transaction, calculated on a </w:t>
      </w:r>
      <w:r>
        <w:rPr>
          <w:rFonts w:ascii="Times New Roman" w:cs="Times New Roman" w:eastAsia="Times New Roman" w:hAnsi="Times New Roman"/>
          <w:sz w:val="21"/>
          <w:szCs w:val="21"/>
          <w:i w:val="1"/>
          <w:iCs w:val="1"/>
          <w:color w:val="auto"/>
        </w:rPr>
        <w:t>pro forma basis</w:t>
      </w:r>
      <w:r>
        <w:rPr>
          <w:rFonts w:ascii="Times New Roman" w:cs="Times New Roman" w:eastAsia="Times New Roman" w:hAnsi="Times New Roman"/>
          <w:sz w:val="21"/>
          <w:szCs w:val="21"/>
          <w:color w:val="auto"/>
        </w:rPr>
        <w:t xml:space="preserve"> as if such Specified Transaction was consummated on the first day of such period, and (ii) after giving effect to such Specified Transaction in each case of not less than the greater of (x) 25% of the Maximum Revolver Amount, and (y) $37,500,000, and</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Borrower has delivered a certificate to Agent certifying that all conditions described in clauses (a) through (c) above have been satisfied.</w:t>
      </w:r>
    </w:p>
    <w:p>
      <w:pPr>
        <w:spacing w:after="0" w:line="146" w:lineRule="exact"/>
        <w:rPr>
          <w:sz w:val="20"/>
          <w:szCs w:val="20"/>
          <w:color w:val="auto"/>
        </w:rPr>
      </w:pPr>
    </w:p>
    <w:p>
      <w:pPr>
        <w:ind w:left="1240" w:right="2380"/>
        <w:spacing w:after="0" w:line="4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of this Agreement. "</w:t>
      </w:r>
      <w:r>
        <w:rPr>
          <w:rFonts w:ascii="Times New Roman" w:cs="Times New Roman" w:eastAsia="Times New Roman" w:hAnsi="Times New Roman"/>
          <w:sz w:val="21"/>
          <w:szCs w:val="21"/>
          <w:u w:val="single" w:color="auto"/>
          <w:color w:val="auto"/>
        </w:rPr>
        <w:t>Perfection Certificate</w:t>
      </w:r>
      <w:r>
        <w:rPr>
          <w:rFonts w:ascii="Times New Roman" w:cs="Times New Roman" w:eastAsia="Times New Roman" w:hAnsi="Times New Roman"/>
          <w:sz w:val="21"/>
          <w:szCs w:val="21"/>
          <w:color w:val="auto"/>
        </w:rPr>
        <w:t xml:space="preserve">" means a certificate in the form of </w:t>
      </w:r>
      <w:r>
        <w:rPr>
          <w:rFonts w:ascii="Times New Roman" w:cs="Times New Roman" w:eastAsia="Times New Roman" w:hAnsi="Times New Roman"/>
          <w:sz w:val="21"/>
          <w:szCs w:val="21"/>
          <w:u w:val="single" w:color="auto"/>
          <w:color w:val="auto"/>
        </w:rPr>
        <w:t>Exhibit P-1</w:t>
      </w:r>
      <w:r>
        <w:rPr>
          <w:rFonts w:ascii="Times New Roman" w:cs="Times New Roman" w:eastAsia="Times New Roman" w:hAnsi="Times New Roman"/>
          <w:sz w:val="21"/>
          <w:szCs w:val="21"/>
          <w:color w:val="auto"/>
        </w:rPr>
        <w:t xml:space="preserve"> to this Agreement. "</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means any Acquisition so long as:</w:t>
      </w:r>
    </w:p>
    <w:p>
      <w:pPr>
        <w:ind w:left="1860" w:hanging="619"/>
        <w:spacing w:after="0"/>
        <w:tabs>
          <w:tab w:leader="none" w:pos="18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Conditions are satisfied,</w:t>
      </w:r>
    </w:p>
    <w:p>
      <w:pPr>
        <w:spacing w:after="0" w:line="171"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Indebtedness will be incurred, assumed, or would exist with respect to any Loan Party or its Subsidiaries as a result of such Acquisition, other than Indebtedness permitted under clauses (f) or (g) of the definition of Permitted Indebtedness and no Liens will be incurred, assumed, or would exist with respect to the assets of any Loan Party or its Subsidiaries as a result of such Acquisition other than Permitted Liens,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have provided Agent with written confirmation, supported by reasonably detailed calculations, that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(including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adjustments arising out of events which are directly attributable to such proposed Acquisition, are factually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 xml:space="preserve">supportable, and are expected to have a continuing impact, in each case, determined as if the combination had been accomplished at the beginning of the relevant period; such eliminations and inclusions to be mutually and reasonably agreed upon by Parent, Borrowers created by adding the historical combined financial statements of Parent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the Loan Parties and their Subsidiaries (i) would have been in compliance with the financial covenant(s)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for the fiscal quarter ended immediately prior to the proposed date of consummation of such proposed Acquisition, and (ii) are projected to be in compliance with the financial covenant(s)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for each of the four fiscal quarters in the period ended one year after the proposed date of consummation of such proposed Acquisition,</w:t>
      </w:r>
    </w:p>
    <w:p>
      <w:pPr>
        <w:spacing w:after="0" w:line="148" w:lineRule="exact"/>
        <w:rPr>
          <w:sz w:val="20"/>
          <w:szCs w:val="20"/>
          <w:color w:val="auto"/>
        </w:rPr>
      </w:pPr>
    </w:p>
    <w:p>
      <w:pPr>
        <w:jc w:val="both"/>
        <w:ind w:firstLine="1241"/>
        <w:spacing w:after="0" w:line="217" w:lineRule="auto"/>
        <w:tabs>
          <w:tab w:leader="none" w:pos="185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quarter by quarter basis), in form and substance (including as to scope and underlying assumptions) reasonably satisfactory to Agent,</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assets being acquired or the Person whose Equity Interests are being acquired did not have negative EBITDA during the 12 consecutive month period most recently concluded prior to the date of the proposed Acquisition,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have provided Agent with written notice of the proposed Acquisition at least 15 Business Days prior to the anticipated closing date of the proposed Acquisition and, not later than five Business Days prior to the anticipated closing date of the proposed Acquisition, copies of the acquisition agreement and other material documents relative to the proposed Acquisition to the extent and in the form available at such time, which agreement and documents must be reasonably acceptable to Agent,</w:t>
      </w:r>
    </w:p>
    <w:p>
      <w:pPr>
        <w:spacing w:after="0" w:line="141"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being acquired (other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amount of assets in relation to Parent's and their Subsidiaries' total assets), or the Person whose Equity Interests are being acquired, are useful in or engaged in, as applicable, the business of the Loan Parties and their Subsidiaries or a business reasonably related thereto,</w:t>
      </w:r>
    </w:p>
    <w:p>
      <w:pPr>
        <w:spacing w:after="0" w:line="142"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assets being acquired (other than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amount of assets in relation to the assets being acquired) are located within the United States or the Person whose Equity Interests are being acquired is organized in a jurisdiction located within the United States, and</w:t>
      </w:r>
    </w:p>
    <w:p>
      <w:pPr>
        <w:spacing w:after="0" w:line="146"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4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subject assets or Equity Interests, as applicable, are being acquired directly by a Borrower or one of its Subsidiaries that is a Loan Party, and, in connection therewith, the applicable Loan Party shall have complied with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 xml:space="preserve"> of this Agreement, as applicable, of this Agreement and, in the case of an acquisition of Equity Interests, the Person whose Equity Interests are acquired shall become a Loan Party and the applicable Loan Party shall have demonstrated to Agent that the new Loan Parties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consideration sufficient to make the joinder documents binding and enforceable against such new Loan Parties.</w:t>
      </w:r>
    </w:p>
    <w:p>
      <w:pPr>
        <w:spacing w:after="0" w:line="171"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21"/>
          <w:szCs w:val="21"/>
          <w:color w:val="auto"/>
        </w:rPr>
        <w:t>Unless otherwise agreed by the Agent and Administrative Borrower, any Acquisition consented to by Agent and Required Lender shall constitute a Permitted Acquisition.</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Bayonet Seller Note Indebtedness</w:t>
      </w:r>
      <w:r>
        <w:rPr>
          <w:rFonts w:ascii="Times New Roman" w:cs="Times New Roman" w:eastAsia="Times New Roman" w:hAnsi="Times New Roman"/>
          <w:sz w:val="21"/>
          <w:szCs w:val="21"/>
          <w:color w:val="auto"/>
        </w:rPr>
        <w:t>" means the unsecured Indebtedness in the aggregate principal amount of $4,500,000 evidenced by that certain Unsecured Promissory Note dated as of December 21, 2020, executed by IES Residential in favor of Robert C. Blankenship Trust, as in effect on December 21, 2020.</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Discretion</w:t>
      </w:r>
      <w:r>
        <w:rPr>
          <w:rFonts w:ascii="Times New Roman" w:cs="Times New Roman" w:eastAsia="Times New Roman" w:hAnsi="Times New Roman"/>
          <w:sz w:val="21"/>
          <w:szCs w:val="21"/>
          <w:color w:val="auto"/>
        </w:rPr>
        <w:t>" means a determination made in the exercise of reasonable (from the perspective of a secured asset-based lender) business judgment.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Dispositions</w:t>
      </w:r>
      <w:r>
        <w:rPr>
          <w:rFonts w:ascii="Times New Roman" w:cs="Times New Roman" w:eastAsia="Times New Roman" w:hAnsi="Times New Roman"/>
          <w:sz w:val="21"/>
          <w:szCs w:val="21"/>
          <w:color w:val="auto"/>
        </w:rPr>
        <w:t>" means:</w:t>
      </w:r>
    </w:p>
    <w:p>
      <w:pPr>
        <w:spacing w:after="0" w:line="171" w:lineRule="exact"/>
        <w:rPr>
          <w:sz w:val="20"/>
          <w:szCs w:val="20"/>
          <w:color w:val="auto"/>
        </w:rPr>
      </w:pPr>
    </w:p>
    <w:p>
      <w:pPr>
        <w:jc w:val="both"/>
        <w:ind w:firstLine="1241"/>
        <w:spacing w:after="0" w:line="225" w:lineRule="auto"/>
        <w:tabs>
          <w:tab w:leader="none" w:pos="185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abandonment, or other dispositions of Equipment that is substantially worn, damaged, or obsolete or no longer used or useful in the ordinary course of business (other than Eligible Equipment) and leases or subleases of Real Property not useful in the conduct of the business of the Loan Parties and their Subsidiaries,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of Inventory to buyers in the ordinary course of business,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or transfer of money or Cash Equivalents in a manner that is not prohibited by the terms of this Agreement or the other Loan Documents,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licensing, on a non-exclusive basis, of patents, trademarks, copyrights, and other intellectual property rights in the ordinary course of business,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granting of Permitted Liens,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discount, in each case without recourse, of accounts receivable (other than Eligible Accounts) arising in the ordinary course of business, but only in connection with the compromise or collection thereof,</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involuntary loss, damage or destruction of property,</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involuntary condemnation, seizure or taking, by exercise of the power of eminent domain or otherwise, or confiscation or requisition of use of property,</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leasing or subleasing of assets of any Loan Party or its Subsidiaries in the ordinary course of business (other than Eligible Equipment),</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issuance of Equity Interests (other than Disqualified Equity Interests)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86" w:lineRule="exact"/>
        <w:rPr>
          <w:sz w:val="20"/>
          <w:szCs w:val="20"/>
          <w:color w:val="auto"/>
        </w:rPr>
      </w:pPr>
    </w:p>
    <w:p>
      <w:pPr>
        <w:jc w:val="both"/>
        <w:ind w:firstLine="1241"/>
        <w:spacing w:after="0" w:line="217" w:lineRule="auto"/>
        <w:tabs>
          <w:tab w:leader="none" w:pos="185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lapse of registered patents, trademarks, copyrights and other intellectual property of any Loan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Restricted Payments that are expressly permitted to be made pursuant to this Agreement,</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Permitted Investments,</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Event of Default has occurred and is continuing or would immediately result therefrom, transfers of assets (i) from any Loan Party or any of its Subsidiaries to a Loan Party, and (ii) from any Subsidiary of any Loan Party that is not a Loan Party to any other Subsidiary of any Loan Party,</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assets acquired by the Loan Parties and their Subsidiaries pursuant to a Permitted Acquisition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the Loan Parties and their Subsidiaries, and (iii) the assets to be so disposed are readily identifiable as assets acquired pursuant to the subject Permitted Acquisition,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or dispositions of fixed assets (including intangible property related to such fixed assets) not otherwise permitted in clauses (a) through (o) above so long as made at fair market value and the aggregate fair market value of all assets disposed of in fiscal year (including the proposed disposition) would not exceed $1,000,000.</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Florida Statutory Account</w:t>
      </w:r>
      <w:r>
        <w:rPr>
          <w:rFonts w:ascii="Times New Roman" w:cs="Times New Roman" w:eastAsia="Times New Roman" w:hAnsi="Times New Roman"/>
          <w:sz w:val="21"/>
          <w:szCs w:val="21"/>
          <w:color w:val="auto"/>
        </w:rPr>
        <w:t>" means that certain Deposit Account of Bayonet and disclosed, in writing, to Agent established solely for the purpose of holding the required statutory amount of unencumbered net assets and unearned premium reserve required pursuant to Chapter 634, Florida Statutes, as in effect from time to time, provided, that if the balance in such account exceeds the amount required by the applicable statute, Bayonet shall promptly (and in any event within two (2) Business Days) transfer such excess out of the Permitted Florida Statutory Account to a Deposit Account maintained by Agent and accordingly under the "control" of Agent in accordance with Section 9-104(a)(1) of the Code.</w:t>
      </w:r>
    </w:p>
    <w:p>
      <w:pPr>
        <w:spacing w:after="0" w:line="146" w:lineRule="exact"/>
        <w:rPr>
          <w:sz w:val="20"/>
          <w:szCs w:val="20"/>
          <w:color w:val="auto"/>
        </w:rPr>
      </w:pPr>
    </w:p>
    <w:p>
      <w:pPr>
        <w:jc w:val="both"/>
        <w:ind w:firstLine="123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Holdback Indebtedness</w:t>
      </w:r>
      <w:r>
        <w:rPr>
          <w:rFonts w:ascii="Times New Roman" w:cs="Times New Roman" w:eastAsia="Times New Roman" w:hAnsi="Times New Roman"/>
          <w:sz w:val="20"/>
          <w:szCs w:val="20"/>
          <w:color w:val="auto"/>
        </w:rPr>
        <w:t>" shall mean unsecured liabilities of a Loan Party, arising under an Acquisition agreement to pay the seller on a deferred basis the residual value of any portion of the purchase price that was held back in the agreement, in a fixed amount over a defined period, in order to support the seller's indemnification or other obligations over that period.</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w:t>
      </w:r>
      <w:r>
        <w:rPr>
          <w:rFonts w:ascii="Times New Roman" w:cs="Times New Roman" w:eastAsia="Times New Roman" w:hAnsi="Times New Roman"/>
          <w:sz w:val="21"/>
          <w:szCs w:val="21"/>
          <w:color w:val="auto"/>
        </w:rPr>
        <w:t>" means Tontine.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Indebtedness</w:t>
      </w:r>
      <w:r>
        <w:rPr>
          <w:rFonts w:ascii="Times New Roman" w:cs="Times New Roman" w:eastAsia="Times New Roman" w:hAnsi="Times New Roman"/>
          <w:sz w:val="21"/>
          <w:szCs w:val="21"/>
          <w:color w:val="auto"/>
        </w:rPr>
        <w:t>" means:</w:t>
      </w:r>
    </w:p>
    <w:p>
      <w:pPr>
        <w:spacing w:after="0" w:line="171" w:lineRule="exact"/>
        <w:rPr>
          <w:sz w:val="20"/>
          <w:szCs w:val="20"/>
          <w:color w:val="auto"/>
        </w:rPr>
      </w:pPr>
    </w:p>
    <w:p>
      <w:pPr>
        <w:ind w:left="1860" w:hanging="619"/>
        <w:spacing w:after="0"/>
        <w:tabs>
          <w:tab w:leader="none" w:pos="186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respect of the Obligations,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as of the Closing Date set forth on </w:t>
      </w:r>
      <w:r>
        <w:rPr>
          <w:rFonts w:ascii="Times New Roman" w:cs="Times New Roman" w:eastAsia="Times New Roman" w:hAnsi="Times New Roman"/>
          <w:sz w:val="21"/>
          <w:szCs w:val="21"/>
          <w:u w:val="single" w:color="auto"/>
          <w:color w:val="auto"/>
        </w:rPr>
        <w:t>Schedule 4.14</w:t>
      </w:r>
      <w:r>
        <w:rPr>
          <w:rFonts w:ascii="Times New Roman" w:cs="Times New Roman" w:eastAsia="Times New Roman" w:hAnsi="Times New Roman"/>
          <w:sz w:val="21"/>
          <w:szCs w:val="21"/>
          <w:color w:val="auto"/>
        </w:rPr>
        <w:t xml:space="preserve"> to this Agreement and any Refinancing Indebtedness in respect of such Indebtedness,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Purchase Money Indebtedness and any Refinancing Indebtedness in respect of such Indebtedness,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in connection with the endorsement of instruments or other payment items for deposit,</w:t>
      </w:r>
    </w:p>
    <w:p>
      <w:pPr>
        <w:spacing w:after="0" w:line="171" w:lineRule="exact"/>
        <w:rPr>
          <w:rFonts w:ascii="Times New Roman" w:cs="Times New Roman" w:eastAsia="Times New Roman" w:hAnsi="Times New Roman"/>
          <w:sz w:val="21"/>
          <w:szCs w:val="21"/>
          <w:color w:val="auto"/>
        </w:rPr>
      </w:pPr>
    </w:p>
    <w:p>
      <w:pPr>
        <w:jc w:val="both"/>
        <w:ind w:firstLine="1241"/>
        <w:spacing w:after="0" w:line="222" w:lineRule="auto"/>
        <w:tabs>
          <w:tab w:leader="none" w:pos="185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w:t>
      </w:r>
    </w:p>
    <w:p>
      <w:pPr>
        <w:spacing w:after="0" w:line="2" w:lineRule="exact"/>
        <w:rPr>
          <w:rFonts w:ascii="Times New Roman" w:cs="Times New Roman" w:eastAsia="Times New Roman" w:hAnsi="Times New Roman"/>
          <w:sz w:val="20"/>
          <w:szCs w:val="20"/>
          <w:color w:val="auto"/>
        </w:rPr>
      </w:pPr>
    </w:p>
    <w:p>
      <w:pPr>
        <w:ind w:firstLine="3"/>
        <w:spacing w:after="0" w:line="224" w:lineRule="auto"/>
        <w:tabs>
          <w:tab w:leader="none" w:pos="38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guarantees with respect to Indebtedness of any Loan Party or one of its Subsidiaries and, solely with respect to this clause (iii), to the extent that the Person that is obligated under such guaranty could have incurred such underlying Indebtedness,</w:t>
      </w:r>
    </w:p>
    <w:p>
      <w:pPr>
        <w:spacing w:after="0" w:line="146" w:lineRule="exact"/>
        <w:rPr>
          <w:rFonts w:ascii="Times New Roman" w:cs="Times New Roman" w:eastAsia="Times New Roman" w:hAnsi="Times New Roman"/>
          <w:sz w:val="21"/>
          <w:szCs w:val="21"/>
          <w:color w:val="auto"/>
        </w:rPr>
      </w:pPr>
    </w:p>
    <w:p>
      <w:pPr>
        <w:ind w:firstLine="1241"/>
        <w:spacing w:after="0" w:line="235" w:lineRule="auto"/>
        <w:tabs>
          <w:tab w:leader="none" w:pos="18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the form of reimbursement obligations for Surety Bonds procured in ordinary course of business consistent with past practices, provided such Surety Bonds are issued pursuant to a bonding program acceptable to Lender,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by any Loan Party or its Subsidiaries of Indebtedness under Hedge Agreements that is incurred for the bona fide purpose of hedging the interest rate, commodity, or foreign currency risks associated with such Loan Party's or such Subsidiary's operations and not for speculative purposes,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4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Indebtedness of any Loan Party owing to employees, former employees, former officers, directors, or former directors (or any spouses, ex-spouses, or estates of any of the foregoing) incurred in connection with the repurchase or redemption by such Loan Party of the Equity Interests of Parent that has been issued to such Persons, so long as (i) no Default or Event of Default has occurred and is continuing or would result from the incurrence of such Indebtedness, (ii) the aggregate amount of all such Indebtedness outstanding at any one time does not exceed $1,000,000, and (iii) such Indebtedness is subordinated in right of payment to the Obligations on terms and conditions reasonably acceptable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86" w:lineRule="exact"/>
        <w:rPr>
          <w:sz w:val="20"/>
          <w:szCs w:val="20"/>
          <w:color w:val="auto"/>
        </w:rPr>
      </w:pPr>
    </w:p>
    <w:p>
      <w:pPr>
        <w:jc w:val="both"/>
        <w:ind w:firstLine="1241"/>
        <w:spacing w:after="0" w:line="225" w:lineRule="auto"/>
        <w:tabs>
          <w:tab w:leader="none" w:pos="18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contingent liabilities in respect of any indemnification obligation, adjustment of purchase price, non-compete, or similar obligation of any Loan Party incurred in connection with the consummation of one or more Permitted Acquisitions including Permitted Holdback Indebtedness,</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comprising Permitted Investments,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Indebtedness incurred in respect of netting services, overdraft protection, and other like services, in each case, incurred in the ordinary course of business,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Indebtedness of any Loan Party or its Subsidiaries in respect of Earn-Outs owing to sellers of assets or Equity Interests to such Loan Party or its Subsidiaries that is incurred in connection with the consummation of one or more Permitted Acquisitions,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accrual of interest, accretion or amortization of original issue discount, or the payment of interest in kind, in each case, on Indebtedness that otherwise constitutes Permitted Indebtedness,</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Permitted Insurance Premium Financing Indebtedness,</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9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Bayonet Seller Note Indebtedness, subject to the subordination terms set forth in Section 3 of that certain Unsecured Promissory Note dated as of December 21, 2020, executed by IES Residential in favor of Robert N. Blankenship Trust and Robert C. Blankenship Trust, as in effect on December 21, 2020;</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unsecured or secured Indebtedness incurred by any Loan Party or any of its Subsidiaries in an aggregate outstanding amount not to exceed $5,000,000 at any one time; provided, that any Liens on such Indebtedness shall be subject to the limitations in clause (t) of Permitted Liens.</w:t>
      </w:r>
    </w:p>
    <w:p>
      <w:pPr>
        <w:spacing w:after="0" w:line="146" w:lineRule="exact"/>
        <w:rPr>
          <w:sz w:val="20"/>
          <w:szCs w:val="20"/>
          <w:color w:val="auto"/>
        </w:rPr>
      </w:pPr>
    </w:p>
    <w:p>
      <w:pPr>
        <w:jc w:val="both"/>
        <w:ind w:firstLine="1238"/>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Insurance Premium Financing Indebtedness</w:t>
      </w:r>
      <w:r>
        <w:rPr>
          <w:rFonts w:ascii="Times New Roman" w:cs="Times New Roman" w:eastAsia="Times New Roman" w:hAnsi="Times New Roman"/>
          <w:sz w:val="21"/>
          <w:szCs w:val="21"/>
          <w:color w:val="auto"/>
        </w:rPr>
        <w:t>" means Indebtedness arising under or in connection with the financing by any Loan Party of any insurance premiums, in which the insurance premium financier (the "</w:t>
      </w:r>
      <w:r>
        <w:rPr>
          <w:rFonts w:ascii="Times New Roman" w:cs="Times New Roman" w:eastAsia="Times New Roman" w:hAnsi="Times New Roman"/>
          <w:sz w:val="21"/>
          <w:szCs w:val="21"/>
          <w:u w:val="single" w:color="auto"/>
          <w:color w:val="auto"/>
        </w:rPr>
        <w:t>Insurance Premium Lender</w:t>
      </w:r>
      <w:r>
        <w:rPr>
          <w:rFonts w:ascii="Times New Roman" w:cs="Times New Roman" w:eastAsia="Times New Roman" w:hAnsi="Times New Roman"/>
          <w:sz w:val="21"/>
          <w:szCs w:val="21"/>
          <w:color w:val="auto"/>
        </w:rPr>
        <w:t>") has agreed in writing for the benefit of Agent that (i) the Insurance Premium Lender shall provide Agent with thirty (30) days prior written notice of any intended cancellation of a financed insurance policy (such notice to include a brief description of the grounds for cancellation and the actions necessary to cure any breach or default), (ii) Agent shall have the right, but not the obligation, to cure any breach or default by the Loan Parties under the insurance premium financing arrangement (the "</w:t>
      </w:r>
      <w:r>
        <w:rPr>
          <w:rFonts w:ascii="Times New Roman" w:cs="Times New Roman" w:eastAsia="Times New Roman" w:hAnsi="Times New Roman"/>
          <w:sz w:val="21"/>
          <w:szCs w:val="21"/>
          <w:u w:val="single" w:color="auto"/>
          <w:color w:val="auto"/>
        </w:rPr>
        <w:t>Insurance Premium Loan Documents</w:t>
      </w:r>
      <w:r>
        <w:rPr>
          <w:rFonts w:ascii="Times New Roman" w:cs="Times New Roman" w:eastAsia="Times New Roman" w:hAnsi="Times New Roman"/>
          <w:sz w:val="21"/>
          <w:szCs w:val="21"/>
          <w:color w:val="auto"/>
        </w:rPr>
        <w:t>") (and any fees, expenses, costs, or other sums paid by Agent to effectuate such a cure shall constitute a Protective Advance), (iii) any Lien of such Insurance Premium Lender is at all times junior in priority to the Liens in favor of Agent (except with respect to unearned premiums or otherwise to the extent such Liens have priority under applicable law), and (iv) if the Insurance Premium Lender sells, assigns, or otherwise transfers the Insurance Premium Loan Documents or the loan represented by the Insurance Premium Loan Documents, whether in whole or in part, the Insurance Premium Lender shall require that any such purchaser, assignee, or transferee agrees (in writing) to be bound by the foregoing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8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Permitted Intercompany Advances</w:t>
      </w:r>
      <w:r>
        <w:rPr>
          <w:rFonts w:ascii="Times New Roman" w:cs="Times New Roman" w:eastAsia="Times New Roman" w:hAnsi="Times New Roman"/>
          <w:sz w:val="21"/>
          <w:szCs w:val="21"/>
          <w:color w:val="auto"/>
        </w:rPr>
        <w:t>" means loans made by (a) a Loan Party to another Loan Party, (b) a Subsidiary of a Loan Party that is not a Loan Party to another Subsidiary of a Loan Party that is not a Loan Party, (c) a Subsidiary of a Loan Party that is not a Loan Party to a Loan Party, so long as the parties thereto are party to the Intercompany Subordination Agreement, and (d) a Loan Party to a Subsidiary of a Loan Party that is not a Loan Party so long as (i) the aggregate amount of all such loans (by type, not by the borrower) does not exceed $500,000 outstanding at any one time and (ii) at the time of the making of such loan, no Event of Default has occurred and is continuing or would result therefrom.</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21"/>
          <w:szCs w:val="21"/>
          <w:color w:val="auto"/>
        </w:rPr>
        <w:t>" means:</w:t>
      </w:r>
    </w:p>
    <w:p>
      <w:pPr>
        <w:spacing w:after="0" w:line="171" w:lineRule="exact"/>
        <w:rPr>
          <w:sz w:val="20"/>
          <w:szCs w:val="20"/>
          <w:color w:val="auto"/>
        </w:rPr>
      </w:pPr>
    </w:p>
    <w:p>
      <w:pPr>
        <w:ind w:left="1860" w:hanging="619"/>
        <w:spacing w:after="0"/>
        <w:tabs>
          <w:tab w:leader="none" w:pos="1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cash and Cash Equivalents,</w:t>
      </w:r>
    </w:p>
    <w:p>
      <w:pPr>
        <w:spacing w:after="0" w:line="157"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negotiable instruments deposited or to be deposited for collection in the ordinary course of</w:t>
      </w:r>
    </w:p>
    <w:p>
      <w:pPr>
        <w:spacing w:after="0"/>
        <w:rPr>
          <w:sz w:val="20"/>
          <w:szCs w:val="20"/>
          <w:color w:val="auto"/>
        </w:rPr>
      </w:pPr>
      <w:r>
        <w:rPr>
          <w:rFonts w:ascii="Times New Roman" w:cs="Times New Roman" w:eastAsia="Times New Roman" w:hAnsi="Times New Roman"/>
          <w:sz w:val="21"/>
          <w:szCs w:val="21"/>
          <w:color w:val="auto"/>
        </w:rPr>
        <w:t>business,</w:t>
      </w:r>
    </w:p>
    <w:p>
      <w:pPr>
        <w:spacing w:after="0" w:line="149" w:lineRule="exact"/>
        <w:rPr>
          <w:sz w:val="20"/>
          <w:szCs w:val="20"/>
          <w:color w:val="auto"/>
        </w:rPr>
      </w:pPr>
    </w:p>
    <w:p>
      <w:pPr>
        <w:ind w:left="1860" w:hanging="619"/>
        <w:spacing w:after="0"/>
        <w:tabs>
          <w:tab w:leader="none" w:pos="18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advances made in connection with purchases of goods or services in the ordinary course of business,</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44"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owned by any Loan Party or any of its Subsidiaries on the Closing Date and set forth on </w:t>
      </w:r>
      <w:r>
        <w:rPr>
          <w:rFonts w:ascii="Times New Roman" w:cs="Times New Roman" w:eastAsia="Times New Roman" w:hAnsi="Times New Roman"/>
          <w:sz w:val="20"/>
          <w:szCs w:val="20"/>
          <w:u w:val="single" w:color="auto"/>
          <w:color w:val="auto"/>
        </w:rPr>
        <w:t>Schedule P-</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xml:space="preserve"> to this Agreement,</w:t>
      </w:r>
    </w:p>
    <w:p>
      <w:pPr>
        <w:spacing w:after="0" w:line="149"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permitted under the definition of Permitted Indebtedness,</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Intercompany Advances,</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Interests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45"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of cash made in the ordinary course of business to secure performance of operating leases,</w:t>
      </w:r>
    </w:p>
    <w:p>
      <w:pPr>
        <w:spacing w:after="0" w:line="171"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4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non-cash loans and advances to employees, officers, and directors of a Loan Party or any of its Subsidiaries for the purpose of purchasing Equity Interests in Parent so long as the proceeds of such loans are used in their entirety to purchase such Equity Interests in Parent, and (ii) loans and advances to employees and officers of a Loan Party or any of its Subsidiaries in the ordinary course of business for any other business purpose and in an aggregate amount not to exceed $500,000 at any one time,</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86" w:lineRule="exact"/>
        <w:rPr>
          <w:sz w:val="20"/>
          <w:szCs w:val="20"/>
          <w:color w:val="auto"/>
        </w:rPr>
      </w:pPr>
    </w:p>
    <w:p>
      <w:pPr>
        <w:ind w:firstLine="1241"/>
        <w:spacing w:after="0" w:line="235" w:lineRule="auto"/>
        <w:tabs>
          <w:tab w:leader="none" w:pos="184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the form of capital contributions or the acquisition of Equity Interests made by any Loan Party with respect to any other Loan Party,</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4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resulting from entering into (i) Bank Product Agreements, or (ii) agreements relative to obligations permitted under clause (i) of the definition of Permitted Indebtedness,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Investments by any Loan Party in any Subsidiary of such Loan Party which is required by law to maintain a minimum net capital requirement or as may be otherwise required by applicable law,</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44"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permitted by Section 6.7(b)(iii), Section 6.10(g), and Section 6.10(h) of this Agreement by any Loan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Party,</w:t>
      </w:r>
    </w:p>
    <w:p>
      <w:pPr>
        <w:spacing w:after="0" w:line="149" w:lineRule="exact"/>
        <w:rPr>
          <w:rFonts w:ascii="Times New Roman" w:cs="Times New Roman" w:eastAsia="Times New Roman" w:hAnsi="Times New Roman"/>
          <w:sz w:val="20"/>
          <w:szCs w:val="20"/>
          <w:color w:val="auto"/>
        </w:rPr>
      </w:pPr>
    </w:p>
    <w:p>
      <w:pPr>
        <w:ind w:firstLine="1241"/>
        <w:spacing w:after="0" w:line="235" w:lineRule="auto"/>
        <w:tabs>
          <w:tab w:leader="none" w:pos="185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Event of Default has occurred and is continuing or would result therefrom, any other Investments in an aggregate amount not to exceed $500,000 during the term of this Agreement,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or other acquisition of Real Property from a Person whose only asset is such Real Property, and</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so long as the Payment Conditions are satisfied.</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w:t>
      </w:r>
    </w:p>
    <w:p>
      <w:pPr>
        <w:spacing w:after="0" w:line="171" w:lineRule="exact"/>
        <w:rPr>
          <w:sz w:val="20"/>
          <w:szCs w:val="20"/>
          <w:color w:val="auto"/>
        </w:rPr>
      </w:pPr>
    </w:p>
    <w:p>
      <w:pPr>
        <w:ind w:left="1860" w:hanging="619"/>
        <w:spacing w:after="0"/>
        <w:tabs>
          <w:tab w:leader="none" w:pos="18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granted to, or for the benefit of, Agent to secure the Obligations,</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unpaid taxes, assessments, or other governmental charges or levies that either (i) are not yet delinquent, or (ii) are the subject of Permitted Protests,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judgment Liens arising solely as a result of the existence of judgments, orders, or awards that do not constitute an Event of Default under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of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set forth on </w:t>
      </w:r>
      <w:r>
        <w:rPr>
          <w:rFonts w:ascii="Times New Roman" w:cs="Times New Roman" w:eastAsia="Times New Roman" w:hAnsi="Times New Roman"/>
          <w:sz w:val="21"/>
          <w:szCs w:val="21"/>
          <w:u w:val="single" w:color="auto"/>
          <w:color w:val="auto"/>
        </w:rPr>
        <w:t>Schedule P-2</w:t>
      </w:r>
      <w:r>
        <w:rPr>
          <w:rFonts w:ascii="Times New Roman" w:cs="Times New Roman" w:eastAsia="Times New Roman" w:hAnsi="Times New Roman"/>
          <w:sz w:val="21"/>
          <w:szCs w:val="21"/>
          <w:color w:val="auto"/>
        </w:rPr>
        <w:t xml:space="preserve">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qualify as a Permitted Lien, any such Lien described on </w:t>
      </w:r>
      <w:r>
        <w:rPr>
          <w:rFonts w:ascii="Times New Roman" w:cs="Times New Roman" w:eastAsia="Times New Roman" w:hAnsi="Times New Roman"/>
          <w:sz w:val="21"/>
          <w:szCs w:val="21"/>
          <w:u w:val="single" w:color="auto"/>
          <w:color w:val="auto"/>
        </w:rPr>
        <w:t>Schedule P-2</w:t>
      </w:r>
      <w:r>
        <w:rPr>
          <w:rFonts w:ascii="Times New Roman" w:cs="Times New Roman" w:eastAsia="Times New Roman" w:hAnsi="Times New Roman"/>
          <w:sz w:val="21"/>
          <w:szCs w:val="21"/>
          <w:color w:val="auto"/>
        </w:rPr>
        <w:t xml:space="preserve"> to this Agreement shall only secure the Indebtedness that it secures on the Closing Date and any Refinancing Indebtedness in respect thereof,</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interests of lessors under operating leases and non-exclusive licensors under license agreements,</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money Liens on fixed assets or the interests of lessors under Capital Leases to the extent that such Liens or interests secure Permitted Purchase Money Indebtedness and so long as (i) such Lien attaches only to the fixed asset purchased or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and the proceeds thereof, and (ii) such Lien only secures the Indebtedness that was incurred to acquire the fixed asset purchased or acquired or any Refinancing Indebtedness in respect thereof,</w:t>
      </w:r>
    </w:p>
    <w:p>
      <w:pPr>
        <w:spacing w:after="0" w:line="146" w:lineRule="exact"/>
        <w:rPr>
          <w:sz w:val="20"/>
          <w:szCs w:val="20"/>
          <w:color w:val="auto"/>
        </w:rPr>
      </w:pPr>
    </w:p>
    <w:p>
      <w:pPr>
        <w:jc w:val="both"/>
        <w:ind w:firstLine="1241"/>
        <w:spacing w:after="0" w:line="225" w:lineRule="auto"/>
        <w:tabs>
          <w:tab w:leader="none" w:pos="185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amounts deposited to secure any Borrower's and its Subsidiaries' obligations in connection with worker's compensation or other unemployment insurance,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amounts deposited to secure any Borrower's and its Subsidiaries' obligations in connection with the making or entering into of bids, tenders, or leases in the ordinary course of business and not in connection with the borrowing of money,</w:t>
      </w:r>
    </w:p>
    <w:p>
      <w:pPr>
        <w:spacing w:after="0" w:line="145" w:lineRule="exact"/>
        <w:rPr>
          <w:rFonts w:ascii="Times New Roman" w:cs="Times New Roman" w:eastAsia="Times New Roman" w:hAnsi="Times New Roman"/>
          <w:sz w:val="21"/>
          <w:szCs w:val="21"/>
          <w:color w:val="auto"/>
        </w:rPr>
      </w:pPr>
    </w:p>
    <w:p>
      <w:pPr>
        <w:jc w:val="both"/>
        <w:ind w:firstLine="1241"/>
        <w:spacing w:after="0" w:line="222" w:lineRule="auto"/>
        <w:tabs>
          <w:tab w:leader="none" w:pos="184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favor of Sureties in the Surety Collateral securing reimbursement obligations for Surety Bonds procured by a Borrower in the ordinary course of business consistent with past practices pursuant to a bonding program acceptable to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Surety has, pursuant to documentation satisfactory to Agent in the good faith exercise of Agent's credit judgment:</w:t>
      </w:r>
    </w:p>
    <w:p>
      <w:pPr>
        <w:spacing w:after="0" w:line="2" w:lineRule="exact"/>
        <w:rPr>
          <w:rFonts w:ascii="Times New Roman" w:cs="Times New Roman" w:eastAsia="Times New Roman" w:hAnsi="Times New Roman"/>
          <w:sz w:val="20"/>
          <w:szCs w:val="20"/>
          <w:color w:val="auto"/>
        </w:rPr>
      </w:pPr>
    </w:p>
    <w:p>
      <w:pPr>
        <w:jc w:val="both"/>
        <w:ind w:firstLine="3"/>
        <w:spacing w:after="0" w:line="217" w:lineRule="auto"/>
        <w:tabs>
          <w:tab w:leader="none" w:pos="29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agreed not to require segregation of funds as to its Bonded Collateral without the prior written consent of Agent (though Federal Insurance Company, Everest, Liberty Mutual, Chartis, and any other Surety (so long as such Surety has entered into an intercreditor agreement with Agent in form and substance satisfactory to Agent) will be permitted such segregation upon a default under the Bonded Contract and notice to Agent from Federal Insurance Company, Everest, Liberty Mutual, Chartis, or such other Surety,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Federal Insurance and Liberty Mutual Intercreditor, the Everest Intercreditor, the Chartis Intercreditor, or other intercreditor agreement entered into after the Original Third Amendment Closing Date in form and substance satisfactory to Agent, as applicable, is in full force and effect) and (b) (i) acknowledged and agreed that pursuant to the Loan Parties' cash management system established in connection with this Agreement, proceeds of the Surety Collateral, including Accounts arising from the Bonded Contracts (collectively, "</w:t>
      </w:r>
      <w:r>
        <w:rPr>
          <w:rFonts w:ascii="Times New Roman" w:cs="Times New Roman" w:eastAsia="Times New Roman" w:hAnsi="Times New Roman"/>
          <w:sz w:val="20"/>
          <w:szCs w:val="20"/>
          <w:u w:val="single" w:color="auto"/>
          <w:color w:val="auto"/>
        </w:rPr>
        <w:t>Bonded Contract Proceeds</w:t>
      </w:r>
      <w:r>
        <w:rPr>
          <w:rFonts w:ascii="Times New Roman" w:cs="Times New Roman" w:eastAsia="Times New Roman" w:hAnsi="Times New Roman"/>
          <w:sz w:val="20"/>
          <w:szCs w:val="20"/>
          <w:color w:val="auto"/>
        </w:rPr>
        <w:t>") may be commingled with proceeds of other Accounts and other Property of Borrowers in the Collection Account and other Deposit Accounts in which Agent has, or in the future may have, security interests, Liens or other rights, and (ii) consented to such commingling and to security interests, Liens or other rights in the Collection Account and such other Deposit Accounts, and (iii) released and waived any and all security interests and other legal and equitable rights and interests that it may then or thereafter have (as secured party, subrogee, trust fund beneficiary, or otherwise) in or to (A) the Collection Account and such other Deposit Accounts and (B) Bonded Account Proceeds that from time to time are in the Collection Account and such other Deposit Accounts are in the possession of Agent, that have been applied to indebtedness, liabilities or obligations from time to time owing to Agent by Borrowers, or have otherwise been removed from, set off against or applied from the Deposit Accounts,</w:t>
      </w:r>
    </w:p>
    <w:p>
      <w:pPr>
        <w:spacing w:after="0" w:line="144"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granted to an Insurance Premium Lender as security for Permitted Insurance Premium Financing</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86" w:lineRule="exact"/>
        <w:rPr>
          <w:sz w:val="20"/>
          <w:szCs w:val="20"/>
          <w:color w:val="auto"/>
        </w:rPr>
      </w:pPr>
    </w:p>
    <w:p>
      <w:pPr>
        <w:jc w:val="both"/>
        <w:ind w:firstLine="1241"/>
        <w:spacing w:after="0" w:line="225" w:lineRule="auto"/>
        <w:tabs>
          <w:tab w:leader="none" w:pos="184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Real Property, easements, rights of way, restrictions, covenants or other agreements of record, zoning restrictions, and other similar charges or encumbrances that do not materially interfere with or impair the use or operation thereof,</w:t>
      </w:r>
    </w:p>
    <w:p>
      <w:pPr>
        <w:spacing w:after="0" w:line="132"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of patents, trademarks, copyrights, and other intellectual property rights in the ordinary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course of business,</w:t>
      </w:r>
    </w:p>
    <w:p>
      <w:pPr>
        <w:spacing w:after="0" w:line="149"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of setoff or bankers' liens upon deposits of funds in favor of banks or other depository institutions, solely to the extent incurred in connection with the maintenance of such Deposit Accounts in the ordinary course of business,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law to secure payment of customs duties in connection with the importation of goods,</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incurred or deposits made in the ordinary course of business to secure the performance of tenders, bids, leases, contracts (other than for the repayment of borrowed Indebtedness), statutory obligations and other similar obligations or arising as a result of progress payments under government contracts, provided that, to the extent any such Liens attach to any of the Collateral, such Liens are at all times subordinate and junior to the Liens upon the Collateral in favor of Lender,</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solely on any cash earnest money deposits made by a Loan Party or any of its Subsidiaries in connection with any letter of intent or purchase agreement with respect to a Permitted Acquisition,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under clause (r) of the definition of Permitted Indebtedness, so long as, (i) all Indebtedness secured by such Liens does not exceed $2,500,000 in aggregate at any time, and (ii) such Liens do not attach to any Collateral included in the calculation of the Borrowing Base.</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Permitted Protest</w:t>
      </w:r>
      <w:r>
        <w:rPr>
          <w:rFonts w:ascii="Times New Roman" w:cs="Times New Roman" w:eastAsia="Times New Roman" w:hAnsi="Times New Roman"/>
          <w:sz w:val="21"/>
          <w:szCs w:val="21"/>
          <w:color w:val="auto"/>
        </w:rPr>
        <w:t xml:space="preserve">" means the right of any Loan Party or any of its Subsidiaries to protest any Lien (other than any Lien that secures the Obligations), taxes (other than payroll taxes or taxes that are the subject of a United States federal tax lien), or rental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Agent is satisfied that, while any such protest is pending, there will be no impairment of the enforceability, validity, or priority of any of Agent's Liens.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Purchase Money Indebtedness</w:t>
      </w:r>
      <w:r>
        <w:rPr>
          <w:rFonts w:ascii="Times New Roman" w:cs="Times New Roman" w:eastAsia="Times New Roman" w:hAnsi="Times New Roman"/>
          <w:sz w:val="21"/>
          <w:szCs w:val="21"/>
          <w:color w:val="auto"/>
        </w:rPr>
        <w:t>" means, as of any date of determination, Indebtedness (other than the Obligations, but including Capitalized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Obligations), incurred after the Closing Date and at the time of, or within 20 days after, the acquisition of any fixed assets for the purpose of financing all or any part of the acquisition cost thereof, in an aggregate principal amount outstanding at any one time not in excess of $750,000.</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17.9(c)</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Share</w:t>
      </w:r>
      <w:r>
        <w:rPr>
          <w:rFonts w:ascii="Times New Roman" w:cs="Times New Roman" w:eastAsia="Times New Roman" w:hAnsi="Times New Roman"/>
          <w:sz w:val="21"/>
          <w:szCs w:val="21"/>
          <w:color w:val="auto"/>
        </w:rPr>
        <w:t>" means, as of any date of determination:</w:t>
      </w:r>
    </w:p>
    <w:p>
      <w:pPr>
        <w:spacing w:after="0" w:line="171" w:lineRule="exact"/>
        <w:rPr>
          <w:sz w:val="20"/>
          <w:szCs w:val="20"/>
          <w:color w:val="auto"/>
        </w:rPr>
      </w:pPr>
    </w:p>
    <w:p>
      <w:pPr>
        <w:jc w:val="both"/>
        <w:ind w:firstLine="1241"/>
        <w:spacing w:after="0" w:line="220" w:lineRule="auto"/>
        <w:tabs>
          <w:tab w:leader="none" w:pos="185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 (i) the Revolving Loan Exposure of such Lender, by (ii) the aggregate Revolving Loan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all of the Revolving Loans have been repaid in full and all Revolver Commitments have been terminated, but Letters of Credit remain outstanding, Pro Rata Share under this clause shall be the percentage obtained by dividing (A) the Letter of Credit Exposure of such Lender, by (B) the Letter of Credit Exposure of all Lenders, and</w:t>
      </w:r>
    </w:p>
    <w:p>
      <w:pPr>
        <w:spacing w:after="0" w:line="149"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all other matters and for all other matters as to a particular Lender (including the indemnification obligations arising under </w:t>
      </w:r>
      <w:r>
        <w:rPr>
          <w:rFonts w:ascii="Times New Roman" w:cs="Times New Roman" w:eastAsia="Times New Roman" w:hAnsi="Times New Roman"/>
          <w:sz w:val="21"/>
          <w:szCs w:val="21"/>
          <w:u w:val="single" w:color="auto"/>
          <w:color w:val="auto"/>
        </w:rPr>
        <w:t>Section 15.7</w:t>
      </w:r>
      <w:r>
        <w:rPr>
          <w:rFonts w:ascii="Times New Roman" w:cs="Times New Roman" w:eastAsia="Times New Roman" w:hAnsi="Times New Roman"/>
          <w:sz w:val="21"/>
          <w:szCs w:val="21"/>
          <w:color w:val="auto"/>
        </w:rPr>
        <w:t xml:space="preserve"> 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all of the Loans have been repaid in full and all Commitments have been terminated, Pro Rata Share under this clause shall be the percentage obtained by dividing (A) the Letter of Credit Exposure of such Lender, by (B) the Letter of Credit Exposure of all Lenders.</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Projections</w:t>
      </w:r>
      <w:r>
        <w:rPr>
          <w:rFonts w:ascii="Times New Roman" w:cs="Times New Roman" w:eastAsia="Times New Roman" w:hAnsi="Times New Roman"/>
          <w:sz w:val="21"/>
          <w:szCs w:val="21"/>
          <w:color w:val="auto"/>
        </w:rPr>
        <w:t>" means Borrowers' forecasted (a) balance sheets, (b) profit and loss statements, and (c) cash flow statements, all prepared on a basis consistent with Borrowers' historical financial statements, together with appropriate supporting details and a statement of underlying assumptions.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Protective Advances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2.3(d)(i)</w:t>
      </w:r>
      <w:r>
        <w:rPr>
          <w:rFonts w:ascii="Times New Roman" w:cs="Times New Roman" w:eastAsia="Times New Roman" w:hAnsi="Times New Roman"/>
          <w:sz w:val="21"/>
          <w:szCs w:val="21"/>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17.9(c)</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means, with respect to any Acquisition, an amount equal to the aggregate consideration, whether cash, property or securities (including the fair market value of any Equity Interests of Parent issued in connection with such Acquisition and including the maximum amount of Earn-Outs), paid or delivered by a Loan Party or one of its Subsidiaries in connection with such Acquisition (whether paid at the closing thereof or payable thereafter and whether fixed or contingent), but excluding therefrom (a) any cash of the seller and its Affiliates used to fund any portion of such consideration, and (b) any cash or Cash Equivalents acquired in connection with such Acquisition.</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 5390(c)(8)(D).</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17.15</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Cash</w:t>
      </w:r>
      <w:r>
        <w:rPr>
          <w:rFonts w:ascii="Times New Roman" w:cs="Times New Roman" w:eastAsia="Times New Roman" w:hAnsi="Times New Roman"/>
          <w:sz w:val="21"/>
          <w:szCs w:val="21"/>
          <w:color w:val="auto"/>
        </w:rPr>
        <w:t>" means, as of any date of determination, the amount of unrestricted cash and Cash Equivalents of the Loan Parties and their Subsidiaries that is in Deposit Accounts or in Securities Accounts, or any combination thereof, and which such Deposit Account or Securities Account is the subject of a Control Agreement and is maintained by a branch office of the bank or securities intermediary located within the United States.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Equity Interests</w:t>
      </w:r>
      <w:r>
        <w:rPr>
          <w:rFonts w:ascii="Times New Roman" w:cs="Times New Roman" w:eastAsia="Times New Roman" w:hAnsi="Times New Roman"/>
          <w:sz w:val="21"/>
          <w:szCs w:val="21"/>
          <w:color w:val="auto"/>
        </w:rPr>
        <w:t>" means and refers to any Equity Interests issued by Parent (and not by one or more of its Subsidiaries) that is not a Disqualified Equity Interest.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Raw Materials Trigger Date</w:t>
      </w:r>
      <w:r>
        <w:rPr>
          <w:rFonts w:ascii="Times New Roman" w:cs="Times New Roman" w:eastAsia="Times New Roman" w:hAnsi="Times New Roman"/>
          <w:sz w:val="21"/>
          <w:szCs w:val="21"/>
          <w:color w:val="auto"/>
        </w:rPr>
        <w:t>" means that date on which Lender receives an appraisal, in form and substance satisfactory to Lender, of Eligible Inventory consisting of raw materials.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means any estates or interests in real property now owned or hereafter acquired by any Loan Party or one of its Subsidiaries and the improvements thereto.</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Receivable Reserves</w:t>
      </w:r>
      <w:r>
        <w:rPr>
          <w:rFonts w:ascii="Times New Roman" w:cs="Times New Roman" w:eastAsia="Times New Roman" w:hAnsi="Times New Roman"/>
          <w:sz w:val="21"/>
          <w:szCs w:val="21"/>
          <w:color w:val="auto"/>
        </w:rPr>
        <w:t xml:space="preserve">" means, as of any date of determination, those reserves that Agent deems necessary or appropriate, in its Permitted Discretion and subject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to establish and maintain (including Landlord Reserves for books and records locations and reserves for rebates, discounts, warranty claims, and returns) with respect to the Eligible Accounts or the Maximum Revolver Amount.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Record</w:t>
      </w:r>
      <w:r>
        <w:rPr>
          <w:rFonts w:ascii="Times New Roman" w:cs="Times New Roman" w:eastAsia="Times New Roman" w:hAnsi="Times New Roman"/>
          <w:sz w:val="21"/>
          <w:szCs w:val="21"/>
          <w:color w:val="auto"/>
        </w:rPr>
        <w:t>" means information that is inscribed on a tangible medium or that is stored in an electronic or other medium and is retrievable in perceivable form.</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Period</w:t>
      </w:r>
      <w:r>
        <w:rPr>
          <w:rFonts w:ascii="Times New Roman" w:cs="Times New Roman" w:eastAsia="Times New Roman" w:hAnsi="Times New Roman"/>
          <w:sz w:val="21"/>
          <w:szCs w:val="21"/>
          <w:color w:val="auto"/>
        </w:rPr>
        <w:t>" has the meaning set forth in the definition of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Indebtedness</w:t>
      </w:r>
      <w:r>
        <w:rPr>
          <w:rFonts w:ascii="Times New Roman" w:cs="Times New Roman" w:eastAsia="Times New Roman" w:hAnsi="Times New Roman"/>
          <w:sz w:val="21"/>
          <w:szCs w:val="21"/>
          <w:color w:val="auto"/>
        </w:rPr>
        <w:t>" means refinancings, renewals, or extensions of Indebtedness so long as:</w:t>
      </w:r>
    </w:p>
    <w:p>
      <w:pPr>
        <w:spacing w:after="0" w:line="171" w:lineRule="exact"/>
        <w:rPr>
          <w:sz w:val="20"/>
          <w:szCs w:val="20"/>
          <w:color w:val="auto"/>
        </w:rPr>
      </w:pPr>
    </w:p>
    <w:p>
      <w:pPr>
        <w:jc w:val="both"/>
        <w:ind w:firstLine="1241"/>
        <w:spacing w:after="0" w:line="225" w:lineRule="auto"/>
        <w:tabs>
          <w:tab w:leader="none" w:pos="185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Indebtedness that is refinanced, renewed or extended was unsecured, such refinancing, renewal or extension shall be unsecured,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 and (ii) the Liens securing such refinancing, renewal or extension shall not have a priority more senior than the Liens securing such Indebtedness that is refinanced, renewed or extended.</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Board of Governors or the Federal Reserve Bank of New York, or a committee officially endorsed or convened by the Board of Governors or the Federal Reserve Bank of New York, or any successor thereto.</w:t>
      </w:r>
    </w:p>
    <w:p>
      <w:pPr>
        <w:spacing w:after="0" w:line="146"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Remedial Action</w:t>
      </w:r>
      <w:r>
        <w:rPr>
          <w:rFonts w:ascii="Times New Roman" w:cs="Times New Roman" w:eastAsia="Times New Roman" w:hAnsi="Times New Roman"/>
          <w:sz w:val="21"/>
          <w:szCs w:val="21"/>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86" w:lineRule="exact"/>
        <w:rPr>
          <w:sz w:val="20"/>
          <w:szCs w:val="20"/>
          <w:color w:val="auto"/>
        </w:rPr>
      </w:pPr>
    </w:p>
    <w:p>
      <w:pPr>
        <w:ind w:firstLine="3"/>
        <w:spacing w:after="0" w:line="235" w:lineRule="auto"/>
        <w:tabs>
          <w:tab w:leader="none" w:pos="31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pre-remedial studies, investigations, or post-remedial operation and maintenance activities, or (e) conduct any other actions with respect to Hazardous Materials required by Environmental Laws.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2.13(b)</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15.16</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Liquidity</w:t>
      </w:r>
      <w:r>
        <w:rPr>
          <w:rFonts w:ascii="Times New Roman" w:cs="Times New Roman" w:eastAsia="Times New Roman" w:hAnsi="Times New Roman"/>
          <w:sz w:val="21"/>
          <w:szCs w:val="21"/>
          <w:color w:val="auto"/>
        </w:rPr>
        <w:t>" means that Liquidity exceeds $20,000,000.</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having or holding more than 50% of the aggregate Revolving Loan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Revolving Loan Exposure of any Defaulting Lender shall be disregarded in the determination of the Required Lenders, and (ii) at any time there are two or more Lenders (who are not Affiliates of one another or Defaulting Lenders), "Required Lenders" must include at least two Lenders (who are not Affiliates of one another).</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Reserves</w:t>
      </w:r>
      <w:r>
        <w:rPr>
          <w:rFonts w:ascii="Times New Roman" w:cs="Times New Roman" w:eastAsia="Times New Roman" w:hAnsi="Times New Roman"/>
          <w:sz w:val="21"/>
          <w:szCs w:val="21"/>
          <w:color w:val="auto"/>
        </w:rPr>
        <w:t xml:space="preserve">" means, as of any date of determination, Inventory Reserves, Bank Product Reserves and those other reserves that Agent deems necessary or appropriate, in its Permitted Discretion and subject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to establish and maintain (including reserves with respect to (a) sums that any Loan Party or its Subsidiaries are required to pay under any Section of this Agreement or any other Loan Document (such as taxes, assessments, insurance premiums, or, in the case of leased assets, rents or other amounts payable under such leases) and has failed to pay, and (b) amounts owing by any Loan Party or its Subsidiaries to any Person to the extent secured by a Lien on, or trust over, any of the Collateral (other than a Permitted Lien), which Lien or trust, in the Permitted Discretion of Agent likely would have a priority superior to Agent's Liens (such as Liens or trusts in favor of landlords, warehousemen, carriers, mechanics, materialmen, laborers, or suppliers, or Liens or trusts for ad valorem, excise, sales, or other taxes where given priority under applicable law) in and to such item of the Collateral) with respect to the Borrowing Base or the Maximum Revolver Amount.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46"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 any declaration or payment of any dividend or the making of any other payment or distribution, directly or indirectly, on account of Equity Interests issued by Parent or any of its Subsidiaries (including any payment in connection with any merger or consolidation involving Parent) or to the direct or indirect holders of Equity Interests issued by Parent or any of its Subsidiaries in their capacity as such (other than dividends or distributions payable in Qualified Equity Interests issued by Parent or any of its Subsidiaries, or (b) any purchase, redemption, making of any sinking fund or similar payment, or other acquisition or retirement for value (including in connection with any merger or consolidation involving Parent) any Equity Interests issued by Parent or any of its Subsidiaries, or (c) any making of any payment to retire, or to obtain the surrender of, any outstanding warrants, options, or other rights to acquire Equity Interests of Parent now or hereafter outstanding.</w:t>
      </w:r>
    </w:p>
    <w:p>
      <w:pPr>
        <w:spacing w:after="0" w:line="150"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Restructuring Agreement</w:t>
      </w:r>
      <w:r>
        <w:rPr>
          <w:rFonts w:ascii="Times New Roman" w:cs="Times New Roman" w:eastAsia="Times New Roman" w:hAnsi="Times New Roman"/>
          <w:sz w:val="21"/>
          <w:szCs w:val="21"/>
          <w:color w:val="auto"/>
        </w:rPr>
        <w:t>" means that certain Restructuring Agreement dated as of the Closing Date by and among the Agent and the Loan Parties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8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Revolver Commitment</w:t>
      </w:r>
      <w:r>
        <w:rPr>
          <w:rFonts w:ascii="Times New Roman" w:cs="Times New Roman" w:eastAsia="Times New Roman" w:hAnsi="Times New Roman"/>
          <w:sz w:val="21"/>
          <w:szCs w:val="21"/>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Times New Roman" w:cs="Times New Roman" w:eastAsia="Times New Roman" w:hAnsi="Times New Roman"/>
          <w:sz w:val="21"/>
          <w:szCs w:val="21"/>
          <w:u w:val="single" w:color="auto"/>
          <w:color w:val="auto"/>
        </w:rPr>
        <w:t>Schedule C-1</w:t>
      </w:r>
      <w:r>
        <w:rPr>
          <w:rFonts w:ascii="Times New Roman" w:cs="Times New Roman" w:eastAsia="Times New Roman" w:hAnsi="Times New Roman"/>
          <w:sz w:val="21"/>
          <w:szCs w:val="21"/>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of this Agreement, and as such amounts may be decreased by the amount of reductions in the Revolver Commitments made in accordance with </w:t>
      </w:r>
      <w:r>
        <w:rPr>
          <w:rFonts w:ascii="Times New Roman" w:cs="Times New Roman" w:eastAsia="Times New Roman" w:hAnsi="Times New Roman"/>
          <w:sz w:val="21"/>
          <w:szCs w:val="21"/>
          <w:u w:val="single" w:color="auto"/>
          <w:color w:val="auto"/>
        </w:rPr>
        <w:t>Section 2.4(c)</w:t>
      </w:r>
      <w:r>
        <w:rPr>
          <w:rFonts w:ascii="Times New Roman" w:cs="Times New Roman" w:eastAsia="Times New Roman" w:hAnsi="Times New Roman"/>
          <w:sz w:val="21"/>
          <w:szCs w:val="21"/>
          <w:color w:val="auto"/>
        </w:rPr>
        <w:t xml:space="preserve"> hereof.</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Revolver Usage</w:t>
      </w:r>
      <w:r>
        <w:rPr>
          <w:rFonts w:ascii="Times New Roman" w:cs="Times New Roman" w:eastAsia="Times New Roman" w:hAnsi="Times New Roman"/>
          <w:sz w:val="21"/>
          <w:szCs w:val="21"/>
          <w:color w:val="auto"/>
        </w:rPr>
        <w:t xml:space="preserve">" means, as of any date of determination, the sum of (a) the amount of outstanding Revolving Loans (inclusive of Swing Loans and Protective Advances),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amount of the Letter of Credit Usage.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Lender</w:t>
      </w:r>
      <w:r>
        <w:rPr>
          <w:rFonts w:ascii="Times New Roman" w:cs="Times New Roman" w:eastAsia="Times New Roman" w:hAnsi="Times New Roman"/>
          <w:sz w:val="21"/>
          <w:szCs w:val="21"/>
          <w:color w:val="auto"/>
        </w:rPr>
        <w:t>" means a Lender that has a Revolving Loan Exposure or Letter of Credit Exposure.</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Loan Exposure</w:t>
      </w:r>
      <w:r>
        <w:rPr>
          <w:rFonts w:ascii="Times New Roman" w:cs="Times New Roman" w:eastAsia="Times New Roman" w:hAnsi="Times New Roman"/>
          <w:sz w:val="21"/>
          <w:szCs w:val="21"/>
          <w:color w:val="auto"/>
        </w:rPr>
        <w:t>" means, with respect to any Revolving Lender, as of any date of determination (a) prior to the termination of the Revolver Commitments, the amount of such Lender's Revolver Commitment, and (b) after the termination of the Revolver Commitments, the aggregate outstanding principal amount of the Revolving Loans of such Lender.</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means (a) a country or territory or a government of a country or territory, (b) an agency of the government of a country or territory, (c) an organization directly or indirectly controlled by a country or territory or its government, or</w:t>
      </w:r>
    </w:p>
    <w:p>
      <w:pPr>
        <w:spacing w:after="0" w:line="1" w:lineRule="exact"/>
        <w:rPr>
          <w:sz w:val="20"/>
          <w:szCs w:val="20"/>
          <w:color w:val="auto"/>
        </w:rPr>
      </w:pPr>
    </w:p>
    <w:p>
      <w:pPr>
        <w:ind w:firstLine="3"/>
        <w:spacing w:after="0" w:line="224" w:lineRule="auto"/>
        <w:tabs>
          <w:tab w:leader="none" w:pos="30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resident in or determined to be resident in a country or territory, in each case of clauses (a) through (d) that is a target of Sanctions, including a target of any country sanctions program administered and enforced by OFAC.</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46"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(e) any other Governmental Authority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jurisdiction over any member of Lender Group or any Loan Party or any of their respective Subsidiaries or Affiliates.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has the meaning specified therefor in the definition of Cash Equivalents.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 and any successor thereto.</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Account</w:t>
      </w:r>
      <w:r>
        <w:rPr>
          <w:rFonts w:ascii="Times New Roman" w:cs="Times New Roman" w:eastAsia="Times New Roman" w:hAnsi="Times New Roman"/>
          <w:sz w:val="21"/>
          <w:szCs w:val="21"/>
          <w:color w:val="auto"/>
        </w:rPr>
        <w:t>" means a securities account (as that term is defined in the Code).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from time to time, and any successor statute.</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2.3(e)(i)</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2.3(e)(i)</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Federal Reserve Bank of New York (or a successor administrator of the secured overnight financing rate).</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Loan</w:t>
      </w:r>
      <w:r>
        <w:rPr>
          <w:rFonts w:ascii="Times New Roman" w:cs="Times New Roman" w:eastAsia="Times New Roman" w:hAnsi="Times New Roman"/>
          <w:sz w:val="21"/>
          <w:szCs w:val="21"/>
          <w:color w:val="auto"/>
        </w:rPr>
        <w:t>" means each portion of a Revolving Loan that bears interest at a rate determined by reference to Daily Simple SOFR (other than pursuant to clause (c) of the definition of "Base Rate").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Margin</w:t>
      </w:r>
      <w:r>
        <w:rPr>
          <w:rFonts w:ascii="Times New Roman" w:cs="Times New Roman" w:eastAsia="Times New Roman" w:hAnsi="Times New Roman"/>
          <w:sz w:val="21"/>
          <w:szCs w:val="21"/>
          <w:color w:val="auto"/>
        </w:rPr>
        <w:t>" has the meaning set forth in the definition of Applicable Margin.</w:t>
      </w:r>
    </w:p>
    <w:p>
      <w:pPr>
        <w:spacing w:after="0" w:line="171"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to become an actual or matured liability (irrespective of whether such contingent liabilities meet the criteria for accrual under Statement of Financial Accounting Standard No. 5).</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Surety Agreements</w:t>
      </w:r>
      <w:r>
        <w:rPr>
          <w:rFonts w:ascii="Times New Roman" w:cs="Times New Roman" w:eastAsia="Times New Roman" w:hAnsi="Times New Roman"/>
          <w:sz w:val="21"/>
          <w:szCs w:val="21"/>
          <w:color w:val="auto"/>
        </w:rPr>
        <w:t xml:space="preserve">" means the agreements with Chartis, Everest, Federal Insurance Company, Liberty Mutual, United States Fire Insurance Company, and/or any other Surety listed on </w:t>
      </w:r>
      <w:r>
        <w:rPr>
          <w:rFonts w:ascii="Times New Roman" w:cs="Times New Roman" w:eastAsia="Times New Roman" w:hAnsi="Times New Roman"/>
          <w:sz w:val="21"/>
          <w:szCs w:val="21"/>
          <w:u w:val="single" w:color="auto"/>
          <w:color w:val="auto"/>
        </w:rPr>
        <w:t>Schedule 4.31</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Transaction</w:t>
      </w:r>
      <w:r>
        <w:rPr>
          <w:rFonts w:ascii="Times New Roman" w:cs="Times New Roman" w:eastAsia="Times New Roman" w:hAnsi="Times New Roman"/>
          <w:sz w:val="21"/>
          <w:szCs w:val="21"/>
          <w:color w:val="auto"/>
        </w:rPr>
        <w:t>" means, any Investment (including any Acquisition) that is subject to the Payment Conditions pursuant to clause (s) of the defined term "Permitted Investments" herein or prepayment of Indebtedness that is subject to Payment Conditions pursuant to Section 6.6(a)(i)(D) herein.</w:t>
      </w:r>
    </w:p>
    <w:p>
      <w:pPr>
        <w:spacing w:after="0" w:line="146" w:lineRule="exact"/>
        <w:rPr>
          <w:sz w:val="20"/>
          <w:szCs w:val="20"/>
          <w:color w:val="auto"/>
        </w:rPr>
      </w:pPr>
    </w:p>
    <w:p>
      <w:pPr>
        <w:jc w:val="both"/>
        <w:ind w:firstLine="1238"/>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Letter of Credit Practice</w:t>
      </w:r>
      <w:r>
        <w:rPr>
          <w:rFonts w:ascii="Times New Roman" w:cs="Times New Roman" w:eastAsia="Times New Roman" w:hAnsi="Times New Roman"/>
          <w:sz w:val="20"/>
          <w:szCs w:val="20"/>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w:t>
      </w:r>
    </w:p>
    <w:p>
      <w:pPr>
        <w:spacing w:after="0" w:line="3" w:lineRule="exact"/>
        <w:rPr>
          <w:sz w:val="20"/>
          <w:szCs w:val="20"/>
          <w:color w:val="auto"/>
        </w:rPr>
      </w:pPr>
    </w:p>
    <w:p>
      <w:pPr>
        <w:ind w:firstLine="3"/>
        <w:spacing w:after="0" w:line="224" w:lineRule="auto"/>
        <w:tabs>
          <w:tab w:leader="none" w:pos="28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Supermajority Lenders</w:t>
      </w:r>
      <w:r>
        <w:rPr>
          <w:rFonts w:ascii="Times New Roman" w:cs="Times New Roman" w:eastAsia="Times New Roman" w:hAnsi="Times New Roman"/>
          <w:sz w:val="21"/>
          <w:szCs w:val="21"/>
          <w:color w:val="auto"/>
        </w:rPr>
        <w:t xml:space="preserve">" means, at any time, Revolving Lenders having or holding more than 66 2/3% of the aggregate Revolving Loan Exposure of all Revolving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Revolving Loan Exposure of any Defaulting Lender shall be disregarded in the determination of the Supermajority Lenders, and (ii) at any time there are two or more Revolving Lenders (who are not Affiliates of one another), "Supermajority Lenders" must include at least two Revolving Lenders (who are not Affiliates of one another or Defaulting Lenders).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17.15</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w:t>
      </w:r>
      <w:r>
        <w:rPr>
          <w:rFonts w:ascii="Times New Roman" w:cs="Times New Roman" w:eastAsia="Times New Roman" w:hAnsi="Times New Roman"/>
          <w:sz w:val="21"/>
          <w:szCs w:val="21"/>
          <w:color w:val="auto"/>
        </w:rPr>
        <w:t>" means any Person that issues a Surety Bond.</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Bond</w:t>
      </w:r>
      <w:r>
        <w:rPr>
          <w:rFonts w:ascii="Times New Roman" w:cs="Times New Roman" w:eastAsia="Times New Roman" w:hAnsi="Times New Roman"/>
          <w:sz w:val="21"/>
          <w:szCs w:val="21"/>
          <w:color w:val="auto"/>
        </w:rPr>
        <w:t>" means any surety bond, insurance policy, indemnity agreement, guaranty, letter or credit or other instrument provided by a third party (i.e., excluding an Affiliate of the obligor) to an oblige to assure the payment by and/or performance of an obligor.</w:t>
      </w:r>
    </w:p>
    <w:p>
      <w:pPr>
        <w:spacing w:after="0" w:line="146" w:lineRule="exact"/>
        <w:rPr>
          <w:sz w:val="20"/>
          <w:szCs w:val="20"/>
          <w:color w:val="auto"/>
        </w:rPr>
      </w:pPr>
    </w:p>
    <w:p>
      <w:pPr>
        <w:jc w:val="both"/>
        <w:ind w:firstLine="123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Surety Collateral</w:t>
      </w:r>
      <w:r>
        <w:rPr>
          <w:rFonts w:ascii="Times New Roman" w:cs="Times New Roman" w:eastAsia="Times New Roman" w:hAnsi="Times New Roman"/>
          <w:sz w:val="20"/>
          <w:szCs w:val="20"/>
          <w:color w:val="auto"/>
        </w:rPr>
        <w:t>" (a) all of the right, title and interest of the Borrowers in and to all existing and future Bonded Contracts and associated contract rights; (b) Bonded Accounts; (c) all claims, rights and choses in action against any account debtor on any Surety Bond or against any other Person with respect to any Surety Bond or Bonded Contract; (d) to the extent assignable (other than to the extent that any such prohibition and assignment term would be rendered ineffective pursuant to applicable law) all rights and actions that any Borrower may have or acquire in any subcontract, purchase order or other agreement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8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Bonded Contract, and against any subcontract, purchase order or other agreement with any Person furnishing or agreeing to furnish or supply vehicles, labor, supplies, machinery or other inventory or equipment in connection with or on account of any Bonded Contract, and against any surety or sureties of any such subcontractor, laborer or other Person; (e) Bonded Equipment; (f) Bonded Inventory; (g) any and all books, accounts, computer software and other computer-stored information, and any and all drawings, plans, specifications, shop and as-built drawings, in each case, used in or necessary to fully perform all obligations and services required of any Borrower under the Bonded Contracts; (h) all progress schedules, work in process schedules (including, but not limited to, estimates of completion costs), accounts receivable ledgers, accounts payable ledgers and estimates of completion costs relating to any and all Bonded Contracts, and (i) any and all proceeds (other than such proceeds which are negotiable instruments or cash or Cash Equivalents in the possession or control of Agent) remaining due to Borrowers and products arising with respect thereto.</w:t>
      </w:r>
    </w:p>
    <w:p>
      <w:pPr>
        <w:spacing w:after="0" w:line="148"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Loan Party,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Lender</w:t>
      </w:r>
      <w:r>
        <w:rPr>
          <w:rFonts w:ascii="Times New Roman" w:cs="Times New Roman" w:eastAsia="Times New Roman" w:hAnsi="Times New Roman"/>
          <w:sz w:val="21"/>
          <w:szCs w:val="21"/>
          <w:color w:val="auto"/>
        </w:rPr>
        <w:t xml:space="preserve">" means Wells Fargo or any other Lender that, at the request of Borrowers and with the consent of Agent agrees, in such Lender's sole discretion, to become the Swing Lender under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of this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Loan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Loan Exposure</w:t>
      </w:r>
      <w:r>
        <w:rPr>
          <w:rFonts w:ascii="Times New Roman" w:cs="Times New Roman" w:eastAsia="Times New Roman" w:hAnsi="Times New Roman"/>
          <w:sz w:val="21"/>
          <w:szCs w:val="21"/>
          <w:color w:val="auto"/>
        </w:rPr>
        <w:t>" means, as of any date of determination with respect to any Lender, such Lender's Pro Rata Share of the Swing Loans on such date.</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14.2(a)</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Thomas Popp &amp; Company</w:t>
      </w:r>
      <w:r>
        <w:rPr>
          <w:rFonts w:ascii="Times New Roman" w:cs="Times New Roman" w:eastAsia="Times New Roman" w:hAnsi="Times New Roman"/>
          <w:sz w:val="21"/>
          <w:szCs w:val="21"/>
          <w:color w:val="auto"/>
        </w:rPr>
        <w:t>" means Thomas Popp &amp; Company, an Ohio corporation.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Tontine</w:t>
      </w:r>
      <w:r>
        <w:rPr>
          <w:rFonts w:ascii="Times New Roman" w:cs="Times New Roman" w:eastAsia="Times New Roman" w:hAnsi="Times New Roman"/>
          <w:sz w:val="21"/>
          <w:szCs w:val="21"/>
          <w:color w:val="auto"/>
        </w:rPr>
        <w:t>" means Tontine Capital Partners L.P. and its respective Affiliates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Trademark Security Agreement</w:t>
      </w:r>
      <w:r>
        <w:rPr>
          <w:rFonts w:ascii="Times New Roman" w:cs="Times New Roman" w:eastAsia="Times New Roman" w:hAnsi="Times New Roman"/>
          <w:sz w:val="21"/>
          <w:szCs w:val="21"/>
          <w:color w:val="auto"/>
        </w:rPr>
        <w:t>" has the meaning specified therefor in the Guaranty and Security Agreement.</w:t>
      </w:r>
    </w:p>
    <w:p>
      <w:pPr>
        <w:spacing w:after="0" w:line="171"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UCP</w:t>
      </w:r>
      <w:r>
        <w:rPr>
          <w:rFonts w:ascii="Times New Roman" w:cs="Times New Roman" w:eastAsia="Times New Roman" w:hAnsi="Times New Roman"/>
          <w:sz w:val="21"/>
          <w:szCs w:val="21"/>
          <w:color w:val="auto"/>
        </w:rPr>
        <w:t>" means, with respect to any Letter of Credit, the Uniform Customs and Practice for Documentary Credits 2007 Revision, International Chamber of Commerce Publication No. 600 and any version or revision thereof accepted by Issuing Bank for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86" w:lineRule="exact"/>
        <w:rPr>
          <w:sz w:val="20"/>
          <w:szCs w:val="20"/>
          <w:color w:val="auto"/>
        </w:rPr>
      </w:pPr>
    </w:p>
    <w:p>
      <w:pPr>
        <w:jc w:val="both"/>
        <w:ind w:firstLine="123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jc w:val="both"/>
        <w:ind w:firstLine="123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Unfinanced Capital Expenditures</w:t>
      </w:r>
      <w:r>
        <w:rPr>
          <w:rFonts w:ascii="Times New Roman" w:cs="Times New Roman" w:eastAsia="Times New Roman" w:hAnsi="Times New Roman"/>
          <w:sz w:val="21"/>
          <w:szCs w:val="21"/>
          <w:color w:val="auto"/>
        </w:rPr>
        <w:t>" means Capital Expenditures (a) not financed with the proceeds of any incurrence of Indebtedness (other than the incurrence of any Revolving Loans), the proceeds of any sale or issuance of Equity Interests or equity contributions, the proceeds of any asset sale (other than the sale of Inventory in the ordinary course of business) or any insurance proceeds, and (b) that are not reimbursed by a third person (excluding any Loan Party or any of its Affiliates) in the period such expenditures are made pursuant to a written agreement.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means the United States of America.</w:t>
      </w:r>
    </w:p>
    <w:p>
      <w:pPr>
        <w:spacing w:after="0" w:line="171"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 Fire Insurance Company</w:t>
      </w:r>
      <w:r>
        <w:rPr>
          <w:rFonts w:ascii="Times New Roman" w:cs="Times New Roman" w:eastAsia="Times New Roman" w:hAnsi="Times New Roman"/>
          <w:sz w:val="21"/>
          <w:szCs w:val="21"/>
          <w:color w:val="auto"/>
        </w:rPr>
        <w:t>" means United States Fire Insurance Company, operating under the registered trademark “Crum &amp; Forster” its affiliated, associated and subsidiary companies, successors and assigns.</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 Fire Insurance Company Intercreditor</w:t>
      </w:r>
      <w:r>
        <w:rPr>
          <w:rFonts w:ascii="Times New Roman" w:cs="Times New Roman" w:eastAsia="Times New Roman" w:hAnsi="Times New Roman"/>
          <w:sz w:val="21"/>
          <w:szCs w:val="21"/>
          <w:color w:val="auto"/>
        </w:rPr>
        <w:t>" means that certain Intercreditor Agreement dated as of August 17, 2020 by and between United States Fire Insurance Company and Agent.</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Unused Line Fee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xml:space="preserve">"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21"/>
          <w:szCs w:val="21"/>
          <w:u w:val="single" w:color="auto"/>
          <w:color w:val="auto"/>
        </w:rPr>
        <w:t>Sections 2.3(a)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2.3(c)</w:t>
      </w:r>
      <w:r>
        <w:rPr>
          <w:rFonts w:ascii="Times New Roman" w:cs="Times New Roman" w:eastAsia="Times New Roman" w:hAnsi="Times New Roman"/>
          <w:sz w:val="21"/>
          <w:szCs w:val="21"/>
          <w:color w:val="auto"/>
        </w:rPr>
        <w:t>, in each case, such day is also a Business Day.</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17.15</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jc w:val="both"/>
        <w:ind w:firstLine="1238"/>
        <w:spacing w:after="0" w:line="215"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means, as determined by Agent in good faith, with respect to Inventory, the lower of (a) cost computed on a first-in first-out basis in accordance with GAAP or (b) market value, provided that for purposes of the calculation of the Borrowing Base, (i) the Value of the Inventory shall not include: (A) the portion of the value of Inventory equal to the profit earned by any Affiliate on the sale thereof to any Borrower or (B) write-ups or write-downs in value with respect to currency exchange rates and (ii) notwithstanding anything to the contrary contained herein, the cost of the Inventory shall be computed in the same manner and consistent with the most recent appraisal of the Inventory received and accepted by Agent,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Voidable Transfer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17.8</w:t>
      </w:r>
      <w:r>
        <w:rPr>
          <w:rFonts w:ascii="Times New Roman" w:cs="Times New Roman" w:eastAsia="Times New Roman" w:hAnsi="Times New Roman"/>
          <w:sz w:val="21"/>
          <w:szCs w:val="21"/>
          <w:color w:val="auto"/>
        </w:rPr>
        <w:t xml:space="preserve"> of this Agreement.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Wells Fargo</w:t>
      </w:r>
      <w:r>
        <w:rPr>
          <w:rFonts w:ascii="Times New Roman" w:cs="Times New Roman" w:eastAsia="Times New Roman" w:hAnsi="Times New Roman"/>
          <w:sz w:val="21"/>
          <w:szCs w:val="21"/>
          <w:color w:val="auto"/>
        </w:rPr>
        <w:t>" means Wells Fargo Bank, National Association, a national banking association.</w:t>
      </w:r>
    </w:p>
    <w:p>
      <w:pPr>
        <w:spacing w:after="0" w:line="171" w:lineRule="exact"/>
        <w:rPr>
          <w:sz w:val="20"/>
          <w:szCs w:val="20"/>
          <w:color w:val="auto"/>
        </w:rPr>
      </w:pPr>
    </w:p>
    <w:p>
      <w:pPr>
        <w:jc w:val="both"/>
        <w:ind w:firstLine="1238"/>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u w:val="single" w:color="auto"/>
          <w:color w:val="auto"/>
        </w:rPr>
        <w:t>Accounting Terms</w:t>
      </w:r>
      <w:r>
        <w:rPr>
          <w:rFonts w:ascii="Times New Roman" w:cs="Times New Roman" w:eastAsia="Times New Roman" w:hAnsi="Times New Roman"/>
          <w:sz w:val="21"/>
          <w:szCs w:val="21"/>
          <w:color w:val="auto"/>
        </w:rPr>
        <w:t xml:space="preserve">. All accounting terms not specifically defined herein shall be construed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with respect to the effectiveness of ASC 842 which, as of the Closing Date, requires all leases be capitalized on the balance sheet, (i) all financial statements delivered hereunder shall be prepared in accordance with GAAP, giving effect to ASC 842, (ii) the calculations performed to determine compliance with the covenants set forth in Article 7 (and all related definitions) and all other relevant covenants, baskets and other provisions relating to Indebtedness or interest expense shall be calculated without giving effect to ASC 842, and (iii) the Administrative Borrower shall provide reconciliations, in form and substance reasonably satisfactory to the Lender, reflecting such calculations that disregard ASC 842, together with each Compliance Certificate. When used herein, the term "financial statements" shall include the notes and schedules thereto. Whenever the term "Parent" or "Borrowers" is used in respect of a financial covenant or a related definition, it shall be understood to mean the Loan Parties and their Subsidiaries on a consolidated basis, unless the context clearly requires otherwise. Notwithstanding anything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contained herein,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w:t>
      </w:r>
    </w:p>
    <w:p>
      <w:pPr>
        <w:spacing w:after="0" w:line="165"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xml:space="preserve">. Any terms used in this Agreement that are defined in the Code shall be construed and defined as set forth in the Code unless otherwise defined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that the Code is used to define any term herein and such term is defined differently in different Articles of the Code, the definition of such term contained in Article 9 of the Code shall govern.</w:t>
      </w:r>
    </w:p>
    <w:p>
      <w:pPr>
        <w:spacing w:after="0" w:line="143" w:lineRule="exact"/>
        <w:rPr>
          <w:sz w:val="20"/>
          <w:szCs w:val="20"/>
          <w:color w:val="auto"/>
        </w:rPr>
      </w:pPr>
    </w:p>
    <w:p>
      <w:pPr>
        <w:jc w:val="both"/>
        <w:ind w:firstLine="619"/>
        <w:spacing w:after="0" w:line="207"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u w:val="single" w:color="auto"/>
          <w:color w:val="auto"/>
        </w:rPr>
        <w:t>Time References</w:t>
      </w:r>
      <w:r>
        <w:rPr>
          <w:rFonts w:ascii="Times New Roman" w:cs="Times New Roman" w:eastAsia="Times New Roman" w:hAnsi="Times New Roman"/>
          <w:sz w:val="21"/>
          <w:szCs w:val="21"/>
          <w:color w:val="auto"/>
        </w:rPr>
        <w:t xml:space="preserve">. Unless the context of this Agreement or any other Loan Document clearly requires otherwise, all references to time of day refer to Eastern standard time or Eastern daylight saving time, as in effect in New York, New York on such day. For purposes of the computation of a period of time from a specified date to a later specified date, unless otherwise expressly provided, the word "from" means "from and including" and the words "to" and "until" each means "to and including";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 computation of fees or interest payable to Agent or any Lender, such period shall in any event consist of at least one full day.</w:t>
      </w:r>
    </w:p>
    <w:p>
      <w:pPr>
        <w:spacing w:after="0" w:line="146"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u w:val="single" w:color="auto"/>
          <w:color w:val="auto"/>
        </w:rPr>
        <w:t>Schedules and Exhibits</w:t>
      </w:r>
      <w:r>
        <w:rPr>
          <w:rFonts w:ascii="Times New Roman" w:cs="Times New Roman" w:eastAsia="Times New Roman" w:hAnsi="Times New Roman"/>
          <w:sz w:val="21"/>
          <w:szCs w:val="21"/>
          <w:color w:val="auto"/>
        </w:rPr>
        <w:t>. All of the schedules and exhibits attached to this Agreement shall be deemed incorporated herein by reference.</w:t>
      </w:r>
    </w:p>
    <w:p>
      <w:pPr>
        <w:spacing w:after="0" w:line="14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b w:val="1"/>
          <w:bCs w:val="1"/>
          <w:u w:val="single" w:color="auto"/>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1"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b w:val="1"/>
          <w:bCs w:val="1"/>
          <w:u w:val="single" w:color="auto"/>
          <w:color w:val="auto"/>
        </w:rPr>
        <w:t>Rates</w:t>
      </w:r>
      <w:r>
        <w:rPr>
          <w:rFonts w:ascii="Times New Roman" w:cs="Times New Roman" w:eastAsia="Times New Roman" w:hAnsi="Times New Roman"/>
          <w:sz w:val="21"/>
          <w:szCs w:val="21"/>
          <w:color w:val="auto"/>
        </w:rPr>
        <w:t xml:space="preserve">. Agent does not warrant or accept any responsibility for, and shall not have any liability with respect to, (a) the continuation of, administration of, submission of, calculation of or any other matter related to Daily Simple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 will be similar to, or produce the same value or economic equivalence of, or have the same volume or liquidity as, Daily Simple SOFR or any other Benchmark, prior to its discontinuance or unavailability, or (b) the effect, implementation or composition of any Conforming Changes. Agent and its affiliates or other related entities may engage in transactions that affect the calculation of Daily Simple SOFR, any alternative, successor or replacement rate (including any Benchmark Replacement) or any relevant adjustments thereto and such transactions may be adverse to a Borrower. Agent may select information sources or services in its reasonable discretion to ascertain Daily Simple SOFR, or any other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calculation of any such rate (or component thereof) provided by any such information source or service.</w:t>
      </w:r>
    </w:p>
    <w:p>
      <w:pPr>
        <w:spacing w:after="0" w:line="167" w:lineRule="exact"/>
        <w:rPr>
          <w:sz w:val="20"/>
          <w:szCs w:val="20"/>
          <w:color w:val="auto"/>
        </w:rPr>
      </w:pPr>
    </w:p>
    <w:p>
      <w:pPr>
        <w:ind w:left="1240" w:hanging="618"/>
        <w:spacing w:after="0"/>
        <w:tabs>
          <w:tab w:leader="none" w:pos="12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LOANS AND TERMS OF PAYMENT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u w:val="single" w:color="auto"/>
          <w:color w:val="auto"/>
        </w:rPr>
        <w:t>Revolving Loans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and during the term of this Agreement, each Revolving Lender agrees (severally, not jointly or jointly and severally) to make revolving loans ("</w:t>
      </w: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xml:space="preserve">") to Borrowers in an amount at any one time outstanding not to exceed </w:t>
      </w:r>
      <w:r>
        <w:rPr>
          <w:rFonts w:ascii="Times New Roman" w:cs="Times New Roman" w:eastAsia="Times New Roman" w:hAnsi="Times New Roman"/>
          <w:sz w:val="21"/>
          <w:szCs w:val="21"/>
          <w:i w:val="1"/>
          <w:iCs w:val="1"/>
          <w:color w:val="auto"/>
        </w:rPr>
        <w:t>the lesser of</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Lender's Revolver Commitment, or</w:t>
      </w:r>
    </w:p>
    <w:p>
      <w:pPr>
        <w:spacing w:after="0" w:line="167"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Lender's Pro Rata Share of an amount equal to </w:t>
      </w:r>
      <w:r>
        <w:rPr>
          <w:rFonts w:ascii="Times New Roman" w:cs="Times New Roman" w:eastAsia="Times New Roman" w:hAnsi="Times New Roman"/>
          <w:sz w:val="21"/>
          <w:szCs w:val="21"/>
          <w:i w:val="1"/>
          <w:iCs w:val="1"/>
          <w:color w:val="auto"/>
        </w:rPr>
        <w:t>the lesser of</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3"/>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equal to (1) the Maximum Revolver Amount,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(2) the sum of (y) the Letter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Credit Usage at such time,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(z) the principal amount of Swing Loans outstanding at such time, and</w:t>
      </w:r>
    </w:p>
    <w:p>
      <w:pPr>
        <w:spacing w:after="0" w:line="149" w:lineRule="exact"/>
        <w:rPr>
          <w:rFonts w:ascii="Times New Roman" w:cs="Times New Roman" w:eastAsia="Times New Roman" w:hAnsi="Times New Roman"/>
          <w:sz w:val="21"/>
          <w:szCs w:val="21"/>
          <w:color w:val="auto"/>
        </w:rPr>
      </w:pPr>
    </w:p>
    <w:p>
      <w:pPr>
        <w:jc w:val="both"/>
        <w:ind w:firstLine="2478"/>
        <w:spacing w:after="0" w:line="220" w:lineRule="auto"/>
        <w:tabs>
          <w:tab w:leader="none" w:pos="3085" w:val="left"/>
        </w:tabs>
        <w:numPr>
          <w:ilvl w:val="3"/>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equal to (1) the Borrowing Base as of such date (based upon the most recent Borrowing Base Certificate delivered by Borrowers to Agent, as adjusted for Reserves established by Agent in accordance with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(2) the sum of (x) the Letter of Credit Usage at such time,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(y) the principal amount of Swing Loans outstanding at such time.</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Amounts borrowed pursuant to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to the contrary in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notwithstanding, Agent shall have the right (but not the obligation) at any time, in the exercise of its Permitted Discretion, to establish and increase or decrease Reserves and against the Borrowing Base or the Maximum Revolver Amount. Agent agrees it shall use commercially reasonable efforts to promptly notify Borrowers upon establishing any new Reserves and use commercially reasonable efforts to provide reasonable detail of the event, condition, circumstance, or fact giving rise to such 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Agent's failure to do so shall not impact the amount of Revolving Loans available hereunder or impose any liability upon Agent or any Lender whatsoever. The amount of any Reserve established by Agent, and any changes to the eligibility criteria set forth in the definitions of Eligible Accounts, Eligible Equipment, Eligible Inventory, and Eligible Progress Billing Accounts, and shall have a reasonable relationship to the event, condition, other circumstance, or fact that is the basis for such reserve or change in eligibility and shall not be duplicative of any other reserve established and currently maintained or eligibility criteria.</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8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0"/>
          <w:szCs w:val="20"/>
          <w:b w:val="1"/>
          <w:bCs w:val="1"/>
          <w:u w:val="single" w:color="auto"/>
          <w:color w:val="auto"/>
        </w:rPr>
        <w:t>Borrowing Procedures and Settlements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2" w:lineRule="auto"/>
        <w:tabs>
          <w:tab w:leader="none" w:pos="1853"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Procedure for Borrowing Revolving Loans</w:t>
      </w:r>
      <w:r>
        <w:rPr>
          <w:rFonts w:ascii="Times New Roman" w:cs="Times New Roman" w:eastAsia="Times New Roman" w:hAnsi="Times New Roman"/>
          <w:sz w:val="21"/>
          <w:szCs w:val="21"/>
          <w:color w:val="auto"/>
        </w:rPr>
        <w:t>. Each Borrowing shall be made by a written request by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Authorized Person delivered to Agent (which may be delivered through Agent's electronic platform or portal) and received by Agent no later than 1:00 p.m. (i) on the Business Day that is the requested Funding Date in the case of a request for a Swing Loan, (ii) on the Business Day that is one Business Day prior to the requested Funding Date in the case of all other requests, specifying (A) the amount of such Borrowing, and (B) the requested Funding Date (which shall be a Business Day); provided, that Agent may, in its sole discretion, elect to accept as timely requests that are received later than 11:00 a.m. on the applicable Business Day, as applicable.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w:t>
      </w:r>
    </w:p>
    <w:p>
      <w:pPr>
        <w:spacing w:after="0" w:line="142"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Making of Swing Loans</w:t>
      </w:r>
      <w:r>
        <w:rPr>
          <w:rFonts w:ascii="Times New Roman" w:cs="Times New Roman" w:eastAsia="Times New Roman" w:hAnsi="Times New Roman"/>
          <w:sz w:val="21"/>
          <w:szCs w:val="21"/>
          <w:color w:val="auto"/>
        </w:rPr>
        <w:t>. In the case of a Revolving Loan and so long as any of (i) the aggregate amount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Swing Loans made since the last Settlement Date, </w:t>
      </w:r>
      <w:r>
        <w:rPr>
          <w:rFonts w:ascii="Times New Roman" w:cs="Times New Roman" w:eastAsia="Times New Roman" w:hAnsi="Times New Roman"/>
          <w:sz w:val="21"/>
          <w:szCs w:val="21"/>
          <w:i w:val="1"/>
          <w:iCs w:val="1"/>
          <w:u w:val="single" w:color="auto"/>
          <w:color w:val="auto"/>
        </w:rPr>
        <w:t>minus</w:t>
      </w:r>
      <w:r>
        <w:rPr>
          <w:rFonts w:ascii="Times New Roman" w:cs="Times New Roman" w:eastAsia="Times New Roman" w:hAnsi="Times New Roman"/>
          <w:sz w:val="21"/>
          <w:szCs w:val="21"/>
          <w:color w:val="auto"/>
        </w:rPr>
        <w:t xml:space="preserve"> all payments or other amounts applied to Swing Loans since the last Settlement Date,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the amount of the requested Swing Loan does not exceed $15,000,000, or (ii) Swing Lender, in its sole discretion, agrees to make a Swing Loan notwithstanding the foregoing limitation, Swing Lender shall make a Revolving Loan (any such Revolving Loan made by Swing Lender pursuant to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being referred to as a "</w:t>
      </w:r>
      <w:r>
        <w:rPr>
          <w:rFonts w:ascii="Times New Roman" w:cs="Times New Roman" w:eastAsia="Times New Roman" w:hAnsi="Times New Roman"/>
          <w:sz w:val="21"/>
          <w:szCs w:val="21"/>
          <w:u w:val="single" w:color="auto"/>
          <w:color w:val="auto"/>
        </w:rPr>
        <w:t>Swing Loan</w:t>
      </w:r>
      <w:r>
        <w:rPr>
          <w:rFonts w:ascii="Times New Roman" w:cs="Times New Roman" w:eastAsia="Times New Roman" w:hAnsi="Times New Roman"/>
          <w:sz w:val="21"/>
          <w:szCs w:val="21"/>
          <w:color w:val="auto"/>
        </w:rPr>
        <w:t>" and all such Revolving Loans being referred to as "</w:t>
      </w:r>
      <w:r>
        <w:rPr>
          <w:rFonts w:ascii="Times New Roman" w:cs="Times New Roman" w:eastAsia="Times New Roman" w:hAnsi="Times New Roman"/>
          <w:sz w:val="21"/>
          <w:szCs w:val="21"/>
          <w:u w:val="single" w:color="auto"/>
          <w:color w:val="auto"/>
        </w:rPr>
        <w:t>Swing Loans</w:t>
      </w:r>
      <w:r>
        <w:rPr>
          <w:rFonts w:ascii="Times New Roman" w:cs="Times New Roman" w:eastAsia="Times New Roman" w:hAnsi="Times New Roman"/>
          <w:sz w:val="21"/>
          <w:szCs w:val="21"/>
          <w:color w:val="auto"/>
        </w:rPr>
        <w:t xml:space="preserve">") available to Borrowers on the Funding Date applicable thereto by transferring immediately available funds in the amount of such Borrowing to the Designated Account. Each Swing Loan shall be deemed to be a Revolving Loan hereunder and shall be subject to all the terms and conditions (including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applicable to other Revolving Loans, except that all payments (including interest) on any Swing Loan shall be payable to Swing Lender solely for its own account. Subject to the provisions of </w:t>
      </w:r>
      <w:r>
        <w:rPr>
          <w:rFonts w:ascii="Times New Roman" w:cs="Times New Roman" w:eastAsia="Times New Roman" w:hAnsi="Times New Roman"/>
          <w:sz w:val="21"/>
          <w:szCs w:val="21"/>
          <w:u w:val="single" w:color="auto"/>
          <w:color w:val="auto"/>
        </w:rPr>
        <w:t>Section 2.3(d)(ii)</w:t>
      </w:r>
      <w:r>
        <w:rPr>
          <w:rFonts w:ascii="Times New Roman" w:cs="Times New Roman" w:eastAsia="Times New Roman" w:hAnsi="Times New Roman"/>
          <w:sz w:val="21"/>
          <w:szCs w:val="21"/>
          <w:color w:val="auto"/>
        </w:rPr>
        <w:t xml:space="preserve">, Swing Lender shall not make and shall not be obligated to make any Swing Loan if Swing Lender has actual knowledge that (i) one or more of the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will not be satisfied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have been satisfied on the Funding Date applicable thereto prior to making any Swing Loan. The Swing Loans shall be secured by Agent's Liens, constitute Revolving Loans and Obligations, and bear interest at the Applicable Rate.</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Making of Revolving Loans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b w:val="1"/>
          <w:bCs w:val="1"/>
          <w:color w:val="auto"/>
        </w:rPr>
      </w:pPr>
    </w:p>
    <w:p>
      <w:pPr>
        <w:jc w:val="both"/>
        <w:ind w:firstLine="1860"/>
        <w:spacing w:after="0" w:line="213" w:lineRule="auto"/>
        <w:tabs>
          <w:tab w:leader="none" w:pos="246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Swing Lender is not obligated to make a Swing Loan, then after receipt of a request for a Borrowing pursuant to </w:t>
      </w:r>
      <w:r>
        <w:rPr>
          <w:rFonts w:ascii="Times New Roman" w:cs="Times New Roman" w:eastAsia="Times New Roman" w:hAnsi="Times New Roman"/>
          <w:sz w:val="21"/>
          <w:szCs w:val="21"/>
          <w:u w:val="single" w:color="auto"/>
          <w:color w:val="auto"/>
        </w:rPr>
        <w:t>Section 2.3(a)(i)</w:t>
      </w:r>
      <w:r>
        <w:rPr>
          <w:rFonts w:ascii="Times New Roman" w:cs="Times New Roman" w:eastAsia="Times New Roman" w:hAnsi="Times New Roman"/>
          <w:sz w:val="21"/>
          <w:szCs w:val="21"/>
          <w:color w:val="auto"/>
        </w:rPr>
        <w:t>, Agent shall notify the Lenders by telecopy, telephone, email, or other electronic form of transmission, of the requested Borrowing; such notification to be sent on the Business Day that is at least one Business Day prior to the requested Funding Date. If Agent has notified the Lenders of a requested Borrowing on the 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the provisions of </w:t>
      </w:r>
      <w:r>
        <w:rPr>
          <w:rFonts w:ascii="Times New Roman" w:cs="Times New Roman" w:eastAsia="Times New Roman" w:hAnsi="Times New Roman"/>
          <w:sz w:val="21"/>
          <w:szCs w:val="21"/>
          <w:u w:val="single" w:color="auto"/>
          <w:color w:val="auto"/>
        </w:rPr>
        <w:t>Section 2.3(d)(ii)</w:t>
      </w:r>
      <w:r>
        <w:rPr>
          <w:rFonts w:ascii="Times New Roman" w:cs="Times New Roman" w:eastAsia="Times New Roman" w:hAnsi="Times New Roman"/>
          <w:sz w:val="21"/>
          <w:szCs w:val="21"/>
          <w:color w:val="auto"/>
        </w:rPr>
        <w:t xml:space="preserve">, no Lender shall have an obligation to make any Revolving Loan, if (1) one or more of the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will not be satisfied on the requested Funding Date for the applicable Borrowing unless such condition has been waived, or (2) the requested Borrowing would exceed the Availability on such Funding Date.</w:t>
      </w:r>
    </w:p>
    <w:p>
      <w:pPr>
        <w:spacing w:after="0" w:line="146" w:lineRule="exact"/>
        <w:rPr>
          <w:sz w:val="20"/>
          <w:szCs w:val="20"/>
          <w:color w:val="auto"/>
        </w:rPr>
      </w:pPr>
    </w:p>
    <w:p>
      <w:pPr>
        <w:jc w:val="both"/>
        <w:ind w:firstLine="1860"/>
        <w:spacing w:after="0" w:line="208" w:lineRule="auto"/>
        <w:tabs>
          <w:tab w:leader="none" w:pos="246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Times New Roman" w:cs="Times New Roman" w:eastAsia="Times New Roman" w:hAnsi="Times New Roman"/>
          <w:sz w:val="21"/>
          <w:szCs w:val="21"/>
          <w:u w:val="single" w:color="auto"/>
          <w:color w:val="auto"/>
        </w:rPr>
        <w:t>Section 2.3(c)(ii)</w:t>
      </w:r>
      <w:r>
        <w:rPr>
          <w:rFonts w:ascii="Times New Roman" w:cs="Times New Roman" w:eastAsia="Times New Roman" w:hAnsi="Times New Roman"/>
          <w:sz w:val="21"/>
          <w:szCs w:val="21"/>
          <w:color w:val="auto"/>
        </w:rPr>
        <w:t xml:space="preserve"> shall be conclusive, absent manifest error. If the 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Applicable Rate applicable at the time to the Revolving Loans composing such Borrowing.</w:t>
      </w:r>
    </w:p>
    <w:p>
      <w:pPr>
        <w:spacing w:after="0" w:line="14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Protective Advances and Optional Overadvances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15" w:lineRule="auto"/>
        <w:tabs>
          <w:tab w:leader="none" w:pos="2463"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contrary provision of this Agreement or any other Loan Document notwithstanding (but subject to </w:t>
      </w:r>
      <w:r>
        <w:rPr>
          <w:rFonts w:ascii="Times New Roman" w:cs="Times New Roman" w:eastAsia="Times New Roman" w:hAnsi="Times New Roman"/>
          <w:sz w:val="21"/>
          <w:szCs w:val="21"/>
          <w:u w:val="single" w:color="auto"/>
          <w:color w:val="auto"/>
        </w:rPr>
        <w:t>Section 2.3(d)(iv)</w:t>
      </w:r>
      <w:r>
        <w:rPr>
          <w:rFonts w:ascii="Times New Roman" w:cs="Times New Roman" w:eastAsia="Times New Roman" w:hAnsi="Times New Roman"/>
          <w:sz w:val="21"/>
          <w:szCs w:val="21"/>
          <w:color w:val="auto"/>
        </w:rPr>
        <w:t xml:space="preserve">), at any time (A) after the occurrence and during the continuance of a Default or an Event of Default, or (B) that any of the other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 xml:space="preserve">Obligations (other than the Bank Product Obligations) (the Revolving Loans described in this </w:t>
      </w:r>
      <w:r>
        <w:rPr>
          <w:rFonts w:ascii="Times New Roman" w:cs="Times New Roman" w:eastAsia="Times New Roman" w:hAnsi="Times New Roman"/>
          <w:sz w:val="21"/>
          <w:szCs w:val="21"/>
          <w:u w:val="single" w:color="auto"/>
          <w:color w:val="auto"/>
        </w:rPr>
        <w:t>Section 2.3(d)(i)</w:t>
      </w:r>
      <w:r>
        <w:rPr>
          <w:rFonts w:ascii="Times New Roman" w:cs="Times New Roman" w:eastAsia="Times New Roman" w:hAnsi="Times New Roman"/>
          <w:sz w:val="21"/>
          <w:szCs w:val="21"/>
          <w:color w:val="auto"/>
        </w:rPr>
        <w:t xml:space="preserve"> shall be referred to as "</w:t>
      </w:r>
      <w:r>
        <w:rPr>
          <w:rFonts w:ascii="Times New Roman" w:cs="Times New Roman" w:eastAsia="Times New Roman" w:hAnsi="Times New Roman"/>
          <w:sz w:val="21"/>
          <w:szCs w:val="21"/>
          <w:u w:val="single" w:color="auto"/>
          <w:color w:val="auto"/>
        </w:rPr>
        <w:t>Protective Advances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860"/>
        <w:spacing w:after="0" w:line="208" w:lineRule="auto"/>
        <w:tabs>
          <w:tab w:leader="none" w:pos="246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contrary provision of this Agreement or any other Loan Document notwithstanding, the Lenders hereby authorize Agent or Swing Lender, as applicable, and either Agent or Swing Lender, as applicable, may, but is not obligated to, knowingly and intentionally, continue to make Revolving Loans (including Swing Loans) to Borrowers notwithstanding that an Overadvance exists or would be created thereby, so long as (A) after giving effect to such Revolving Loans, the outstanding Revolver Usage does not exceed the Borrowing Base by more than 10% of the Borrowing Base, and (B) subject to </w:t>
      </w:r>
      <w:r>
        <w:rPr>
          <w:rFonts w:ascii="Times New Roman" w:cs="Times New Roman" w:eastAsia="Times New Roman" w:hAnsi="Times New Roman"/>
          <w:sz w:val="21"/>
          <w:szCs w:val="21"/>
          <w:u w:val="single" w:color="auto"/>
          <w:color w:val="auto"/>
        </w:rPr>
        <w:t>Section 2.3(d)(iv)</w:t>
      </w:r>
      <w:r>
        <w:rPr>
          <w:rFonts w:ascii="Times New Roman" w:cs="Times New Roman" w:eastAsia="Times New Roman" w:hAnsi="Times New Roman"/>
          <w:sz w:val="21"/>
          <w:szCs w:val="21"/>
          <w:color w:val="auto"/>
        </w:rPr>
        <w:t xml:space="preserve"> below, after giving effect to such Revolving Loans, the outstanding Revolver Usage (except for and excluding amounts charged to the Loan Account for interest, fees, or Lender Group Expenses) does not exceed the Maximum Revolver Amount. In the event Agent obtains actual knowledge that the Revolver Usage exceeds the amounts permitted by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regardless of the amount of, 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Borrowers intended to reduce, within a reasonable time, the outstanding principal amount of the Revolving Loans to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Times New Roman" w:cs="Times New Roman" w:eastAsia="Times New Roman" w:hAnsi="Times New Roman"/>
          <w:sz w:val="21"/>
          <w:szCs w:val="21"/>
          <w:u w:val="single" w:color="auto"/>
          <w:color w:val="auto"/>
        </w:rPr>
        <w:t>Section 2.4(e)(1)</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firstLine="1860"/>
        <w:spacing w:after="0" w:line="212" w:lineRule="auto"/>
        <w:tabs>
          <w:tab w:leader="none" w:pos="247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Protective Advance and each Overadvance (each, an "</w:t>
      </w:r>
      <w:r>
        <w:rPr>
          <w:rFonts w:ascii="Times New Roman" w:cs="Times New Roman" w:eastAsia="Times New Roman" w:hAnsi="Times New Roman"/>
          <w:sz w:val="21"/>
          <w:szCs w:val="21"/>
          <w:u w:val="single" w:color="auto"/>
          <w:color w:val="auto"/>
        </w:rPr>
        <w:t>Extraordinary Advance</w:t>
      </w:r>
      <w:r>
        <w:rPr>
          <w:rFonts w:ascii="Times New Roman" w:cs="Times New Roman" w:eastAsia="Times New Roman" w:hAnsi="Times New Roman"/>
          <w:sz w:val="21"/>
          <w:szCs w:val="21"/>
          <w:color w:val="auto"/>
        </w:rPr>
        <w:t xml:space="preserve">") shall be deemed to be a Revolving Loan hereunder, except that no Extraordinary Advance shall be eligible to be a SOFR Loan. Prior to Settlement of any Extraordinary Advance, all payments with respect thereto, including interest thereon, shall be payable to Agent solely for its own account. Each Revolving Lender shall be obligated to settle with Agent as provided in </w:t>
      </w:r>
      <w:r>
        <w:rPr>
          <w:rFonts w:ascii="Times New Roman" w:cs="Times New Roman" w:eastAsia="Times New Roman" w:hAnsi="Times New Roman"/>
          <w:sz w:val="21"/>
          <w:szCs w:val="21"/>
          <w:u w:val="single" w:color="auto"/>
          <w:color w:val="auto"/>
        </w:rPr>
        <w:t>Section 2.3(e)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that are Base Rate Loans. The provisions of this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xml:space="preserve"> are for the exclusive benefit of Agent, Swing Lender, and the Lenders and are not intended to benefit Borrowers (or any other Loan Party) in any way.</w:t>
      </w:r>
    </w:p>
    <w:p>
      <w:pPr>
        <w:spacing w:after="0" w:line="149" w:lineRule="exact"/>
        <w:rPr>
          <w:rFonts w:ascii="Times New Roman" w:cs="Times New Roman" w:eastAsia="Times New Roman" w:hAnsi="Times New Roman"/>
          <w:sz w:val="21"/>
          <w:szCs w:val="21"/>
          <w:color w:val="auto"/>
        </w:rPr>
      </w:pPr>
    </w:p>
    <w:p>
      <w:pPr>
        <w:jc w:val="both"/>
        <w:ind w:firstLine="1860"/>
        <w:spacing w:after="0" w:line="215" w:lineRule="auto"/>
        <w:tabs>
          <w:tab w:leader="none" w:pos="246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in this Agreement or any other Loan Document to the contrary, no Extraordinary Advance may be made by Agent if such Extraordinary Advance would cause the aggregate Revolver Usage to exceed the Maximum Revolver Amount or any Lender's Pro Rata Share of the Revolver Usage to exceed such Lender's Revolver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Agent may make Extraordinary Advances in excess of the foregoing limitations so long as such Extraordinary Advances that cause the aggregate Revolver Usage to exceed the Maximum Revolver Amount or a Lender's Pro Rata Share of the Revolver Usage to exceed such Lender's Revolver Commitments are for Agent's sole and separate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and not for the account of any Lender. No Lender shall have an obligation to settle with Agent for such Extraordinary Advances that cause the aggregate Revolver Usage to exceed the Maximum Revolver Amount or a Lender's Pro Rata Share of the Revolver Usage to exceed such Lender's Revolver Commitments as provided in </w:t>
      </w:r>
      <w:r>
        <w:rPr>
          <w:rFonts w:ascii="Times New Roman" w:cs="Times New Roman" w:eastAsia="Times New Roman" w:hAnsi="Times New Roman"/>
          <w:sz w:val="21"/>
          <w:szCs w:val="21"/>
          <w:u w:val="single" w:color="auto"/>
          <w:color w:val="auto"/>
        </w:rPr>
        <w:t>Section 2.3(e)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as applicable).</w:t>
      </w:r>
    </w:p>
    <w:p>
      <w:pPr>
        <w:spacing w:after="0" w:line="142" w:lineRule="exact"/>
        <w:rPr>
          <w:sz w:val="20"/>
          <w:szCs w:val="20"/>
          <w:color w:val="auto"/>
        </w:rPr>
      </w:pPr>
    </w:p>
    <w:p>
      <w:pPr>
        <w:jc w:val="both"/>
        <w:ind w:firstLine="1241"/>
        <w:spacing w:after="0" w:line="218" w:lineRule="auto"/>
        <w:tabs>
          <w:tab w:leader="none" w:pos="185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 It is agreed that each Lender's funded portion of the Revolving Loans is intended by the Lenders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at all times, such Lender's Pro Rata Share of the outstanding Revolving Loans. Such agreement notwithstanding, Agent, Swing Lender, and the other Lenders agree (which 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spacing w:after="0" w:line="144" w:lineRule="exact"/>
        <w:rPr>
          <w:rFonts w:ascii="Times New Roman" w:cs="Times New Roman" w:eastAsia="Times New Roman" w:hAnsi="Times New Roman"/>
          <w:sz w:val="21"/>
          <w:szCs w:val="21"/>
          <w:color w:val="auto"/>
        </w:rPr>
      </w:pPr>
    </w:p>
    <w:p>
      <w:pPr>
        <w:jc w:val="both"/>
        <w:ind w:firstLine="1860"/>
        <w:spacing w:after="0" w:line="207" w:lineRule="auto"/>
        <w:tabs>
          <w:tab w:leader="none" w:pos="246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request settlement ("</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with the Lenders on a weekly basis, or on a more frequent basis if so determined by Agent in its sole discretion (1) on behalf of Swing Lender, with respect to the outstanding Swing Loans, (2) for itself, with respect to the outstanding Extraordinary Advances, and (3) with respect to any Loan Party's or any of their Subsidiaries'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xml:space="preserve">"). Such notice of a Settlement Date shall include a summary statement of the amount of outstanding Revolving Loans (including Swing Loans and Extraordinary Advances) for the period since the prior Settlement Date. Subject to the terms and conditions contained herein (including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 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86" w:lineRule="exact"/>
        <w:rPr>
          <w:sz w:val="20"/>
          <w:szCs w:val="20"/>
          <w:color w:val="auto"/>
        </w:rPr>
      </w:pPr>
    </w:p>
    <w:p>
      <w:pPr>
        <w:jc w:val="both"/>
        <w:ind w:firstLine="1860"/>
        <w:spacing w:after="0" w:line="217" w:lineRule="auto"/>
        <w:tabs>
          <w:tab w:leader="none" w:pos="246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determining whether a Lender's balance of the Revolving Loans (including Swing Loans and Extraordinary Advances) is less than, equal to, or greater than such Lender's Pro Rata Share of the Revolving Loans (including Swing Loans and Extraordinary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w:t>
      </w:r>
    </w:p>
    <w:p>
      <w:pPr>
        <w:spacing w:after="0" w:line="145" w:lineRule="exact"/>
        <w:rPr>
          <w:rFonts w:ascii="Times New Roman" w:cs="Times New Roman" w:eastAsia="Times New Roman" w:hAnsi="Times New Roman"/>
          <w:sz w:val="21"/>
          <w:szCs w:val="21"/>
          <w:color w:val="auto"/>
        </w:rPr>
      </w:pPr>
    </w:p>
    <w:p>
      <w:pPr>
        <w:jc w:val="both"/>
        <w:ind w:firstLine="1860"/>
        <w:spacing w:after="0" w:line="209" w:lineRule="auto"/>
        <w:tabs>
          <w:tab w:leader="none" w:pos="247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Revolving Loans, for application to Swing Lender's Pro Rata Share of the Revolving Loans. If, as of any Settlement Date, payments or other amounts of the Loan Parties or their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in this </w:t>
      </w:r>
      <w:r>
        <w:rPr>
          <w:rFonts w:ascii="Times New Roman" w:cs="Times New Roman" w:eastAsia="Times New Roman" w:hAnsi="Times New Roman"/>
          <w:sz w:val="21"/>
          <w:szCs w:val="21"/>
          <w:u w:val="single" w:color="auto"/>
          <w:color w:val="auto"/>
        </w:rPr>
        <w:t>Section 2.3(e)</w:t>
      </w:r>
      <w:r>
        <w:rPr>
          <w:rFonts w:ascii="Times New Roman" w:cs="Times New Roman" w:eastAsia="Times New Roman" w:hAnsi="Times New Roman"/>
          <w:sz w:val="21"/>
          <w:szCs w:val="21"/>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jc w:val="both"/>
        <w:ind w:firstLine="1241"/>
        <w:spacing w:after="0" w:line="221" w:lineRule="auto"/>
        <w:tabs>
          <w:tab w:leader="none" w:pos="185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Notation</w:t>
      </w:r>
      <w:r>
        <w:rPr>
          <w:rFonts w:ascii="Times New Roman" w:cs="Times New Roman" w:eastAsia="Times New Roman" w:hAnsi="Times New Roman"/>
          <w:sz w:val="21"/>
          <w:szCs w:val="21"/>
          <w:color w:val="auto"/>
        </w:rPr>
        <w:t>. Consistent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13.1(h)</w:t>
      </w:r>
      <w:r>
        <w:rPr>
          <w:rFonts w:ascii="Times New Roman" w:cs="Times New Roman" w:eastAsia="Times New Roman" w:hAnsi="Times New Roman"/>
          <w:sz w:val="21"/>
          <w:szCs w:val="21"/>
          <w:color w:val="auto"/>
        </w:rPr>
        <w:t>, Agent, as a non-fiduciary agent for Borrowers, shall maintain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register showing the principal amount and stated interest of the Revolving Loans,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spacing w:after="0" w:line="14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Defaulting Lenders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3"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provisions of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86"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 xml:space="preserve">any Extraordinary Advances that were made by Agent and that were required to be, but were not, paid by Defaulting Lender, (B) second, to Swing Lender to the extent of any Swing Loans that were made by Swing Lender and that were required to be, but were not, paid by the Defaulting Lender, (C) third, to Issuing Bank, to the extent of the portion of a Letter of Credit Disbursement that was required to be, but was not, paid by the Defaulting Lender, (D) fourth, to each Non-Defaulting Lender ratably in accordance with their Commitments (but, in each case, only to the extent that such Defaulting Lender's portion of a Revolving Loan (or other funding obligation) was funded by such other Non-Defaulting Lender), (E) fifth, in Agent's sole discretion, to a suspense account maintained by Agent, the proceeds of which shall be retained by Agent and may be made available to be re-advanced to or for the benefit of Borrowers (upon the request of Borrowers and subject to the conditions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as if such Defaulting Lender had made its portion of Revolving Loans (or other funding obligations) hereunder, and (F) sixth, from and after the date on which all other Obligations have been paid in full, to such Defaulting Lender in accordance with tier (L) of </w:t>
      </w:r>
      <w:r>
        <w:rPr>
          <w:rFonts w:ascii="Times New Roman" w:cs="Times New Roman" w:eastAsia="Times New Roman" w:hAnsi="Times New Roman"/>
          <w:sz w:val="20"/>
          <w:szCs w:val="20"/>
          <w:u w:val="single" w:color="auto"/>
          <w:color w:val="auto"/>
        </w:rPr>
        <w:t>Section 2.4(b)(iii)</w:t>
      </w:r>
      <w:r>
        <w:rPr>
          <w:rFonts w:ascii="Times New Roman" w:cs="Times New Roman" w:eastAsia="Times New Roman" w:hAnsi="Times New Roman"/>
          <w:sz w:val="20"/>
          <w:szCs w:val="20"/>
          <w:color w:val="auto"/>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such Defaulting Lender shall be deemed not to be a "Lender" and such Lender's Commitment shall be deemed to be zero;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any of the matters governed by </w:t>
      </w:r>
      <w:r>
        <w:rPr>
          <w:rFonts w:ascii="Times New Roman" w:cs="Times New Roman" w:eastAsia="Times New Roman" w:hAnsi="Times New Roman"/>
          <w:sz w:val="20"/>
          <w:szCs w:val="20"/>
          <w:u w:val="single" w:color="auto"/>
          <w:color w:val="auto"/>
        </w:rPr>
        <w:t>Section 14.1(a)</w:t>
      </w:r>
    </w:p>
    <w:p>
      <w:pPr>
        <w:ind w:left="260" w:hanging="257"/>
        <w:spacing w:after="0" w:line="216" w:lineRule="auto"/>
        <w:tabs>
          <w:tab w:leader="none" w:pos="260" w:val="left"/>
        </w:tabs>
        <w:numPr>
          <w:ilvl w:val="0"/>
          <w:numId w:val="6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through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shall remain effective with respect to such Defaulting Lender until the earlier of</w:t>
      </w:r>
    </w:p>
    <w:p>
      <w:pPr>
        <w:jc w:val="both"/>
        <w:ind w:firstLine="3"/>
        <w:spacing w:after="0" w:line="206" w:lineRule="auto"/>
        <w:tabs>
          <w:tab w:leader="none" w:pos="327"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on which all of the Non-Defaulting Lenders, Agent, Issuing Bank, and Borrowers shall have waived, in writing, the application of this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shall be released to Borrowers). The operation of this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provisions of this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1"/>
          <w:szCs w:val="21"/>
          <w:u w:val="single" w:color="auto"/>
          <w:color w:val="auto"/>
        </w:rPr>
        <w:t>Section 2.3(g)</w:t>
      </w:r>
      <w:r>
        <w:rPr>
          <w:rFonts w:ascii="Times New Roman" w:cs="Times New Roman" w:eastAsia="Times New Roman" w:hAnsi="Times New Roman"/>
          <w:sz w:val="21"/>
          <w:szCs w:val="21"/>
          <w:color w:val="auto"/>
        </w:rPr>
        <w:t xml:space="preserve"> shall control and govern.</w:t>
      </w:r>
    </w:p>
    <w:p>
      <w:pPr>
        <w:spacing w:after="0" w:line="133" w:lineRule="exact"/>
        <w:rPr>
          <w:sz w:val="20"/>
          <w:szCs w:val="20"/>
          <w:color w:val="auto"/>
        </w:rPr>
      </w:pPr>
    </w:p>
    <w:p>
      <w:pPr>
        <w:ind w:left="2480" w:hanging="620"/>
        <w:spacing w:after="0"/>
        <w:tabs>
          <w:tab w:leader="none" w:pos="24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Swing Loan or Letter of Credit is outstanding at the time that a Lender becomes a Defaulting</w:t>
      </w:r>
    </w:p>
    <w:p>
      <w:pPr>
        <w:spacing w:after="0"/>
        <w:rPr>
          <w:sz w:val="20"/>
          <w:szCs w:val="20"/>
          <w:color w:val="auto"/>
        </w:rPr>
      </w:pPr>
      <w:r>
        <w:rPr>
          <w:rFonts w:ascii="Times New Roman" w:cs="Times New Roman" w:eastAsia="Times New Roman" w:hAnsi="Times New Roman"/>
          <w:sz w:val="21"/>
          <w:szCs w:val="21"/>
          <w:color w:val="auto"/>
        </w:rPr>
        <w:t>Lender then:</w:t>
      </w:r>
    </w:p>
    <w:p>
      <w:pPr>
        <w:spacing w:after="0" w:line="149" w:lineRule="exact"/>
        <w:rPr>
          <w:sz w:val="20"/>
          <w:szCs w:val="20"/>
          <w:color w:val="auto"/>
        </w:rPr>
      </w:pPr>
    </w:p>
    <w:p>
      <w:pPr>
        <w:jc w:val="both"/>
        <w:ind w:firstLine="2478"/>
        <w:spacing w:after="0" w:line="217" w:lineRule="auto"/>
        <w:tabs>
          <w:tab w:leader="none" w:pos="308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Defaulting Lender's Swing Loan Exposure and Letter of Credit Exposure shall be reallocated among the Non-Defaulting Lenders in accordance with their respective Pro Rata Shares but only to the extent (x) the sum of all Non-Defaulting Lenders' Pro Rata Share of Revolver Usage plus such Defaulting Lender's Swing Loan Exposure and Letter of Credit Exposure does not exceed the total of all Non-Defaulting Lenders' Revolver Commitments and (y) the conditions set forth in Section 3.2 are satisfied at such time;</w:t>
      </w:r>
    </w:p>
    <w:p>
      <w:pPr>
        <w:spacing w:after="0" w:line="145" w:lineRule="exact"/>
        <w:rPr>
          <w:rFonts w:ascii="Times New Roman" w:cs="Times New Roman" w:eastAsia="Times New Roman" w:hAnsi="Times New Roman"/>
          <w:sz w:val="21"/>
          <w:szCs w:val="21"/>
          <w:color w:val="auto"/>
        </w:rPr>
      </w:pPr>
    </w:p>
    <w:p>
      <w:pPr>
        <w:jc w:val="both"/>
        <w:ind w:firstLine="2478"/>
        <w:spacing w:after="0" w:line="213" w:lineRule="auto"/>
        <w:tabs>
          <w:tab w:leader="none" w:pos="308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reallocation described in clause (A) above cannot, or can only partially, be effected, Borrowers shall within one Business Day following notice by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Borrowers shall not be obligated to cash collateralize any Defaulting Lender's Letter of Credit Exposure if such Defaulting Lender is also Issuing Bank;</w:t>
      </w:r>
    </w:p>
    <w:p>
      <w:pPr>
        <w:spacing w:after="0" w:line="149" w:lineRule="exact"/>
        <w:rPr>
          <w:rFonts w:ascii="Times New Roman" w:cs="Times New Roman" w:eastAsia="Times New Roman" w:hAnsi="Times New Roman"/>
          <w:sz w:val="21"/>
          <w:szCs w:val="21"/>
          <w:color w:val="auto"/>
        </w:rPr>
      </w:pPr>
    </w:p>
    <w:p>
      <w:pPr>
        <w:jc w:val="both"/>
        <w:ind w:firstLine="2478"/>
        <w:spacing w:after="0" w:line="220" w:lineRule="auto"/>
        <w:tabs>
          <w:tab w:leader="none" w:pos="308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Borrowers cash collateralize any portion of such Defaulting Lender's Letter of Credit Exposure pursuant to this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Borrowers shall not be required to pay any Letter of Credit Fees to Agent for the account of such Defaulting Lender pursuant to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with respect to such cash collateralized portion of such Defaulting Lender's Letter of Credit Exposure during the period such Letter of Credit Exposure is cash collateralized;</w:t>
      </w:r>
    </w:p>
    <w:p>
      <w:pPr>
        <w:spacing w:after="0" w:line="145" w:lineRule="exact"/>
        <w:rPr>
          <w:rFonts w:ascii="Times New Roman" w:cs="Times New Roman" w:eastAsia="Times New Roman" w:hAnsi="Times New Roman"/>
          <w:sz w:val="21"/>
          <w:szCs w:val="21"/>
          <w:color w:val="auto"/>
        </w:rPr>
      </w:pPr>
    </w:p>
    <w:p>
      <w:pPr>
        <w:jc w:val="both"/>
        <w:ind w:firstLine="2478"/>
        <w:spacing w:after="0" w:line="225" w:lineRule="auto"/>
        <w:tabs>
          <w:tab w:leader="none" w:pos="308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Letter of Credit Exposure of the Non-Defaulting Lenders is reallocated pursuant to this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then the Letter of Credit Fees payable to the Non-Defaulting Lenders pursuant to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shall be adjusted in accordance with such Non-Defaulting Lenders' Letter of Credit Exposure;</w:t>
      </w:r>
    </w:p>
    <w:p>
      <w:pPr>
        <w:spacing w:after="0" w:line="145" w:lineRule="exact"/>
        <w:rPr>
          <w:rFonts w:ascii="Times New Roman" w:cs="Times New Roman" w:eastAsia="Times New Roman" w:hAnsi="Times New Roman"/>
          <w:sz w:val="21"/>
          <w:szCs w:val="21"/>
          <w:color w:val="auto"/>
        </w:rPr>
      </w:pPr>
    </w:p>
    <w:p>
      <w:pPr>
        <w:jc w:val="both"/>
        <w:ind w:firstLine="2478"/>
        <w:spacing w:after="0" w:line="217" w:lineRule="auto"/>
        <w:tabs>
          <w:tab w:leader="none" w:pos="308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any Defaulting Lender's Letter of Credit Exposure is neither cash collateralized nor reallocated pursuant to this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then, without prejudice to any rights or remedies of Issuing Bank or any Lender hereunder, all Letter of Credit Fees that would have otherwise been payable to such Defaulting Lender under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with respect to such portion of such Letter of Credit Exposure shall instead be payable to Issuing Bank until such portion of such Defaulting Lender's Letter of Credit Exposure is cash collateralized or reallocated;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86" w:lineRule="exact"/>
        <w:rPr>
          <w:sz w:val="20"/>
          <w:szCs w:val="20"/>
          <w:color w:val="auto"/>
        </w:rPr>
      </w:pPr>
    </w:p>
    <w:p>
      <w:pPr>
        <w:jc w:val="both"/>
        <w:ind w:firstLine="2478"/>
        <w:spacing w:after="0" w:line="222" w:lineRule="auto"/>
        <w:tabs>
          <w:tab w:leader="none" w:pos="3088"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any Lender is a Defaulting Lender, the Swing Lender shall not be required to make any Swing Loan and Issuing Bank shall not be required to issue, amend, or increase any Letter of Credit, in each case, to the extent (x) the Defaulting Lender's Pro Rata Share of such Swing Loans or Letter of Credit cannot be reallocated pursuant to this </w:t>
      </w:r>
      <w:r>
        <w:rPr>
          <w:rFonts w:ascii="Times New Roman" w:cs="Times New Roman" w:eastAsia="Times New Roman" w:hAnsi="Times New Roman"/>
          <w:sz w:val="20"/>
          <w:szCs w:val="20"/>
          <w:u w:val="single" w:color="auto"/>
          <w:color w:val="auto"/>
        </w:rPr>
        <w:t>Section 2.3(g)(ii)</w:t>
      </w:r>
      <w:r>
        <w:rPr>
          <w:rFonts w:ascii="Times New Roman" w:cs="Times New Roman" w:eastAsia="Times New Roman" w:hAnsi="Times New Roman"/>
          <w:sz w:val="20"/>
          <w:szCs w:val="20"/>
          <w:color w:val="auto"/>
        </w:rPr>
        <w:t>, or</w:t>
      </w:r>
    </w:p>
    <w:p>
      <w:pPr>
        <w:spacing w:after="0" w:line="2" w:lineRule="exact"/>
        <w:rPr>
          <w:rFonts w:ascii="Times New Roman" w:cs="Times New Roman" w:eastAsia="Times New Roman" w:hAnsi="Times New Roman"/>
          <w:sz w:val="20"/>
          <w:szCs w:val="20"/>
          <w:color w:val="auto"/>
        </w:rPr>
      </w:pPr>
    </w:p>
    <w:p>
      <w:pPr>
        <w:jc w:val="both"/>
        <w:ind w:firstLine="3"/>
        <w:spacing w:after="0" w:line="218" w:lineRule="auto"/>
        <w:tabs>
          <w:tab w:leader="none" w:pos="301"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and</w:t>
      </w:r>
    </w:p>
    <w:p>
      <w:pPr>
        <w:spacing w:after="0" w:line="145" w:lineRule="exact"/>
        <w:rPr>
          <w:rFonts w:ascii="Times New Roman" w:cs="Times New Roman" w:eastAsia="Times New Roman" w:hAnsi="Times New Roman"/>
          <w:sz w:val="21"/>
          <w:szCs w:val="21"/>
          <w:color w:val="auto"/>
        </w:rPr>
      </w:pPr>
    </w:p>
    <w:p>
      <w:pPr>
        <w:jc w:val="both"/>
        <w:ind w:firstLine="2478"/>
        <w:spacing w:after="0" w:line="215" w:lineRule="auto"/>
        <w:tabs>
          <w:tab w:leader="none" w:pos="3084"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may release any cash collateral provided by Borrowers pursuant to this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to Issuing Bank and Issuing Bank may apply any such cash collateral to the payment of such Defaulting Lender's Pro Rata Share of any Letter of Credit Disbursement that is not reimbursed by Borrowers pursuant to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17.14</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1"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Independent Obligations</w:t>
      </w:r>
      <w:r>
        <w:rPr>
          <w:rFonts w:ascii="Times New Roman" w:cs="Times New Roman" w:eastAsia="Times New Roman" w:hAnsi="Times New Roman"/>
          <w:sz w:val="21"/>
          <w:szCs w:val="21"/>
          <w:color w:val="auto"/>
        </w:rPr>
        <w:t>. All Revolving Loans (other than Swing Loans and Extraordinary Advances)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by 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0"/>
          <w:szCs w:val="20"/>
          <w:b w:val="1"/>
          <w:bCs w:val="1"/>
          <w:u w:val="single" w:color="auto"/>
          <w:color w:val="auto"/>
        </w:rPr>
        <w:t>Payments; Reductions of Commitments; Prepayments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860" w:hanging="619"/>
        <w:spacing w:after="0"/>
        <w:tabs>
          <w:tab w:leader="none" w:pos="18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Payments by Borrowers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13" w:lineRule="auto"/>
        <w:tabs>
          <w:tab w:leader="none" w:pos="246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expressly provided herein, all payments by Borrowers shall be made to Agent's Account for the account of the Lender Group and shall be made in immediately available funds, no later than 1:30 p.m. on the date specified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any payments deposited into a Controlled Account shall be deemed not to be received by Agent on any Business Day unless immediately available funds have been credited to Agent's Account prior to 1:30 p.m. on such Business Day. Any payment received by Agent in immediately available funds in Agent's Account later than 1:30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49" w:lineRule="exact"/>
        <w:rPr>
          <w:rFonts w:ascii="Times New Roman" w:cs="Times New Roman" w:eastAsia="Times New Roman" w:hAnsi="Times New Roman"/>
          <w:sz w:val="21"/>
          <w:szCs w:val="21"/>
          <w:color w:val="auto"/>
        </w:rPr>
      </w:pPr>
    </w:p>
    <w:p>
      <w:pPr>
        <w:jc w:val="both"/>
        <w:ind w:firstLine="1860"/>
        <w:spacing w:after="0" w:line="228" w:lineRule="auto"/>
        <w:tabs>
          <w:tab w:leader="none" w:pos="24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Agent receives notice from Borrowers prior to the date on which any payment is due to the Lenders that Borrowers will not make such payment in full asand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on demand such amount distributed to such Lender, together with interest thereon at the Defaulting Lender Rate for each day from the date such amount is distributed to such Lender until the date repaid.</w:t>
      </w:r>
    </w:p>
    <w:p>
      <w:pPr>
        <w:spacing w:after="0" w:line="142" w:lineRule="exact"/>
        <w:rPr>
          <w:sz w:val="20"/>
          <w:szCs w:val="20"/>
          <w:color w:val="auto"/>
        </w:rPr>
      </w:pPr>
    </w:p>
    <w:p>
      <w:pPr>
        <w:ind w:left="1860" w:hanging="619"/>
        <w:spacing w:after="0"/>
        <w:tabs>
          <w:tab w:leader="none" w:pos="18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Apportionment and Application</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15" w:lineRule="auto"/>
        <w:tabs>
          <w:tab w:leader="none" w:pos="246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w:t>
      </w:r>
    </w:p>
    <w:p>
      <w:pPr>
        <w:spacing w:after="0" w:line="145" w:lineRule="exact"/>
        <w:rPr>
          <w:rFonts w:ascii="Times New Roman" w:cs="Times New Roman" w:eastAsia="Times New Roman" w:hAnsi="Times New Roman"/>
          <w:sz w:val="21"/>
          <w:szCs w:val="21"/>
          <w:color w:val="auto"/>
        </w:rPr>
      </w:pPr>
    </w:p>
    <w:p>
      <w:pPr>
        <w:jc w:val="both"/>
        <w:ind w:firstLine="1860"/>
        <w:spacing w:after="0" w:line="217" w:lineRule="auto"/>
        <w:tabs>
          <w:tab w:leader="none" w:pos="2469"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2.4(b)(v)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2.4(d)(ii)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45" w:lineRule="exact"/>
        <w:rPr>
          <w:rFonts w:ascii="Times New Roman" w:cs="Times New Roman" w:eastAsia="Times New Roman" w:hAnsi="Times New Roman"/>
          <w:sz w:val="21"/>
          <w:szCs w:val="21"/>
          <w:color w:val="auto"/>
        </w:rPr>
      </w:pPr>
    </w:p>
    <w:p>
      <w:pPr>
        <w:jc w:val="both"/>
        <w:ind w:firstLine="2478"/>
        <w:spacing w:after="0" w:line="225" w:lineRule="auto"/>
        <w:tabs>
          <w:tab w:leader="none" w:pos="3084"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 any Lender Group Expenses (including cost or expense reimbursements) or indemnities then due to Agent under the Loan Documents and to pay interest and principal on Extraordinary Advances that are held solely by Agent pursuant to the terms of </w:t>
      </w:r>
      <w:r>
        <w:rPr>
          <w:rFonts w:ascii="Times New Roman" w:cs="Times New Roman" w:eastAsia="Times New Roman" w:hAnsi="Times New Roman"/>
          <w:sz w:val="21"/>
          <w:szCs w:val="21"/>
          <w:u w:val="single" w:color="auto"/>
          <w:color w:val="auto"/>
        </w:rPr>
        <w:t>Section 2.4(d)(iv)</w:t>
      </w:r>
      <w:r>
        <w:rPr>
          <w:rFonts w:ascii="Times New Roman" w:cs="Times New Roman" w:eastAsia="Times New Roman" w:hAnsi="Times New Roman"/>
          <w:sz w:val="21"/>
          <w:szCs w:val="21"/>
          <w:color w:val="auto"/>
        </w:rPr>
        <w:t>, until paid in full,</w:t>
      </w:r>
    </w:p>
    <w:p>
      <w:pPr>
        <w:spacing w:after="0" w:line="132"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pay any fees or premiums then due to Agent under the Loan Documents, until paid in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w:t>
      </w:r>
    </w:p>
    <w:p>
      <w:pPr>
        <w:spacing w:after="0" w:line="149"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pay interest due in respect of all Protective Advances, until paid in full,</w:t>
      </w:r>
    </w:p>
    <w:p>
      <w:pPr>
        <w:spacing w:after="0" w:line="17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to pay the principal of all Protective Advances, until paid in full,</w:t>
      </w:r>
    </w:p>
    <w:p>
      <w:pPr>
        <w:spacing w:after="0" w:line="171" w:lineRule="exact"/>
        <w:rPr>
          <w:rFonts w:ascii="Times New Roman" w:cs="Times New Roman" w:eastAsia="Times New Roman" w:hAnsi="Times New Roman"/>
          <w:sz w:val="21"/>
          <w:szCs w:val="21"/>
          <w:color w:val="auto"/>
        </w:rPr>
      </w:pPr>
    </w:p>
    <w:p>
      <w:pPr>
        <w:ind w:firstLine="2478"/>
        <w:spacing w:after="0" w:line="235" w:lineRule="auto"/>
        <w:tabs>
          <w:tab w:leader="none" w:pos="3087"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ratably, to pay any Lender Group Expenses (including cost or expense reimbursements) or indemnities then due to any of the Lenders under the Loan Documents, until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73" w:lineRule="exact"/>
        <w:rPr>
          <w:sz w:val="20"/>
          <w:szCs w:val="20"/>
          <w:color w:val="auto"/>
        </w:rPr>
      </w:pPr>
    </w:p>
    <w:p>
      <w:pPr>
        <w:ind w:left="2480"/>
        <w:spacing w:after="0"/>
        <w:tabs>
          <w:tab w:leader="none" w:pos="3080" w:val="left"/>
        </w:tabs>
        <w:rPr>
          <w:sz w:val="20"/>
          <w:szCs w:val="20"/>
          <w:color w:val="auto"/>
        </w:rPr>
      </w:pPr>
      <w:r>
        <w:rPr>
          <w:rFonts w:ascii="Times New Roman" w:cs="Times New Roman" w:eastAsia="Times New Roman" w:hAnsi="Times New Roman"/>
          <w:sz w:val="21"/>
          <w:szCs w:val="21"/>
          <w:color w:val="auto"/>
        </w:rPr>
        <w:t>(F)</w:t>
      </w:r>
      <w:r>
        <w:rPr>
          <w:sz w:val="20"/>
          <w:szCs w:val="20"/>
          <w:color w:val="auto"/>
        </w:rPr>
        <w:tab/>
      </w:r>
      <w:r>
        <w:rPr>
          <w:rFonts w:ascii="Times New Roman" w:cs="Times New Roman" w:eastAsia="Times New Roman" w:hAnsi="Times New Roman"/>
          <w:sz w:val="21"/>
          <w:szCs w:val="21"/>
          <w:u w:val="single" w:color="auto"/>
          <w:color w:val="auto"/>
        </w:rPr>
        <w:t>sixth</w:t>
      </w:r>
      <w:r>
        <w:rPr>
          <w:rFonts w:ascii="Times New Roman" w:cs="Times New Roman" w:eastAsia="Times New Roman" w:hAnsi="Times New Roman"/>
          <w:sz w:val="21"/>
          <w:szCs w:val="21"/>
          <w:color w:val="auto"/>
        </w:rPr>
        <w:t>, ratably, to pay any fees or premiums then due to any of the Lenders under the Loan</w:t>
      </w:r>
    </w:p>
    <w:p>
      <w:pPr>
        <w:spacing w:after="0"/>
        <w:rPr>
          <w:sz w:val="20"/>
          <w:szCs w:val="20"/>
          <w:color w:val="auto"/>
        </w:rPr>
      </w:pPr>
      <w:r>
        <w:rPr>
          <w:rFonts w:ascii="Times New Roman" w:cs="Times New Roman" w:eastAsia="Times New Roman" w:hAnsi="Times New Roman"/>
          <w:sz w:val="21"/>
          <w:szCs w:val="21"/>
          <w:color w:val="auto"/>
        </w:rPr>
        <w:t>Documents, until paid in full,</w:t>
      </w:r>
    </w:p>
    <w:p>
      <w:pPr>
        <w:spacing w:after="0" w:line="149" w:lineRule="exact"/>
        <w:rPr>
          <w:sz w:val="20"/>
          <w:szCs w:val="20"/>
          <w:color w:val="auto"/>
        </w:rPr>
      </w:pPr>
    </w:p>
    <w:p>
      <w:pPr>
        <w:ind w:left="3080" w:hanging="602"/>
        <w:spacing w:after="0"/>
        <w:tabs>
          <w:tab w:leader="none" w:pos="3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seventh</w:t>
      </w:r>
      <w:r>
        <w:rPr>
          <w:rFonts w:ascii="Times New Roman" w:cs="Times New Roman" w:eastAsia="Times New Roman" w:hAnsi="Times New Roman"/>
          <w:sz w:val="21"/>
          <w:szCs w:val="21"/>
          <w:color w:val="auto"/>
        </w:rPr>
        <w:t>, to pay interest accrued in respect of the Swing Loans, until paid in full,</w:t>
      </w:r>
    </w:p>
    <w:p>
      <w:pPr>
        <w:spacing w:after="0" w:line="17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eighth</w:t>
      </w:r>
      <w:r>
        <w:rPr>
          <w:rFonts w:ascii="Times New Roman" w:cs="Times New Roman" w:eastAsia="Times New Roman" w:hAnsi="Times New Roman"/>
          <w:sz w:val="21"/>
          <w:szCs w:val="21"/>
          <w:color w:val="auto"/>
        </w:rPr>
        <w:t>, to pay the principal of all Swing Loans, until paid in full,</w:t>
      </w:r>
    </w:p>
    <w:p>
      <w:pPr>
        <w:spacing w:after="0" w:line="171" w:lineRule="exact"/>
        <w:rPr>
          <w:rFonts w:ascii="Times New Roman" w:cs="Times New Roman" w:eastAsia="Times New Roman" w:hAnsi="Times New Roman"/>
          <w:sz w:val="21"/>
          <w:szCs w:val="21"/>
          <w:color w:val="auto"/>
        </w:rPr>
      </w:pPr>
    </w:p>
    <w:p>
      <w:pPr>
        <w:ind w:firstLine="2478"/>
        <w:spacing w:after="0" w:line="235" w:lineRule="auto"/>
        <w:tabs>
          <w:tab w:leader="none" w:pos="309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ninth</w:t>
      </w:r>
      <w:r>
        <w:rPr>
          <w:rFonts w:ascii="Times New Roman" w:cs="Times New Roman" w:eastAsia="Times New Roman" w:hAnsi="Times New Roman"/>
          <w:sz w:val="21"/>
          <w:szCs w:val="21"/>
          <w:color w:val="auto"/>
        </w:rPr>
        <w:t>, ratably, to pay interest accrued in respect of the Revolving Loans (other than Protective Advances and Swing Loans), until paid in full,</w:t>
      </w:r>
    </w:p>
    <w:p>
      <w:pPr>
        <w:spacing w:after="0" w:line="145" w:lineRule="exact"/>
        <w:rPr>
          <w:rFonts w:ascii="Times New Roman" w:cs="Times New Roman" w:eastAsia="Times New Roman" w:hAnsi="Times New Roman"/>
          <w:sz w:val="21"/>
          <w:szCs w:val="21"/>
          <w:color w:val="auto"/>
        </w:rPr>
      </w:pPr>
    </w:p>
    <w:p>
      <w:pPr>
        <w:ind w:left="3100" w:hanging="622"/>
        <w:spacing w:after="0"/>
        <w:tabs>
          <w:tab w:leader="none" w:pos="31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tenth</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3700" w:hanging="603"/>
        <w:spacing w:after="0"/>
        <w:tabs>
          <w:tab w:leader="none" w:pos="370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ratably, to pay the principal of all Revolving Loans (other than Protective Advances and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Swing Loans), until paid in full,</w:t>
      </w:r>
    </w:p>
    <w:p>
      <w:pPr>
        <w:spacing w:after="0" w:line="149" w:lineRule="exact"/>
        <w:rPr>
          <w:rFonts w:ascii="Times New Roman" w:cs="Times New Roman" w:eastAsia="Times New Roman" w:hAnsi="Times New Roman"/>
          <w:sz w:val="21"/>
          <w:szCs w:val="21"/>
          <w:color w:val="auto"/>
        </w:rPr>
      </w:pPr>
    </w:p>
    <w:p>
      <w:pPr>
        <w:jc w:val="both"/>
        <w:ind w:firstLine="3097"/>
        <w:spacing w:after="0" w:line="215" w:lineRule="auto"/>
        <w:tabs>
          <w:tab w:leader="none" w:pos="371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Agent, to be held by Agent, for the benefit of 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 beginning with tier (A) hereof),</w:t>
      </w:r>
    </w:p>
    <w:p>
      <w:pPr>
        <w:spacing w:after="0" w:line="145" w:lineRule="exact"/>
        <w:rPr>
          <w:rFonts w:ascii="Times New Roman" w:cs="Times New Roman" w:eastAsia="Times New Roman" w:hAnsi="Times New Roman"/>
          <w:sz w:val="21"/>
          <w:szCs w:val="21"/>
          <w:color w:val="auto"/>
        </w:rPr>
      </w:pPr>
    </w:p>
    <w:p>
      <w:pPr>
        <w:jc w:val="both"/>
        <w:ind w:firstLine="3097"/>
        <w:spacing w:after="0" w:line="209" w:lineRule="auto"/>
        <w:tabs>
          <w:tab w:leader="none" w:pos="3704"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ratably, up to the amount (after taking into account any amounts previously paid pursuant to this clause iii. during the continuation of the applicable Application Event) of the most recently established Bank Product Reserve, which amount was established prior to the occurrence of, and not in contemplation of, the subject Application Event (after taking into account any amounts previously paid pursuant to this clause iii. during the continuation of the applicable Application Event), to (I) the Bank Product Providers based upon amounts then certified by each applicable Bank Product Provider to Agent (in form and substance satisfactory to Agent) to be due and payable to such Bank Product Provider on account of Bank Product Obligations (but not in excess of the Bank Product Reserve established for the Bank Product Obligations of such Bank Product Provider), and (II)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 beginning with tier (A) hereof,</w:t>
      </w:r>
    </w:p>
    <w:p>
      <w:pPr>
        <w:spacing w:after="0" w:line="154"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eleventh</w:t>
      </w:r>
      <w:r>
        <w:rPr>
          <w:rFonts w:ascii="Times New Roman" w:cs="Times New Roman" w:eastAsia="Times New Roman" w:hAnsi="Times New Roman"/>
          <w:sz w:val="21"/>
          <w:szCs w:val="21"/>
          <w:color w:val="auto"/>
        </w:rPr>
        <w:t>, to pay any other Obligations other than Obligations owed to Defaulting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86" w:lineRule="exact"/>
        <w:rPr>
          <w:sz w:val="20"/>
          <w:szCs w:val="20"/>
          <w:color w:val="auto"/>
        </w:rPr>
      </w:pPr>
    </w:p>
    <w:p>
      <w:pPr>
        <w:ind w:left="3080" w:hanging="602"/>
        <w:spacing w:after="0"/>
        <w:tabs>
          <w:tab w:leader="none" w:pos="30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twelfth</w:t>
      </w:r>
      <w:r>
        <w:rPr>
          <w:rFonts w:ascii="Times New Roman" w:cs="Times New Roman" w:eastAsia="Times New Roman" w:hAnsi="Times New Roman"/>
          <w:sz w:val="21"/>
          <w:szCs w:val="21"/>
          <w:color w:val="auto"/>
        </w:rPr>
        <w:t>, ratably to pay any Obligations owed to Defaulting Lenders; and</w:t>
      </w:r>
    </w:p>
    <w:p>
      <w:pPr>
        <w:spacing w:after="0" w:line="157" w:lineRule="exact"/>
        <w:rPr>
          <w:rFonts w:ascii="Times New Roman" w:cs="Times New Roman" w:eastAsia="Times New Roman" w:hAnsi="Times New Roman"/>
          <w:sz w:val="21"/>
          <w:szCs w:val="21"/>
          <w:color w:val="auto"/>
        </w:rPr>
      </w:pPr>
    </w:p>
    <w:p>
      <w:pPr>
        <w:ind w:left="3100" w:hanging="622"/>
        <w:spacing w:after="0"/>
        <w:tabs>
          <w:tab w:leader="none" w:pos="31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thirteenth</w:t>
      </w:r>
      <w:r>
        <w:rPr>
          <w:rFonts w:ascii="Times New Roman" w:cs="Times New Roman" w:eastAsia="Times New Roman" w:hAnsi="Times New Roman"/>
          <w:sz w:val="21"/>
          <w:szCs w:val="21"/>
          <w:color w:val="auto"/>
        </w:rPr>
        <w:t>, to Borrowers (to be wired to the Designated Account) or such other Person entitled</w:t>
      </w:r>
    </w:p>
    <w:p>
      <w:pPr>
        <w:spacing w:after="0"/>
        <w:rPr>
          <w:sz w:val="20"/>
          <w:szCs w:val="20"/>
          <w:color w:val="auto"/>
        </w:rPr>
      </w:pPr>
      <w:r>
        <w:rPr>
          <w:rFonts w:ascii="Times New Roman" w:cs="Times New Roman" w:eastAsia="Times New Roman" w:hAnsi="Times New Roman"/>
          <w:sz w:val="21"/>
          <w:szCs w:val="21"/>
          <w:color w:val="auto"/>
        </w:rPr>
        <w:t>thereto under applicable law.</w:t>
      </w:r>
    </w:p>
    <w:p>
      <w:pPr>
        <w:spacing w:after="0" w:line="149" w:lineRule="exact"/>
        <w:rPr>
          <w:sz w:val="20"/>
          <w:szCs w:val="20"/>
          <w:color w:val="auto"/>
        </w:rPr>
      </w:pPr>
    </w:p>
    <w:p>
      <w:pPr>
        <w:ind w:firstLine="1860"/>
        <w:spacing w:after="0" w:line="235" w:lineRule="auto"/>
        <w:tabs>
          <w:tab w:leader="none" w:pos="246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Times New Roman" w:cs="Times New Roman" w:eastAsia="Times New Roman" w:hAnsi="Times New Roman"/>
          <w:sz w:val="21"/>
          <w:szCs w:val="21"/>
          <w:u w:val="single" w:color="auto"/>
          <w:color w:val="auto"/>
        </w:rPr>
        <w:t>Section 2.3(e)</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each instance, so long as no Application Event has occurred and is continuing, </w:t>
      </w:r>
      <w:r>
        <w:rPr>
          <w:rFonts w:ascii="Times New Roman" w:cs="Times New Roman" w:eastAsia="Times New Roman" w:hAnsi="Times New Roman"/>
          <w:sz w:val="21"/>
          <w:szCs w:val="21"/>
          <w:u w:val="single" w:color="auto"/>
          <w:color w:val="auto"/>
        </w:rPr>
        <w:t>Section 2.4(b)(ii)</w:t>
      </w:r>
      <w:r>
        <w:rPr>
          <w:rFonts w:ascii="Times New Roman" w:cs="Times New Roman" w:eastAsia="Times New Roman" w:hAnsi="Times New Roman"/>
          <w:sz w:val="21"/>
          <w:szCs w:val="21"/>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45" w:lineRule="exact"/>
        <w:rPr>
          <w:rFonts w:ascii="Times New Roman" w:cs="Times New Roman" w:eastAsia="Times New Roman" w:hAnsi="Times New Roman"/>
          <w:sz w:val="21"/>
          <w:szCs w:val="21"/>
          <w:color w:val="auto"/>
        </w:rPr>
      </w:pPr>
    </w:p>
    <w:p>
      <w:pPr>
        <w:jc w:val="both"/>
        <w:ind w:firstLine="1860"/>
        <w:spacing w:after="0" w:line="228" w:lineRule="auto"/>
        <w:tabs>
          <w:tab w:leader="none" w:pos="246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direct conflict between the priority provisions of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then the provisions of </w:t>
      </w:r>
      <w:r>
        <w:rPr>
          <w:rFonts w:ascii="Times New Roman" w:cs="Times New Roman" w:eastAsia="Times New Roman" w:hAnsi="Times New Roman"/>
          <w:sz w:val="20"/>
          <w:szCs w:val="20"/>
          <w:u w:val="single" w:color="auto"/>
          <w:color w:val="auto"/>
        </w:rPr>
        <w:t>Section 2.3(g)</w:t>
      </w:r>
      <w:r>
        <w:rPr>
          <w:rFonts w:ascii="Times New Roman" w:cs="Times New Roman" w:eastAsia="Times New Roman" w:hAnsi="Times New Roman"/>
          <w:sz w:val="20"/>
          <w:szCs w:val="20"/>
          <w:color w:val="auto"/>
        </w:rPr>
        <w:t xml:space="preserve"> shall control and govern, and if otherwise, then the terms and provisions of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control and govern.</w:t>
      </w:r>
    </w:p>
    <w:p>
      <w:pPr>
        <w:spacing w:after="0" w:line="141"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Reduction of Commitments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10" w:lineRule="auto"/>
        <w:tabs>
          <w:tab w:leader="none" w:pos="246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Revolver Commitments</w:t>
      </w:r>
      <w:r>
        <w:rPr>
          <w:rFonts w:ascii="Times New Roman" w:cs="Times New Roman" w:eastAsia="Times New Roman" w:hAnsi="Times New Roman"/>
          <w:sz w:val="21"/>
          <w:szCs w:val="21"/>
          <w:color w:val="auto"/>
        </w:rPr>
        <w:t xml:space="preserve">. The Revolver Commitments shall terminate on the Maturity Date or earlier termination thereof pursuant to the terms of this Agreement. Borrowers may reduce the Revolver Commitments, without premium or penalty, to an amount (which may be zero) not less than the sum of (A) the Revolver Usage as of such date,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principal amount of all Revolving Loans not yet made as to which a request has been given by Borrowers under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(C) the amount of all Letters of Credit not yet issued as to which a request has been given by Borrowers pursuant to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Each such reduction shall be in an amount which is not less than $10,000,000 (unless the Revolver Commitments are being reduced to zero and the amount of the Revolver Commitments in effect immediately prior to such reduction are less than $10,000,000), shall be made by providing not less than ten Business Days prior written notice to Agent, and shall be irrevocable. The Revolver Commitments, once reduced, may not be increased. Each such reduction of the Revolver Commitments shall reduce the Revolver Commitments of each Lender proportionately in accordance with its ratable share thereof. In connection with any reduction in the Revolver Commitments prior to the Maturity Date, if any Loan Party or any of its Subsidiaries owns any Margin Stock, Borrowers shall deliver to Agent an updated Form U-1 (with sufficient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originals thereof for each Lender), duly executed and delivered by the Borrowers, together with such other documentation as Agent shall reasonably request, in order to enable Agent and the Lenders to comply with any of the requirements under Regulations T, U or X of the Board of Governors.</w:t>
      </w:r>
    </w:p>
    <w:p>
      <w:pPr>
        <w:spacing w:after="0" w:line="142" w:lineRule="exact"/>
        <w:rPr>
          <w:sz w:val="20"/>
          <w:szCs w:val="20"/>
          <w:color w:val="auto"/>
        </w:rPr>
      </w:pPr>
    </w:p>
    <w:p>
      <w:pPr>
        <w:ind w:left="1860" w:hanging="619"/>
        <w:spacing w:after="0"/>
        <w:tabs>
          <w:tab w:leader="none" w:pos="18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Optional Prepayments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Loans</w:t>
      </w:r>
      <w:r>
        <w:rPr>
          <w:rFonts w:ascii="Times New Roman" w:cs="Times New Roman" w:eastAsia="Times New Roman" w:hAnsi="Times New Roman"/>
          <w:sz w:val="21"/>
          <w:szCs w:val="21"/>
          <w:color w:val="auto"/>
        </w:rPr>
        <w:t>. Borrowers may prepay the principal of any Revolving Loan at any time in whole or in part, without premium or penalty.</w:t>
      </w:r>
    </w:p>
    <w:p>
      <w:pPr>
        <w:spacing w:after="0" w:line="14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Mandatory Prepayments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xml:space="preserve">. If, at any time, (A) the Revolver Usage on such date exceeds (B) the lesser of (x) the Borrowing Base reflected in the Borrowing Base Certificate most recently delivered by Borrowers to Agent, or (y) the Maximum Revolver Amount, in all cases as adjusted for Reserves established by Agent in accordance with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then Borrowers shall immediately prepay the Obligations in accordance with </w:t>
      </w:r>
      <w:r>
        <w:rPr>
          <w:rFonts w:ascii="Times New Roman" w:cs="Times New Roman" w:eastAsia="Times New Roman" w:hAnsi="Times New Roman"/>
          <w:sz w:val="21"/>
          <w:szCs w:val="21"/>
          <w:u w:val="single" w:color="auto"/>
          <w:color w:val="auto"/>
        </w:rPr>
        <w:t>Section 2.4(f)(i)</w:t>
      </w:r>
      <w:r>
        <w:rPr>
          <w:rFonts w:ascii="Times New Roman" w:cs="Times New Roman" w:eastAsia="Times New Roman" w:hAnsi="Times New Roman"/>
          <w:sz w:val="21"/>
          <w:szCs w:val="21"/>
          <w:color w:val="auto"/>
        </w:rPr>
        <w:t xml:space="preserve"> in an aggregate amount equal to the amount of such excess.</w:t>
      </w:r>
    </w:p>
    <w:p>
      <w:pPr>
        <w:spacing w:after="0" w:line="14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Application of Payments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prepayment pursuant to </w:t>
      </w:r>
      <w:r>
        <w:rPr>
          <w:rFonts w:ascii="Times New Roman" w:cs="Times New Roman" w:eastAsia="Times New Roman" w:hAnsi="Times New Roman"/>
          <w:sz w:val="21"/>
          <w:szCs w:val="21"/>
          <w:u w:val="single" w:color="auto"/>
          <w:color w:val="auto"/>
        </w:rPr>
        <w:t>Section 2.4(e)(i)</w:t>
      </w:r>
      <w:r>
        <w:rPr>
          <w:rFonts w:ascii="Times New Roman" w:cs="Times New Roman" w:eastAsia="Times New Roman" w:hAnsi="Times New Roman"/>
          <w:sz w:val="21"/>
          <w:szCs w:val="21"/>
          <w:color w:val="auto"/>
        </w:rPr>
        <w:t xml:space="preserve"> shall, (1) so long as no Application Event shall have occurred and be continuing, be applied,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outstanding principal amount of the Revolving Loans until paid in full, and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cash collateralize the Letters of Credit in an amount equal to 105% of the then outstanding Letter of Credit Usage, and (2) if an Application Event shall have occurred and be continuing, be applied in the manner set forth in </w:t>
      </w:r>
      <w:r>
        <w:rPr>
          <w:rFonts w:ascii="Times New Roman" w:cs="Times New Roman" w:eastAsia="Times New Roman" w:hAnsi="Times New Roman"/>
          <w:sz w:val="21"/>
          <w:szCs w:val="21"/>
          <w:u w:val="single" w:color="auto"/>
          <w:color w:val="auto"/>
        </w:rPr>
        <w:t>Section 2.4(b)(iii)</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0"/>
          <w:szCs w:val="20"/>
          <w:b w:val="1"/>
          <w:bCs w:val="1"/>
          <w:u w:val="single" w:color="auto"/>
          <w:color w:val="auto"/>
        </w:rPr>
        <w:t>Promise to Pay; Promissory Notes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2" w:lineRule="auto"/>
        <w:tabs>
          <w:tab w:leader="none" w:pos="185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agree to pay the Lender Group Expenses on the earlier of (i) the first day of the month following the date on which the applicable Lender Group Expenses were first incurred, or (ii) the date on which demand therefor is made by Agent (it being acknowledged and agreed that any charging of such costs, expenses or Lender Group Expenses to the Loan Account pursuant to the provisions of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shall be deemed to constitute a demand for payment thereof for the purposes of this subclause (ii)).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Times New Roman" w:cs="Times New Roman" w:eastAsia="Times New Roman" w:hAnsi="Times New Roman"/>
          <w:sz w:val="21"/>
          <w:szCs w:val="21"/>
          <w:u w:val="single" w:color="auto"/>
          <w:color w:val="auto"/>
        </w:rPr>
        <w:t>Section 2.5(a)</w:t>
      </w:r>
      <w:r>
        <w:rPr>
          <w:rFonts w:ascii="Times New Roman" w:cs="Times New Roman" w:eastAsia="Times New Roman" w:hAnsi="Times New Roman"/>
          <w:sz w:val="21"/>
          <w:szCs w:val="21"/>
          <w:color w:val="auto"/>
        </w:rPr>
        <w:t xml:space="preserve"> shall survive payment or satisfaction in full of all other Obligations.</w:t>
      </w:r>
    </w:p>
    <w:p>
      <w:pPr>
        <w:spacing w:after="0" w:line="149"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request that any portion of its Commitments or the Loans made by it be evidenced by one or more promissory notes. In such event, Borrowers shall execute and deliver to such Lender the requested promissory notes payable to the order of such Lender in a form furnished by Agent and reasonably satisfactory to Borrowers. Thereafter, the portion of the Commitments and Loans evidenced by such promissory notes and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at all times be represented by one or more promissory notes in such form payable to the order of the payee named therein.</w:t>
      </w:r>
    </w:p>
    <w:p>
      <w:pPr>
        <w:spacing w:after="0" w:line="16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0"/>
          <w:szCs w:val="20"/>
          <w:b w:val="1"/>
          <w:bCs w:val="1"/>
          <w:u w:val="single" w:color="auto"/>
          <w:color w:val="auto"/>
        </w:rPr>
        <w:t>Interest Rates and Letter of Credit Fee: Rates, Payments, and Calculations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26" w:lineRule="auto"/>
        <w:tabs>
          <w:tab w:leader="none" w:pos="185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Interest Rates</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all Obligations (except for undrawn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Letters of Credit) that have been charged to the Loan Account pursuant to the terms hereof shall bear interest on the daily balance thereof at a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equal to the Applicable Rate.</w:t>
      </w:r>
    </w:p>
    <w:p>
      <w:pPr>
        <w:spacing w:after="0" w:line="142" w:lineRule="exact"/>
        <w:rPr>
          <w:rFonts w:ascii="Times New Roman" w:cs="Times New Roman" w:eastAsia="Times New Roman" w:hAnsi="Times New Roman"/>
          <w:sz w:val="21"/>
          <w:szCs w:val="21"/>
          <w:color w:val="auto"/>
        </w:rPr>
      </w:pPr>
    </w:p>
    <w:p>
      <w:pPr>
        <w:jc w:val="both"/>
        <w:ind w:firstLine="1241"/>
        <w:spacing w:after="0" w:line="221" w:lineRule="auto"/>
        <w:tabs>
          <w:tab w:leader="none" w:pos="185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Letter of Credit Fee</w:t>
      </w:r>
      <w:r>
        <w:rPr>
          <w:rFonts w:ascii="Times New Roman" w:cs="Times New Roman" w:eastAsia="Times New Roman" w:hAnsi="Times New Roman"/>
          <w:sz w:val="21"/>
          <w:szCs w:val="21"/>
          <w:color w:val="auto"/>
        </w:rPr>
        <w:t>. Borrowers shall pay Agent (for the ratable benefit of the Revolving Lenders), a Letter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 fee (the "</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(which fee shall be in addition to the fronting fees and commissions, other fees, charges and expenses set forth in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xml:space="preserve">) that shall accrue at a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equal to the SOFR Margin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average amount of the Letter of Credit Usage during the immediately preceding month.</w:t>
      </w:r>
    </w:p>
    <w:p>
      <w:pPr>
        <w:spacing w:after="0" w:line="141" w:lineRule="exact"/>
        <w:rPr>
          <w:rFonts w:ascii="Times New Roman" w:cs="Times New Roman" w:eastAsia="Times New Roman" w:hAnsi="Times New Roman"/>
          <w:sz w:val="21"/>
          <w:szCs w:val="21"/>
          <w:color w:val="auto"/>
        </w:rPr>
      </w:pPr>
    </w:p>
    <w:p>
      <w:pPr>
        <w:jc w:val="both"/>
        <w:ind w:firstLine="1241"/>
        <w:spacing w:after="0" w:line="214" w:lineRule="auto"/>
        <w:tabs>
          <w:tab w:leader="none" w:pos="185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(i) Automatically upon the occurrence and during the continuation of an Event of Default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8.5</w:t>
      </w:r>
      <w:r>
        <w:rPr>
          <w:rFonts w:ascii="Times New Roman" w:cs="Times New Roman" w:eastAsia="Times New Roman" w:hAnsi="Times New Roman"/>
          <w:sz w:val="21"/>
          <w:szCs w:val="21"/>
          <w:color w:val="auto"/>
        </w:rPr>
        <w:t xml:space="preserve"> and (ii) upon the occurrence and during the continuation of any other Event of Default (other than an Event of Default under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8.5</w:t>
      </w:r>
      <w:r>
        <w:rPr>
          <w:rFonts w:ascii="Times New Roman" w:cs="Times New Roman" w:eastAsia="Times New Roman" w:hAnsi="Times New Roman"/>
          <w:sz w:val="21"/>
          <w:szCs w:val="21"/>
          <w:color w:val="auto"/>
        </w:rPr>
        <w:t>), at the direction of Agent or the Required Lenders, and upon written notice by Agent to Borrowers of such direction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notice shall not be required for any Event of Default under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(A) all Loans and all Obligations (except for undrawn Letters of Credit) that have been charged to the Loan Account pursuant to the terms hereof shall bear interest at a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equal to three percentage points above the per annum rate otherwise applicable thereunder, and (B) the Letter of Credit Fee shall be increased to three percentage points above the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otherwise applicable hereunder.</w:t>
      </w:r>
    </w:p>
    <w:p>
      <w:pPr>
        <w:spacing w:after="0" w:line="142"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Except to the extent provided to the contrary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(i)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interest 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Times New Roman" w:cs="Times New Roman" w:eastAsia="Times New Roman" w:hAnsi="Times New Roman"/>
          <w:sz w:val="21"/>
          <w:szCs w:val="21"/>
          <w:u w:val="single" w:color="auto"/>
          <w:color w:val="auto"/>
        </w:rPr>
        <w:t>Section 2.11(k)</w:t>
      </w:r>
      <w:r>
        <w:rPr>
          <w:rFonts w:ascii="Times New Roman" w:cs="Times New Roman" w:eastAsia="Times New Roman" w:hAnsi="Times New Roman"/>
          <w:sz w:val="21"/>
          <w:szCs w:val="21"/>
          <w:color w:val="auto"/>
        </w:rPr>
        <w:t xml:space="preserve"> shall be due and payable, in arrears, on the first Business Day of each month, and (iii) all costs and expenses payable hereunder or under any of the other Loan Documents, and all other Lender Group Expenses shall be due and payable on (x) with respect to Lender Group Expenses outstanding as of the Closing Date, the Closing Date, and (y) otherwise, the earlier of (A) the first day of the month following the date on which the applicable costs, expenses, or Lender Group Expenses were first incurred, or (B)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 Borrowers hereby authorize Agent, from time to time without prior notice to Borrowers, to charge to the Loan Account (A) on the first day of each month, all interest accrued during the prior month on the Revolving Loans hereunder, (B) on the first Business Day of each month, all Letter of Credit Fees accrued or chargeable hereunder during the prior month, (C) as and when incurred or accrued, all fees and costs provided for in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(D) on the first day of each month, the Unused Line Fee accrued during the prior month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(E) as and when due and payable, all other fees payable hereunder or under any of the other Loan Documents, (F) on the Closing Date and thereafter as and when incurred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accrued, all other Lender Group Expenses, and (G) as and when due and payable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accrue interest at the Applicable Rate.</w:t>
      </w:r>
    </w:p>
    <w:p>
      <w:pPr>
        <w:spacing w:after="0" w:line="142" w:lineRule="exact"/>
        <w:rPr>
          <w:sz w:val="20"/>
          <w:szCs w:val="20"/>
          <w:color w:val="auto"/>
        </w:rPr>
      </w:pPr>
    </w:p>
    <w:p>
      <w:pPr>
        <w:jc w:val="both"/>
        <w:ind w:firstLine="1241"/>
        <w:spacing w:after="0" w:line="215" w:lineRule="auto"/>
        <w:tabs>
          <w:tab w:leader="none" w:pos="185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Computation</w:t>
      </w:r>
      <w:r>
        <w:rPr>
          <w:rFonts w:ascii="Times New Roman" w:cs="Times New Roman" w:eastAsia="Times New Roman" w:hAnsi="Times New Roman"/>
          <w:sz w:val="21"/>
          <w:szCs w:val="21"/>
          <w:color w:val="auto"/>
        </w:rPr>
        <w:t>. All interest and fees chargeable under the Loan Documents shall be computed on the basis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360 day year, in each case, for the actual number of days elapsed in the period during which the interest or fees accrue. In the event the Base Rate is changed from time to time hereafter, the rates of interest hereunder based upon the Base Rate automatically and immediately shall be increased or decreased by an amount equal to such change in the Base Rate. In the event Daily Simple SOFR is changed from time to time hereafter, the rates of interest hereunder based upon Daily Simple SOFR automatically and immediately shall be increased or decreased by an amount equal to such change in Daily Simple SOFR.</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Intent to Limit Charges to Maximum Lawful Rate</w:t>
      </w:r>
      <w:r>
        <w:rPr>
          <w:rFonts w:ascii="Times New Roman" w:cs="Times New Roman" w:eastAsia="Times New Roman" w:hAnsi="Times New Roman"/>
          <w:sz w:val="21"/>
          <w:szCs w:val="21"/>
          <w:color w:val="auto"/>
        </w:rPr>
        <w:t>. In no event shall the interest rate or rates payable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anything contained herein to the contrary notwithstanding, if said rate or rates of interest or manner of payment exceeds the maximum allowable under applicable law, then, </w:t>
      </w:r>
      <w:r>
        <w:rPr>
          <w:rFonts w:ascii="Times New Roman" w:cs="Times New Roman" w:eastAsia="Times New Roman" w:hAnsi="Times New Roman"/>
          <w:sz w:val="21"/>
          <w:szCs w:val="21"/>
          <w:i w:val="1"/>
          <w:iCs w:val="1"/>
          <w:color w:val="auto"/>
        </w:rPr>
        <w:t>ipso facto,</w:t>
      </w:r>
      <w:r>
        <w:rPr>
          <w:rFonts w:ascii="Times New Roman" w:cs="Times New Roman" w:eastAsia="Times New Roman" w:hAnsi="Times New Roman"/>
          <w:sz w:val="21"/>
          <w:szCs w:val="21"/>
          <w:color w:val="auto"/>
        </w:rPr>
        <w:t xml:space="preserve">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42"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b w:val="1"/>
          <w:bCs w:val="1"/>
          <w:u w:val="single" w:color="auto"/>
          <w:color w:val="auto"/>
        </w:rPr>
        <w:t>Crediting Payments</w:t>
      </w:r>
      <w:r>
        <w:rPr>
          <w:rFonts w:ascii="Times New Roman" w:cs="Times New Roman" w:eastAsia="Times New Roman" w:hAnsi="Times New Roman"/>
          <w:sz w:val="21"/>
          <w:szCs w:val="21"/>
          <w:color w:val="auto"/>
        </w:rPr>
        <w:t>. The receipt of any payment item by Agent shall not be required to be considered a payment on account unless such payment item is a wire transfer of immediately available funds made to Agent's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14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b w:val="1"/>
          <w:bCs w:val="1"/>
          <w:u w:val="single" w:color="auto"/>
          <w:color w:val="auto"/>
        </w:rPr>
        <w:t>Designated Account</w:t>
      </w:r>
      <w:r>
        <w:rPr>
          <w:rFonts w:ascii="Times New Roman" w:cs="Times New Roman" w:eastAsia="Times New Roman" w:hAnsi="Times New Roman"/>
          <w:sz w:val="21"/>
          <w:szCs w:val="21"/>
          <w:color w:val="auto"/>
        </w:rPr>
        <w:t xml:space="preserve">. Agent is authorized to make the Revolving Loans, and Issuing Bank is authorized to issue the Letters of Credit, under this Agreement based upon telephonic or other instructions received from anyone purporting to be an Authorized Person or, without instructions, if pursuant to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Borrowers agree to establish and maintain the Designated Account with the Designated Account Bank for the purpose of receiving the proceeds of the Revolving Loans requested by Borrowers and made by Agent or the Lenders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Unless otherwise agreed by Agent and Borrowers, any Revolving Loan or Swing Loan requested by Borrowers and made by Agent or the Lenders hereunder shall be made to the Designated Account.</w:t>
      </w:r>
    </w:p>
    <w:p>
      <w:pPr>
        <w:spacing w:after="0" w:line="14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b w:val="1"/>
          <w:bCs w:val="1"/>
          <w:u w:val="single" w:color="auto"/>
          <w:color w:val="auto"/>
        </w:rPr>
        <w:t>Maintenance of Loan Account; Statements of Obligations</w:t>
      </w:r>
      <w:r>
        <w:rPr>
          <w:rFonts w:ascii="Times New Roman" w:cs="Times New Roman" w:eastAsia="Times New Roman" w:hAnsi="Times New Roman"/>
          <w:sz w:val="21"/>
          <w:szCs w:val="21"/>
          <w:color w:val="auto"/>
        </w:rPr>
        <w:t>. Agent shall maintain an account on its books in the name of Borrowers (the "</w:t>
      </w:r>
      <w:r>
        <w:rPr>
          <w:rFonts w:ascii="Times New Roman" w:cs="Times New Roman" w:eastAsia="Times New Roman" w:hAnsi="Times New Roman"/>
          <w:sz w:val="21"/>
          <w:szCs w:val="21"/>
          <w:u w:val="single" w:color="auto"/>
          <w:color w:val="auto"/>
        </w:rPr>
        <w:t>Loan Account</w:t>
      </w:r>
      <w:r>
        <w:rPr>
          <w:rFonts w:ascii="Times New Roman" w:cs="Times New Roman" w:eastAsia="Times New Roman" w:hAnsi="Times New Roman"/>
          <w:sz w:val="21"/>
          <w:szCs w:val="21"/>
          <w:color w:val="auto"/>
        </w:rPr>
        <w:t xml:space="preserve">") on which Borrowers will be charged with all Revolving Loans (including Extraordinary 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Loan Account will be credited with all payments received by Agent from Borrowers or for Borrowers' account. Agent shall make available to Borrowers monthly statements regarding the Loan Account, including the principal amount of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2.10.</w:t>
      </w:r>
      <w:r>
        <w:rPr>
          <w:sz w:val="20"/>
          <w:szCs w:val="20"/>
          <w:color w:val="auto"/>
        </w:rPr>
        <w:tab/>
      </w:r>
      <w:r>
        <w:rPr>
          <w:rFonts w:ascii="Times New Roman" w:cs="Times New Roman" w:eastAsia="Times New Roman" w:hAnsi="Times New Roman"/>
          <w:sz w:val="20"/>
          <w:szCs w:val="20"/>
          <w:b w:val="1"/>
          <w:bCs w:val="1"/>
          <w:u w:val="single" w:color="auto"/>
          <w:color w:val="auto"/>
        </w:rPr>
        <w:t>Fees</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firstLine="1241"/>
        <w:spacing w:after="0" w:line="237"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Agent Fees</w:t>
      </w:r>
      <w:r>
        <w:rPr>
          <w:rFonts w:ascii="Times New Roman" w:cs="Times New Roman" w:eastAsia="Times New Roman" w:hAnsi="Times New Roman"/>
          <w:sz w:val="21"/>
          <w:szCs w:val="21"/>
          <w:color w:val="auto"/>
        </w:rPr>
        <w:t>. Borrowers shall pay to Agent, for the account of Agent, as and when due and payable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of the Fee Letter, the fees set forth in the Fee Letter.</w:t>
      </w:r>
    </w:p>
    <w:p>
      <w:pPr>
        <w:spacing w:after="0" w:line="141"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Unused Line Fee</w:t>
      </w:r>
      <w:r>
        <w:rPr>
          <w:rFonts w:ascii="Times New Roman" w:cs="Times New Roman" w:eastAsia="Times New Roman" w:hAnsi="Times New Roman"/>
          <w:sz w:val="21"/>
          <w:szCs w:val="21"/>
          <w:color w:val="auto"/>
        </w:rPr>
        <w:t>. Borrowers shall pay to Agent, for the ratable account of the Revolving Lenders, an unused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line fee (the "</w:t>
      </w:r>
      <w:r>
        <w:rPr>
          <w:rFonts w:ascii="Times New Roman" w:cs="Times New Roman" w:eastAsia="Times New Roman" w:hAnsi="Times New Roman"/>
          <w:sz w:val="21"/>
          <w:szCs w:val="21"/>
          <w:u w:val="single" w:color="auto"/>
          <w:color w:val="auto"/>
        </w:rPr>
        <w:t>Unused Line Fee</w:t>
      </w:r>
      <w:r>
        <w:rPr>
          <w:rFonts w:ascii="Times New Roman" w:cs="Times New Roman" w:eastAsia="Times New Roman" w:hAnsi="Times New Roman"/>
          <w:sz w:val="21"/>
          <w:szCs w:val="21"/>
          <w:color w:val="auto"/>
        </w:rPr>
        <w:t>") in an amount equal to one-quarter of one percent (0.25%) times the result of (i) the aggregate amount of the Revolver Commitments, less (ii) the Average Revolver Usage during the immediately preceding month (or portion thereof), which Unused Line Fee shall be due and payable, in arrears, on the first day of each month from and after the Closing Date up to the first day of the month prior to the date on which the Obligations are paid in full and on the date on which the Obligations are paid in full.</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Field Examination and Other Fees</w:t>
      </w:r>
      <w:r>
        <w:rPr>
          <w:rFonts w:ascii="Times New Roman" w:cs="Times New Roman" w:eastAsia="Times New Roman" w:hAnsi="Times New Roman"/>
          <w:sz w:val="21"/>
          <w:szCs w:val="21"/>
          <w:color w:val="auto"/>
        </w:rPr>
        <w:t>. Subject to any limitations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5.7(c)</w:t>
      </w:r>
      <w:r>
        <w:rPr>
          <w:rFonts w:ascii="Times New Roman" w:cs="Times New Roman" w:eastAsia="Times New Roman" w:hAnsi="Times New Roman"/>
          <w:sz w:val="21"/>
          <w:szCs w:val="21"/>
          <w:color w:val="auto"/>
        </w:rPr>
        <w:t>, Borrowers shall pay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Agent, field examination, appraisal, and valuation fees and charges, as and when incurred or chargeable, as follows (i) a fee of $1,000 per day, per examiner,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out-of-pocket expenses (including travel, meals, and lodging) for each field examination of any Loan Party or its Subsidiaries performed by or on behalf of Agent, and (ii) the fees, charges or expenses paid or incurred by Agent if it elects to employ the services of one or more third Persons to appraise the Collateral, or any portion thereof, or to assess any Loan Party's or its Subsidiaries' business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8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20"/>
          <w:szCs w:val="20"/>
          <w:b w:val="1"/>
          <w:bCs w:val="1"/>
          <w:u w:val="single" w:color="auto"/>
          <w:color w:val="auto"/>
        </w:rPr>
        <w:t>Letters of Credit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9" w:lineRule="auto"/>
        <w:tabs>
          <w:tab w:leader="none" w:pos="185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upon the request of Borrowers made in accordance herewith, and prior to the Maturity Date, Issuing Bank agrees to issue a requested standby Letter of Credit or a sight commercial Letter of Credit for the account of Borrowers. By submitting a request to Issuing Bank for the issuance of a Letter of Credit, Borrowers shall be deemed to have requested that Issuing Bank issue the requested Letter of Credit. Each request for the issuance of a Letter of Credit, or the amendment or extension of any outstanding Letter of Credit, shall be (i) irrevocable and made in writing by an Authorized Person, (ii) delivered to Agent and Issuing Bank via telefacsimile or other electronic method of transmission reasonably acceptable to Agent and Issuing Bank and reasonably in advance of the requested date of issuance, amendment, or extension, and (iii) subject to Issuing Bank's authentication procedures with results satisfactory to Issuing Bank. Each such request shall be in form and substance reasonably satisfactory to Agent and Issuing Bank and (i) shall specify (A) the amount of such Letter of Credit, (B) the date of issuance, amendment, or extension of such Letter of Credit, (C) the proposed expiration date of such Letter of Credit, (D) the name and address of the beneficiary of the Letter of Credit, and (E) such other information (including, the conditions to drawing, and, in the case of an amendment or extension, identification of the Letter of Credit to be so amended or extended) as shall be necessary to prepare, amend,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a Loan Party or one of its Subsidiaries in respect of (x) a lease of real property, or (y) an employment contract.</w:t>
      </w:r>
    </w:p>
    <w:p>
      <w:pPr>
        <w:spacing w:after="0" w:line="145" w:lineRule="exact"/>
        <w:rPr>
          <w:rFonts w:ascii="Times New Roman" w:cs="Times New Roman" w:eastAsia="Times New Roman" w:hAnsi="Times New Roman"/>
          <w:sz w:val="20"/>
          <w:szCs w:val="20"/>
          <w:color w:val="auto"/>
        </w:rPr>
      </w:pPr>
    </w:p>
    <w:p>
      <w:pPr>
        <w:ind w:firstLine="1241"/>
        <w:spacing w:after="0" w:line="235" w:lineRule="auto"/>
        <w:tabs>
          <w:tab w:leader="none" w:pos="185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shall have no obligation to issue a Letter of Credit if any of the following would result after giving effect to the requested issuance:</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Letter of Credit Usage would exceed the Letter of Credit Sublimit, or</w:t>
      </w:r>
    </w:p>
    <w:p>
      <w:pPr>
        <w:spacing w:after="0" w:line="167" w:lineRule="exact"/>
        <w:rPr>
          <w:rFonts w:ascii="Times New Roman" w:cs="Times New Roman" w:eastAsia="Times New Roman" w:hAnsi="Times New Roman"/>
          <w:sz w:val="21"/>
          <w:szCs w:val="21"/>
          <w:color w:val="auto"/>
        </w:rPr>
      </w:pPr>
    </w:p>
    <w:p>
      <w:pPr>
        <w:ind w:firstLine="1860"/>
        <w:spacing w:after="0" w:line="237" w:lineRule="auto"/>
        <w:tabs>
          <w:tab w:leader="none" w:pos="246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Letter of Credit Usage would exceed the Maximum Revolver Amount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the outstanding amount of Revolving Loans (including Swing Loans), or</w:t>
      </w:r>
    </w:p>
    <w:p>
      <w:pPr>
        <w:spacing w:after="0" w:line="141" w:lineRule="exact"/>
        <w:rPr>
          <w:rFonts w:ascii="Times New Roman" w:cs="Times New Roman" w:eastAsia="Times New Roman" w:hAnsi="Times New Roman"/>
          <w:sz w:val="21"/>
          <w:szCs w:val="21"/>
          <w:color w:val="auto"/>
        </w:rPr>
      </w:pPr>
    </w:p>
    <w:p>
      <w:pPr>
        <w:ind w:firstLine="1860"/>
        <w:spacing w:after="0" w:line="237" w:lineRule="auto"/>
        <w:tabs>
          <w:tab w:leader="none" w:pos="2475"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Letter of Credit Usage would exceed the Borrowing Base at such time </w:t>
      </w:r>
      <w:r>
        <w:rPr>
          <w:rFonts w:ascii="Times New Roman" w:cs="Times New Roman" w:eastAsia="Times New Roman" w:hAnsi="Times New Roman"/>
          <w:sz w:val="21"/>
          <w:szCs w:val="21"/>
          <w:i w:val="1"/>
          <w:iCs w:val="1"/>
          <w:u w:val="single" w:color="auto"/>
          <w:color w:val="auto"/>
        </w:rPr>
        <w:t>less</w:t>
      </w:r>
      <w:r>
        <w:rPr>
          <w:rFonts w:ascii="Times New Roman" w:cs="Times New Roman" w:eastAsia="Times New Roman" w:hAnsi="Times New Roman"/>
          <w:sz w:val="21"/>
          <w:szCs w:val="21"/>
          <w:color w:val="auto"/>
        </w:rPr>
        <w:t xml:space="preserve"> the outstanding principal balance of the Revolving Loans (inclusive of Swing Loans) at such time.</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there is a Defaulting Lender as of the date of any request for the issuance of a Letter of Credit, Issuing Bank shall not be required to issue or arrange for such Letter of Credit to the extent (i) the Defaulting Lender's Letter of Credit Exposure with respect to such Letter of Credit may not be reallocated pursuant to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xml:space="preserve">, or (ii) Issuing Bank has not otherwise entered into arrangements reasonably satisfactory to it and Borrowers to eliminate Issuing Bank's risk with respect to the participation in such Letter of Credit of the Defaulting Lender, which arrangements may include Borrowers cash collateralizing such Defaulting Lender's Letter of Credit Exposure in accordance with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Additionally, Issuing Bank shall have no obligation to issue or extend a Letter of Credit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(B) the issuance of such Letter of Credit would violate one or more policies of Issuing Bank applicable to letters of credit generally, or (C) if amounts demanded to be paid under any Letter of Credit will not or may not be in United States Dollars.</w:t>
      </w:r>
    </w:p>
    <w:p>
      <w:pPr>
        <w:spacing w:after="0" w:line="146" w:lineRule="exact"/>
        <w:rPr>
          <w:sz w:val="20"/>
          <w:szCs w:val="20"/>
          <w:color w:val="auto"/>
        </w:rPr>
      </w:pPr>
    </w:p>
    <w:p>
      <w:pPr>
        <w:jc w:val="both"/>
        <w:ind w:firstLine="1241"/>
        <w:spacing w:after="0" w:line="209" w:lineRule="auto"/>
        <w:tabs>
          <w:tab w:leader="none" w:pos="18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Each Letter of Credit shall be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 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initially, shall bear interest at the rate then applicable to Revolving Loans that are Base Rate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Times New Roman" w:cs="Times New Roman" w:eastAsia="Times New Roman" w:hAnsi="Times New Roman"/>
          <w:sz w:val="21"/>
          <w:szCs w:val="21"/>
          <w:u w:val="single" w:color="auto"/>
          <w:color w:val="auto"/>
        </w:rPr>
        <w:t>Section 2.11(e)</w:t>
      </w:r>
      <w:r>
        <w:rPr>
          <w:rFonts w:ascii="Times New Roman" w:cs="Times New Roman" w:eastAsia="Times New Roman" w:hAnsi="Times New Roman"/>
          <w:sz w:val="21"/>
          <w:szCs w:val="21"/>
          <w:color w:val="auto"/>
        </w:rPr>
        <w:t xml:space="preserve"> to reimburse Issuing Bank, then to such Revolving Lenders and Issuing Bank as their interests may appear.</w:t>
      </w:r>
    </w:p>
    <w:p>
      <w:pPr>
        <w:spacing w:after="0" w:line="145"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following receipt of a notice of a Letter of Credit Disbursement pursuant to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xml:space="preserve">, each Revolving Lender agrees to fund its Pro Rata Share of any Revolving Loan deemed made pursuant to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xml:space="preserve"> on the same terms and conditions as if Borrowers had requested the amount thereof as a Revolving Loan and Agent shall promptly pay to Issuing Bank the amounts so received by it from the Revolving Lenders. By the issuance of a Letter of Credit (or an amendment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its respective Pro Rata Share of each Letter of Credit Disbursement pursuant to this </w:t>
      </w:r>
      <w:r>
        <w:rPr>
          <w:rFonts w:ascii="Times New Roman" w:cs="Times New Roman" w:eastAsia="Times New Roman" w:hAnsi="Times New Roman"/>
          <w:sz w:val="21"/>
          <w:szCs w:val="21"/>
          <w:u w:val="single" w:color="auto"/>
          <w:color w:val="auto"/>
        </w:rPr>
        <w:t>Section 2.11(e)</w:t>
      </w:r>
      <w:r>
        <w:rPr>
          <w:rFonts w:ascii="Times New Roman" w:cs="Times New Roman" w:eastAsia="Times New Roman" w:hAnsi="Times New Roman"/>
          <w:sz w:val="21"/>
          <w:szCs w:val="21"/>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spacing w:after="0" w:line="146" w:lineRule="exact"/>
        <w:rPr>
          <w:sz w:val="20"/>
          <w:szCs w:val="20"/>
          <w:color w:val="auto"/>
        </w:rPr>
      </w:pPr>
    </w:p>
    <w:p>
      <w:pPr>
        <w:jc w:val="both"/>
        <w:ind w:firstLine="1241"/>
        <w:spacing w:after="0" w:line="211" w:lineRule="auto"/>
        <w:tabs>
          <w:tab w:leader="none" w:pos="185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agrees to indemnify, defend and hold harmless each member of the Lender Group (including Issuing Bank and its branches, Affiliates, and correspondents) and each such Person's respective directors, officers, employees, attorneys and agents (each, including Issuing Bank, a "</w:t>
      </w:r>
      <w:r>
        <w:rPr>
          <w:rFonts w:ascii="Times New Roman" w:cs="Times New Roman" w:eastAsia="Times New Roman" w:hAnsi="Times New Roman"/>
          <w:sz w:val="21"/>
          <w:szCs w:val="21"/>
          <w:u w:val="single" w:color="auto"/>
          <w:color w:val="auto"/>
        </w:rPr>
        <w:t>Letter of Credit Related Person</w:t>
      </w:r>
      <w:r>
        <w:rPr>
          <w:rFonts w:ascii="Times New Roman" w:cs="Times New Roman" w:eastAsia="Times New Roman" w:hAnsi="Times New Roman"/>
          <w:sz w:val="21"/>
          <w:szCs w:val="21"/>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Letter of Credit Indemnified Costs</w:t>
      </w:r>
      <w:r>
        <w:rPr>
          <w:rFonts w:ascii="Times New Roman" w:cs="Times New Roman" w:eastAsia="Times New Roman" w:hAnsi="Times New Roman"/>
          <w:sz w:val="21"/>
          <w:szCs w:val="21"/>
          <w:color w:val="auto"/>
        </w:rPr>
        <w:t>"), and which arise out of or in connection with, or as a result of:</w:t>
      </w:r>
    </w:p>
    <w:p>
      <w:pPr>
        <w:spacing w:after="0" w:line="15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Letter of Credit or any pre-advice of its issuance;</w:t>
      </w:r>
    </w:p>
    <w:p>
      <w:pPr>
        <w:spacing w:after="0" w:line="171"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transfer, sale, delivery, surrender or endorsement (or lack thereof) of any Drawing Document at any time(s) held by any such Letter of Credit Related Person in connection with any Letter of Credit;</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5"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4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independent undertakings issued by the beneficiary of any Letter of Credit;</w:t>
      </w:r>
    </w:p>
    <w:p>
      <w:pPr>
        <w:spacing w:after="0" w:line="171"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unauthorized instruction or request made to Issuing Bank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86" w:lineRule="exact"/>
        <w:rPr>
          <w:sz w:val="20"/>
          <w:szCs w:val="20"/>
          <w:color w:val="auto"/>
        </w:rPr>
      </w:pPr>
    </w:p>
    <w:p>
      <w:pPr>
        <w:ind w:left="2460" w:hanging="600"/>
        <w:spacing w:after="0"/>
        <w:tabs>
          <w:tab w:leader="none" w:pos="24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adviser, confirmer or other nominated person seeking to be reimbursed, indemnified or compensated;</w:t>
      </w:r>
    </w:p>
    <w:p>
      <w:pPr>
        <w:spacing w:after="0" w:line="171"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third party seeking to enforce the rights of an applicant, beneficiary, nominated person, transferee, assignee of Letter of Credit proceeds or holder of an instrument or document;</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forgery or illegal action of parties other than the Letter of Credit Related Person;</w:t>
      </w:r>
    </w:p>
    <w:p>
      <w:pPr>
        <w:spacing w:after="0" w:line="171" w:lineRule="exact"/>
        <w:rPr>
          <w:rFonts w:ascii="Times New Roman" w:cs="Times New Roman" w:eastAsia="Times New Roman" w:hAnsi="Times New Roman"/>
          <w:sz w:val="21"/>
          <w:szCs w:val="21"/>
          <w:color w:val="auto"/>
        </w:rPr>
      </w:pPr>
    </w:p>
    <w:p>
      <w:pPr>
        <w:ind w:firstLine="1860"/>
        <w:spacing w:after="0" w:line="254" w:lineRule="auto"/>
        <w:tabs>
          <w:tab w:leader="none" w:pos="246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prohibition on payment or delay in payment of any amount payable by Issuing Bank to a beneficiary or transferee beneficiary of a Letter of Credit arising out of Anti-Corruption Laws, Anti-Money Laundering Laws, or Sanctions;</w:t>
      </w:r>
    </w:p>
    <w:p>
      <w:pPr>
        <w:spacing w:after="0" w:line="118" w:lineRule="exact"/>
        <w:rPr>
          <w:rFonts w:ascii="Times New Roman" w:cs="Times New Roman" w:eastAsia="Times New Roman" w:hAnsi="Times New Roman"/>
          <w:sz w:val="20"/>
          <w:szCs w:val="20"/>
          <w:color w:val="auto"/>
        </w:rPr>
      </w:pPr>
    </w:p>
    <w:p>
      <w:pPr>
        <w:ind w:left="2480" w:hanging="620"/>
        <w:spacing w:after="0"/>
        <w:tabs>
          <w:tab w:leader="none" w:pos="24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Bank's performance of the obligations of a confirming institution or entity that wrongfully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dishonors a confirmation;</w:t>
      </w:r>
    </w:p>
    <w:p>
      <w:pPr>
        <w:spacing w:after="0" w:line="149"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language translation provided to Issuing Bank in connection with any Letter of Credit;</w:t>
      </w:r>
    </w:p>
    <w:p>
      <w:pPr>
        <w:spacing w:after="0" w:line="171"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law or usage as it relates to Issuing Bank's issuance of a Letter of Credit in support of a foreign guaranty including the expiration of such guaranty after the related Letter of Credit expiration date and any resulting drawing paid by Issuing Bank in connection therewith; or</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acts or omissions, whether rightful or wrongful, of any present or future de jure or de facto governmental or regulatory authority or cause or event beyond the control of the Letter of Credit Related Person;</w:t>
      </w:r>
    </w:p>
    <w:p>
      <w:pPr>
        <w:spacing w:after="0" w:line="14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be available to any Letter of Credit Related Person claiming indemnification under clauses (i) through (xiii)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Times New Roman" w:cs="Times New Roman" w:eastAsia="Times New Roman" w:hAnsi="Times New Roman"/>
          <w:sz w:val="21"/>
          <w:szCs w:val="21"/>
          <w:u w:val="single" w:color="auto"/>
          <w:color w:val="auto"/>
        </w:rPr>
        <w:t>Section 2.11(f)</w:t>
      </w:r>
      <w:r>
        <w:rPr>
          <w:rFonts w:ascii="Times New Roman" w:cs="Times New Roman" w:eastAsia="Times New Roman" w:hAnsi="Times New Roman"/>
          <w:sz w:val="21"/>
          <w:szCs w:val="21"/>
          <w:color w:val="auto"/>
        </w:rPr>
        <w:t xml:space="preserve">. If and to the extent that the obligations of Borrowers under this </w:t>
      </w:r>
      <w:r>
        <w:rPr>
          <w:rFonts w:ascii="Times New Roman" w:cs="Times New Roman" w:eastAsia="Times New Roman" w:hAnsi="Times New Roman"/>
          <w:sz w:val="21"/>
          <w:szCs w:val="21"/>
          <w:u w:val="single" w:color="auto"/>
          <w:color w:val="auto"/>
        </w:rPr>
        <w:t>Section 2.11(f)</w:t>
      </w:r>
      <w:r>
        <w:rPr>
          <w:rFonts w:ascii="Times New Roman" w:cs="Times New Roman" w:eastAsia="Times New Roman" w:hAnsi="Times New Roman"/>
          <w:sz w:val="21"/>
          <w:szCs w:val="21"/>
          <w:color w:val="auto"/>
        </w:rPr>
        <w:t xml:space="preserve"> are unenforceable for any reason, Borrowers agree to make the maximum contribution to the Letter of Credit Indemnified Costs permissible under applicable law. This indemnification provision shall survive termination of this Agreement and all Letters of Credit.</w:t>
      </w:r>
    </w:p>
    <w:p>
      <w:pPr>
        <w:spacing w:after="0" w:line="150" w:lineRule="exact"/>
        <w:rPr>
          <w:sz w:val="20"/>
          <w:szCs w:val="20"/>
          <w:color w:val="auto"/>
        </w:rPr>
      </w:pPr>
    </w:p>
    <w:p>
      <w:pPr>
        <w:jc w:val="both"/>
        <w:ind w:firstLine="1241"/>
        <w:spacing w:after="0" w:line="215" w:lineRule="auto"/>
        <w:tabs>
          <w:tab w:leader="none" w:pos="185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8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Times New Roman" w:cs="Times New Roman" w:eastAsia="Times New Roman" w:hAnsi="Times New Roman"/>
          <w:sz w:val="21"/>
          <w:szCs w:val="21"/>
          <w:u w:val="single" w:color="auto"/>
          <w:color w:val="auto"/>
        </w:rPr>
        <w:t>Section 2.11(d)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interest at the rate then applicable to Base Rate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 (y) the amount (if any) of the loss that would have been avoided had Borrowers taken all reasonable steps to mitigate any loss, and in case of a claim of wrongful dishonor, by specifically and timely authorizing Issuing Bank to effect a cure.</w:t>
      </w:r>
    </w:p>
    <w:p>
      <w:pPr>
        <w:spacing w:after="0" w:line="152" w:lineRule="exact"/>
        <w:rPr>
          <w:sz w:val="20"/>
          <w:szCs w:val="20"/>
          <w:color w:val="auto"/>
        </w:rPr>
      </w:pPr>
    </w:p>
    <w:p>
      <w:pPr>
        <w:jc w:val="both"/>
        <w:ind w:firstLine="1241"/>
        <w:spacing w:after="0" w:line="219" w:lineRule="auto"/>
        <w:tabs>
          <w:tab w:leader="none" w:pos="185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are responsible for the final text of the Letter of Credit as issued by Issuing Bank, irrespective of any assistance Issuing Bank may provide such as drafting or recommending text or by Issuing Bank's use or refusal to use text submitted by Borrowers. Borrowers understand that the final form of any Letter of Credit may be subject to such revisions and changes as are deemed necessary or appropriate by Issuing Bank, and Borrowers hereby consent to such revisions and changes not materially different from the application executed in connection therewith. Borrowers are solely responsible for the suitability of the Letter of Credit for Borrowers' purposes. If Borrowers request Issuing Bank to issue a Letter of Credit for an affiliated or unaffiliated third party (an "</w:t>
      </w:r>
      <w:r>
        <w:rPr>
          <w:rFonts w:ascii="Times New Roman" w:cs="Times New Roman" w:eastAsia="Times New Roman" w:hAnsi="Times New Roman"/>
          <w:sz w:val="20"/>
          <w:szCs w:val="20"/>
          <w:u w:val="single" w:color="auto"/>
          <w:color w:val="auto"/>
        </w:rPr>
        <w:t>Account Party</w:t>
      </w:r>
      <w:r>
        <w:rPr>
          <w:rFonts w:ascii="Times New Roman" w:cs="Times New Roman" w:eastAsia="Times New Roman" w:hAnsi="Times New Roman"/>
          <w:sz w:val="20"/>
          <w:szCs w:val="20"/>
          <w:color w:val="auto"/>
        </w:rPr>
        <w:t>"), (i) such Account Party shall have no rights against Issuing Bank; (ii) Borrowers shall be responsible for the application and obligations under this Agreement; and (iii) communications (including notices) related to the respective Letter of Credit shall be among Issuing Bank and Borrowers. Borrowers will examine the copy of the Letter of Credit and any other documents sent by Issuing Bank in connection therewith and shall promptly notify Issuing Bank (not later than three (3) Business Days following Borrowers' receipt of documents from Issuing Bank) of any non-compliance with Borrowers' instructions and of any discrepancy in any document under any presentment or other irregularity. Borrowers understand and agree that Issuing Bank is not required to extend the expiration date of any Letter of Credit for any reason. With respect to any Letter of Credit containing an "automatic amendment" to extend the expiration date of such Letter of Credit, Issuing Bank, in its sole and absolute discretion, may give notice of non-extension of such Letter of Credit and, if Borrowers do not at any time want the then current expiration date of such Letter of Credit to be extended, Borrowers will so notify Agent and Issuing Bank at least 30 calendar days before Issuing Bank is required to notify the beneficiary of such Letter of Credit or any advising bank of such non-extension pursuant to the terms of such Letter of Credit.</w:t>
      </w:r>
    </w:p>
    <w:p>
      <w:pPr>
        <w:spacing w:after="0" w:line="145" w:lineRule="exact"/>
        <w:rPr>
          <w:rFonts w:ascii="Times New Roman" w:cs="Times New Roman" w:eastAsia="Times New Roman" w:hAnsi="Times New Roman"/>
          <w:sz w:val="20"/>
          <w:szCs w:val="20"/>
          <w:color w:val="auto"/>
        </w:rPr>
      </w:pPr>
    </w:p>
    <w:p>
      <w:pPr>
        <w:jc w:val="both"/>
        <w:ind w:firstLine="1241"/>
        <w:spacing w:after="0" w:line="225" w:lineRule="auto"/>
        <w:tabs>
          <w:tab w:leader="none" w:pos="184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reimbursement and payment obligations under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are absolute, unconditional and irrevocable and shall be performed strictly in accordance with the terms of this Agreement under any and all circumstances whatsoever, including:</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lack of validity, enforceability or legal effect of any Letter of Credit, any Issuer Document, this Agreement, or any Loan Document, or any term or provision therein or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86" w:lineRule="exact"/>
        <w:rPr>
          <w:sz w:val="20"/>
          <w:szCs w:val="20"/>
          <w:color w:val="auto"/>
        </w:rPr>
      </w:pPr>
    </w:p>
    <w:p>
      <w:pPr>
        <w:jc w:val="both"/>
        <w:ind w:firstLine="1860"/>
        <w:spacing w:after="0" w:line="220" w:lineRule="auto"/>
        <w:tabs>
          <w:tab w:leader="none" w:pos="246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or any of its branches or Affiliates being the beneficiary of any Letter of Credit;</w:t>
      </w:r>
    </w:p>
    <w:p>
      <w:pPr>
        <w:spacing w:after="0" w:line="171"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1"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existence of any claim, set-off, defense or other right that any Loan Party or any of its Subsidiaries may have at any time against any beneficiary or transferee beneficiary, any assignee of proceeds, Issuing Bank or any other Person;</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or any correspondent honoring a drawing upon receipt of an electronic presentation under a Letter of Credit requiring the same, regardless of whether the original Drawing Documents arrive at Issuing Bank's counters or are different from the electronic presentation;</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9"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1"/>
          <w:szCs w:val="21"/>
          <w:u w:val="single" w:color="auto"/>
          <w:color w:val="auto"/>
        </w:rPr>
        <w:t>Section 2.11(i)</w:t>
      </w:r>
      <w:r>
        <w:rPr>
          <w:rFonts w:ascii="Times New Roman" w:cs="Times New Roman" w:eastAsia="Times New Roman" w:hAnsi="Times New Roman"/>
          <w:sz w:val="21"/>
          <w:szCs w:val="21"/>
          <w:color w:val="auto"/>
        </w:rPr>
        <w:t>, constitute a legal or equitable defense to or discharge of, or provide a right of set-off against, any Borrower's or any of its Subsidiaries' reimbursement and other payment obligations and liabilities, arising under, or in connection with, any Letter of Credit, whether against Issuing Bank, the beneficiary or any other Person; or</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any Default or Event of Default shall have occurred and be continuing;</w:t>
      </w:r>
    </w:p>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subject to </w:t>
      </w:r>
      <w:r>
        <w:rPr>
          <w:rFonts w:ascii="Times New Roman" w:cs="Times New Roman" w:eastAsia="Times New Roman" w:hAnsi="Times New Roman"/>
          <w:sz w:val="21"/>
          <w:szCs w:val="21"/>
          <w:u w:val="single" w:color="auto"/>
          <w:color w:val="auto"/>
        </w:rPr>
        <w:t>Section 2.11(g)</w:t>
      </w:r>
      <w:r>
        <w:rPr>
          <w:rFonts w:ascii="Times New Roman" w:cs="Times New Roman" w:eastAsia="Times New Roman" w:hAnsi="Times New Roman"/>
          <w:sz w:val="21"/>
          <w:szCs w:val="21"/>
          <w:color w:val="auto"/>
        </w:rPr>
        <w:t xml:space="preserve">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or any Letter of Credit.</w:t>
      </w:r>
    </w:p>
    <w:p>
      <w:pPr>
        <w:spacing w:after="0" w:line="146" w:lineRule="exact"/>
        <w:rPr>
          <w:sz w:val="20"/>
          <w:szCs w:val="20"/>
          <w:color w:val="auto"/>
        </w:rPr>
      </w:pPr>
    </w:p>
    <w:p>
      <w:pPr>
        <w:jc w:val="both"/>
        <w:ind w:firstLine="1241"/>
        <w:spacing w:after="0" w:line="225" w:lineRule="auto"/>
        <w:tabs>
          <w:tab w:leader="none" w:pos="184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86" w:lineRule="exact"/>
        <w:rPr>
          <w:sz w:val="20"/>
          <w:szCs w:val="20"/>
          <w:color w:val="auto"/>
        </w:rPr>
      </w:pPr>
    </w:p>
    <w:p>
      <w:pPr>
        <w:jc w:val="both"/>
        <w:ind w:firstLine="1860"/>
        <w:spacing w:after="0" w:line="225" w:lineRule="auto"/>
        <w:tabs>
          <w:tab w:leader="none" w:pos="246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acting upon any instruction or request relative to a Letter of Credit or requested Letter of Credit that Issuing Bank in good faith believes to have been given by a Person authorized to give such instruction or request;</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9"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assertion or waiver of any provision of the ISP or UCP that primarily benefits an issuer of a letter of credit, including any requirement that any Drawing Document be presented to it at a particular hour or place;</w:t>
      </w:r>
    </w:p>
    <w:p>
      <w:pPr>
        <w:spacing w:after="0" w:line="145" w:lineRule="exact"/>
        <w:rPr>
          <w:rFonts w:ascii="Times New Roman" w:cs="Times New Roman" w:eastAsia="Times New Roman" w:hAnsi="Times New Roman"/>
          <w:sz w:val="21"/>
          <w:szCs w:val="21"/>
          <w:color w:val="auto"/>
        </w:rPr>
      </w:pPr>
    </w:p>
    <w:p>
      <w:pPr>
        <w:jc w:val="both"/>
        <w:ind w:firstLine="1860"/>
        <w:spacing w:after="0" w:line="254" w:lineRule="auto"/>
        <w:tabs>
          <w:tab w:leader="none" w:pos="246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132" w:lineRule="exact"/>
        <w:rPr>
          <w:rFonts w:ascii="Times New Roman" w:cs="Times New Roman" w:eastAsia="Times New Roman" w:hAnsi="Times New Roman"/>
          <w:sz w:val="20"/>
          <w:szCs w:val="20"/>
          <w:color w:val="auto"/>
        </w:rPr>
      </w:pPr>
    </w:p>
    <w:p>
      <w:pPr>
        <w:ind w:firstLine="1860"/>
        <w:spacing w:after="0" w:line="235" w:lineRule="auto"/>
        <w:tabs>
          <w:tab w:leader="none" w:pos="247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acting or failing to act as required or permitted under Standard Letter of Credit Practice applicable to where Issuing Bank has issued, confirmed, advised or negotiated such Letter of Credit, as the case may be;</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honor of a presentation after the expiration date of any Letter of Credit notwithstanding that a presentation was made prior to such expiration date and dishonored by Issuing Bank if subsequently Issuing Bank or any court or other finder of fact determines such presentation should have been honored;</w:t>
      </w:r>
    </w:p>
    <w:p>
      <w:pPr>
        <w:spacing w:after="0" w:line="132"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dishonor of any presentation that does not strictly comply or that is fraudulent, forged or otherwise not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entitled to honor;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86" w:lineRule="exact"/>
        <w:rPr>
          <w:sz w:val="20"/>
          <w:szCs w:val="20"/>
          <w:color w:val="auto"/>
        </w:rPr>
      </w:pPr>
    </w:p>
    <w:p>
      <w:pPr>
        <w:ind w:firstLine="1860"/>
        <w:spacing w:after="0" w:line="235" w:lineRule="auto"/>
        <w:tabs>
          <w:tab w:leader="none" w:pos="247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honor of a presentation that is subsequently determined by Issuing Bank to have been made in violation of international, federal, state or local restrictions on the transaction of business with certain prohibited Persons.</w:t>
      </w:r>
    </w:p>
    <w:p>
      <w:pPr>
        <w:spacing w:after="0" w:line="145" w:lineRule="exact"/>
        <w:rPr>
          <w:rFonts w:ascii="Times New Roman" w:cs="Times New Roman" w:eastAsia="Times New Roman" w:hAnsi="Times New Roman"/>
          <w:sz w:val="21"/>
          <w:szCs w:val="21"/>
          <w:color w:val="auto"/>
        </w:rPr>
      </w:pPr>
    </w:p>
    <w:p>
      <w:pPr>
        <w:jc w:val="both"/>
        <w:ind w:firstLine="1241"/>
        <w:spacing w:after="0" w:line="224" w:lineRule="auto"/>
        <w:tabs>
          <w:tab w:leader="none" w:pos="185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Borrowers shall pay immediately upon demand to Agent for the account of Issuing Bank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0"/>
          <w:szCs w:val="20"/>
          <w:u w:val="single" w:color="auto"/>
          <w:color w:val="auto"/>
        </w:rPr>
        <w:t>Section 2.6(d)</w:t>
      </w:r>
      <w:r>
        <w:rPr>
          <w:rFonts w:ascii="Times New Roman" w:cs="Times New Roman" w:eastAsia="Times New Roman" w:hAnsi="Times New Roman"/>
          <w:sz w:val="20"/>
          <w:szCs w:val="20"/>
          <w:color w:val="auto"/>
        </w:rPr>
        <w:t xml:space="preserve"> shall be deemed to constitute a demand for payment thereof for the purposes of this </w:t>
      </w:r>
      <w:r>
        <w:rPr>
          <w:rFonts w:ascii="Times New Roman" w:cs="Times New Roman" w:eastAsia="Times New Roman" w:hAnsi="Times New Roman"/>
          <w:sz w:val="20"/>
          <w:szCs w:val="20"/>
          <w:u w:val="single" w:color="auto"/>
          <w:color w:val="auto"/>
        </w:rPr>
        <w:t>Section 2.11(k))</w:t>
      </w:r>
      <w:r>
        <w:rPr>
          <w:rFonts w:ascii="Times New Roman" w:cs="Times New Roman" w:eastAsia="Times New Roman" w:hAnsi="Times New Roman"/>
          <w:sz w:val="20"/>
          <w:szCs w:val="20"/>
          <w:color w:val="auto"/>
        </w:rPr>
        <w:t>: (i) [reserved], (ii) any and all other customary commissions, fees and charges then in effect imposed by, and any and all expenses incurred by, Issuing Bank,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extensions or cancellations).</w:t>
      </w:r>
    </w:p>
    <w:p>
      <w:pPr>
        <w:spacing w:after="0" w:line="147" w:lineRule="exact"/>
        <w:rPr>
          <w:rFonts w:ascii="Times New Roman" w:cs="Times New Roman" w:eastAsia="Times New Roman" w:hAnsi="Times New Roman"/>
          <w:sz w:val="20"/>
          <w:szCs w:val="20"/>
          <w:color w:val="auto"/>
        </w:rPr>
      </w:pPr>
    </w:p>
    <w:p>
      <w:pPr>
        <w:jc w:val="both"/>
        <w:ind w:firstLine="1241"/>
        <w:spacing w:after="0" w:line="225" w:lineRule="auto"/>
        <w:tabs>
          <w:tab w:leader="none" w:pos="184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by reason of (x) any Change in Law, or (y) compliance by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reserve, deposit, or similar requirement is or shall be imposed or modified in respect of any Letter of Credit issued or caused to be issued hereunder or hereby, or any Loans or obligations to make Loans hereunder or hereby, or</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imposed on Issuing Bank or any other member of the Lender Group any other condition regarding any Letter of Credit, Loans, or obligations to make Loans hereunder,</w:t>
      </w:r>
    </w:p>
    <w:p>
      <w:pPr>
        <w:spacing w:after="0" w:line="14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and the result of the foregoing is to increase, directly or indirectly, the cost to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Applicable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Borrowers shall not be required to provide any compensation pursuant to this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 w:cs="Times New Roman" w:eastAsia="Times New Roman" w:hAnsi="Times New Roman"/>
          <w:sz w:val="21"/>
          <w:szCs w:val="21"/>
          <w:u w:val="single" w:color="auto"/>
          <w:color w:val="auto"/>
        </w:rPr>
        <w:t>Section 2.11(l)</w:t>
      </w:r>
      <w:r>
        <w:rPr>
          <w:rFonts w:ascii="Times New Roman" w:cs="Times New Roman" w:eastAsia="Times New Roman" w:hAnsi="Times New Roman"/>
          <w:sz w:val="21"/>
          <w:szCs w:val="21"/>
          <w:color w:val="auto"/>
        </w:rPr>
        <w:t>, as set forth in a certificate setting forth the calculation thereof in reasonable detail, shall, in the absence of manifest or demonstrable error, be final and conclusive and binding on all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86" w:lineRule="exact"/>
        <w:rPr>
          <w:sz w:val="20"/>
          <w:szCs w:val="20"/>
          <w:color w:val="auto"/>
        </w:rPr>
      </w:pPr>
    </w:p>
    <w:p>
      <w:pPr>
        <w:jc w:val="both"/>
        <w:ind w:firstLine="1241"/>
        <w:spacing w:after="0" w:line="215" w:lineRule="auto"/>
        <w:tabs>
          <w:tab w:leader="none" w:pos="184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standby Letter of Credit shall expire not later than the date that is 12 months after the date of the issuance of such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standby Letter of Credit may provide for the automatic extension thereof for any number of additional periods each of up to one year in duration;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Event of Default shall occur and be continuing, or (ii) Availability shall at any time be less than zero, then on the Business Day following the date when Administrative Borrower receives notice from Agent or the Required Lenders (or, if the maturity of the Obligations has been accelerated, Revolving Lenders with Letter of Credit Exposure representing greater than 50% of the total Letter of Credit Exposure) demanding Letter of Credit Collateralization pursuant to this </w:t>
      </w:r>
      <w:r>
        <w:rPr>
          <w:rFonts w:ascii="Times New Roman" w:cs="Times New Roman" w:eastAsia="Times New Roman" w:hAnsi="Times New Roman"/>
          <w:sz w:val="21"/>
          <w:szCs w:val="21"/>
          <w:u w:val="single" w:color="auto"/>
          <w:color w:val="auto"/>
        </w:rPr>
        <w:t>Section 2.11(n)</w:t>
      </w:r>
      <w:r>
        <w:rPr>
          <w:rFonts w:ascii="Times New Roman" w:cs="Times New Roman" w:eastAsia="Times New Roman" w:hAnsi="Times New Roman"/>
          <w:sz w:val="21"/>
          <w:szCs w:val="21"/>
          <w:color w:val="auto"/>
        </w:rPr>
        <w:t xml:space="preserve"> upon such demand, Borrowers shall provide Letter of Credit Collateralization with respect to the then existing Letter of Credit Usage. If Borrowers fail to provide Letter of Credit Collateralization as required by this </w:t>
      </w:r>
      <w:r>
        <w:rPr>
          <w:rFonts w:ascii="Times New Roman" w:cs="Times New Roman" w:eastAsia="Times New Roman" w:hAnsi="Times New Roman"/>
          <w:sz w:val="21"/>
          <w:szCs w:val="21"/>
          <w:u w:val="single" w:color="auto"/>
          <w:color w:val="auto"/>
        </w:rPr>
        <w:t>Section 2.11(n)</w:t>
      </w:r>
      <w:r>
        <w:rPr>
          <w:rFonts w:ascii="Times New Roman" w:cs="Times New Roman" w:eastAsia="Times New Roman" w:hAnsi="Times New Roman"/>
          <w:sz w:val="21"/>
          <w:szCs w:val="21"/>
          <w:color w:val="auto"/>
        </w:rPr>
        <w:t xml:space="preserve">, the Revolving Lenders may (and, upon direction of Agent, shall) advance, as Revolving Loans the amount of the cash collateral required pursuant to the Letter of Credit Collateralization provision so that the then existing Letter of Credit Usage is cash collateralized in accordance with the Letter of Credit Collateralization provision (whether or not the Revolver Commitments have terminated, an Overadvance exists or the conditions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are satisfied).</w:t>
      </w:r>
    </w:p>
    <w:p>
      <w:pPr>
        <w:spacing w:after="0" w:line="145" w:lineRule="exact"/>
        <w:rPr>
          <w:rFonts w:ascii="Times New Roman" w:cs="Times New Roman" w:eastAsia="Times New Roman" w:hAnsi="Times New Roman"/>
          <w:sz w:val="21"/>
          <w:szCs w:val="21"/>
          <w:color w:val="auto"/>
        </w:rPr>
      </w:pPr>
    </w:p>
    <w:p>
      <w:pPr>
        <w:ind w:firstLine="1241"/>
        <w:spacing w:after="0" w:line="254" w:lineRule="auto"/>
        <w:tabs>
          <w:tab w:leader="none" w:pos="185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agreed by Issuing Bank and Borrowers when a Letter of Credit is issued, (i) the rules of the ISP shall apply to each standby Letter of Credit, and (ii) the rules of the UCP shall apply to each commercial Letter of Credit.</w:t>
      </w:r>
    </w:p>
    <w:p>
      <w:pPr>
        <w:spacing w:after="0" w:line="132" w:lineRule="exact"/>
        <w:rPr>
          <w:rFonts w:ascii="Times New Roman" w:cs="Times New Roman" w:eastAsia="Times New Roman" w:hAnsi="Times New Roman"/>
          <w:sz w:val="20"/>
          <w:szCs w:val="20"/>
          <w:color w:val="auto"/>
        </w:rPr>
      </w:pPr>
    </w:p>
    <w:p>
      <w:pPr>
        <w:ind w:firstLine="1241"/>
        <w:spacing w:after="0" w:line="235" w:lineRule="auto"/>
        <w:tabs>
          <w:tab w:leader="none" w:pos="18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Issuing Bank shall be deemed to have acted with due diligence and reasonable care if Issuing Bank's conduct is in accordance with Standard Letter of Credit Practice or in accordance with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 direct conflict between the provisions of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shall control and govern.</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shall survive the termination of this Agreement and the repayment in full of the Obligations with respect to any Letters of Credit that remain outstanding.</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Borrowers' costs and expense, Borrowers shall execute and deliver to Issuing Bank such additional certificates, instruments or documents and take such additional action as may be reasonably requested by Issuing Bank to enable Issuing Bank to issue any Letter of Credit pursuant to this Agreement and related Issuer Document, to protect, exercise or enforce Issuing Banks' rights and interests under this Agreement or to give effect to the terms and provisions of this Agreement or any Issuer Document. Each Borrower irrevocably appoints Issuing Bank as its attorney-in-fact and authorizes Issuing Bank, without notice to Borrowers,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2.12.</w:t>
      </w:r>
      <w:r>
        <w:rPr>
          <w:sz w:val="20"/>
          <w:szCs w:val="20"/>
          <w:color w:val="auto"/>
        </w:rPr>
        <w:tab/>
      </w:r>
      <w:r>
        <w:rPr>
          <w:rFonts w:ascii="Times New Roman" w:cs="Times New Roman" w:eastAsia="Times New Roman" w:hAnsi="Times New Roman"/>
          <w:sz w:val="20"/>
          <w:szCs w:val="20"/>
          <w:b w:val="1"/>
          <w:bCs w:val="1"/>
          <w:u w:val="single" w:color="auto"/>
          <w:color w:val="auto"/>
        </w:rPr>
        <w:t>Special Provisions Applicable to Daily Simple SOFR</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1241"/>
        <w:spacing w:after="0" w:line="218" w:lineRule="auto"/>
        <w:tabs>
          <w:tab w:leader="none" w:pos="1853"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Adjustment of Daily Simple SOFR</w:t>
      </w:r>
      <w:r>
        <w:rPr>
          <w:rFonts w:ascii="Times New Roman" w:cs="Times New Roman" w:eastAsia="Times New Roman" w:hAnsi="Times New Roman"/>
          <w:sz w:val="20"/>
          <w:szCs w:val="20"/>
          <w:color w:val="auto"/>
        </w:rPr>
        <w:t>. Daily Simple SOFR may be adjusted by Agent with respect to any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on a prospective basis to take into account any additional or increased costs (other than Taxes which shall be governed by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in each case, due to changes in applicable law, or pursuant to any Change in Law or change in the reserve requirements imposed by the Board of Governors, which additional or increased costs would increase the cost of funding or maintaining loans bearing interest at Daily Simple SOFR.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such Daily Simple SOFR and the method for determining the amount of such adjustment, or</w:t>
      </w:r>
    </w:p>
    <w:p>
      <w:pPr>
        <w:spacing w:after="0" w:line="4" w:lineRule="exact"/>
        <w:rPr>
          <w:rFonts w:ascii="Times New Roman" w:cs="Times New Roman" w:eastAsia="Times New Roman" w:hAnsi="Times New Roman"/>
          <w:sz w:val="20"/>
          <w:szCs w:val="20"/>
          <w:color w:val="auto"/>
        </w:rPr>
      </w:pPr>
    </w:p>
    <w:p>
      <w:pPr>
        <w:ind w:left="320" w:hanging="317"/>
        <w:spacing w:after="0"/>
        <w:tabs>
          <w:tab w:leader="none" w:pos="3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repay the SOFR Loans, in each case, of such Lender with respect to which such adjustment is made.</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Changes in Law</w:t>
      </w:r>
      <w:r>
        <w:rPr>
          <w:rFonts w:ascii="Times New Roman" w:cs="Times New Roman" w:eastAsia="Times New Roman" w:hAnsi="Times New Roman"/>
          <w:sz w:val="21"/>
          <w:szCs w:val="21"/>
          <w:color w:val="auto"/>
        </w:rPr>
        <w:t>. Subject to the provisions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in the event that any change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market conditions or any Change in Law shall at any time after the date hereof, in the reasonable opinion of any Lender, make it unlawful or impractical for such Lender to fund or maintain SOFR Loans or to continue such funding or maintaining, or to determine or charge interest rates at Daily Simple SOFR, such Lender shall give notice of such changed circumstances to Agent and Borrowers and Agent promptly shall transmit the notice to each other Lender and interest upon the SOFR Loans of such Lender thereafter shall accrue interest at the Base Rate in effect from time to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w:t>
      </w:r>
    </w:p>
    <w:p>
      <w:pPr>
        <w:spacing w:after="0" w:line="145"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Requirement of Matched Funding</w:t>
      </w:r>
      <w:r>
        <w:rPr>
          <w:rFonts w:ascii="Times New Roman" w:cs="Times New Roman" w:eastAsia="Times New Roman" w:hAnsi="Times New Roman"/>
          <w:sz w:val="21"/>
          <w:szCs w:val="21"/>
          <w:color w:val="auto"/>
        </w:rPr>
        <w:t>. Anything to the contrary contained herein notwithstanding, neither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nor any Lender, nor any of their Participants, is required actually to match fund any Obligation as to which interest accrues at Daily Simple SOFR.</w:t>
      </w:r>
    </w:p>
    <w:p>
      <w:pPr>
        <w:spacing w:after="0" w:line="14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Benchmark Replacement Setting</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860"/>
        <w:spacing w:after="0" w:line="207" w:lineRule="auto"/>
        <w:tabs>
          <w:tab w:leader="none" w:pos="2465" w:val="left"/>
        </w:tabs>
        <w:numPr>
          <w:ilvl w:val="2"/>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Benchmark Replacement</w:t>
      </w:r>
      <w:r>
        <w:rPr>
          <w:rFonts w:ascii="Times New Roman" w:cs="Times New Roman" w:eastAsia="Times New Roman" w:hAnsi="Times New Roman"/>
          <w:sz w:val="21"/>
          <w:szCs w:val="21"/>
          <w:color w:val="auto"/>
        </w:rPr>
        <w:t>. Notwithstanding anything to the contrary herein or in any other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upon the occurrence of a Benchmark Transition Event, Agent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Business Day after Agent has posted such proposed amendment to all Lenders and Administrative Borrower so long as Agent has not received, by such time, written notice of objection to such amendment from Lenders comprising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82" w:lineRule="exact"/>
        <w:rPr>
          <w:sz w:val="20"/>
          <w:szCs w:val="20"/>
          <w:color w:val="auto"/>
        </w:rPr>
      </w:pPr>
    </w:p>
    <w:p>
      <w:pPr>
        <w:jc w:val="both"/>
        <w:ind w:firstLine="1860"/>
        <w:spacing w:after="0" w:line="218" w:lineRule="auto"/>
        <w:tabs>
          <w:tab w:leader="none" w:pos="2467"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Benchmark Replacement Conforming Changes</w:t>
      </w:r>
      <w:r>
        <w:rPr>
          <w:rFonts w:ascii="Times New Roman" w:cs="Times New Roman" w:eastAsia="Times New Roman" w:hAnsi="Times New Roman"/>
          <w:sz w:val="21"/>
          <w:szCs w:val="21"/>
          <w:color w:val="auto"/>
        </w:rPr>
        <w:t>. In connection with the implementation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Benchmark Replacement,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0" w:lineRule="exact"/>
        <w:rPr>
          <w:rFonts w:ascii="Times New Roman" w:cs="Times New Roman" w:eastAsia="Times New Roman" w:hAnsi="Times New Roman"/>
          <w:sz w:val="21"/>
          <w:szCs w:val="21"/>
          <w:color w:val="auto"/>
        </w:rPr>
      </w:pPr>
    </w:p>
    <w:p>
      <w:pPr>
        <w:jc w:val="both"/>
        <w:ind w:firstLine="1860"/>
        <w:spacing w:after="0" w:line="214" w:lineRule="auto"/>
        <w:tabs>
          <w:tab w:leader="none" w:pos="2467"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 Standards for Decisions and Determinations</w:t>
      </w:r>
      <w:r>
        <w:rPr>
          <w:rFonts w:ascii="Times New Roman" w:cs="Times New Roman" w:eastAsia="Times New Roman" w:hAnsi="Times New Roman"/>
          <w:sz w:val="21"/>
          <w:szCs w:val="21"/>
          <w:color w:val="auto"/>
        </w:rPr>
        <w:t>. Agent will promptly notify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Borrower and the Lenders of (a) the implementation of any Benchmark Replacement and (b) the effectiveness of any Benchmark Replacement Conforming Changes. Any determination, decision or election that may be made by Agent or, if applicable, any Lender (or group of Lenders) pursuant to this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Benchmark Unavailability Period</w:t>
      </w:r>
      <w:r>
        <w:rPr>
          <w:rFonts w:ascii="Times New Roman" w:cs="Times New Roman" w:eastAsia="Times New Roman" w:hAnsi="Times New Roman"/>
          <w:sz w:val="21"/>
          <w:szCs w:val="21"/>
          <w:color w:val="auto"/>
        </w:rPr>
        <w:t>. Upon Administrative Borrower's receipt of notice of the commencement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Benchmark Unavailability Period, Agent may declare that SOFR Loans will not thereafter be made by Lenders and (b) require that all outstanding SOFR Loans made by Lenders be converted to Base Rate Loans immediately, in which event all outstanding SOFR Loans shall be so converted and shall bear interest at the Base Rate in effect from time to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The Base Rate in effect from time to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shall replace the then-current Benchmark for any determination of interest hereunder or under any other Loan Document during a Benchmark Unavailability Period.</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2.13.</w:t>
      </w:r>
      <w:r>
        <w:rPr>
          <w:sz w:val="20"/>
          <w:szCs w:val="20"/>
          <w:color w:val="auto"/>
        </w:rPr>
        <w:tab/>
      </w:r>
      <w:r>
        <w:rPr>
          <w:rFonts w:ascii="Times New Roman" w:cs="Times New Roman" w:eastAsia="Times New Roman" w:hAnsi="Times New Roman"/>
          <w:sz w:val="20"/>
          <w:szCs w:val="20"/>
          <w:b w:val="1"/>
          <w:bCs w:val="1"/>
          <w:u w:val="single" w:color="auto"/>
          <w:color w:val="auto"/>
        </w:rPr>
        <w:t>Capital Requirements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09" w:lineRule="auto"/>
        <w:tabs>
          <w:tab w:leader="none" w:pos="185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date hereof, Issuing Bank or any Lender determines that (i) any Change in Law regarding capital, liquidity or reserve requirements for banks or bank holding companies, or (ii) compliance by Issuing Bank or such Lender, or their respective parent bank holding companies, with any guideline, request or directive of any Governmental Authority regarding capital adequacy or liquidity requirements (whether or not having the force of law), has the effect of reducing the return on Issuing Bank's, such Lender's, or such holding companies' capital or liquidity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or liquidity requirements and assuming the full utilization of such entity's capital) by any amount deemed by Issuing Bank or such Lender to be material, then Issuing Bank or such Lender may notify Borrowers and Agent thereof. Following receipt of such notice, Borrowers agree to pay Issuing Bank or such Lender on demand the amount of such reduction of return of capital as and when such reduction is determined, payable within 30 days after presentation by Issuing Bank or such Lender of a statement in the amount and setting forth in reasonable detail the circumstances giving rise to the reduction in return of capital and Issuing Bank's or such Lender's calculation thereof and the assumptions upon which such calculation was based (which statement shall be deemed 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8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Borrowers shall not be required to compensate Issuing Bank or a Lender pursuant to this Section for any reductions in return incurred more than 180 days prior to the date that Issuing Bank or such Lender notifies Borrowers of such Change in Law giving rise to such reductions and of such Lender's intention to claim compensation therefor;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such claim arises by reason of the Change in Law that is retroactive, then the 180-day period referred to above shall be extended to include the period of retroactive effect thereof.</w:t>
      </w:r>
    </w:p>
    <w:p>
      <w:pPr>
        <w:spacing w:after="0" w:line="150" w:lineRule="exact"/>
        <w:rPr>
          <w:sz w:val="20"/>
          <w:szCs w:val="20"/>
          <w:color w:val="auto"/>
        </w:rPr>
      </w:pPr>
    </w:p>
    <w:p>
      <w:pPr>
        <w:jc w:val="both"/>
        <w:ind w:firstLine="1241"/>
        <w:spacing w:after="0" w:line="227" w:lineRule="auto"/>
        <w:tabs>
          <w:tab w:leader="none" w:pos="185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Issuing Bank or any Lender requests additional or increased costs referred to in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2.12(a)</w:t>
      </w:r>
      <w:r>
        <w:rPr>
          <w:rFonts w:ascii="Times New Roman" w:cs="Times New Roman" w:eastAsia="Times New Roman" w:hAnsi="Times New Roman"/>
          <w:sz w:val="20"/>
          <w:szCs w:val="20"/>
          <w:color w:val="auto"/>
        </w:rPr>
        <w:t xml:space="preserve"> or amounts under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or sends a notice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relative to changed circumstances (such Issuing Bank or Lender,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or would eliminate the illegality or impracticality of funding or maintaining SOFR Loans (or Base Rate Loans determined with reference to Daily Simple SOFR),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or to enable Borrowers to obtain SOFR Loans (or Base Rate Loans determined with reference to Daily Simple SOFR), then Borrowers (without prejudice to any amounts then due to such Affected Lender under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as applicable) may, unless prior to the effective date of any such assignment the Affected Lender withdraws its request for such additional amounts under </w:t>
      </w:r>
      <w:r>
        <w:rPr>
          <w:rFonts w:ascii="Times New Roman" w:cs="Times New Roman" w:eastAsia="Times New Roman" w:hAnsi="Times New Roman"/>
          <w:sz w:val="20"/>
          <w:szCs w:val="20"/>
          <w:u w:val="single" w:color="auto"/>
          <w:color w:val="auto"/>
        </w:rPr>
        <w:t>Section 2.11(l)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as applicable, or indicates that it is no longer unlawful or impractical to fund or maintain SOFR Loans (or Base Rate Loans determined with reference to Daily Simple SOFR), may designate a different Issuing Bank or substitute a Lender or prospective Lender, in each case, reasonably acceptable to Agent to purchase the Obligations owed to such Affected Lender and such Affected Lender's commitments hereunder (a "</w:t>
      </w:r>
      <w:r>
        <w:rPr>
          <w:rFonts w:ascii="Times New Roman" w:cs="Times New Roman" w:eastAsia="Times New Roman" w:hAnsi="Times New Roman"/>
          <w:sz w:val="20"/>
          <w:szCs w:val="20"/>
          <w:u w:val="single" w:color="auto"/>
          <w:color w:val="auto"/>
        </w:rPr>
        <w:t>Replacement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w:t>
      </w:r>
    </w:p>
    <w:p>
      <w:pPr>
        <w:spacing w:after="0" w:line="165" w:lineRule="exact"/>
        <w:rPr>
          <w:rFonts w:ascii="Times New Roman" w:cs="Times New Roman" w:eastAsia="Times New Roman" w:hAnsi="Times New Roman"/>
          <w:sz w:val="20"/>
          <w:szCs w:val="20"/>
          <w:color w:val="auto"/>
        </w:rPr>
      </w:pPr>
    </w:p>
    <w:p>
      <w:pPr>
        <w:jc w:val="both"/>
        <w:ind w:firstLine="1241"/>
        <w:spacing w:after="0" w:line="225" w:lineRule="auto"/>
        <w:tabs>
          <w:tab w:leader="none" w:pos="185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the protection of </w:t>
      </w:r>
      <w:r>
        <w:rPr>
          <w:rFonts w:ascii="Times New Roman" w:cs="Times New Roman" w:eastAsia="Times New Roman" w:hAnsi="Times New Roman"/>
          <w:sz w:val="21"/>
          <w:szCs w:val="21"/>
          <w:u w:val="single" w:color="auto"/>
          <w:color w:val="auto"/>
        </w:rPr>
        <w:t>Sections 2.11(l)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2.14.</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2.15.</w:t>
      </w:r>
      <w:r>
        <w:rPr>
          <w:sz w:val="20"/>
          <w:szCs w:val="20"/>
          <w:color w:val="auto"/>
        </w:rPr>
        <w:tab/>
      </w:r>
      <w:r>
        <w:rPr>
          <w:rFonts w:ascii="Times New Roman" w:cs="Times New Roman" w:eastAsia="Times New Roman" w:hAnsi="Times New Roman"/>
          <w:sz w:val="20"/>
          <w:szCs w:val="20"/>
          <w:b w:val="1"/>
          <w:bCs w:val="1"/>
          <w:u w:val="single" w:color="auto"/>
          <w:color w:val="auto"/>
        </w:rPr>
        <w:t>Joint and Several Liability of Borrowers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20" w:lineRule="auto"/>
        <w:tabs>
          <w:tab w:leader="none" w:pos="185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is accepting joint and several liability hereunder and under the other Loan Documents in consideration of the financial accommodations to be provided by the Lender Group under this Agreement, for the mutual benefit, directly and indirectly, of each Borrower and in consideration of the undertakings of the other Borrowers to accept joint and several liability for the Obligations.</w:t>
      </w:r>
    </w:p>
    <w:p>
      <w:pPr>
        <w:spacing w:after="0" w:line="145" w:lineRule="exact"/>
        <w:rPr>
          <w:rFonts w:ascii="Times New Roman" w:cs="Times New Roman" w:eastAsia="Times New Roman" w:hAnsi="Times New Roman"/>
          <w:sz w:val="21"/>
          <w:szCs w:val="21"/>
          <w:color w:val="auto"/>
        </w:rPr>
      </w:pPr>
    </w:p>
    <w:p>
      <w:pPr>
        <w:jc w:val="both"/>
        <w:ind w:firstLine="1241"/>
        <w:spacing w:after="0" w:line="228" w:lineRule="auto"/>
        <w:tabs>
          <w:tab w:leader="none" w:pos="185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45" w:lineRule="exact"/>
        <w:rPr>
          <w:rFonts w:ascii="Times New Roman" w:cs="Times New Roman" w:eastAsia="Times New Roman" w:hAnsi="Times New Roman"/>
          <w:sz w:val="20"/>
          <w:szCs w:val="20"/>
          <w:color w:val="auto"/>
        </w:rPr>
      </w:pPr>
    </w:p>
    <w:p>
      <w:pPr>
        <w:jc w:val="both"/>
        <w:ind w:firstLine="1241"/>
        <w:spacing w:after="0" w:line="220" w:lineRule="auto"/>
        <w:tabs>
          <w:tab w:leader="none" w:pos="185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each Borrower under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Times New Roman" w:cs="Times New Roman" w:eastAsia="Times New Roman" w:hAnsi="Times New Roman"/>
          <w:sz w:val="21"/>
          <w:szCs w:val="21"/>
          <w:u w:val="single" w:color="auto"/>
          <w:color w:val="auto"/>
        </w:rPr>
        <w:t>Section 2.15(d)</w:t>
      </w:r>
      <w:r>
        <w:rPr>
          <w:rFonts w:ascii="Times New Roman" w:cs="Times New Roman" w:eastAsia="Times New Roman" w:hAnsi="Times New Roman"/>
          <w:sz w:val="21"/>
          <w:szCs w:val="21"/>
          <w:color w:val="auto"/>
        </w:rPr>
        <w:t>) or any other circumstances whatsoever.</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Agent or Lenders under or in respect of any of the Obligations, any right to proceed against any other Borrower or any other Person, to proceed against or exhaust any security held from any other Borrower or any other Person, to protect,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8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 xml:space="preserve">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Agent may,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any other member of the Lender Group, or any Bank Product Provider may have against any Borrower or any other Person, or any security, in each case, without affecting or impairing in any way the liability of any of the Borrowers hereunder except to the extent the Obligations have been paid.</w:t>
      </w:r>
    </w:p>
    <w:p>
      <w:pPr>
        <w:spacing w:after="0" w:line="146" w:lineRule="exact"/>
        <w:rPr>
          <w:sz w:val="20"/>
          <w:szCs w:val="20"/>
          <w:color w:val="auto"/>
        </w:rPr>
      </w:pPr>
    </w:p>
    <w:p>
      <w:pPr>
        <w:jc w:val="both"/>
        <w:ind w:firstLine="1241"/>
        <w:spacing w:after="0" w:line="215" w:lineRule="auto"/>
        <w:tabs>
          <w:tab w:leader="none" w:pos="185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will forthwith be reinstated in effect, as though such payment had not been made.</w:t>
      </w:r>
    </w:p>
    <w:p>
      <w:pPr>
        <w:spacing w:after="0" w:line="145" w:lineRule="exact"/>
        <w:rPr>
          <w:rFonts w:ascii="Times New Roman" w:cs="Times New Roman" w:eastAsia="Times New Roman" w:hAnsi="Times New Roman"/>
          <w:sz w:val="21"/>
          <w:szCs w:val="21"/>
          <w:color w:val="auto"/>
        </w:rPr>
      </w:pPr>
    </w:p>
    <w:p>
      <w:pPr>
        <w:jc w:val="both"/>
        <w:ind w:firstLine="1241"/>
        <w:spacing w:after="0" w:line="209" w:lineRule="auto"/>
        <w:tabs>
          <w:tab w:leader="none" w:pos="185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Borrower hereby agrees that it will not enforce any of its rights that arise from the existence, payment, performance or enforcement of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including rights of subrogation, reimbursement, exoneration, contribution or indemnification and any right to participate in any claim or remedy of Agent, any other member of the Lender Group, or any Bank Product Provider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any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Agent, for the benefit of the Lender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8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and the Bank Product Providers, and shall forthwith be paid to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 w:cs="Times New Roman" w:eastAsia="Times New Roman" w:hAnsi="Times New Roman"/>
          <w:sz w:val="21"/>
          <w:szCs w:val="21"/>
          <w:u w:val="single" w:color="auto"/>
          <w:color w:val="auto"/>
        </w:rPr>
        <w:t>Foreclosed Borrower</w:t>
      </w:r>
      <w:r>
        <w:rPr>
          <w:rFonts w:ascii="Times New Roman" w:cs="Times New Roman" w:eastAsia="Times New Roman" w:hAnsi="Times New Roman"/>
          <w:sz w:val="21"/>
          <w:szCs w:val="21"/>
          <w:color w:val="auto"/>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spacing w:after="0" w:line="150" w:lineRule="exact"/>
        <w:rPr>
          <w:sz w:val="20"/>
          <w:szCs w:val="20"/>
          <w:color w:val="auto"/>
        </w:rPr>
      </w:pPr>
    </w:p>
    <w:p>
      <w:pPr>
        <w:jc w:val="both"/>
        <w:ind w:firstLine="1241"/>
        <w:spacing w:after="0" w:line="217" w:lineRule="auto"/>
        <w:tabs>
          <w:tab w:leader="none" w:pos="184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Obligations have been paid in full:</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45" w:lineRule="exact"/>
        <w:rPr>
          <w:rFonts w:ascii="Times New Roman" w:cs="Times New Roman" w:eastAsia="Times New Roman" w:hAnsi="Times New Roman"/>
          <w:sz w:val="21"/>
          <w:szCs w:val="21"/>
          <w:color w:val="auto"/>
        </w:rPr>
      </w:pPr>
    </w:p>
    <w:p>
      <w:pPr>
        <w:jc w:val="both"/>
        <w:ind w:firstLine="1860"/>
        <w:spacing w:after="0" w:line="211" w:lineRule="auto"/>
        <w:tabs>
          <w:tab w:leader="none" w:pos="2469"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and defenses that the Borrowers may have because the Obligations are secured by Real Property located in California, meaning, among other things, that: (A) Agent, the other members of the Lender Group, and the Bank Product Providers may collect from the Borrowers without first foreclosing on any real or personal property collateral pledged by any Loan Party, and (B) if Agent, on behalf of the Lender Group, forecloses on any Real Property pledged by any Loan Party, (1) the amount of the Obligations may be reduced only by the price for which that collateral is sold at the foreclosure sale, even if the collateral is worth more than the sale price, and (2) the Lender Group may collect from the Loan Parties even if, by foreclosing on the Real Property, Agent or the other members of the Lender Group have destroyed or impaired any right the Borrowers may have to collect from any other Loan Party, it being understood that this is an unconditional and irrevocable waiver of any rights and defenses the Borrowers may have because the Obligations are secured by Real Property (including any rights or defenses based upon Sections 580a, 580d, or 726 of the California Code of Civil Procedure or any similar laws of any other applicable jurisdiction);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86" w:lineRule="exact"/>
        <w:rPr>
          <w:sz w:val="20"/>
          <w:szCs w:val="20"/>
          <w:color w:val="auto"/>
        </w:rPr>
      </w:pPr>
    </w:p>
    <w:p>
      <w:pPr>
        <w:jc w:val="both"/>
        <w:ind w:firstLine="1860"/>
        <w:spacing w:after="0" w:line="217" w:lineRule="auto"/>
        <w:tabs>
          <w:tab w:leader="none" w:pos="2475"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and defenses arising out of an election of remedies by Agent, the other members of the Lender Group, and the Bank Product Providers, even though that election of remedies, such as a nonjudicial foreclosure with respect to security for the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14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CONDITIONS; TERM OF AGREEMENT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u w:val="single" w:color="auto"/>
          <w:color w:val="auto"/>
        </w:rPr>
        <w:t>Conditions Precedent to the Initial Extension of Credit</w:t>
      </w:r>
      <w:r>
        <w:rPr>
          <w:rFonts w:ascii="Times New Roman" w:cs="Times New Roman" w:eastAsia="Times New Roman" w:hAnsi="Times New Roman"/>
          <w:sz w:val="21"/>
          <w:szCs w:val="21"/>
          <w:color w:val="auto"/>
        </w:rPr>
        <w:t xml:space="preserve">. The obligation of each Lender to make the initial extensions of credit provided for hereunder is subject to the fulfillment, to the satisfaction of Agent and each Lender, of each of the conditions precedent set forth on </w:t>
      </w:r>
      <w:r>
        <w:rPr>
          <w:rFonts w:ascii="Times New Roman" w:cs="Times New Roman" w:eastAsia="Times New Roman" w:hAnsi="Times New Roman"/>
          <w:sz w:val="21"/>
          <w:szCs w:val="21"/>
          <w:u w:val="single" w:color="auto"/>
          <w:color w:val="auto"/>
        </w:rPr>
        <w:t>Schedule 3.1</w:t>
      </w:r>
      <w:r>
        <w:rPr>
          <w:rFonts w:ascii="Times New Roman" w:cs="Times New Roman" w:eastAsia="Times New Roman" w:hAnsi="Times New Roman"/>
          <w:sz w:val="21"/>
          <w:szCs w:val="21"/>
          <w:color w:val="auto"/>
        </w:rPr>
        <w:t xml:space="preserve"> to this Agreement (the making of such initial extensions of credit by a Lender being conclusively deemed to be its satisfaction or waiver of the conditions precedent).</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u w:val="single" w:color="auto"/>
          <w:color w:val="auto"/>
        </w:rPr>
        <w:t>Conditions Precedent to all Extensions of Credit</w:t>
      </w:r>
      <w:r>
        <w:rPr>
          <w:rFonts w:ascii="Times New Roman" w:cs="Times New Roman" w:eastAsia="Times New Roman" w:hAnsi="Times New Roman"/>
          <w:sz w:val="21"/>
          <w:szCs w:val="21"/>
          <w:color w:val="auto"/>
        </w:rPr>
        <w:t>. The obligation of the Lender Group (or any member thereof) to make any Revolving Loans hereunder (or to extend any other credit hereunder) at any time shall be subject to the following conditions precedent:</w:t>
      </w:r>
    </w:p>
    <w:p>
      <w:pPr>
        <w:spacing w:after="0" w:line="147" w:lineRule="exact"/>
        <w:rPr>
          <w:sz w:val="20"/>
          <w:szCs w:val="20"/>
          <w:color w:val="auto"/>
        </w:rPr>
      </w:pPr>
    </w:p>
    <w:p>
      <w:pPr>
        <w:jc w:val="both"/>
        <w:ind w:firstLine="1241"/>
        <w:spacing w:after="0" w:line="213" w:lineRule="auto"/>
        <w:tabs>
          <w:tab w:leader="none" w:pos="185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each Loan Party or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49"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 on the date of such extension of credit, nor shall either result from the making thereof.</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u w:val="single" w:color="auto"/>
          <w:color w:val="auto"/>
        </w:rPr>
        <w:t>Maturity</w:t>
      </w:r>
      <w:r>
        <w:rPr>
          <w:rFonts w:ascii="Times New Roman" w:cs="Times New Roman" w:eastAsia="Times New Roman" w:hAnsi="Times New Roman"/>
          <w:sz w:val="21"/>
          <w:szCs w:val="21"/>
          <w:color w:val="auto"/>
        </w:rPr>
        <w:t>. The Commitments shall continue in full force and effect for a term ending on the Maturity Date (unless terminated earlier in accordance with the terms hereof).</w:t>
      </w:r>
    </w:p>
    <w:p>
      <w:pPr>
        <w:spacing w:after="0" w:line="142"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u w:val="single" w:color="auto"/>
          <w:color w:val="auto"/>
        </w:rPr>
        <w:t>Effect of Maturity</w:t>
      </w:r>
      <w:r>
        <w:rPr>
          <w:rFonts w:ascii="Times New Roman" w:cs="Times New Roman" w:eastAsia="Times New Roman" w:hAnsi="Times New Roman"/>
          <w:sz w:val="21"/>
          <w:szCs w:val="21"/>
          <w:color w:val="auto"/>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When all of the Obligations have been paid in full, Agent will, at Borrowers' sole expense, execute and deliver any termination statements, lien releases, discharges of security interests, and other similar discharge or release documents (and, if applicable, in recordable form) as are reasonably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release, as of record, Agent's Liens and all notices of security interests and liens previously filed by Agent.</w:t>
      </w:r>
    </w:p>
    <w:p>
      <w:pPr>
        <w:spacing w:after="0" w:line="167"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u w:val="single" w:color="auto"/>
          <w:color w:val="auto"/>
        </w:rPr>
        <w:t>Early Termination by Borrowers</w:t>
      </w:r>
      <w:r>
        <w:rPr>
          <w:rFonts w:ascii="Times New Roman" w:cs="Times New Roman" w:eastAsia="Times New Roman" w:hAnsi="Times New Roman"/>
          <w:sz w:val="21"/>
          <w:szCs w:val="21"/>
          <w:color w:val="auto"/>
        </w:rPr>
        <w:t>. Borrowers have the option, at any time upon ten Business Days prior written notice to Agent, to repay all of the Obligations in full and terminate the Commitments.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b w:val="1"/>
          <w:bCs w:val="1"/>
          <w:u w:val="single" w:color="auto"/>
          <w:color w:val="auto"/>
        </w:rPr>
        <w:t>Conditions Subsequent</w:t>
      </w:r>
      <w:r>
        <w:rPr>
          <w:rFonts w:ascii="Times New Roman" w:cs="Times New Roman" w:eastAsia="Times New Roman" w:hAnsi="Times New Roman"/>
          <w:sz w:val="21"/>
          <w:szCs w:val="21"/>
          <w:color w:val="auto"/>
        </w:rPr>
        <w:t xml:space="preserve">. The obligation of the Lender Group (or any member thereof) to continue to make Revolving Loans (or otherwise extend credit hereunder) is subject to the fulfillment, on or before the date applicable thereto, of the conditions subsequent set forth on </w:t>
      </w:r>
      <w:r>
        <w:rPr>
          <w:rFonts w:ascii="Times New Roman" w:cs="Times New Roman" w:eastAsia="Times New Roman" w:hAnsi="Times New Roman"/>
          <w:sz w:val="21"/>
          <w:szCs w:val="21"/>
          <w:u w:val="single" w:color="auto"/>
          <w:color w:val="auto"/>
        </w:rPr>
        <w:t>Schedule 3.6</w:t>
      </w:r>
      <w:r>
        <w:rPr>
          <w:rFonts w:ascii="Times New Roman" w:cs="Times New Roman" w:eastAsia="Times New Roman" w:hAnsi="Times New Roman"/>
          <w:sz w:val="21"/>
          <w:szCs w:val="21"/>
          <w:color w:val="auto"/>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41" w:lineRule="exact"/>
        <w:rPr>
          <w:sz w:val="20"/>
          <w:szCs w:val="20"/>
          <w:color w:val="auto"/>
        </w:rPr>
      </w:pPr>
    </w:p>
    <w:p>
      <w:pPr>
        <w:ind w:left="1240" w:hanging="618"/>
        <w:spacing w:after="0"/>
        <w:tabs>
          <w:tab w:leader="none" w:pos="1240"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w:t>
      </w:r>
    </w:p>
    <w:p>
      <w:pPr>
        <w:spacing w:after="0" w:line="175"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0"/>
          <w:szCs w:val="20"/>
          <w:color w:val="auto"/>
        </w:rPr>
        <w:t>In order to induce the Lender Group to enter into this Agreement,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4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0"/>
          <w:szCs w:val="20"/>
          <w:b w:val="1"/>
          <w:bCs w:val="1"/>
          <w:u w:val="single" w:color="auto"/>
          <w:color w:val="auto"/>
        </w:rPr>
        <w:t>Due Organization and Qualification; Subsidiaries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7" w:lineRule="auto"/>
        <w:tabs>
          <w:tab w:leader="none" w:pos="185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and each of its Subsidiaries (i) is duly organized and existing and in good standing under the laws of the jurisdiction of its organization,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86" w:lineRule="exact"/>
        <w:rPr>
          <w:sz w:val="20"/>
          <w:szCs w:val="20"/>
          <w:color w:val="auto"/>
        </w:rPr>
      </w:pPr>
    </w:p>
    <w:p>
      <w:pPr>
        <w:jc w:val="both"/>
        <w:ind w:firstLine="1241"/>
        <w:spacing w:after="0" w:line="220" w:lineRule="auto"/>
        <w:tabs>
          <w:tab w:leader="none" w:pos="185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Schedule 4.1(b)</w:t>
      </w:r>
      <w:r>
        <w:rPr>
          <w:rFonts w:ascii="Times New Roman" w:cs="Times New Roman" w:eastAsia="Times New Roman" w:hAnsi="Times New Roman"/>
          <w:sz w:val="21"/>
          <w:szCs w:val="21"/>
          <w:color w:val="auto"/>
        </w:rPr>
        <w:t xml:space="preserve"> to this Agreement (as such Schedule may be updated from time to time to reflect changes resulting from transactions permitted under this Agreement) is a complete and accurate description of the authorized Equity Interests of each Loan Party, by class, and, as of the Closing Date, a description of the number of shares of each such class that are issued and outstanding.</w:t>
      </w:r>
    </w:p>
    <w:p>
      <w:pPr>
        <w:spacing w:after="0" w:line="145" w:lineRule="exact"/>
        <w:rPr>
          <w:rFonts w:ascii="Times New Roman" w:cs="Times New Roman" w:eastAsia="Times New Roman" w:hAnsi="Times New Roman"/>
          <w:sz w:val="21"/>
          <w:szCs w:val="21"/>
          <w:color w:val="auto"/>
        </w:rPr>
      </w:pPr>
    </w:p>
    <w:p>
      <w:pPr>
        <w:jc w:val="both"/>
        <w:ind w:firstLine="1241"/>
        <w:spacing w:after="0" w:line="228" w:lineRule="auto"/>
        <w:tabs>
          <w:tab w:leader="none" w:pos="185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4.1(c)</w:t>
      </w:r>
      <w:r>
        <w:rPr>
          <w:rFonts w:ascii="Times New Roman" w:cs="Times New Roman" w:eastAsia="Times New Roman" w:hAnsi="Times New Roman"/>
          <w:sz w:val="20"/>
          <w:szCs w:val="20"/>
          <w:color w:val="auto"/>
        </w:rPr>
        <w:t xml:space="preserve"> to this Agreement (as such Schedule may be updated from time to time to reflect changes resulting from transactions permitted under this Agreement), is a complete and accurate list of the Loan Parties' direct and indirect Subsidiaries, showing: (i) the number of shares of each class of common and preferred Equity Interests authorized for each of such Subsidiaries, and (ii) the number and the percentage of the outstanding shares of each such class owned directly or indirectly by a Loan Party. All of the outstanding Equity Interests of each such Subsidiary has been validly issued and is fully paid and non-assessable.</w:t>
      </w:r>
    </w:p>
    <w:p>
      <w:pPr>
        <w:spacing w:after="0" w:line="145" w:lineRule="exact"/>
        <w:rPr>
          <w:rFonts w:ascii="Times New Roman" w:cs="Times New Roman" w:eastAsia="Times New Roman" w:hAnsi="Times New Roman"/>
          <w:sz w:val="20"/>
          <w:szCs w:val="20"/>
          <w:color w:val="auto"/>
        </w:rPr>
      </w:pPr>
    </w:p>
    <w:p>
      <w:pPr>
        <w:jc w:val="both"/>
        <w:ind w:firstLine="1241"/>
        <w:spacing w:after="0" w:line="217" w:lineRule="auto"/>
        <w:tabs>
          <w:tab w:leader="none" w:pos="185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4.1(d)</w:t>
      </w:r>
      <w:r>
        <w:rPr>
          <w:rFonts w:ascii="Times New Roman" w:cs="Times New Roman" w:eastAsia="Times New Roman" w:hAnsi="Times New Roman"/>
          <w:sz w:val="21"/>
          <w:szCs w:val="21"/>
          <w:color w:val="auto"/>
        </w:rPr>
        <w:t xml:space="preserve"> to this Agreement, there are no subscriptions, options, warrants, or calls relating to any shares of any Loan Party's or any of its Subsidiaries' Equity Interests, including any right of conversion or exchange under any outstanding security or other instrument. Except as set forth on Schedule 4.1(d) to this Agreement, no Loan Party is subject to any obligation (contingent or otherwise) to repurchase or otherwise acquire or retire any shares of its Equity Interests or any security convertible into or exchangeable for any of its Equity Interests.</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0"/>
          <w:szCs w:val="20"/>
          <w:b w:val="1"/>
          <w:bCs w:val="1"/>
          <w:u w:val="single" w:color="auto"/>
          <w:color w:val="auto"/>
        </w:rPr>
        <w:t>Due Authorization; No Conflict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41"/>
        <w:spacing w:after="0" w:line="235" w:lineRule="auto"/>
        <w:tabs>
          <w:tab w:leader="none" w:pos="1853"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Loan Party, the execution, delivery, and performance by such Loan Party of the Loan Documents to which it is a party have been duly authorized by all necessary action on the part of such Loan Party.</w:t>
      </w:r>
    </w:p>
    <w:p>
      <w:pPr>
        <w:spacing w:after="0" w:line="145" w:lineRule="exact"/>
        <w:rPr>
          <w:rFonts w:ascii="Times New Roman" w:cs="Times New Roman" w:eastAsia="Times New Roman" w:hAnsi="Times New Roman"/>
          <w:sz w:val="21"/>
          <w:szCs w:val="21"/>
          <w:color w:val="auto"/>
        </w:rPr>
      </w:pPr>
    </w:p>
    <w:p>
      <w:pPr>
        <w:jc w:val="both"/>
        <w:ind w:firstLine="1241"/>
        <w:spacing w:after="0" w:line="219" w:lineRule="auto"/>
        <w:tabs>
          <w:tab w:leader="none" w:pos="185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order, judgment, or decree of any court or other Governmental Authority binding on any Loan Party or its Subsidiaries, (ii) conflict with, result in a breach of, or constitute (with due notice or lapse of time or both) a default under any material agreement of any Loan Party or its Subsidiaries where any such conflict, breach or default could individually or in the aggregate reasonably be expected to have a Material Adverse Effect,</w:t>
      </w:r>
    </w:p>
    <w:p>
      <w:pPr>
        <w:jc w:val="both"/>
        <w:ind w:firstLine="3"/>
        <w:spacing w:after="0" w:line="212" w:lineRule="auto"/>
        <w:tabs>
          <w:tab w:leader="none" w:pos="37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145"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Governmental Consents</w:t>
      </w:r>
      <w:r>
        <w:rPr>
          <w:rFonts w:ascii="Times New Roman" w:cs="Times New Roman" w:eastAsia="Times New Roman" w:hAnsi="Times New Roman"/>
          <w:sz w:val="21"/>
          <w:szCs w:val="21"/>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0"/>
          <w:szCs w:val="20"/>
          <w:b w:val="1"/>
          <w:bCs w:val="1"/>
          <w:u w:val="single" w:color="auto"/>
          <w:color w:val="auto"/>
        </w:rPr>
        <w:t>Binding Obligations; Perfected Liens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20" w:lineRule="auto"/>
        <w:tabs>
          <w:tab w:leader="none" w:pos="185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Agent's Liens are validly created, perfected (other than (i) in respect of motor vehicles that are subject to a certificate of title, (ii) money, (iii) letter-of-credit rights (other than supporting obligations), (iv) commercial tort claims (other than those that, by the terms of the Guaranty and Security Agreement, are required to be perfected), and (v) any Deposit Accounts and Securities Accounts not subject to a Control Agreement as permitted by </w:t>
      </w:r>
      <w:r>
        <w:rPr>
          <w:rFonts w:ascii="Times New Roman" w:cs="Times New Roman" w:eastAsia="Times New Roman" w:hAnsi="Times New Roman"/>
          <w:sz w:val="21"/>
          <w:szCs w:val="21"/>
          <w:u w:val="single" w:color="auto"/>
          <w:color w:val="auto"/>
        </w:rPr>
        <w:t>Section 7(k)(iv)</w:t>
      </w:r>
      <w:r>
        <w:rPr>
          <w:rFonts w:ascii="Times New Roman" w:cs="Times New Roman" w:eastAsia="Times New Roman" w:hAnsi="Times New Roman"/>
          <w:sz w:val="21"/>
          <w:szCs w:val="21"/>
          <w:color w:val="auto"/>
        </w:rPr>
        <w:t xml:space="preserve"> of the Guaranty and Security Agreement, and subject only to the filing of financing statements, the recordation of a Copyright Security Agreement (if any), and the recordation of the Mortgages, in each case, in the appropriate filing offices), and first priority Liens, subject only to Permitted Liens, permitted purchase money Liens, or the interests of lessors under Capital Leases.</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u w:val="single" w:color="auto"/>
          <w:color w:val="auto"/>
        </w:rPr>
        <w:t>Title to Assets; No Encumbrances</w:t>
      </w:r>
      <w:r>
        <w:rPr>
          <w:rFonts w:ascii="Times New Roman" w:cs="Times New Roman" w:eastAsia="Times New Roman" w:hAnsi="Times New Roman"/>
          <w:sz w:val="21"/>
          <w:szCs w:val="21"/>
          <w:color w:val="auto"/>
        </w:rPr>
        <w:t xml:space="preserve">. 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in each case except for assets disposed of since the date of such financial statements to the extent permitted hereby. All of such assets are free and clear of Liens except for Permitted Liens.</w:t>
      </w:r>
    </w:p>
    <w:p>
      <w:pPr>
        <w:spacing w:after="0" w:line="141"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4.6.</w:t>
      </w:r>
      <w:r>
        <w:rPr>
          <w:sz w:val="20"/>
          <w:szCs w:val="20"/>
          <w:color w:val="auto"/>
        </w:rPr>
        <w:tab/>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25" w:lineRule="auto"/>
        <w:tabs>
          <w:tab w:leader="none" w:pos="1853"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actions, suits, or proceedings pending or, to the knowledge of any Borrower, after due inquiry, threatened in writing against a Loan Party or any of its Subsidiaries that either individually or in the aggregate could reasonably be expected to result in a Material Adverse Effect.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 4.6(b)</w:t>
      </w:r>
      <w:r>
        <w:rPr>
          <w:rFonts w:ascii="Times New Roman" w:cs="Times New Roman" w:eastAsia="Times New Roman" w:hAnsi="Times New Roman"/>
          <w:sz w:val="21"/>
          <w:szCs w:val="21"/>
          <w:color w:val="auto"/>
        </w:rPr>
        <w:t xml:space="preserve"> to this Agreement sets forth a complete and accurate description of each of the actions, suits, or proceedings with asserted liabilities in excess of, or that could reasonably be expected to result in liabilities in excess of, $750,000 in any one case that, as of the Closing Date, is pending or, to the knowledge of any Borrower, after due inquiry, threatened against a Loan Party or any of its Subsidiaries.</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b w:val="1"/>
          <w:bCs w:val="1"/>
          <w:u w:val="single" w:color="auto"/>
          <w:color w:val="auto"/>
        </w:rPr>
        <w:t>Compliance with Laws</w:t>
      </w:r>
      <w:r>
        <w:rPr>
          <w:rFonts w:ascii="Times New Roman" w:cs="Times New Roman" w:eastAsia="Times New Roman" w:hAnsi="Times New Roman"/>
          <w:sz w:val="21"/>
          <w:szCs w:val="21"/>
          <w:color w:val="auto"/>
        </w:rPr>
        <w:t xml:space="preserve"> . No Loan Party nor any of its Subsidiaries (a) is in violation of any applicable laws, rules, regulations, executive orders, or codes (including Environmental Laws) that, individually or in the aggregate, could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b w:val="1"/>
          <w:bCs w:val="1"/>
          <w:u w:val="single" w:color="auto"/>
          <w:color w:val="auto"/>
        </w:rPr>
        <w:t>No Material Adverse Effect</w:t>
      </w:r>
      <w:r>
        <w:rPr>
          <w:rFonts w:ascii="Times New Roman" w:cs="Times New Roman" w:eastAsia="Times New Roman" w:hAnsi="Times New Roman"/>
          <w:sz w:val="21"/>
          <w:szCs w:val="21"/>
          <w:color w:val="auto"/>
        </w:rPr>
        <w:t>. All historical financial statements relating to the Loan Parties and their Subsidiaries that have 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the date of the most recent financial statement delivered to Agent, no event, circumstance, or change has occurred that has or could reasonably be expected to result in a Material Adverse Effect.</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4.9.</w:t>
      </w:r>
      <w:r>
        <w:rPr>
          <w:sz w:val="20"/>
          <w:szCs w:val="20"/>
          <w:color w:val="auto"/>
        </w:rPr>
        <w:tab/>
      </w:r>
      <w:r>
        <w:rPr>
          <w:rFonts w:ascii="Times New Roman" w:cs="Times New Roman" w:eastAsia="Times New Roman" w:hAnsi="Times New Roman"/>
          <w:sz w:val="20"/>
          <w:szCs w:val="20"/>
          <w:b w:val="1"/>
          <w:bCs w:val="1"/>
          <w:u w:val="single" w:color="auto"/>
          <w:color w:val="auto"/>
        </w:rPr>
        <w:t>Solvency</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860" w:hanging="619"/>
        <w:spacing w:after="0"/>
        <w:tabs>
          <w:tab w:leader="none" w:pos="18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is Solvent.</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color w:val="auto"/>
        </w:rPr>
        <w:t>. No Loan Party, none of their Subsidiaries, nor any of their ERISA Affiliates maintains or contributes to any Benefit Plan.</w:t>
      </w:r>
    </w:p>
    <w:p>
      <w:pPr>
        <w:spacing w:after="0" w:line="14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b w:val="1"/>
          <w:bCs w:val="1"/>
          <w:u w:val="single" w:color="auto"/>
          <w:color w:val="auto"/>
        </w:rPr>
        <w:t>Environmental Condition</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4.11</w:t>
      </w:r>
      <w:r>
        <w:rPr>
          <w:rFonts w:ascii="Times New Roman" w:cs="Times New Roman" w:eastAsia="Times New Roman" w:hAnsi="Times New Roman"/>
          <w:sz w:val="21"/>
          <w:szCs w:val="21"/>
          <w:color w:val="auto"/>
        </w:rPr>
        <w:t xml:space="preserve"> to this Agreement, (a) to each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(b) to each Borrower's knowledge, after due inquiry, no Loan Party's nor any of its Subsidiaries' properties or assets has ever been designated or identified in any manner pursuant to any environmental protection statute as a Hazardous Materials disposal site, (c) no Loan Party nor any of its Subsidiaries has received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151"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b w:val="1"/>
          <w:bCs w:val="1"/>
          <w:u w:val="single" w:color="auto"/>
          <w:color w:val="auto"/>
        </w:rPr>
        <w:t>Complete Disclosure</w:t>
      </w:r>
      <w:r>
        <w:rPr>
          <w:rFonts w:ascii="Times New Roman" w:cs="Times New Roman" w:eastAsia="Times New Roman" w:hAnsi="Times New Roman"/>
          <w:sz w:val="21"/>
          <w:szCs w:val="21"/>
          <w:color w:val="auto"/>
        </w:rPr>
        <w:t>. All factual information taken as a whole (other than forward-looking information and projections and information of a general economic nature and general information about the industry of any Loan Party or its Subsidiaries) furnished by or on behalf of a Loan Party or its Subsidiaries in writing to Agent or any Lender (including all information contained in the Schedules hereto or in the other Loan Documents)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8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or in connection with this Agreement or the other Loan Documents, and all other such factual information taken as a whole (other than forward-looking information and projections and information of a general economic nature and general information about the industry of any Loan Party or its Subsidiaries)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January 20, 2022 represent, and as of the date on which any other Projections are delivered to Agent hereafter, such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 As of the Closing Date, the information included in the Beneficial Ownership Certification is true and correct in all respects.</w:t>
      </w:r>
    </w:p>
    <w:p>
      <w:pPr>
        <w:spacing w:after="0" w:line="14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b w:val="1"/>
          <w:bCs w:val="1"/>
          <w:u w:val="single" w:color="auto"/>
          <w:color w:val="auto"/>
        </w:rPr>
        <w:t>Patriot Act</w:t>
      </w:r>
      <w:r>
        <w:rPr>
          <w:rFonts w:ascii="Times New Roman" w:cs="Times New Roman" w:eastAsia="Times New Roman" w:hAnsi="Times New Roman"/>
          <w:sz w:val="21"/>
          <w:szCs w:val="21"/>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4.14. </w:t>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Schedule 4.14</w:t>
      </w:r>
      <w:r>
        <w:rPr>
          <w:rFonts w:ascii="Times New Roman" w:cs="Times New Roman" w:eastAsia="Times New Roman" w:hAnsi="Times New Roman"/>
          <w:sz w:val="21"/>
          <w:szCs w:val="21"/>
          <w:color w:val="auto"/>
        </w:rPr>
        <w:t xml:space="preserve"> to this Agreement is a true and complete list of all Indebtedness of each Loan Party and each of its Subsidiaries outstanding immediately prior to the Closing Date (other than unsecured Permitted Indebtedness outstanding immediately prior to the Closing Date in an amount not to exceed $500,000 in the aggregate).</w:t>
      </w:r>
    </w:p>
    <w:p>
      <w:pPr>
        <w:spacing w:after="0" w:line="143"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b w:val="1"/>
          <w:bCs w:val="1"/>
          <w:u w:val="single" w:color="auto"/>
          <w:color w:val="auto"/>
        </w:rPr>
        <w:t>Payment of Taxes</w:t>
      </w:r>
      <w:r>
        <w:rPr>
          <w:rFonts w:ascii="Times New Roman" w:cs="Times New Roman" w:eastAsia="Times New Roman" w:hAnsi="Times New Roman"/>
          <w:sz w:val="21"/>
          <w:szCs w:val="21"/>
          <w:color w:val="auto"/>
        </w:rPr>
        <w:t xml:space="preserve">. Except as otherwise permitted under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all Tax returns and reports of each Loan Party and its Subsidiaries required to be filed by any of them have been timely filed, and all Taxes shown on such Tax returns to be due and payable and all other Taxes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No Borrower knows of any proposed Tax assessment against a Loan Party or any of its Subsidiaries that is not being actively contested by such Loan Party or such Subsidiary diligently, in good faith, and by appropriate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reserves or other appropriate provisions, if any, as shall be required in conformity with GAAP shall have been made or provided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8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4.16. </w:t>
      </w:r>
      <w:r>
        <w:rPr>
          <w:rFonts w:ascii="Times New Roman" w:cs="Times New Roman" w:eastAsia="Times New Roman" w:hAnsi="Times New Roman"/>
          <w:sz w:val="21"/>
          <w:szCs w:val="21"/>
          <w:b w:val="1"/>
          <w:bCs w:val="1"/>
          <w:u w:val="single" w:color="auto"/>
          <w:color w:val="auto"/>
        </w:rPr>
        <w:t>Margin Stock</w:t>
      </w:r>
      <w:r>
        <w:rPr>
          <w:rFonts w:ascii="Times New Roman" w:cs="Times New Roman" w:eastAsia="Times New Roman" w:hAnsi="Times New Roman"/>
          <w:sz w:val="21"/>
          <w:szCs w:val="21"/>
          <w:color w:val="auto"/>
        </w:rPr>
        <w:t>. Neither any Loan Party nor any of its Subsidiaries owns any Margin Stock or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 Neither any Loan Party nor any of its Subsidiaries expects to acquire any Margin Stock.</w:t>
      </w:r>
    </w:p>
    <w:p>
      <w:pPr>
        <w:spacing w:after="0" w:line="141"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4.17. </w:t>
      </w:r>
      <w:r>
        <w:rPr>
          <w:rFonts w:ascii="Times New Roman" w:cs="Times New Roman" w:eastAsia="Times New Roman" w:hAnsi="Times New Roman"/>
          <w:sz w:val="21"/>
          <w:szCs w:val="21"/>
          <w:b w:val="1"/>
          <w:bCs w:val="1"/>
          <w:u w:val="single" w:color="auto"/>
          <w:color w:val="auto"/>
        </w:rPr>
        <w:t>Governmental Regulation</w:t>
      </w:r>
      <w:r>
        <w:rPr>
          <w:rFonts w:ascii="Times New Roman" w:cs="Times New Roman" w:eastAsia="Times New Roman" w:hAnsi="Times New Roman"/>
          <w:sz w:val="21"/>
          <w:szCs w:val="21"/>
          <w:color w:val="auto"/>
        </w:rPr>
        <w:t>.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41"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4.18. </w:t>
      </w:r>
      <w:r>
        <w:rPr>
          <w:rFonts w:ascii="Times New Roman" w:cs="Times New Roman" w:eastAsia="Times New Roman" w:hAnsi="Times New Roman"/>
          <w:sz w:val="21"/>
          <w:szCs w:val="21"/>
          <w:b w:val="1"/>
          <w:bCs w:val="1"/>
          <w:u w:val="single" w:color="auto"/>
          <w:color w:val="auto"/>
        </w:rPr>
        <w:t>OFAC; Sanctions; Anti-Corruption Laws; Anti-Money Laundering Laws</w:t>
      </w:r>
      <w:r>
        <w:rPr>
          <w:rFonts w:ascii="Times New Roman" w:cs="Times New Roman" w:eastAsia="Times New Roman" w:hAnsi="Times New Roman"/>
          <w:sz w:val="21"/>
          <w:szCs w:val="21"/>
          <w:color w:val="auto"/>
        </w:rPr>
        <w:t>.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reasonably designed to ensure compliance with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146"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4.19. </w:t>
      </w:r>
      <w:r>
        <w:rPr>
          <w:rFonts w:ascii="Times New Roman" w:cs="Times New Roman" w:eastAsia="Times New Roman" w:hAnsi="Times New Roman"/>
          <w:sz w:val="21"/>
          <w:szCs w:val="21"/>
          <w:b w:val="1"/>
          <w:bCs w:val="1"/>
          <w:u w:val="single" w:color="auto"/>
          <w:color w:val="auto"/>
        </w:rPr>
        <w:t>Employee and Labor Matters</w:t>
      </w:r>
      <w:r>
        <w:rPr>
          <w:rFonts w:ascii="Times New Roman" w:cs="Times New Roman" w:eastAsia="Times New Roman" w:hAnsi="Times New Roman"/>
          <w:sz w:val="21"/>
          <w:szCs w:val="21"/>
          <w:color w:val="auto"/>
        </w:rPr>
        <w:t>. There is (i) no unfair labor practice complaint pending or, to the knowledge of any Borrower, threatened against any Loan Party or its Subsidiaries before any Governmental Authority and no grievance or arbitration proceeding pending or threatened against any Loan Party or its Subsidiaries which arises out of or under any collective bargaining agreement and that could reasonably be expected to result in a material liability, (ii) no strike, labor dispute, slowdown, stoppage or similar action or grievance pending or threatened in writing against any Loan Party or its Subsidiaries that could reasonably be expected to result in a material liability, or (iii) to the knowledge of any Borrower, after due inquiry, no union representation question existing with respect to the employees of any Loan Party or its Subsidiaries and no union organizing activity taking place with respect to any of the employees of any Loan Party or its Subsidiaries that could reasonably be expected to result in a material liability. None of any Loan Party or its Subsidiaries has incurred any liability or obligation under the Worker Adjustment and Retraining Notification Act or similar state law, which remains unpaid or unsatisfied. The hours worked and payments made to employees of each Loan Party and its Subsidiaries have not been in violation of the Fair Labor Standards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or any other applicable legal requirements, except to the extent such violations could not, individually or in the aggregate, reasonably be expected to result in a Material Adverse Effect. All material payments due from any Loan Party or its Subsidiaries on account of wages and employee health and welfare insurance and other benefits have been paid or accrued as a liability on the books of Borrowers, except where the failure to do so could not, individually or in the aggregate, reasonably be expected to result in a Material Adverse Effect.</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4.20.</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4.21. </w:t>
      </w:r>
      <w:r>
        <w:rPr>
          <w:rFonts w:ascii="Times New Roman" w:cs="Times New Roman" w:eastAsia="Times New Roman" w:hAnsi="Times New Roman"/>
          <w:sz w:val="21"/>
          <w:szCs w:val="21"/>
          <w:b w:val="1"/>
          <w:bCs w:val="1"/>
          <w:u w:val="single" w:color="auto"/>
          <w:color w:val="auto"/>
        </w:rPr>
        <w:t>Leases</w:t>
      </w:r>
      <w:r>
        <w:rPr>
          <w:rFonts w:ascii="Times New Roman" w:cs="Times New Roman" w:eastAsia="Times New Roman" w:hAnsi="Times New Roman"/>
          <w:sz w:val="21"/>
          <w:szCs w:val="21"/>
          <w:color w:val="auto"/>
        </w:rPr>
        <w:t>. 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43"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20"/>
          <w:szCs w:val="20"/>
          <w:color w:val="auto"/>
        </w:rPr>
        <w:t xml:space="preserve">4.22. </w:t>
      </w:r>
      <w:r>
        <w:rPr>
          <w:rFonts w:ascii="Times New Roman" w:cs="Times New Roman" w:eastAsia="Times New Roman" w:hAnsi="Times New Roman"/>
          <w:sz w:val="20"/>
          <w:szCs w:val="20"/>
          <w:b w:val="1"/>
          <w:bCs w:val="1"/>
          <w:u w:val="single" w:color="auto"/>
          <w:color w:val="auto"/>
        </w:rPr>
        <w:t>Eligible Accounts</w:t>
      </w:r>
      <w:r>
        <w:rPr>
          <w:rFonts w:ascii="Times New Roman" w:cs="Times New Roman" w:eastAsia="Times New Roman" w:hAnsi="Times New Roman"/>
          <w:sz w:val="20"/>
          <w:szCs w:val="20"/>
          <w:color w:val="auto"/>
        </w:rPr>
        <w:t>.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a Borrower's business,</w:t>
      </w:r>
    </w:p>
    <w:p>
      <w:pPr>
        <w:spacing w:after="0" w:line="1" w:lineRule="exact"/>
        <w:rPr>
          <w:sz w:val="20"/>
          <w:szCs w:val="20"/>
          <w:color w:val="auto"/>
        </w:rPr>
      </w:pPr>
    </w:p>
    <w:p>
      <w:pPr>
        <w:jc w:val="both"/>
        <w:ind w:firstLine="3"/>
        <w:spacing w:after="0" w:line="218" w:lineRule="auto"/>
        <w:tabs>
          <w:tab w:leader="none" w:pos="31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owed to a Borrower without any known defenses, disputes, offsets, counterclaims, or rights of return or cancellation, and (c) not excluded as ineligible by virtue of one or more of the excluding criteria (other than any Agent-discretionary criteria) set forth in the definition of Eligible Accounts.</w:t>
      </w:r>
    </w:p>
    <w:p>
      <w:pPr>
        <w:spacing w:after="0" w:line="141"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4.23. </w:t>
      </w:r>
      <w:r>
        <w:rPr>
          <w:rFonts w:ascii="Times New Roman" w:cs="Times New Roman" w:eastAsia="Times New Roman" w:hAnsi="Times New Roman"/>
          <w:sz w:val="21"/>
          <w:szCs w:val="21"/>
          <w:b w:val="1"/>
          <w:bCs w:val="1"/>
          <w:u w:val="single" w:color="auto"/>
          <w:color w:val="auto"/>
        </w:rPr>
        <w:t>Eligible Inventory</w:t>
      </w:r>
      <w:r>
        <w:rPr>
          <w:rFonts w:ascii="Times New Roman" w:cs="Times New Roman" w:eastAsia="Times New Roman" w:hAnsi="Times New Roman"/>
          <w:sz w:val="21"/>
          <w:szCs w:val="21"/>
          <w:color w:val="auto"/>
        </w:rPr>
        <w:t>. As to each item of Inventory that is identified by Borrowers as Eligible Inventory in a Borrowing Base Certificate submitted to Agent, such Inventory is (a) of good and merchantable quality, free from known defects, and (b) not excluded as ineligible by virtue of one or more of the excluding criteria (other than any Agent-discretionary criteria) set forth in the definition of Eligible Inventory.</w:t>
      </w:r>
    </w:p>
    <w:p>
      <w:pPr>
        <w:spacing w:after="0" w:line="142"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20"/>
          <w:szCs w:val="20"/>
          <w:color w:val="auto"/>
        </w:rPr>
        <w:t xml:space="preserve">4.24. </w:t>
      </w:r>
      <w:r>
        <w:rPr>
          <w:rFonts w:ascii="Times New Roman" w:cs="Times New Roman" w:eastAsia="Times New Roman" w:hAnsi="Times New Roman"/>
          <w:sz w:val="20"/>
          <w:szCs w:val="20"/>
          <w:b w:val="1"/>
          <w:bCs w:val="1"/>
          <w:u w:val="single" w:color="auto"/>
          <w:color w:val="auto"/>
        </w:rPr>
        <w:t>Eligible Equipment</w:t>
      </w:r>
      <w:r>
        <w:rPr>
          <w:rFonts w:ascii="Times New Roman" w:cs="Times New Roman" w:eastAsia="Times New Roman" w:hAnsi="Times New Roman"/>
          <w:sz w:val="20"/>
          <w:szCs w:val="20"/>
          <w:color w:val="auto"/>
        </w:rPr>
        <w:t>. As to each item of Equipment that is identified by Borrowers as Eligible Equipment in a Borrowing Base Certificate submitted to Agent, such Equipment is (a) of good and merchantable quality, free from known defects, and</w:t>
      </w:r>
    </w:p>
    <w:p>
      <w:pPr>
        <w:spacing w:after="0" w:line="2" w:lineRule="exact"/>
        <w:rPr>
          <w:sz w:val="20"/>
          <w:szCs w:val="20"/>
          <w:color w:val="auto"/>
        </w:rPr>
      </w:pPr>
    </w:p>
    <w:p>
      <w:pPr>
        <w:ind w:firstLine="3"/>
        <w:spacing w:after="0" w:line="224" w:lineRule="auto"/>
        <w:tabs>
          <w:tab w:leader="none" w:pos="29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excluded as ineligible by virtue of one or more of the excluding criteria (other than any Agent-discretionary criteria) set forth in the definition of Eligible Equipment.</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4.25. </w:t>
      </w:r>
      <w:r>
        <w:rPr>
          <w:rFonts w:ascii="Times New Roman" w:cs="Times New Roman" w:eastAsia="Times New Roman" w:hAnsi="Times New Roman"/>
          <w:sz w:val="21"/>
          <w:szCs w:val="21"/>
          <w:b w:val="1"/>
          <w:bCs w:val="1"/>
          <w:u w:val="single" w:color="auto"/>
          <w:color w:val="auto"/>
        </w:rPr>
        <w:t>Location of Inventory and Equipment</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and for equipment out for repair, the Inventory and Equipment of Loan Parties and their Subsidiaries that is included in the Borrowing Base is not stored with a bailee, warehouseman, or similar party and is located only at, or in-transit between, the locations identified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(as such Schedule may be updated pursuant to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or any job site or out for repair.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8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4.26. </w:t>
      </w:r>
      <w:r>
        <w:rPr>
          <w:rFonts w:ascii="Times New Roman" w:cs="Times New Roman" w:eastAsia="Times New Roman" w:hAnsi="Times New Roman"/>
          <w:sz w:val="21"/>
          <w:szCs w:val="21"/>
          <w:b w:val="1"/>
          <w:bCs w:val="1"/>
          <w:u w:val="single" w:color="auto"/>
          <w:color w:val="auto"/>
        </w:rPr>
        <w:t>Inventory Records</w:t>
      </w:r>
      <w:r>
        <w:rPr>
          <w:rFonts w:ascii="Times New Roman" w:cs="Times New Roman" w:eastAsia="Times New Roman" w:hAnsi="Times New Roman"/>
          <w:sz w:val="21"/>
          <w:szCs w:val="21"/>
          <w:color w:val="auto"/>
        </w:rPr>
        <w:t>. Each Loan Party keeps correct and accurate records itemizing and describing the type, quality, and quantity of its and its Subsidiaries' Inventory and the book value thereof.</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4.27.</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4.28.</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4.29. </w:t>
      </w:r>
      <w:r>
        <w:rPr>
          <w:rFonts w:ascii="Times New Roman" w:cs="Times New Roman" w:eastAsia="Times New Roman" w:hAnsi="Times New Roman"/>
          <w:sz w:val="21"/>
          <w:szCs w:val="21"/>
          <w:b w:val="1"/>
          <w:bCs w:val="1"/>
          <w:u w:val="single" w:color="auto"/>
          <w:color w:val="auto"/>
        </w:rPr>
        <w:t>Hedge Agreements</w:t>
      </w:r>
      <w:r>
        <w:rPr>
          <w:rFonts w:ascii="Times New Roman" w:cs="Times New Roman" w:eastAsia="Times New Roman" w:hAnsi="Times New Roman"/>
          <w:sz w:val="21"/>
          <w:szCs w:val="21"/>
          <w:color w:val="auto"/>
        </w:rPr>
        <w:t>. On each date that any Hedge Agreement is executed by any Hedge Provider, Borrower and each other Loan Party satisfy all eligibility, suitability and other requirements under the Commodity Exchange Act (7 U.S.C. § 1, et seq., as in effect from time to time) and the Commodity Futures Trading Commission regulations.</w:t>
      </w:r>
    </w:p>
    <w:p>
      <w:pPr>
        <w:spacing w:after="0" w:line="14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4.30. </w:t>
      </w:r>
      <w:r>
        <w:rPr>
          <w:rFonts w:ascii="Times New Roman" w:cs="Times New Roman" w:eastAsia="Times New Roman" w:hAnsi="Times New Roman"/>
          <w:sz w:val="21"/>
          <w:szCs w:val="21"/>
          <w:b w:val="1"/>
          <w:bCs w:val="1"/>
          <w:u w:val="single" w:color="auto"/>
          <w:color w:val="auto"/>
        </w:rPr>
        <w:t>Surety Agreements</w:t>
      </w:r>
      <w:r>
        <w:rPr>
          <w:rFonts w:ascii="Times New Roman" w:cs="Times New Roman" w:eastAsia="Times New Roman" w:hAnsi="Times New Roman"/>
          <w:sz w:val="21"/>
          <w:szCs w:val="21"/>
          <w:color w:val="auto"/>
        </w:rPr>
        <w:t xml:space="preserve">. No Loan Party or any of its Subsidiaries has any Surety Bond or related agreement (including any intercreditor agreements) with any Surety except as disclosed on </w:t>
      </w:r>
      <w:r>
        <w:rPr>
          <w:rFonts w:ascii="Times New Roman" w:cs="Times New Roman" w:eastAsia="Times New Roman" w:hAnsi="Times New Roman"/>
          <w:sz w:val="21"/>
          <w:szCs w:val="21"/>
          <w:u w:val="single" w:color="auto"/>
          <w:color w:val="auto"/>
        </w:rPr>
        <w:t>Schedule 4.30</w:t>
      </w:r>
      <w:r>
        <w:rPr>
          <w:rFonts w:ascii="Times New Roman" w:cs="Times New Roman" w:eastAsia="Times New Roman" w:hAnsi="Times New Roman"/>
          <w:sz w:val="21"/>
          <w:szCs w:val="21"/>
          <w:color w:val="auto"/>
        </w:rPr>
        <w:t xml:space="preserve"> (including all amendments or updates thereto).</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b w:val="1"/>
          <w:bCs w:val="1"/>
          <w:u w:val="single" w:color="auto"/>
          <w:color w:val="auto"/>
        </w:rPr>
        <w:t>Surety Bonds Cash and LCs</w:t>
      </w:r>
      <w:r>
        <w:rPr>
          <w:rFonts w:ascii="Times New Roman" w:cs="Times New Roman" w:eastAsia="Times New Roman" w:hAnsi="Times New Roman"/>
          <w:sz w:val="21"/>
          <w:szCs w:val="21"/>
          <w:color w:val="auto"/>
        </w:rPr>
        <w:t xml:space="preserve">. No Loan Party or any of its Subsidiaries has provided any cash collateral or letters of credit to issuers of Surety Bonds except as disclosed on </w:t>
      </w:r>
      <w:r>
        <w:rPr>
          <w:rFonts w:ascii="Times New Roman" w:cs="Times New Roman" w:eastAsia="Times New Roman" w:hAnsi="Times New Roman"/>
          <w:sz w:val="21"/>
          <w:szCs w:val="21"/>
          <w:u w:val="single" w:color="auto"/>
          <w:color w:val="auto"/>
        </w:rPr>
        <w:t>Schedule 4.31</w:t>
      </w:r>
      <w:r>
        <w:rPr>
          <w:rFonts w:ascii="Times New Roman" w:cs="Times New Roman" w:eastAsia="Times New Roman" w:hAnsi="Times New Roman"/>
          <w:sz w:val="21"/>
          <w:szCs w:val="21"/>
          <w:color w:val="auto"/>
        </w:rPr>
        <w:t xml:space="preserve"> (including all amendments or updates thereto).</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4.32. </w:t>
      </w:r>
      <w:r>
        <w:rPr>
          <w:rFonts w:ascii="Times New Roman" w:cs="Times New Roman" w:eastAsia="Times New Roman" w:hAnsi="Times New Roman"/>
          <w:sz w:val="21"/>
          <w:szCs w:val="21"/>
          <w:b w:val="1"/>
          <w:bCs w:val="1"/>
          <w:u w:val="single" w:color="auto"/>
          <w:color w:val="auto"/>
        </w:rPr>
        <w:t>Bonded Contracts.</w:t>
      </w:r>
      <w:r>
        <w:rPr>
          <w:rFonts w:ascii="Times New Roman" w:cs="Times New Roman" w:eastAsia="Times New Roman" w:hAnsi="Times New Roman"/>
          <w:sz w:val="21"/>
          <w:szCs w:val="21"/>
          <w:color w:val="auto"/>
        </w:rPr>
        <w:t xml:space="preserve"> No Loan Party is subject to any Bonded Contract except as disclosed on </w:t>
      </w:r>
      <w:r>
        <w:rPr>
          <w:rFonts w:ascii="Times New Roman" w:cs="Times New Roman" w:eastAsia="Times New Roman" w:hAnsi="Times New Roman"/>
          <w:sz w:val="21"/>
          <w:szCs w:val="21"/>
          <w:u w:val="single" w:color="auto"/>
          <w:color w:val="auto"/>
        </w:rPr>
        <w:t>Schedule 4.32</w:t>
      </w:r>
      <w:r>
        <w:rPr>
          <w:rFonts w:ascii="Times New Roman" w:cs="Times New Roman" w:eastAsia="Times New Roman" w:hAnsi="Times New Roman"/>
          <w:sz w:val="21"/>
          <w:szCs w:val="21"/>
          <w:color w:val="auto"/>
        </w:rPr>
        <w:t xml:space="preserve"> (including all amendments or updates thereto).</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4.33. </w:t>
      </w:r>
      <w:r>
        <w:rPr>
          <w:rFonts w:ascii="Times New Roman" w:cs="Times New Roman" w:eastAsia="Times New Roman" w:hAnsi="Times New Roman"/>
          <w:sz w:val="21"/>
          <w:szCs w:val="21"/>
          <w:b w:val="1"/>
          <w:bCs w:val="1"/>
          <w:u w:val="single" w:color="auto"/>
          <w:color w:val="auto"/>
        </w:rPr>
        <w:t>Thomas Popp &amp; Company</w:t>
      </w:r>
      <w:r>
        <w:rPr>
          <w:rFonts w:ascii="Times New Roman" w:cs="Times New Roman" w:eastAsia="Times New Roman" w:hAnsi="Times New Roman"/>
          <w:sz w:val="21"/>
          <w:szCs w:val="21"/>
          <w:color w:val="auto"/>
        </w:rPr>
        <w:t xml:space="preserve">. Thomas Popp &amp; Company does not (a) own any assets (other than assets of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nature), (b) have any liabilities (other than intercompany liabilities which eliminate in the consolidation of Parent's financial statements, liabilities of a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nature or those subject to Permitted Protest), or (c) engage in any business activity</w:t>
      </w:r>
    </w:p>
    <w:p>
      <w:pPr>
        <w:spacing w:after="0" w:line="143" w:lineRule="exact"/>
        <w:rPr>
          <w:sz w:val="20"/>
          <w:szCs w:val="20"/>
          <w:color w:val="auto"/>
        </w:rPr>
      </w:pPr>
    </w:p>
    <w:p>
      <w:pPr>
        <w:ind w:left="1240" w:hanging="618"/>
        <w:spacing w:after="0"/>
        <w:tabs>
          <w:tab w:leader="none" w:pos="124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AFFIRMATIVE COVENANTS.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Each Borrower covenants and agrees that, until the termination of all of the Commitments and payment in full of the</w:t>
      </w:r>
    </w:p>
    <w:p>
      <w:pPr>
        <w:spacing w:after="0"/>
        <w:rPr>
          <w:sz w:val="20"/>
          <w:szCs w:val="20"/>
          <w:color w:val="auto"/>
        </w:rPr>
      </w:pPr>
      <w:r>
        <w:rPr>
          <w:rFonts w:ascii="Times New Roman" w:cs="Times New Roman" w:eastAsia="Times New Roman" w:hAnsi="Times New Roman"/>
          <w:sz w:val="21"/>
          <w:szCs w:val="21"/>
          <w:color w:val="auto"/>
        </w:rPr>
        <w:t>Obligations:</w:t>
      </w:r>
    </w:p>
    <w:p>
      <w:pPr>
        <w:spacing w:after="0" w:line="145" w:lineRule="exact"/>
        <w:rPr>
          <w:sz w:val="20"/>
          <w:szCs w:val="20"/>
          <w:color w:val="auto"/>
        </w:rPr>
      </w:pPr>
    </w:p>
    <w:p>
      <w:pPr>
        <w:jc w:val="both"/>
        <w:ind w:firstLine="619"/>
        <w:spacing w:after="0" w:line="217"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u w:val="single" w:color="auto"/>
          <w:color w:val="auto"/>
        </w:rPr>
        <w:t>Financial Statements, Reports, Certificates</w:t>
      </w:r>
      <w:r>
        <w:rPr>
          <w:rFonts w:ascii="Times New Roman" w:cs="Times New Roman" w:eastAsia="Times New Roman" w:hAnsi="Times New Roman"/>
          <w:sz w:val="21"/>
          <w:szCs w:val="21"/>
          <w:color w:val="auto"/>
        </w:rPr>
        <w:t xml:space="preserve">. Borrowers (a) will deliver to Agent, with copies to each Lender, each of the financial statements, reports, and other items set forth on </w:t>
      </w:r>
      <w:r>
        <w:rPr>
          <w:rFonts w:ascii="Times New Roman" w:cs="Times New Roman" w:eastAsia="Times New Roman" w:hAnsi="Times New Roman"/>
          <w:sz w:val="21"/>
          <w:szCs w:val="21"/>
          <w:u w:val="single" w:color="auto"/>
          <w:color w:val="auto"/>
        </w:rPr>
        <w:t>Schedule 5.1</w:t>
      </w:r>
      <w:r>
        <w:rPr>
          <w:rFonts w:ascii="Times New Roman" w:cs="Times New Roman" w:eastAsia="Times New Roman" w:hAnsi="Times New Roman"/>
          <w:sz w:val="21"/>
          <w:szCs w:val="21"/>
          <w:color w:val="auto"/>
        </w:rPr>
        <w:t xml:space="preserve"> to this Agreement no later than the times specified therein,</w:t>
      </w:r>
    </w:p>
    <w:p>
      <w:pPr>
        <w:spacing w:after="0" w:line="2" w:lineRule="exact"/>
        <w:rPr>
          <w:sz w:val="20"/>
          <w:szCs w:val="20"/>
          <w:color w:val="auto"/>
        </w:rPr>
      </w:pPr>
    </w:p>
    <w:p>
      <w:pPr>
        <w:jc w:val="both"/>
        <w:ind w:firstLine="3"/>
        <w:spacing w:after="0" w:line="212" w:lineRule="auto"/>
        <w:tabs>
          <w:tab w:leader="none" w:pos="31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 that no Subsidiary of a Loan Party will have a fiscal year different from that of Parent, (c) agree to maintain a system of accounting that enables Borrowers to produce financial statements in accordance with GAAP, and (d) agree that they will, and will cause each other Loan Party to, (i) keep a reporting system that shows all additions, sales, claims, returns, and allowances with respect to their and their Subsidiaries' sales, and (ii) maintain their billing systems and practices substantially as in effect as of the Closing Date and shall only make material modifications thereto with notice to, and with the consent of, Agent.</w:t>
      </w:r>
    </w:p>
    <w:p>
      <w:pPr>
        <w:spacing w:after="0" w:line="145"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u w:val="single" w:color="auto"/>
          <w:color w:val="auto"/>
        </w:rPr>
        <w:t>Reporting</w:t>
      </w:r>
      <w:r>
        <w:rPr>
          <w:rFonts w:ascii="Times New Roman" w:cs="Times New Roman" w:eastAsia="Times New Roman" w:hAnsi="Times New Roman"/>
          <w:sz w:val="21"/>
          <w:szCs w:val="21"/>
          <w:color w:val="auto"/>
        </w:rPr>
        <w:t xml:space="preserve">. Borrowers (a) will deliver to Agent (and if so requested by Agent, with copies for each Lender) each of the reports set forth on </w:t>
      </w:r>
      <w:r>
        <w:rPr>
          <w:rFonts w:ascii="Times New Roman" w:cs="Times New Roman" w:eastAsia="Times New Roman" w:hAnsi="Times New Roman"/>
          <w:sz w:val="21"/>
          <w:szCs w:val="21"/>
          <w:u w:val="single" w:color="auto"/>
          <w:color w:val="auto"/>
        </w:rPr>
        <w:t>Schedule 5.2</w:t>
      </w:r>
      <w:r>
        <w:rPr>
          <w:rFonts w:ascii="Times New Roman" w:cs="Times New Roman" w:eastAsia="Times New Roman" w:hAnsi="Times New Roman"/>
          <w:sz w:val="21"/>
          <w:szCs w:val="21"/>
          <w:color w:val="auto"/>
        </w:rPr>
        <w:t xml:space="preserve"> to this Agreement at the times specified therein, and (b) agree to use commercially reasonable efforts in cooperation with Agent to facilitate and implement a system of electronic collateral reporting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provide electronic reporting of each of the items set forth on such Schedule. Borrowers and Agent hereby agree that the delivery of the Borrowing Base Certificate through Agent's electronic platform or portal, subject to Agent's authentication process, by such other electronic method as may be approved by Agent from time to time in its sole discretion, or by such other electronic input of information necessary to calculate the Borrowing Bases as may be approved by Agent from time to time in its sole discretion, shall in each case be deemed to satisfy the obligation of Borrowers to deliver such Borrowing Base Certificate, with the same legal effect as if such Borrowing Base Certificate had been manually executed by Borrowers and delivered to Agent.</w:t>
      </w:r>
    </w:p>
    <w:p>
      <w:pPr>
        <w:spacing w:after="0" w:line="14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u w:val="single" w:color="auto"/>
          <w:color w:val="auto"/>
        </w:rPr>
        <w:t>Existence</w:t>
      </w:r>
      <w:r>
        <w:rPr>
          <w:rFonts w:ascii="Times New Roman" w:cs="Times New Roman" w:eastAsia="Times New Roman" w:hAnsi="Times New Roman"/>
          <w:sz w:val="21"/>
          <w:szCs w:val="21"/>
          <w:color w:val="auto"/>
        </w:rPr>
        <w:t xml:space="preserve">. Except as otherwise permitted under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each Loan Party will, and will cause each of its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41"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u w:val="single" w:color="auto"/>
          <w:color w:val="auto"/>
        </w:rPr>
        <w:t>Maintenance of Properties</w:t>
      </w:r>
      <w:r>
        <w:rPr>
          <w:rFonts w:ascii="Times New Roman" w:cs="Times New Roman" w:eastAsia="Times New Roman" w:hAnsi="Times New Roman"/>
          <w:sz w:val="21"/>
          <w:szCs w:val="21"/>
          <w:color w:val="auto"/>
        </w:rPr>
        <w:t>. Each Loan Party will, and will cause each of its Subsidiaries to, maintain and preserve all of its assets that are necessary or useful in the proper conduct of its business in good working order and condition, ordinary wear, tear, casualty, and condemnation and Permitted Dispositions excepted (and except where the failure to so maintain and preserve assets could not reasonably be expected to result in a Material Adverse Effect).</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241"/>
        <w:spacing w:after="0" w:line="225" w:lineRule="auto"/>
        <w:tabs>
          <w:tab w:leader="none" w:pos="1853"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will, and will cause each of its Subsidiaries to, pay in full before delinquency or before the expiration of any extension period all Taxes imposed, levied, or assessed against it, or any of its assets or in respect of any of its income, businesses, or franchises, other than to the extent that the validity of such Tax is the subject of a Permitted Protest.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will, and will cause of each of its Subsidiaries to, make timely payment or deposit of all tax payments and withholding taxes required of it and them by applicable laws, including those laws concerning F.I.C.A., F.U.T.A., state disability, and local, state, and federal income taxes, and will, upon request, furnish Lender with proof reasonably satisfactory to Lender indicating that such Loan Party and its Subsidiaries have made such payments or deposits.</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5" w:lineRule="auto"/>
        <w:tabs>
          <w:tab w:leader="none" w:pos="185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will, and will cause each of its Subsidiaries to, at Borrowers' expense, maintain insurance respecting each of each Loan Party's and its Subsidiaries'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acceptable to Agent (it being agreed that, as of the Closing Date, the Loan Parties' existing insurance providers as set forth in the certificates of insurance delivered to Agent on or about the Closing Date shall be deemed to be acceptable to Agent) and in such amounts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All property insurance policies are to be made payable to Agent for the benefit of Agent and the Lenders, as their interests may appear, in case of loss, pursuant to a standard lender's loss payable endorsement with a standard non-contributory "lender" or "secured party" clause and are to contain such other provisions as Agent may reasonably require to fully protect the Lenders' interest in the Collateral and to any payments to be made under such policies. All certificates of property and general liability insurance are to be delivered to Agent, with the lender's loss payable and additional insured endorsements in favor of Agent and shall provide for not less than thirty days (ten days in the case of non-payment) prior written notice to Agent of the exercise of any right of cancellation. If any Loan Party or its Subsidiaries fails to maintain such insurance, Agent may arrange for such insurance, but at Borrowers' expense and without any responsibility on Agent's part for obtaining the insurance, the solvency of the insurance companies, the adequacy of the coverage, or the collection of claims.</w:t>
      </w:r>
    </w:p>
    <w:p>
      <w:pPr>
        <w:spacing w:after="0" w:line="146" w:lineRule="exact"/>
        <w:rPr>
          <w:sz w:val="20"/>
          <w:szCs w:val="20"/>
          <w:color w:val="auto"/>
        </w:rPr>
      </w:pPr>
    </w:p>
    <w:p>
      <w:pPr>
        <w:jc w:val="both"/>
        <w:ind w:firstLine="1241"/>
        <w:spacing w:after="0" w:line="215" w:lineRule="auto"/>
        <w:tabs>
          <w:tab w:leader="none" w:pos="185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give Agent prompt notice of any loss exceeding $1,000,000 covered by the casualty or business interruption insurance of any Loan Party or its Subsidiaries.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area in which any Real Property that is subject to a Mortgage is located is designated a "flood hazard area" in any Flood Insurance Rate Map published by the Federal Emergency Management Agency (or any successor agency), obtain flood insurance in such total amount and on terms that are satisfactory to Agent and all Lenders from time to time, and otherwise comply with the Flood Laws or as is otherwise satisfactory to Agent and all Lenders.</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5.7.</w:t>
      </w:r>
      <w:r>
        <w:rPr>
          <w:sz w:val="20"/>
          <w:szCs w:val="20"/>
          <w:color w:val="auto"/>
        </w:rPr>
        <w:tab/>
      </w:r>
      <w:r>
        <w:rPr>
          <w:rFonts w:ascii="Times New Roman" w:cs="Times New Roman" w:eastAsia="Times New Roman" w:hAnsi="Times New Roman"/>
          <w:sz w:val="20"/>
          <w:szCs w:val="20"/>
          <w:b w:val="1"/>
          <w:bCs w:val="1"/>
          <w:u w:val="single" w:color="auto"/>
          <w:color w:val="auto"/>
        </w:rPr>
        <w:t>Inspection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3" w:lineRule="auto"/>
        <w:tabs>
          <w:tab w:leader="none" w:pos="185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authorized representative of a Borrower shall be allowed to be present) at such reasonable times and intervals as Agent or any Lender, as applicable, may designate and, so long as no Default or Event of Default has occurred and is continuing, with reasonable prior notice to Borrowers and during regular business hours, at Borrowers' expense in accordance with the provisions of the Fee Letter, subject to the limitations set forth below in </w:t>
      </w:r>
      <w:r>
        <w:rPr>
          <w:rFonts w:ascii="Times New Roman" w:cs="Times New Roman" w:eastAsia="Times New Roman" w:hAnsi="Times New Roman"/>
          <w:sz w:val="21"/>
          <w:szCs w:val="21"/>
          <w:u w:val="single" w:color="auto"/>
          <w:color w:val="auto"/>
        </w:rPr>
        <w:t>Section 5.7(c)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86" w:lineRule="exact"/>
        <w:rPr>
          <w:sz w:val="20"/>
          <w:szCs w:val="20"/>
          <w:color w:val="auto"/>
        </w:rPr>
      </w:pPr>
    </w:p>
    <w:p>
      <w:pPr>
        <w:jc w:val="both"/>
        <w:ind w:firstLine="1241"/>
        <w:spacing w:after="0" w:line="220" w:lineRule="auto"/>
        <w:tabs>
          <w:tab w:leader="none" w:pos="185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Loan Party will, and will cause each of its Subsidiaries to, permit Agent and each of its duly authorized representatives or agents to conduct field examinations, appraisals or valuations at such reasonable times and intervals as Agent may designate, at Borrowers' expense in accordance with the provisions of the Fee Letter, subject to the limitations set forth below in </w:t>
      </w:r>
      <w:r>
        <w:rPr>
          <w:rFonts w:ascii="Times New Roman" w:cs="Times New Roman" w:eastAsia="Times New Roman" w:hAnsi="Times New Roman"/>
          <w:sz w:val="21"/>
          <w:szCs w:val="21"/>
          <w:u w:val="single" w:color="auto"/>
          <w:color w:val="auto"/>
        </w:rPr>
        <w:t>Section 5.7(c)</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3"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Event of Default shall have occurred and be continuing during a calendar year, Borrowers shall not be obligated to reimburse Agent for more than 1 field examination in such calendar year (increasing to 2 field examinations if an Increased Reporting Event has occurred during such calendar year), 1 Inventory appraisal in such calendar year (the first Inventory appraisal following the Closing Date shall be due on or before May 31, 2022 (or such later date as Agent may agree in its sole discretion) (increasing to 2 Inventory appraisals if an Increased Reporting Event has occurred and Eligible Inventory is included in the Borrowing Base during such calendar year), 1 Equipment appraisal in such calendar year at all times after the Fixed Asset Availability is greater than $0 and included in the Borrowing Base Certificate (increasing to 2 Equipment appraisals if an Increased Reporting Event has occurred during such calendar year), in each case, except for field examinations and appraisals conducted in connection with a proposed Permitted Acquisition (whether or not consummated).</w:t>
      </w:r>
    </w:p>
    <w:p>
      <w:pPr>
        <w:spacing w:after="0" w:line="148"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Each Loan Party will, and will cause each of its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41"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21"/>
          <w:szCs w:val="21"/>
          <w:color w:val="auto"/>
        </w:rPr>
        <w:t>5.9.</w:t>
      </w:r>
      <w:r>
        <w:rPr>
          <w:sz w:val="20"/>
          <w:szCs w:val="20"/>
          <w:color w:val="auto"/>
        </w:rPr>
        <w:tab/>
      </w:r>
      <w:r>
        <w:rPr>
          <w:rFonts w:ascii="Times New Roman" w:cs="Times New Roman" w:eastAsia="Times New Roman" w:hAnsi="Times New Roman"/>
          <w:sz w:val="20"/>
          <w:szCs w:val="20"/>
          <w:b w:val="1"/>
          <w:bCs w:val="1"/>
          <w:u w:val="single" w:color="auto"/>
          <w:color w:val="auto"/>
        </w:rPr>
        <w:t>Environmental</w:t>
      </w:r>
      <w:r>
        <w:rPr>
          <w:rFonts w:ascii="Times New Roman" w:cs="Times New Roman" w:eastAsia="Times New Roman" w:hAnsi="Times New Roman"/>
          <w:sz w:val="20"/>
          <w:szCs w:val="20"/>
          <w:color w:val="auto"/>
        </w:rPr>
        <w:t>. Each Loan Party will, and will cause each of its Subsidiaries to,</w:t>
      </w:r>
    </w:p>
    <w:p>
      <w:pPr>
        <w:spacing w:after="0" w:line="175" w:lineRule="exact"/>
        <w:rPr>
          <w:sz w:val="20"/>
          <w:szCs w:val="20"/>
          <w:color w:val="auto"/>
        </w:rPr>
      </w:pPr>
    </w:p>
    <w:p>
      <w:pPr>
        <w:jc w:val="both"/>
        <w:ind w:firstLine="1241"/>
        <w:spacing w:after="0" w:line="225" w:lineRule="auto"/>
        <w:tabs>
          <w:tab w:leader="none" w:pos="185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Keep any property either owned or operated by any Loan Party or its Subsidiaries free of any Environmental Liens or post bonds or other financial assurances sufficient to satisfy the obligations or liability evidenced by such Environmental Liens,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in all material respects, with Environmental Laws and provide to Agent documentation of such compliance which Agent reasonably requests,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notify Agent of any release of which any Loan Party has knowledge of a Hazardous Material in any reportable quantity from or onto property owned or operated by any Loan Party or its Subsidiaries and take any Remedial Actions required to abate said release or otherwise to come into compliance, in all material respects, with applicable Environmental Law,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but in any event within five Business Days of its receipt thereof, provide Agent with written notice of any of the following: (i) notice that an Environmental Lien has been filed against any of the real or personal property of a Loan Party or its Subsidiaries, (ii) commencement of any Environmental Action or written notice that an Environmental Action will be filed against a Loan Party or its Subsidiaries, and (iii) written notice of a violation, citation, or other administrative order from a Governmental Authority.</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0"/>
          <w:szCs w:val="20"/>
          <w:b w:val="1"/>
          <w:bCs w:val="1"/>
          <w:u w:val="single" w:color="auto"/>
          <w:color w:val="auto"/>
        </w:rPr>
        <w:t>Disclosure Updates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86" w:lineRule="exact"/>
        <w:rPr>
          <w:sz w:val="20"/>
          <w:szCs w:val="20"/>
          <w:color w:val="auto"/>
        </w:rPr>
      </w:pPr>
    </w:p>
    <w:p>
      <w:pPr>
        <w:jc w:val="both"/>
        <w:ind w:firstLine="1241"/>
        <w:spacing w:after="0" w:line="225" w:lineRule="auto"/>
        <w:tabs>
          <w:tab w:leader="none" w:pos="185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promptly and in no event later than five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50" w:lineRule="exact"/>
        <w:rPr>
          <w:rFonts w:ascii="Times New Roman" w:cs="Times New Roman" w:eastAsia="Times New Roman" w:hAnsi="Times New Roman"/>
          <w:sz w:val="20"/>
          <w:szCs w:val="20"/>
          <w:color w:val="auto"/>
        </w:rPr>
      </w:pPr>
    </w:p>
    <w:p>
      <w:pPr>
        <w:jc w:val="both"/>
        <w:ind w:firstLine="1241"/>
        <w:spacing w:after="0" w:line="209" w:lineRule="auto"/>
        <w:tabs>
          <w:tab w:leader="none" w:pos="185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with respect to any Account included in the Borrowing Base that would become a Bonded Account upon the issuance of a proposed Surety Bond, at least five (5) days prior to any request by any Loan Party for the issuance of a Surety Bond from any Surety, notice of such Loan Party's intent to request the issuance of such Surety Bond from such Surety, which notice shall be in form and substance satisfactory to Agent and in any event shall include, without limitation, (A) the name of the Loan Party requesting such Surety Bond, (B) the project related to such proposed Surety Bond, (C) the name and address of the obligee under such proposed Surety Bond, and (D) a certification by a senior officer of the Parent that (1) the information contained in such notice is true and correct and (2) no Account included in the Borrowing Base at the time of such notice would become a Bonded Account upon the issuance of such proposed Surety Bond; provided, however, if any Account included in the Borrowing Base at the time of such notice would become a Bonded Account upon the issuance of such proposed Surety Bond, then, in lieu of providing the certification described in clause (D)(2) above, such senior officer of the Parent may provide an updated Borrowing Base Certificate that reflects the exclusion of such Account from the Borrowing Base and certifies that the sum of all outstanding Borrowings at the time of such notice does not exceed the Borrowing Base as calculated pursuant to such updated Borrowing Base Certificate and (ii) on the fifth day of each month, notice of all Surety Bonds issued at the request of any Loan Party during the prior month. Further, with respect to each Surety, Borrowers shall deliver to Agent a fully executed intercreditor agreement, in form and substance satisfactory to Agent in its sole discretion.</w:t>
      </w:r>
    </w:p>
    <w:p>
      <w:pPr>
        <w:spacing w:after="0" w:line="14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b w:val="1"/>
          <w:bCs w:val="1"/>
          <w:u w:val="single" w:color="auto"/>
          <w:color w:val="auto"/>
        </w:rPr>
        <w:t>Formation of Subsidiaries</w:t>
      </w:r>
      <w:r>
        <w:rPr>
          <w:rFonts w:ascii="Times New Roman" w:cs="Times New Roman" w:eastAsia="Times New Roman" w:hAnsi="Times New Roman"/>
          <w:sz w:val="21"/>
          <w:szCs w:val="21"/>
          <w:color w:val="auto"/>
        </w:rPr>
        <w:t>. Each Loan Party will, at the time that any Loan Party forms any direct or indirect Subsidiary, acquires any direct or indirect Subsidiary after the Closing Date, within ten days of such event (or such later date as permitted by Agent in its sole discretion) (a) cause such new Subsidiary (i) to be joined as a Borrower hereunder, to provide to Agent a Joinder to this Agreement, and (ii) to provide to Agent a joinder to the Guaranty and Security Agreement, in each case, together with such other security agreements (including Mortgages requested by Agent in its Permitted Discretion with respect to any Real Property owned in fee of such new Subsidiary with a fair market value of greater than $5,000,000),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(which pledge, if reasonably requested by Agent, shall be governed by the laws of the jurisdiction of such Subsidiary), and (c) provide to Agent all other documentation, including the Governing Documents of such Subsidiary and one or more opinions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reasonably satisfactory to Agent, which, in its opinion, is appropriate with respect to the execution and delivery of the applicable documentation referred to above (including policies of title insurance, flood certification documentation or other documentation with respect to all Real Property owned in fee and subject to a mortgage). Any document, agreement, or instrument executed or issued pursuant to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shall constitute a Loan Document.</w:t>
      </w:r>
    </w:p>
    <w:p>
      <w:pPr>
        <w:spacing w:after="0" w:line="142" w:lineRule="exact"/>
        <w:rPr>
          <w:sz w:val="20"/>
          <w:szCs w:val="20"/>
          <w:color w:val="auto"/>
        </w:rPr>
      </w:pPr>
    </w:p>
    <w:p>
      <w:pPr>
        <w:jc w:val="both"/>
        <w:ind w:firstLine="619"/>
        <w:spacing w:after="0" w:line="207"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Times New Roman" w:cs="Times New Roman" w:eastAsia="Times New Roman" w:hAnsi="Times New Roman"/>
          <w:sz w:val="21"/>
          <w:szCs w:val="21"/>
          <w:u w:val="single" w:color="auto"/>
          <w:color w:val="auto"/>
        </w:rPr>
        <w:t>Additional Documents</w:t>
      </w:r>
      <w:r>
        <w:rPr>
          <w:rFonts w:ascii="Times New Roman" w:cs="Times New Roman" w:eastAsia="Times New Roman" w:hAnsi="Times New Roman"/>
          <w:sz w:val="21"/>
          <w:szCs w:val="21"/>
          <w:color w:val="auto"/>
        </w:rPr>
        <w:t xml:space="preserve">")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any assets expressly excluded from the Collateral (as defined in the Guaranty and Security Agreement)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the Guaranty and Security Agreement), to create and perfect Liens in favor of Agent (if requested by Agent in its Permitted Discretion) in any Real Property acquired by any other Loan Party with a fair market value in excess of $5,000,000, and in order to fully consummate all of the transactions contemplated hereby and under the other Loan Documents. To the maximum extent permitted by applicable law, if any Borrower or any other Loan Party refuses or fails to execute or deliver any reasonably requested Additional Documents within a reasonable period of time not to exceed 5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guaranteed by the Guarantors and are secured by substantially all of the assets of the Loan Parties, including all of the outstanding capital Equity Interests of each Borrower and its Subsidiaries (in each case, other than with respect to any assets expressly excluded from the Collateral (as defined in the Guaranty and Security Agreement) pursuant to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of the Guaranty and Security Agreement). Notwithstanding anything to the contrary contained herein (including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hereof and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or in any other Loan Document, (x) Agent shall not accept delivery of any Mortgage from any Loan Party unless each of the Lenders has received 45 days prior written notice thereof and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 and (y) Agent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Agent has completed its Patriot Act searches, OFAC/PEP searches and customary individual background checks for such Subsidiary, the results of which shall be satisfactory to Agent.</w:t>
      </w:r>
    </w:p>
    <w:p>
      <w:pPr>
        <w:spacing w:after="0" w:line="15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5.13.</w:t>
      </w:r>
      <w:r>
        <w:rPr>
          <w:sz w:val="20"/>
          <w:szCs w:val="20"/>
          <w:color w:val="auto"/>
        </w:rPr>
        <w:tab/>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82"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 xml:space="preserve">5.14. </w:t>
      </w:r>
      <w:r>
        <w:rPr>
          <w:rFonts w:ascii="Times New Roman" w:cs="Times New Roman" w:eastAsia="Times New Roman" w:hAnsi="Times New Roman"/>
          <w:sz w:val="21"/>
          <w:szCs w:val="21"/>
          <w:b w:val="1"/>
          <w:bCs w:val="1"/>
          <w:u w:val="single" w:color="auto"/>
          <w:color w:val="auto"/>
        </w:rPr>
        <w:t>Location of Inventory and Equipment; Chief Executive Office</w:t>
      </w:r>
      <w:r>
        <w:rPr>
          <w:rFonts w:ascii="Times New Roman" w:cs="Times New Roman" w:eastAsia="Times New Roman" w:hAnsi="Times New Roman"/>
          <w:sz w:val="21"/>
          <w:szCs w:val="21"/>
          <w:color w:val="auto"/>
        </w:rPr>
        <w:t xml:space="preserve">. Except for Inventory and Equipment out for repair, each Loan Party will, and will cause each of its Subsidiaries to, keep (a) their Inventory and Equipment included in the Borrowing Base only at the locations identified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(provided that Borrowers may amend or update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 so long as such amendment occurs by written notice to Agent not less than ten (10) days prior to the date on which such Inventory or Equipment are moved to such new location, and, if Agent so requires, so long as, at the time of such written notification, the applicable Loan Party or Subsidiary provides Agent a Collateral Access Agreement with respect thereto if such location is not owned by such Loan Party, and (b) their respective chief executive offices only at the locations identified on Schedule 7 to the Guaranty and Security Agreement. Each Loan Party will, and will cause each of its Subsidiaries to, use their commercially reasonable efforts to obtain Collateral Access Agreements for each of the locations identified on </w:t>
      </w:r>
      <w:r>
        <w:rPr>
          <w:rFonts w:ascii="Times New Roman" w:cs="Times New Roman" w:eastAsia="Times New Roman" w:hAnsi="Times New Roman"/>
          <w:sz w:val="21"/>
          <w:szCs w:val="21"/>
          <w:u w:val="single" w:color="auto"/>
          <w:color w:val="auto"/>
        </w:rPr>
        <w:t>Schedule 7</w:t>
      </w:r>
      <w:r>
        <w:rPr>
          <w:rFonts w:ascii="Times New Roman" w:cs="Times New Roman" w:eastAsia="Times New Roman" w:hAnsi="Times New Roman"/>
          <w:sz w:val="21"/>
          <w:szCs w:val="21"/>
          <w:color w:val="auto"/>
        </w:rPr>
        <w:t xml:space="preserve"> to the Guaranty and Security Agreement and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to this Agreement.</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5.15. </w:t>
      </w:r>
      <w:r>
        <w:rPr>
          <w:rFonts w:ascii="Times New Roman" w:cs="Times New Roman" w:eastAsia="Times New Roman" w:hAnsi="Times New Roman"/>
          <w:sz w:val="21"/>
          <w:szCs w:val="21"/>
          <w:b w:val="1"/>
          <w:bCs w:val="1"/>
          <w:u w:val="single" w:color="auto"/>
          <w:color w:val="auto"/>
        </w:rPr>
        <w:t>OFAC; Sanctions; Anti-Corruption Laws; Anti-Money Laundering Laws</w:t>
      </w:r>
      <w:r>
        <w:rPr>
          <w:rFonts w:ascii="Times New Roman" w:cs="Times New Roman" w:eastAsia="Times New Roman" w:hAnsi="Times New Roman"/>
          <w:sz w:val="21"/>
          <w:szCs w:val="21"/>
          <w:color w:val="auto"/>
        </w:rPr>
        <w:t>. Each Loan Party will, and will cause each of its Subsidiaries to, comply with all applicable Sanctions, Anti-Corruption Laws and Anti-Money Laundering Laws. Each of the Loan Parties and its Subsidiaries shall implement and maintain in effect policies and procedures reasonably designed to ensure compliance by the Loan Parties and their Subsidiaries and their respective directors, officers, employees, agents and Affiliates with Sanctions, Anti-Corruption Laws and Anti-Money Laundering Laws.</w:t>
      </w:r>
    </w:p>
    <w:p>
      <w:pPr>
        <w:spacing w:after="0" w:line="141"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5.16. </w:t>
      </w:r>
      <w:r>
        <w:rPr>
          <w:rFonts w:ascii="Times New Roman" w:cs="Times New Roman" w:eastAsia="Times New Roman" w:hAnsi="Times New Roman"/>
          <w:sz w:val="21"/>
          <w:szCs w:val="21"/>
          <w:b w:val="1"/>
          <w:bCs w:val="1"/>
          <w:u w:val="single" w:color="auto"/>
          <w:color w:val="auto"/>
        </w:rPr>
        <w:t>Material Contracts</w:t>
      </w:r>
      <w:r>
        <w:rPr>
          <w:rFonts w:ascii="Times New Roman" w:cs="Times New Roman" w:eastAsia="Times New Roman" w:hAnsi="Times New Roman"/>
          <w:sz w:val="21"/>
          <w:szCs w:val="21"/>
          <w:color w:val="auto"/>
        </w:rPr>
        <w:t xml:space="preserve">. Contemporaneously with the delivery of each Compliance Certificate pursuant to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provide Agent with copies of (a) each Material Contract entered into since the delivery of the previous Compliance Certificate, (b) each material amendment or modification of any Material Contract entered into since the delivery of the previous Compliance Certificate;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public filing of such contracts with the SEC shall satisfy any such delivery requirement. Borrowers shall maintain all Material Contracts in full force and effect and shall not default in any material respect in the payment or performance of any obligations thereunder.</w:t>
      </w:r>
    </w:p>
    <w:p>
      <w:pPr>
        <w:spacing w:after="0" w:line="146" w:lineRule="exact"/>
        <w:rPr>
          <w:sz w:val="20"/>
          <w:szCs w:val="20"/>
          <w:color w:val="auto"/>
        </w:rPr>
      </w:pPr>
    </w:p>
    <w:p>
      <w:pPr>
        <w:ind w:left="1240" w:hanging="618"/>
        <w:spacing w:after="0"/>
        <w:tabs>
          <w:tab w:leader="none" w:pos="1240" w:val="left"/>
        </w:tabs>
        <w:numPr>
          <w:ilvl w:val="0"/>
          <w:numId w:val="1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NEGATIVE COVENANTS.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Each Borrower covenants and agrees that, until the termination of all of the Commitments and the payment in full of the</w:t>
      </w:r>
    </w:p>
    <w:p>
      <w:pPr>
        <w:spacing w:after="0"/>
        <w:rPr>
          <w:sz w:val="20"/>
          <w:szCs w:val="20"/>
          <w:color w:val="auto"/>
        </w:rPr>
      </w:pPr>
      <w:r>
        <w:rPr>
          <w:rFonts w:ascii="Times New Roman" w:cs="Times New Roman" w:eastAsia="Times New Roman" w:hAnsi="Times New Roman"/>
          <w:sz w:val="21"/>
          <w:szCs w:val="21"/>
          <w:color w:val="auto"/>
        </w:rPr>
        <w:t>Obligations:</w:t>
      </w:r>
    </w:p>
    <w:p>
      <w:pPr>
        <w:spacing w:after="0" w:line="145"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color w:val="auto"/>
        </w:rPr>
        <w:t>. Each Loan Party will not, and will not permit any of its Subsidiaries to, create, incur, assume, suffer to exist, guarantee, or otherwise become or remain, directly or indirectly, liable with respect to any Indebtedness, except for Permitted Indebtedness.</w:t>
      </w:r>
    </w:p>
    <w:p>
      <w:pPr>
        <w:spacing w:after="0" w:line="143"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u w:val="single" w:color="auto"/>
          <w:color w:val="auto"/>
        </w:rPr>
        <w:t>Liens</w:t>
      </w:r>
      <w:r>
        <w:rPr>
          <w:rFonts w:ascii="Times New Roman" w:cs="Times New Roman" w:eastAsia="Times New Roman" w:hAnsi="Times New Roman"/>
          <w:sz w:val="21"/>
          <w:szCs w:val="21"/>
          <w:color w:val="auto"/>
        </w:rPr>
        <w:t>. Each Loan Party will not, and will not permit any of its Subsidiaries to, create, incur, assume, or suffer to exist, directly or indirectly, any Lien on or with respect to any of its assets, of any kind, whether now owned or hereafter acquired, or any income or profits therefrom, except for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8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0"/>
          <w:szCs w:val="20"/>
          <w:b w:val="1"/>
          <w:bCs w:val="1"/>
          <w:u w:val="single" w:color="auto"/>
          <w:color w:val="auto"/>
        </w:rPr>
        <w:t>Restrictions on Fundamental Changes</w:t>
      </w:r>
      <w:r>
        <w:rPr>
          <w:rFonts w:ascii="Times New Roman" w:cs="Times New Roman" w:eastAsia="Times New Roman" w:hAnsi="Times New Roman"/>
          <w:sz w:val="20"/>
          <w:szCs w:val="20"/>
          <w:color w:val="auto"/>
        </w:rPr>
        <w:t>. Each Loan Party will not, and will not permit any of its Subsidiaries to,</w:t>
      </w:r>
    </w:p>
    <w:p>
      <w:pPr>
        <w:spacing w:after="0" w:line="175" w:lineRule="exact"/>
        <w:rPr>
          <w:sz w:val="20"/>
          <w:szCs w:val="20"/>
          <w:color w:val="auto"/>
        </w:rPr>
      </w:pPr>
    </w:p>
    <w:p>
      <w:pPr>
        <w:jc w:val="both"/>
        <w:ind w:firstLine="1241"/>
        <w:spacing w:after="0" w:line="217" w:lineRule="auto"/>
        <w:tabs>
          <w:tab w:leader="none" w:pos="1853"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Enter into any merger, consolidation, reorganization, or recapitalization, or reclassify its Equity Interests, except for (i) any merger between Loan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Borrower must be the surviving entity of any such merger to which it is a party, (ii) any merger between a Loan Party and a Subsidiary of such Loan Party that is not a Loan Party so long as such Loan Party is the surviving entity of any such merger, (iii) any merger between Subsidiaries of any Loan Party that are not Loan Parties, and (iv) any Permitted Acquisition structured as a merger, consolidation, reorganization, or recapitalization,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4" w:lineRule="auto"/>
        <w:tabs>
          <w:tab w:leader="none" w:pos="185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liquidate, wind up, or dissolve itself (or suffer any liquidation or dissolution), except for (i) the liquidation or dissolution of non-operating Subsidiaries of any Loan Party with nominal assets and nominal liabilities, (ii) the liquidation or dissolution of a Loan Party (other than any Borrower) or any of its wholly-owned Subsidiaries so long as all of the assets (including any interest in any Equity Interests) of such liquidating or dissolving Loan Party or Subsidiary are transferred to a Loan Party that is not liquidating or dissolving, or (iii) the liquidation or dissolution of a Subsidiary of any Loan Party that is not a Loan Party (other than any such Subsidiary the Equity Interests of which (or any portion thereof) is subject to a Lien in favor of Agent) so long as all of the assets of such liquidating or dissolving Subsidiary are transferred to a Subsidiary of a Loan Party that is not liquidating or dissolving,</w:t>
      </w:r>
    </w:p>
    <w:p>
      <w:pPr>
        <w:spacing w:after="0" w:line="134" w:lineRule="exact"/>
        <w:rPr>
          <w:rFonts w:ascii="Times New Roman" w:cs="Times New Roman" w:eastAsia="Times New Roman" w:hAnsi="Times New Roman"/>
          <w:sz w:val="20"/>
          <w:szCs w:val="20"/>
          <w:color w:val="auto"/>
        </w:rPr>
      </w:pPr>
    </w:p>
    <w:p>
      <w:pPr>
        <w:ind w:left="1860" w:hanging="619"/>
        <w:spacing w:after="0"/>
        <w:tabs>
          <w:tab w:leader="none" w:pos="186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suspend or cease operating a substantial portion of its or their business, except as permitted pursuant to clauses</w:t>
      </w:r>
    </w:p>
    <w:p>
      <w:pPr>
        <w:ind w:left="280" w:hanging="277"/>
        <w:spacing w:after="0"/>
        <w:tabs>
          <w:tab w:leader="none" w:pos="28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(b) above or in connection with a transaction permitted under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or</w:t>
      </w:r>
    </w:p>
    <w:p>
      <w:pPr>
        <w:spacing w:after="0" w:line="149"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its classification/status for U.S. federal income tax purposes.</w:t>
      </w:r>
    </w:p>
    <w:p>
      <w:pPr>
        <w:spacing w:after="0" w:line="167"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b w:val="1"/>
          <w:bCs w:val="1"/>
          <w:u w:val="single" w:color="auto"/>
          <w:color w:val="auto"/>
        </w:rPr>
        <w:t>Disposal of Assets</w:t>
      </w:r>
      <w:r>
        <w:rPr>
          <w:rFonts w:ascii="Times New Roman" w:cs="Times New Roman" w:eastAsia="Times New Roman" w:hAnsi="Times New Roman"/>
          <w:sz w:val="21"/>
          <w:szCs w:val="21"/>
          <w:color w:val="auto"/>
        </w:rPr>
        <w:t xml:space="preserve">. Other than Permitted Dispositions or transactions expressly permitted by </w:t>
      </w:r>
      <w:r>
        <w:rPr>
          <w:rFonts w:ascii="Times New Roman" w:cs="Times New Roman" w:eastAsia="Times New Roman" w:hAnsi="Times New Roman"/>
          <w:sz w:val="21"/>
          <w:szCs w:val="21"/>
          <w:u w:val="single" w:color="auto"/>
          <w:color w:val="auto"/>
        </w:rPr>
        <w:t>Sections 6.3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6.9</w:t>
      </w:r>
      <w:r>
        <w:rPr>
          <w:rFonts w:ascii="Times New Roman" w:cs="Times New Roman" w:eastAsia="Times New Roman" w:hAnsi="Times New Roman"/>
          <w:sz w:val="21"/>
          <w:szCs w:val="21"/>
          <w:color w:val="auto"/>
        </w:rPr>
        <w:t>, each Loan Party will not, and will not permit any of its Subsidiaries to, convey, sell, lease, license, assign, transfer, or otherwise dispose of any of its or their assets (including by an allocation of assets among newly divided limited liability companies pursuant to a "plan of division").</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b w:val="1"/>
          <w:bCs w:val="1"/>
          <w:u w:val="single" w:color="auto"/>
          <w:color w:val="auto"/>
        </w:rPr>
        <w:t>Nature of Business</w:t>
      </w:r>
      <w:r>
        <w:rPr>
          <w:rFonts w:ascii="Times New Roman" w:cs="Times New Roman" w:eastAsia="Times New Roman" w:hAnsi="Times New Roman"/>
          <w:sz w:val="21"/>
          <w:szCs w:val="21"/>
          <w:color w:val="auto"/>
        </w:rPr>
        <w:t xml:space="preserve">. Each Loan Party will not, and will not permit any of its Subsidiaries to, make any change in the nature of its or their business as described in </w:t>
      </w:r>
      <w:r>
        <w:rPr>
          <w:rFonts w:ascii="Times New Roman" w:cs="Times New Roman" w:eastAsia="Times New Roman" w:hAnsi="Times New Roman"/>
          <w:sz w:val="21"/>
          <w:szCs w:val="21"/>
          <w:u w:val="single" w:color="auto"/>
          <w:color w:val="auto"/>
        </w:rPr>
        <w:t>Schedule 6.5</w:t>
      </w:r>
      <w:r>
        <w:rPr>
          <w:rFonts w:ascii="Times New Roman" w:cs="Times New Roman" w:eastAsia="Times New Roman" w:hAnsi="Times New Roman"/>
          <w:sz w:val="21"/>
          <w:szCs w:val="21"/>
          <w:color w:val="auto"/>
        </w:rPr>
        <w:t xml:space="preserve"> to this Agreement or acquire any properties or assets that are not reasonably related to the conduct of such business activities;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prevent any Loan Party and its Subsidiaries from engaging in any business that is reasonably related or ancillary to their business.</w:t>
      </w:r>
    </w:p>
    <w:p>
      <w:pPr>
        <w:spacing w:after="0" w:line="142"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color w:val="auto"/>
        </w:rPr>
        <w:t>6.6.</w:t>
      </w:r>
      <w:r>
        <w:rPr>
          <w:sz w:val="20"/>
          <w:szCs w:val="20"/>
          <w:color w:val="auto"/>
        </w:rPr>
        <w:tab/>
      </w:r>
      <w:r>
        <w:rPr>
          <w:rFonts w:ascii="Times New Roman" w:cs="Times New Roman" w:eastAsia="Times New Roman" w:hAnsi="Times New Roman"/>
          <w:sz w:val="20"/>
          <w:szCs w:val="20"/>
          <w:b w:val="1"/>
          <w:bCs w:val="1"/>
          <w:u w:val="single" w:color="auto"/>
          <w:color w:val="auto"/>
        </w:rPr>
        <w:t>Prepayments and Amendments</w:t>
      </w:r>
      <w:r>
        <w:rPr>
          <w:rFonts w:ascii="Times New Roman" w:cs="Times New Roman" w:eastAsia="Times New Roman" w:hAnsi="Times New Roman"/>
          <w:sz w:val="20"/>
          <w:szCs w:val="20"/>
          <w:color w:val="auto"/>
        </w:rPr>
        <w:t>. Each Loan Party will not, and will not permit any of its Subsidiaries to,</w:t>
      </w:r>
    </w:p>
    <w:p>
      <w:pPr>
        <w:spacing w:after="0" w:line="175" w:lineRule="exact"/>
        <w:rPr>
          <w:sz w:val="20"/>
          <w:szCs w:val="20"/>
          <w:color w:val="auto"/>
        </w:rPr>
      </w:pPr>
    </w:p>
    <w:p>
      <w:pPr>
        <w:ind w:left="1860" w:hanging="619"/>
        <w:spacing w:after="0"/>
        <w:tabs>
          <w:tab w:leader="none" w:pos="186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connection with Refinancing Indebtedness permitted by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optionally prepay, redeem, defease, purchase, or otherwise acquire any Indebtedness of any Loan Party or its Subsidiaries, other than (A) the Obligations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accordance with this Agreement, (B) Permitted Intercompany Advances, (C) other Indebtedness in an aggregate amount not to exceed $1,000,000 in any one fiscal year, or (D) other Indebtedness so long as the Payment Conditions are satisfied, or</w:t>
      </w:r>
    </w:p>
    <w:p>
      <w:pPr>
        <w:spacing w:after="0" w:line="146" w:lineRule="exact"/>
        <w:rPr>
          <w:sz w:val="20"/>
          <w:szCs w:val="20"/>
          <w:color w:val="auto"/>
        </w:rPr>
      </w:pPr>
    </w:p>
    <w:p>
      <w:pPr>
        <w:ind w:firstLine="1860"/>
        <w:spacing w:after="0" w:line="235" w:lineRule="auto"/>
        <w:tabs>
          <w:tab w:leader="none" w:pos="2469"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amend, modify, or change any of the terms or provisions of:</w:t>
      </w:r>
    </w:p>
    <w:p>
      <w:pPr>
        <w:spacing w:after="0" w:line="171"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agreement, instrument, document, indenture, or other writing evidencing or concerning Permitted Indebtedness other than (A) the Obligations in accordance with this Agreement, (B) Hedge Obligations, (C) Permitted Intercompany Advances, and (D) Indebtedness permitted under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of the definition of Permitted Indebtedness, or</w:t>
      </w:r>
    </w:p>
    <w:p>
      <w:pPr>
        <w:spacing w:after="0" w:line="146" w:lineRule="exact"/>
        <w:rPr>
          <w:sz w:val="20"/>
          <w:szCs w:val="20"/>
          <w:color w:val="auto"/>
        </w:rPr>
      </w:pPr>
    </w:p>
    <w:p>
      <w:pPr>
        <w:ind w:firstLine="1860"/>
        <w:spacing w:after="0" w:line="235" w:lineRule="auto"/>
        <w:tabs>
          <w:tab w:leader="none" w:pos="246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Governing Documents of any Loan Party or any of its Subsidiaries if the effect thereof, either individually or in the aggregate, could reasonably be expected to be materially adverse to the interests of the Lenders.</w:t>
      </w:r>
    </w:p>
    <w:p>
      <w:pPr>
        <w:spacing w:after="0" w:line="142"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b w:val="1"/>
          <w:bCs w:val="1"/>
          <w:u w:val="single" w:color="auto"/>
          <w:color w:val="auto"/>
        </w:rPr>
        <w:t>Restricted Payments</w:t>
      </w:r>
      <w:r>
        <w:rPr>
          <w:rFonts w:ascii="Times New Roman" w:cs="Times New Roman" w:eastAsia="Times New Roman" w:hAnsi="Times New Roman"/>
          <w:sz w:val="21"/>
          <w:szCs w:val="21"/>
          <w:color w:val="auto"/>
        </w:rPr>
        <w:t xml:space="preserve">. Each Loan Party will not, and will not permit any of its Subsidiaries to, make any Restricted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so long as it is permitted by law:</w:t>
      </w:r>
    </w:p>
    <w:p>
      <w:pPr>
        <w:spacing w:after="0" w:line="146" w:lineRule="exact"/>
        <w:rPr>
          <w:sz w:val="20"/>
          <w:szCs w:val="20"/>
          <w:color w:val="auto"/>
        </w:rPr>
      </w:pPr>
    </w:p>
    <w:p>
      <w:pPr>
        <w:jc w:val="both"/>
        <w:ind w:firstLine="1241"/>
        <w:spacing w:after="0" w:line="220" w:lineRule="auto"/>
        <w:tabs>
          <w:tab w:leader="none" w:pos="185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Borrower is a "pass-through" tax entity for United States federal income tax purposes, and after first providing such supporting documentation as Agent may request (including the state and federal tax returns (and all related schedules) of each owner of Equity Interests in such Borrower, such Borrower may declare and pay Pass-Through Tax Liabilities, net of any prior year loss carry-forwards,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shall have occurred and be continuing or would result therefrom, and for the 30 day period prior to and immediately after giving effect to such Restricted Payment, Borrowers have Liquidity of at least the greater of (i) fifteen percent (15%) of the Maximum Revolver Amount and (ii) $22,500,000:</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3"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repurchases of Equity Interests issued by Parent solely to satisfy federal income tax withholding obligations of employees with respect to stock-based compensation issued to them in accordance with applicable compensation plans shall not be deemed a Restricted Payment so long as such repurchases are made in the ordinary course of business and in an aggregate amount not to exceed $10,000,000 in any fiscal year of Borrowers,</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after the Closing Date, Parent may repurchase shares of Equity Interests issued by Parent for an aggregate purchase price not to exceed $25,000,000,</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75"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Non-Wholly Owned Subsidiary of a Loan Party acquired pursuant to a Permitted Acquisition (or any other Acquisition consented to by Agent, in writing, in its sole discretion) may make distributions of excess cash to the direct or indirect holders of Equity Interests issued by such Subsidiary in an amount proportionate to such holders' ownership interest in the Equity Interests issued by such Subsidiary, and (B) any Non-Wholly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Subsidiary of a Loan Party acquired pursuant to a Permitted Acquisition (or any other Acquisition consented to by Agent, in writing, in its sole discretion) may make distributions to certain equity owners thereof with respect to an exercise of any such equity owner's put rights or Non-Wholly Owned Subsidiary’s call rights pursuant to such Subsidiaries operating agreement delivered to Agent as in effect on the closing date of the applicable Permitted Acquisition (or the applicable Acquisition consented to by Agent, in writing, in its sole discretion) and approved by Agent, in writing, in its Permitted Discretion, and</w:t>
      </w:r>
    </w:p>
    <w:p>
      <w:pPr>
        <w:spacing w:after="0" w:line="146" w:lineRule="exact"/>
        <w:rPr>
          <w:sz w:val="20"/>
          <w:szCs w:val="20"/>
          <w:color w:val="auto"/>
        </w:rPr>
      </w:pPr>
    </w:p>
    <w:p>
      <w:pPr>
        <w:ind w:left="2520" w:hanging="660"/>
        <w:spacing w:after="0"/>
        <w:tabs>
          <w:tab w:leader="none" w:pos="252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permitted by Section 6.10(h).</w:t>
      </w:r>
    </w:p>
    <w:p>
      <w:pPr>
        <w:spacing w:after="0" w:line="171"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clauses (a) or (b), so long as no Default or Event of Default shall have occurred and be continuing or would result therefrom, and for the 30 day period prior to and immediately after giving effect to such Restricted Payment, Borrowers have Liquidity of at least the greater of (i) forty percent (40%) of the Maximum Revolver Amount and (ii) $60,000,000, the Loan Parties may make any other Restricted Payment.</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b w:val="1"/>
          <w:bCs w:val="1"/>
          <w:u w:val="single" w:color="auto"/>
          <w:color w:val="auto"/>
        </w:rPr>
        <w:t>Accounting Methods</w:t>
      </w:r>
      <w:r>
        <w:rPr>
          <w:rFonts w:ascii="Times New Roman" w:cs="Times New Roman" w:eastAsia="Times New Roman" w:hAnsi="Times New Roman"/>
          <w:sz w:val="21"/>
          <w:szCs w:val="21"/>
          <w:color w:val="auto"/>
        </w:rPr>
        <w:t>. Each Loan Party will not, and will not permit any of its Subsidiaries to, modify or change its fiscal year or its method of accounting (other than as may be required to conform to GAAP).</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b w:val="1"/>
          <w:bCs w:val="1"/>
          <w:u w:val="single" w:color="auto"/>
          <w:color w:val="auto"/>
        </w:rPr>
        <w:t>Investments</w:t>
      </w:r>
      <w:r>
        <w:rPr>
          <w:rFonts w:ascii="Times New Roman" w:cs="Times New Roman" w:eastAsia="Times New Roman" w:hAnsi="Times New Roman"/>
          <w:sz w:val="21"/>
          <w:szCs w:val="21"/>
          <w:color w:val="auto"/>
        </w:rPr>
        <w:t>. Each Loan Party will not, and will not permit any of its Subsidiaries to, directly or indirectly, make or acquire any Investment or incur any liabilities (including contingent obligations) for or in connection with any Investment except for Permitted Investments.</w:t>
      </w:r>
    </w:p>
    <w:p>
      <w:pPr>
        <w:spacing w:after="0" w:line="143"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b w:val="1"/>
          <w:bCs w:val="1"/>
          <w:u w:val="single" w:color="auto"/>
          <w:color w:val="auto"/>
        </w:rPr>
        <w:t>Transactions with Affiliates</w:t>
      </w:r>
      <w:r>
        <w:rPr>
          <w:rFonts w:ascii="Times New Roman" w:cs="Times New Roman" w:eastAsia="Times New Roman" w:hAnsi="Times New Roman"/>
          <w:sz w:val="21"/>
          <w:szCs w:val="21"/>
          <w:color w:val="auto"/>
        </w:rPr>
        <w:t>. Each Loan Party will not, and will not permit any of its Subsidiaries to, directly or indirectly, enter into or permit to exist any transaction with any Affiliate of any Loan Party or any of its Subsidiaries except for:</w:t>
      </w:r>
    </w:p>
    <w:p>
      <w:pPr>
        <w:spacing w:after="0" w:line="146" w:lineRule="exact"/>
        <w:rPr>
          <w:sz w:val="20"/>
          <w:szCs w:val="20"/>
          <w:color w:val="auto"/>
        </w:rPr>
      </w:pPr>
    </w:p>
    <w:p>
      <w:pPr>
        <w:jc w:val="both"/>
        <w:ind w:firstLine="1241"/>
        <w:spacing w:after="0" w:line="220" w:lineRule="auto"/>
        <w:tabs>
          <w:tab w:leader="none" w:pos="185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(other than the payment of management, consulting, monitoring, or advisory fees) between such Loan Party or its Subsidiaries, on the one hand, and any Affiliate of such Loan Party or its Subsidiaries, on the other hand, so long as such transactions are no less favorable, taken as a whole, to such Loan Party or its Subsidiaries, as applicable, than would be obtained in an arm's length transaction with a non-Affiliate,</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indemnity provided for the benefit of directors (or comparable managers) of a Loan Party or one of its Subsidiaries so long as it has been approved by such Loan Party's or such Subsidiary's board of directors (or comparable governing body) in accordance with applicable law,</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reasonable compensation, severance, or employee benefit arrangements to employees, officers, and outside directors of a Loan Party or one of its Subsidiaries in the ordinary course of business and consistent with industry practice so long as it has been approved by such Loan Party's or such Subsidiary's board of directors (or comparable governing body) in accordance with applicable law,</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transactions solely among the Loan Parties (other than Parent), and (ii) transactions solely among Subsidiaries of Loan Parties that are not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86" w:lineRule="exact"/>
        <w:rPr>
          <w:sz w:val="20"/>
          <w:szCs w:val="20"/>
          <w:color w:val="auto"/>
        </w:rPr>
      </w:pPr>
    </w:p>
    <w:p>
      <w:pPr>
        <w:ind w:left="1860" w:hanging="619"/>
        <w:spacing w:after="0"/>
        <w:tabs>
          <w:tab w:leader="none" w:pos="18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transactions permitted by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6"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agreements for the non-exclusive licensing of intellectual property, or distribution of products, in each case, among the Loan Parties and their Subsidiaries for the purpose of the counterparty thereof operating its business, and agreements for the assignment of intellectual property from any Loan Party or any of its Subsidiaries to any Loan Party,</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has occurred and is continuing, any Loan Party may make additional capital contributions (other than those described in clause (h) below) to Bayonet, NEXT, Edmonson, and any other Non-Wholly Owned Subsidiary of any Loan Party acquired pursuant to a Permitted Acquisition (or any other Acquisition consented to by Lender, in writing, in its sole discretion) in an aggregate not to exceed $750,000 to any single Subsidiary,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 Party may purchase, in cash, Equity Interests of Bayonet, NEXT, Edmonson, and any other Non-Wholly Owned Subsidiary of any Loan Party acquired pursuant to a Permitted Acquisition (or any other Acquisition consented to by Lender, in writing, in its sole discretion), so long as, in each case, after giving effect to such purchase, (i) no Default or Event of Default has occurred or is continuing, and (ii) Borrowers have Liquidity of at least the greater of (A) fifteen percent (15%) of the Maximum Revolver Amount and (B) $22,500,000.</w:t>
      </w:r>
    </w:p>
    <w:p>
      <w:pPr>
        <w:spacing w:after="0" w:line="14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Each Loan Party will not, and will not permit any of its Subsidiaries to:</w:t>
      </w:r>
    </w:p>
    <w:p>
      <w:pPr>
        <w:spacing w:after="0" w:line="175" w:lineRule="exact"/>
        <w:rPr>
          <w:sz w:val="20"/>
          <w:szCs w:val="20"/>
          <w:color w:val="auto"/>
        </w:rPr>
      </w:pPr>
    </w:p>
    <w:p>
      <w:pPr>
        <w:jc w:val="both"/>
        <w:ind w:firstLine="1241"/>
        <w:spacing w:after="0" w:line="209" w:lineRule="auto"/>
        <w:tabs>
          <w:tab w:leader="none" w:pos="185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the proceeds of any Loan made hereunder for any purpose other than (i) on the Closing Date, (A) to repay, in full, the outstanding principal, accrued interest, and accrued fees and expenses owing under or in connection with the Existing Credit Facility, and (B) to pay the fees, costs, and expenses incurred in connection with this Agreement, the other Loan Documents, and the transactions contemplated hereby and thereby, and (ii) thereafter, consistent with the terms and conditions hereof, for their lawful and permitted purposes; provided that (x)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154"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use proceeds of the Borrowings in connection with funding work related to the Bonded Contracts unless such use is upon terms, provisions and conditions acceptable to Lender, in its good faith discretion (such as, without limitation, Lender being satisfied with its Lien priority and right to proceeds relating to Borrowers' assets and restrictions on when payments may be made by Borrowers in connection with Bonded Contracts);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except as otherwise provided in the Federal Insurance Company and Liberty Mutual Intercreditor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8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and the Chartis Intercreditor, the Everest Intercreditor, United States Fire Insurance Company Intercreditor, or any intercreditor agreement entered into after the Original Third Amendment Closing Date in form and substance satisfactory to Lender, Lender agrees that the foregoing shall not be construed to prevent any ability of Federal Insurance Company, Liberty Mutual, Chartis, Everest, United States Fire Insurance Company, or any other Surety (so long as such Surety has entered into an intercreditor agreement with lender in form and substance satisfactory to Lender), as applicable, to receive payment out of any assets of any Borrower in which Federal Insurance Company, Liberty Mutual, Chartis Everest, or such other Surety has a first priority Lien in a circumstance where Federal Insurance Company, Liberty Mutual, Chartis, Everest, or such other Surety has made a payment on a Surety Bond and Federal Insurance Company, Liberty Mutual, Chartis, Everest, or such other Surety is seeking reimbursement for such payment from such Borrower.</w:t>
      </w:r>
    </w:p>
    <w:p>
      <w:pPr>
        <w:spacing w:after="0" w:line="148"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6.12. </w:t>
      </w:r>
      <w:r>
        <w:rPr>
          <w:rFonts w:ascii="Times New Roman" w:cs="Times New Roman" w:eastAsia="Times New Roman" w:hAnsi="Times New Roman"/>
          <w:sz w:val="21"/>
          <w:szCs w:val="21"/>
          <w:b w:val="1"/>
          <w:bCs w:val="1"/>
          <w:u w:val="single" w:color="auto"/>
          <w:color w:val="auto"/>
        </w:rPr>
        <w:t>Limitation on Issuance of Equity Interests</w:t>
      </w:r>
      <w:r>
        <w:rPr>
          <w:rFonts w:ascii="Times New Roman" w:cs="Times New Roman" w:eastAsia="Times New Roman" w:hAnsi="Times New Roman"/>
          <w:sz w:val="21"/>
          <w:szCs w:val="21"/>
          <w:color w:val="auto"/>
        </w:rPr>
        <w:t>. Except for the issuance or sale of Qualified Equity Interests by Parent, each Loan Party will not, and will not permit any of its Subsidiaries to, issue or sell any of its Equity Interests.</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6.13. </w:t>
      </w:r>
      <w:r>
        <w:rPr>
          <w:rFonts w:ascii="Times New Roman" w:cs="Times New Roman" w:eastAsia="Times New Roman" w:hAnsi="Times New Roman"/>
          <w:sz w:val="21"/>
          <w:szCs w:val="21"/>
          <w:b w:val="1"/>
          <w:bCs w:val="1"/>
          <w:u w:val="single" w:color="auto"/>
          <w:color w:val="auto"/>
        </w:rPr>
        <w:t>Inventory or Equipment with Bailees</w:t>
      </w:r>
      <w:r>
        <w:rPr>
          <w:rFonts w:ascii="Times New Roman" w:cs="Times New Roman" w:eastAsia="Times New Roman" w:hAnsi="Times New Roman"/>
          <w:sz w:val="21"/>
          <w:szCs w:val="21"/>
          <w:color w:val="auto"/>
        </w:rPr>
        <w:t>. Each Borrower will not, and will not permit any of its Subsidiaries to, store its Inventory or Equipment at any time with a bailee, warehouseman, or similar party except as set forth on Schedule 4.25 (as such Schedule may be amended in accordance with Section 5.14).</w:t>
      </w:r>
    </w:p>
    <w:p>
      <w:pPr>
        <w:spacing w:after="0" w:line="143"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6.14. </w:t>
      </w:r>
      <w:r>
        <w:rPr>
          <w:rFonts w:ascii="Times New Roman" w:cs="Times New Roman" w:eastAsia="Times New Roman" w:hAnsi="Times New Roman"/>
          <w:sz w:val="21"/>
          <w:szCs w:val="21"/>
          <w:b w:val="1"/>
          <w:bCs w:val="1"/>
          <w:u w:val="single" w:color="auto"/>
          <w:color w:val="auto"/>
        </w:rPr>
        <w:t>Parent as Holding Company</w:t>
      </w:r>
      <w:r>
        <w:rPr>
          <w:rFonts w:ascii="Times New Roman" w:cs="Times New Roman" w:eastAsia="Times New Roman" w:hAnsi="Times New Roman"/>
          <w:sz w:val="21"/>
          <w:szCs w:val="21"/>
          <w:color w:val="auto"/>
        </w:rPr>
        <w:t>. Parent will not incur any liabilities (other than liabilities arising under the Loan Documents), own or acquire any assets (other than the Equity Interests of Loan Parties) or engage itself in any operations or business, except in connection with its ownership of Loan Parties and its rights and obligations under the Loan Documents.</w:t>
      </w:r>
    </w:p>
    <w:p>
      <w:pPr>
        <w:spacing w:after="0" w:line="143" w:lineRule="exact"/>
        <w:rPr>
          <w:sz w:val="20"/>
          <w:szCs w:val="20"/>
          <w:color w:val="auto"/>
        </w:rPr>
      </w:pPr>
    </w:p>
    <w:p>
      <w:pPr>
        <w:jc w:val="both"/>
        <w:ind w:firstLine="619"/>
        <w:spacing w:after="0" w:line="214" w:lineRule="auto"/>
        <w:rPr>
          <w:sz w:val="20"/>
          <w:szCs w:val="20"/>
          <w:color w:val="auto"/>
        </w:rPr>
      </w:pPr>
      <w:r>
        <w:rPr>
          <w:rFonts w:ascii="Times New Roman" w:cs="Times New Roman" w:eastAsia="Times New Roman" w:hAnsi="Times New Roman"/>
          <w:sz w:val="21"/>
          <w:szCs w:val="21"/>
          <w:color w:val="auto"/>
        </w:rPr>
        <w:t xml:space="preserve">6.15. </w:t>
      </w:r>
      <w:r>
        <w:rPr>
          <w:rFonts w:ascii="Times New Roman" w:cs="Times New Roman" w:eastAsia="Times New Roman" w:hAnsi="Times New Roman"/>
          <w:sz w:val="21"/>
          <w:szCs w:val="21"/>
          <w:b w:val="1"/>
          <w:bCs w:val="1"/>
          <w:u w:val="single" w:color="auto"/>
          <w:color w:val="auto"/>
        </w:rPr>
        <w:t>Surety Bonds</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Each Loan Party will not, and will not permit any of its Subsidiaries to, request the issuance of a Surety Bond from any Surety after the Closing Date for any job that will generate Accounts to be included in the Borrowing Base without (i) providing prior written notice thereof to Agent in accordance with Section 5.10(b) and (ii) (A) if no Event of Default has occurred and is continuing, obtaining the prior written consent of Agent to the issuance of such Surety Bond if such Surety Bond would cause any Account included in the Borrowing Base to become a Bonded Account upon the issuance of such Surety Bond, which such consent shall be in Agent 's sole discretion or (B) if an Event of Default has occurred and is continuing, obtaining the prior written consent of Agent to the issuance of such Surety Bond, which such consent shall be in Agent's sole discretion.</w:t>
      </w:r>
    </w:p>
    <w:p>
      <w:pPr>
        <w:spacing w:after="0" w:line="143"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21"/>
          <w:szCs w:val="21"/>
          <w:color w:val="auto"/>
        </w:rPr>
        <w:t xml:space="preserve">6.16. </w:t>
      </w:r>
      <w:r>
        <w:rPr>
          <w:rFonts w:ascii="Times New Roman" w:cs="Times New Roman" w:eastAsia="Times New Roman" w:hAnsi="Times New Roman"/>
          <w:sz w:val="21"/>
          <w:szCs w:val="21"/>
          <w:b w:val="1"/>
          <w:bCs w:val="1"/>
          <w:u w:val="single" w:color="auto"/>
          <w:color w:val="auto"/>
        </w:rPr>
        <w:t>Thomas Popp &amp; Company</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18"/>
          <w:szCs w:val="18"/>
          <w:color w:val="auto"/>
        </w:rPr>
        <w:t>Each Loan Party will not permit Thomas Popp &amp; Company to (a) own any assets (other than assets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of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nature), (b) have any liabilities (other than </w:t>
      </w:r>
      <w:r>
        <w:rPr>
          <w:rFonts w:ascii="Times New Roman" w:cs="Times New Roman" w:eastAsia="Times New Roman" w:hAnsi="Times New Roman"/>
          <w:sz w:val="20"/>
          <w:szCs w:val="20"/>
          <w:color w:val="auto"/>
        </w:rPr>
        <w:t>intercompany liabilities which eliminate in the consolidation of Parent's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 xml:space="preserve">statements, </w:t>
      </w:r>
      <w:r>
        <w:rPr>
          <w:rFonts w:ascii="Times New Roman" w:cs="Times New Roman" w:eastAsia="Times New Roman" w:hAnsi="Times New Roman"/>
          <w:sz w:val="18"/>
          <w:szCs w:val="18"/>
          <w:color w:val="auto"/>
        </w:rPr>
        <w:t>liabilities of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nature or those subject to Permitted Protest), or (c) engage in any business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82" w:lineRule="exact"/>
        <w:rPr>
          <w:sz w:val="20"/>
          <w:szCs w:val="20"/>
          <w:color w:val="auto"/>
        </w:rPr>
      </w:pPr>
    </w:p>
    <w:p>
      <w:pPr>
        <w:ind w:left="1240" w:hanging="618"/>
        <w:spacing w:after="0"/>
        <w:tabs>
          <w:tab w:leader="none" w:pos="1240"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FINANCIAL COVENANTS.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Each Borrower covenants and agrees that, until the termination of all of the Commitments and the payment in full of the</w:t>
      </w:r>
    </w:p>
    <w:p>
      <w:pPr>
        <w:spacing w:after="0"/>
        <w:rPr>
          <w:sz w:val="20"/>
          <w:szCs w:val="20"/>
          <w:color w:val="auto"/>
        </w:rPr>
      </w:pPr>
      <w:r>
        <w:rPr>
          <w:rFonts w:ascii="Times New Roman" w:cs="Times New Roman" w:eastAsia="Times New Roman" w:hAnsi="Times New Roman"/>
          <w:sz w:val="21"/>
          <w:szCs w:val="21"/>
          <w:color w:val="auto"/>
        </w:rPr>
        <w:t>Obligations, Borrowers will:</w:t>
      </w:r>
    </w:p>
    <w:p>
      <w:pPr>
        <w:spacing w:after="0" w:line="136" w:lineRule="exact"/>
        <w:rPr>
          <w:sz w:val="20"/>
          <w:szCs w:val="20"/>
          <w:color w:val="auto"/>
        </w:rPr>
      </w:pPr>
    </w:p>
    <w:p>
      <w:pPr>
        <w:ind w:left="1860" w:hanging="619"/>
        <w:spacing w:after="0"/>
        <w:tabs>
          <w:tab w:leader="none" w:pos="186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Fixed Charge Coverage Ratio. </w:t>
      </w:r>
      <w:r>
        <w:rPr>
          <w:rFonts w:ascii="Times New Roman" w:cs="Times New Roman" w:eastAsia="Times New Roman" w:hAnsi="Times New Roman"/>
          <w:sz w:val="21"/>
          <w:szCs w:val="21"/>
          <w:color w:val="auto"/>
        </w:rPr>
        <w:t>Have a Fixed Charge Coverage Ratio, measured on a quarter-end basis, of at</w:t>
      </w:r>
    </w:p>
    <w:p>
      <w:pPr>
        <w:spacing w:after="0"/>
        <w:rPr>
          <w:sz w:val="20"/>
          <w:szCs w:val="20"/>
          <w:color w:val="auto"/>
        </w:rPr>
      </w:pPr>
      <w:r>
        <w:rPr>
          <w:rFonts w:ascii="Times New Roman" w:cs="Times New Roman" w:eastAsia="Times New Roman" w:hAnsi="Times New Roman"/>
          <w:sz w:val="21"/>
          <w:szCs w:val="21"/>
          <w:color w:val="auto"/>
        </w:rPr>
        <w:t>least 1.1:1.0.</w:t>
      </w:r>
    </w:p>
    <w:p>
      <w:pPr>
        <w:spacing w:after="0" w:line="145" w:lineRule="exact"/>
        <w:rPr>
          <w:sz w:val="20"/>
          <w:szCs w:val="20"/>
          <w:color w:val="auto"/>
        </w:rPr>
      </w:pPr>
    </w:p>
    <w:p>
      <w:pPr>
        <w:ind w:firstLine="1241"/>
        <w:spacing w:after="0" w:line="237" w:lineRule="auto"/>
        <w:tabs>
          <w:tab w:leader="none" w:pos="1852"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Minimum Liquidity</w:t>
      </w:r>
      <w:r>
        <w:rPr>
          <w:rFonts w:ascii="Times New Roman" w:cs="Times New Roman" w:eastAsia="Times New Roman" w:hAnsi="Times New Roman"/>
          <w:sz w:val="21"/>
          <w:szCs w:val="21"/>
          <w:color w:val="auto"/>
        </w:rPr>
        <w:t>. Borrowers shall, at all times, maintain a minimum Liquidity of at least the greater of (i) ten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percent (10%) of the Maximum Revolver Amount and (ii) $15,000,000.</w:t>
      </w:r>
    </w:p>
    <w:p>
      <w:pPr>
        <w:spacing w:after="0" w:line="14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EVENTS OF DEFAULT.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Any one or more of the following events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under this Agreement:</w:t>
      </w:r>
    </w:p>
    <w:p>
      <w:pPr>
        <w:spacing w:after="0" w:line="179"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three Business Days, (b) all or any portion of the principal of the Loans, or (c) any amount payable to Issuing Bank in reimbursement of any drawing under a Letter of Credit;</w:t>
      </w:r>
    </w:p>
    <w:p>
      <w:pPr>
        <w:spacing w:after="0" w:line="146" w:lineRule="exact"/>
        <w:rPr>
          <w:sz w:val="20"/>
          <w:szCs w:val="20"/>
          <w:color w:val="auto"/>
        </w:rPr>
      </w:pPr>
    </w:p>
    <w:p>
      <w:pPr>
        <w:ind w:left="1240"/>
        <w:spacing w:after="0"/>
        <w:tabs>
          <w:tab w:leader="none" w:pos="168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0"/>
          <w:szCs w:val="20"/>
          <w:b w:val="1"/>
          <w:bCs w:val="1"/>
          <w:u w:val="single" w:color="auto"/>
          <w:color w:val="auto"/>
        </w:rPr>
        <w:t>Covenants</w:t>
      </w:r>
      <w:r>
        <w:rPr>
          <w:rFonts w:ascii="Times New Roman" w:cs="Times New Roman" w:eastAsia="Times New Roman" w:hAnsi="Times New Roman"/>
          <w:sz w:val="20"/>
          <w:szCs w:val="20"/>
          <w:color w:val="auto"/>
        </w:rPr>
        <w:t>. If any Loan Party or any of its Subsidiaries:</w:t>
      </w:r>
    </w:p>
    <w:p>
      <w:pPr>
        <w:spacing w:after="0" w:line="175" w:lineRule="exact"/>
        <w:rPr>
          <w:sz w:val="20"/>
          <w:szCs w:val="20"/>
          <w:color w:val="auto"/>
        </w:rPr>
      </w:pPr>
    </w:p>
    <w:p>
      <w:pPr>
        <w:jc w:val="both"/>
        <w:ind w:firstLine="1241"/>
        <w:spacing w:after="0" w:line="213" w:lineRule="auto"/>
        <w:tabs>
          <w:tab w:leader="none" w:pos="185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fails to perform or observe any covenant or other agreement contained in any of (i) </w:t>
      </w:r>
      <w:r>
        <w:rPr>
          <w:rFonts w:ascii="Times New Roman" w:cs="Times New Roman" w:eastAsia="Times New Roman" w:hAnsi="Times New Roman"/>
          <w:sz w:val="21"/>
          <w:szCs w:val="21"/>
          <w:u w:val="single" w:color="auto"/>
          <w:color w:val="auto"/>
        </w:rPr>
        <w:t>Sections 3.6, 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5.3</w:t>
      </w:r>
      <w:r>
        <w:rPr>
          <w:rFonts w:ascii="Times New Roman" w:cs="Times New Roman" w:eastAsia="Times New Roman" w:hAnsi="Times New Roman"/>
          <w:sz w:val="21"/>
          <w:szCs w:val="21"/>
          <w:color w:val="auto"/>
        </w:rPr>
        <w:t xml:space="preserve"> (solely if any Borrower is not in good standing in its jurisdiction of organization), 5.5 (solely with respect to F.I.C.A., F.U.T.A., federal income taxes and any other taxes or assessments the non-payment of which may result in having a Lien having priority over Agent's Liens), </w:t>
      </w:r>
      <w:r>
        <w:rPr>
          <w:rFonts w:ascii="Times New Roman" w:cs="Times New Roman" w:eastAsia="Times New Roman" w:hAnsi="Times New Roman"/>
          <w:sz w:val="21"/>
          <w:szCs w:val="21"/>
          <w:u w:val="single" w:color="auto"/>
          <w:color w:val="auto"/>
        </w:rPr>
        <w:t>5.6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5.7</w:t>
      </w:r>
      <w:r>
        <w:rPr>
          <w:rFonts w:ascii="Times New Roman" w:cs="Times New Roman" w:eastAsia="Times New Roman" w:hAnsi="Times New Roman"/>
          <w:sz w:val="21"/>
          <w:szCs w:val="21"/>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 Borrower), </w:t>
      </w:r>
      <w:r>
        <w:rPr>
          <w:rFonts w:ascii="Times New Roman" w:cs="Times New Roman" w:eastAsia="Times New Roman" w:hAnsi="Times New Roman"/>
          <w:sz w:val="21"/>
          <w:szCs w:val="21"/>
          <w:u w:val="single" w:color="auto"/>
          <w:color w:val="auto"/>
        </w:rPr>
        <w:t>5.10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5.14</w:t>
      </w:r>
      <w:r>
        <w:rPr>
          <w:rFonts w:ascii="Times New Roman" w:cs="Times New Roman" w:eastAsia="Times New Roman" w:hAnsi="Times New Roman"/>
          <w:sz w:val="21"/>
          <w:szCs w:val="21"/>
          <w:color w:val="auto"/>
        </w:rPr>
        <w:t xml:space="preserve"> of this Agreement, (ii)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of this Agreement, (iii)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this Agreement, or (iv)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the Guaranty and Security Agreement;</w:t>
      </w:r>
    </w:p>
    <w:p>
      <w:pPr>
        <w:spacing w:after="0" w:line="149"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fails to perform or observe any covenant or other agreement contained in any of </w:t>
      </w:r>
      <w:r>
        <w:rPr>
          <w:rFonts w:ascii="Times New Roman" w:cs="Times New Roman" w:eastAsia="Times New Roman" w:hAnsi="Times New Roman"/>
          <w:sz w:val="21"/>
          <w:szCs w:val="21"/>
          <w:u w:val="single" w:color="auto"/>
          <w:color w:val="auto"/>
        </w:rPr>
        <w:t>Sections 5.3</w:t>
      </w:r>
      <w:r>
        <w:rPr>
          <w:rFonts w:ascii="Times New Roman" w:cs="Times New Roman" w:eastAsia="Times New Roman" w:hAnsi="Times New Roman"/>
          <w:sz w:val="21"/>
          <w:szCs w:val="21"/>
          <w:color w:val="auto"/>
        </w:rPr>
        <w:t xml:space="preserve"> (other than if any Borrower is not in good standing in its jurisdiction of organization),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(other than F.I.C.A., F.U.T.A., federal income taxes and any other taxes or assessments the non-payment of which may result in a Lien having priority over Agent's Liens), </w:t>
      </w:r>
      <w:r>
        <w:rPr>
          <w:rFonts w:ascii="Times New Roman" w:cs="Times New Roman" w:eastAsia="Times New Roman" w:hAnsi="Times New Roman"/>
          <w:sz w:val="21"/>
          <w:szCs w:val="21"/>
          <w:u w:val="single" w:color="auto"/>
          <w:color w:val="auto"/>
        </w:rPr>
        <w:t>5.7</w:t>
      </w:r>
      <w:r>
        <w:rPr>
          <w:rFonts w:ascii="Times New Roman" w:cs="Times New Roman" w:eastAsia="Times New Roman" w:hAnsi="Times New Roman"/>
          <w:sz w:val="21"/>
          <w:szCs w:val="21"/>
          <w:color w:val="auto"/>
        </w:rPr>
        <w:t xml:space="preserve"> (other than if any Loan Party or any of its Subsidiaries refuses to allow Agent or its representatives or agents to visit its properties, inspect its assets or books or records, examine and make copies of its books or records or disclose it affairs, finances and accounts with its officers and employees), </w:t>
      </w:r>
      <w:r>
        <w:rPr>
          <w:rFonts w:ascii="Times New Roman" w:cs="Times New Roman" w:eastAsia="Times New Roman" w:hAnsi="Times New Roman"/>
          <w:sz w:val="21"/>
          <w:szCs w:val="21"/>
          <w:u w:val="single" w:color="auto"/>
          <w:color w:val="auto"/>
        </w:rPr>
        <w:t>5.8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 xml:space="preserve"> of this Agreement and such failure continues for a period of twenty days after the earlier of (i) the date on which such failure shall first become known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officer of any Borrower, or (ii) the date on which written notice thereof is given to Borrowers by Agent; or</w:t>
      </w:r>
    </w:p>
    <w:p>
      <w:pPr>
        <w:spacing w:after="0" w:line="171" w:lineRule="exact"/>
        <w:rPr>
          <w:sz w:val="20"/>
          <w:szCs w:val="20"/>
          <w:color w:val="auto"/>
        </w:rPr>
      </w:pPr>
    </w:p>
    <w:p>
      <w:pPr>
        <w:jc w:val="both"/>
        <w:ind w:firstLine="1241"/>
        <w:spacing w:after="0" w:line="222" w:lineRule="auto"/>
        <w:tabs>
          <w:tab w:leader="none" w:pos="185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(in which event such other provision of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govern), and such failure continues for a period of thirty days after the earlier of</w:t>
      </w:r>
    </w:p>
    <w:p>
      <w:pPr>
        <w:spacing w:after="0" w:line="2" w:lineRule="exact"/>
        <w:rPr>
          <w:rFonts w:ascii="Times New Roman" w:cs="Times New Roman" w:eastAsia="Times New Roman" w:hAnsi="Times New Roman"/>
          <w:sz w:val="20"/>
          <w:szCs w:val="20"/>
          <w:color w:val="auto"/>
        </w:rPr>
      </w:pPr>
    </w:p>
    <w:p>
      <w:pPr>
        <w:ind w:firstLine="3"/>
        <w:spacing w:after="0" w:line="224" w:lineRule="auto"/>
        <w:tabs>
          <w:tab w:leader="none" w:pos="26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such failure shall first become known to any officer of any Borrower, or (ii) the date on which written notice thereof is given to Borrowers by Agent;</w:t>
      </w:r>
    </w:p>
    <w:p>
      <w:pPr>
        <w:spacing w:after="0" w:line="142" w:lineRule="exact"/>
        <w:rPr>
          <w:sz w:val="20"/>
          <w:szCs w:val="20"/>
          <w:color w:val="auto"/>
        </w:rPr>
      </w:pPr>
    </w:p>
    <w:p>
      <w:pPr>
        <w:jc w:val="both"/>
        <w:ind w:firstLine="619"/>
        <w:spacing w:after="0" w:line="214"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b w:val="1"/>
          <w:bCs w:val="1"/>
          <w:u w:val="single" w:color="auto"/>
          <w:color w:val="auto"/>
        </w:rPr>
        <w:t>Judgments</w:t>
      </w:r>
      <w:r>
        <w:rPr>
          <w:rFonts w:ascii="Times New Roman" w:cs="Times New Roman" w:eastAsia="Times New Roman" w:hAnsi="Times New Roman"/>
          <w:sz w:val="21"/>
          <w:szCs w:val="21"/>
          <w:color w:val="auto"/>
        </w:rPr>
        <w:t>. If one or more judgments, orders, or awards for the payment of money involving an amount in excess of $1,500,000 in any one case or in excess of $3,000,000 in the aggregate,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thirty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spacing w:after="0" w:line="143"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0"/>
          <w:szCs w:val="20"/>
          <w:b w:val="1"/>
          <w:bCs w:val="1"/>
          <w:u w:val="single" w:color="auto"/>
          <w:color w:val="auto"/>
        </w:rPr>
        <w:t>Voluntary Bankruptcy, etc</w:t>
      </w:r>
      <w:r>
        <w:rPr>
          <w:rFonts w:ascii="Times New Roman" w:cs="Times New Roman" w:eastAsia="Times New Roman" w:hAnsi="Times New Roman"/>
          <w:sz w:val="20"/>
          <w:szCs w:val="20"/>
          <w:color w:val="auto"/>
        </w:rPr>
        <w:t>. If an Insolvency Proceeding is commenced by a Loan Party or any of its Subsidiaries;</w:t>
      </w:r>
    </w:p>
    <w:p>
      <w:pPr>
        <w:spacing w:after="0" w:line="171"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b w:val="1"/>
          <w:bCs w:val="1"/>
          <w:u w:val="single" w:color="auto"/>
          <w:color w:val="auto"/>
        </w:rPr>
        <w:t>Involuntary Bankruptcy, etc</w:t>
      </w:r>
      <w:r>
        <w:rPr>
          <w:rFonts w:ascii="Times New Roman" w:cs="Times New Roman" w:eastAsia="Times New Roman" w:hAnsi="Times New Roman"/>
          <w:sz w:val="21"/>
          <w:szCs w:val="21"/>
          <w:color w:val="auto"/>
        </w:rPr>
        <w:t>.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spacing w:after="0" w:line="146"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b w:val="1"/>
          <w:bCs w:val="1"/>
          <w:u w:val="single" w:color="auto"/>
          <w:color w:val="auto"/>
        </w:rPr>
        <w:t>Default Under Other Agreements</w:t>
      </w:r>
      <w:r>
        <w:rPr>
          <w:rFonts w:ascii="Times New Roman" w:cs="Times New Roman" w:eastAsia="Times New Roman" w:hAnsi="Times New Roman"/>
          <w:sz w:val="21"/>
          <w:szCs w:val="21"/>
          <w:color w:val="auto"/>
        </w:rPr>
        <w:t>. If there is (a) a default in one or more agreements to which a Loan Party or any of its Subsidiaries is a party with one or more third Persons relative to a Loan Party's or any of its Subsidiaries' Indebtedness involving an aggregate amount of $2,500,000 or more, and such default (i) occurs at the final maturity of the obligations thereunder, or (ii) results in a right by such third Person, irrespective of whether exercised, to accelerate the maturity of such Loan Party's or its Subsidiary's obligations thereunder, or (b) a default in or an involuntary early termination of one or more Hedge Agreements to which a Loan Party or any of its Subsidiaries is a party involving an aggregate amount of $2,500,000 or more;</w:t>
      </w:r>
    </w:p>
    <w:p>
      <w:pPr>
        <w:spacing w:after="0" w:line="146"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b w:val="1"/>
          <w:bCs w:val="1"/>
          <w:u w:val="single" w:color="auto"/>
          <w:color w:val="auto"/>
        </w:rPr>
        <w:t>Representations, etc</w:t>
      </w:r>
      <w:r>
        <w:rPr>
          <w:rFonts w:ascii="Times New Roman" w:cs="Times New Roman" w:eastAsia="Times New Roman" w:hAnsi="Times New Roman"/>
          <w:sz w:val="20"/>
          <w:szCs w:val="20"/>
          <w:color w:val="auto"/>
        </w:rPr>
        <w:t>.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8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b w:val="1"/>
          <w:bCs w:val="1"/>
          <w:u w:val="single" w:color="auto"/>
          <w:color w:val="auto"/>
        </w:rPr>
        <w:t>Guaranty</w:t>
      </w:r>
      <w:r>
        <w:rPr>
          <w:rFonts w:ascii="Times New Roman" w:cs="Times New Roman" w:eastAsia="Times New Roman" w:hAnsi="Times New Roman"/>
          <w:sz w:val="21"/>
          <w:szCs w:val="21"/>
          <w:color w:val="auto"/>
        </w:rPr>
        <w:t>. If the obligation of any Guarantor under the guaranty contained in the Guaranty and Security Agreement is limited or terminated by operation of law or by such Guarantor (other than in accordance with the terms of this Agreement) or if any Guarantor repudiates or revokes or purports to repudiate or revoke any such guaranty;</w:t>
      </w:r>
    </w:p>
    <w:p>
      <w:pPr>
        <w:spacing w:after="0" w:line="143"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8.9. </w:t>
      </w:r>
      <w:r>
        <w:rPr>
          <w:rFonts w:ascii="Times New Roman" w:cs="Times New Roman" w:eastAsia="Times New Roman" w:hAnsi="Times New Roman"/>
          <w:sz w:val="21"/>
          <w:szCs w:val="21"/>
          <w:b w:val="1"/>
          <w:bCs w:val="1"/>
          <w:u w:val="single" w:color="auto"/>
          <w:color w:val="auto"/>
        </w:rPr>
        <w:t>Security Documents</w:t>
      </w:r>
      <w:r>
        <w:rPr>
          <w:rFonts w:ascii="Times New Roman" w:cs="Times New Roman" w:eastAsia="Times New Roman" w:hAnsi="Times New Roman"/>
          <w:sz w:val="21"/>
          <w:szCs w:val="21"/>
          <w:color w:val="auto"/>
        </w:rPr>
        <w:t>. If the Guaranty and Security Agreement or any other Loan Document that purports to create a Lien, shall, for any reason, fail or cease to create a valid and perfected and, (except to the extent of Permitted Liens which are non-consensual Permitted Liens, permitted purchase money Liens, tax liens subject to Permitted Protest, or the interests of lessors under Capital Leases) first priority Lien on the Collateral covered thereby except in each case, (a) as a result of a disposition of the applicable Collateral in a transaction permitted under this Agreement, or (b) with respect to Collateral the aggregate value of which, for all such Collateral, does not exceed at any time $1,500,000.</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8.10. </w:t>
      </w:r>
      <w:r>
        <w:rPr>
          <w:rFonts w:ascii="Times New Roman" w:cs="Times New Roman" w:eastAsia="Times New Roman" w:hAnsi="Times New Roman"/>
          <w:sz w:val="21"/>
          <w:szCs w:val="21"/>
          <w:b w:val="1"/>
          <w:bCs w:val="1"/>
          <w:u w:val="single" w:color="auto"/>
          <w:color w:val="auto"/>
        </w:rPr>
        <w:t>Loan Documents</w:t>
      </w:r>
      <w:r>
        <w:rPr>
          <w:rFonts w:ascii="Times New Roman" w:cs="Times New Roman" w:eastAsia="Times New Roman" w:hAnsi="Times New Roman"/>
          <w:sz w:val="21"/>
          <w:szCs w:val="21"/>
          <w:color w:val="auto"/>
        </w:rPr>
        <w:t>. The validity or enforceability of any Loan Document shall at any time for any reason (other than solely as the result of an action or failure to act on the part of Agent or a Lender)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 or</w:t>
      </w:r>
    </w:p>
    <w:p>
      <w:pPr>
        <w:spacing w:after="0" w:line="14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8.11.</w:t>
      </w:r>
      <w:r>
        <w:rPr>
          <w:sz w:val="20"/>
          <w:szCs w:val="20"/>
          <w:color w:val="auto"/>
        </w:rPr>
        <w:tab/>
      </w:r>
      <w:r>
        <w:rPr>
          <w:rFonts w:ascii="Times New Roman" w:cs="Times New Roman" w:eastAsia="Times New Roman" w:hAnsi="Times New Roman"/>
          <w:sz w:val="20"/>
          <w:szCs w:val="20"/>
          <w:b w:val="1"/>
          <w:bCs w:val="1"/>
          <w:u w:val="single" w:color="auto"/>
          <w:color w:val="auto"/>
        </w:rPr>
        <w:t>Change of Control</w:t>
      </w:r>
      <w:r>
        <w:rPr>
          <w:rFonts w:ascii="Times New Roman" w:cs="Times New Roman" w:eastAsia="Times New Roman" w:hAnsi="Times New Roman"/>
          <w:sz w:val="20"/>
          <w:szCs w:val="20"/>
          <w:color w:val="auto"/>
        </w:rPr>
        <w:t>. A Change of Control shall occur, whether directly or indirectly.</w:t>
      </w:r>
    </w:p>
    <w:p>
      <w:pPr>
        <w:spacing w:after="0" w:line="171"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8.12. </w:t>
      </w:r>
      <w:r>
        <w:rPr>
          <w:rFonts w:ascii="Times New Roman" w:cs="Times New Roman" w:eastAsia="Times New Roman" w:hAnsi="Times New Roman"/>
          <w:sz w:val="21"/>
          <w:szCs w:val="21"/>
          <w:b w:val="1"/>
          <w:bCs w:val="1"/>
          <w:u w:val="single" w:color="auto"/>
          <w:color w:val="auto"/>
        </w:rPr>
        <w:t>Surety Bond</w:t>
      </w:r>
      <w:r>
        <w:rPr>
          <w:rFonts w:ascii="Times New Roman" w:cs="Times New Roman" w:eastAsia="Times New Roman" w:hAnsi="Times New Roman"/>
          <w:sz w:val="21"/>
          <w:szCs w:val="21"/>
          <w:color w:val="auto"/>
        </w:rPr>
        <w:t>. If there shall occur any default or event of default under any of the agreements or documentation among any Surety and any Loan Parties relating to such Surety's bonding program with such Loan Parties, and, as a result thereof, such Surety has ceased issuing Surety Bonds on behalf of any Loan Party (other than a temporary cessation not arising from a violation or termination of the applicable Surety Bond documentation; provided that other Sureties are then issuing requested Surety Bonds on behalf of such Loan Party) and such Surety has not been replaced within thirty (30) days, or has made demand on any Loan Party for performance thereunder or has otherwise commenced exercising any remedies thereunder (including, without limitation, attempting to segregate funds as to its Surety Collateral), or any unreimbursed claim is made on such Surety related to any Bonded Contract against the issuer of any Surety Bond.</w:t>
      </w:r>
    </w:p>
    <w:p>
      <w:pPr>
        <w:spacing w:after="0" w:line="142" w:lineRule="exact"/>
        <w:rPr>
          <w:sz w:val="20"/>
          <w:szCs w:val="20"/>
          <w:color w:val="auto"/>
        </w:rPr>
      </w:pPr>
    </w:p>
    <w:p>
      <w:pPr>
        <w:ind w:left="1240" w:hanging="618"/>
        <w:spacing w:after="0"/>
        <w:tabs>
          <w:tab w:leader="none" w:pos="1240" w:val="left"/>
        </w:tabs>
        <w:numPr>
          <w:ilvl w:val="0"/>
          <w:numId w:val="1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AND REMEDIES.</w:t>
      </w:r>
    </w:p>
    <w:p>
      <w:pPr>
        <w:spacing w:after="0" w:line="17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b w:val="1"/>
          <w:bCs w:val="1"/>
          <w:u w:val="single" w:color="auto"/>
          <w:color w:val="auto"/>
        </w:rPr>
        <w:t>Rights and Remedies</w:t>
      </w:r>
      <w:r>
        <w:rPr>
          <w:rFonts w:ascii="Times New Roman" w:cs="Times New Roman" w:eastAsia="Times New Roman" w:hAnsi="Times New Roman"/>
          <w:sz w:val="21"/>
          <w:szCs w:val="21"/>
          <w:color w:val="auto"/>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spacing w:after="0" w:line="147" w:lineRule="exact"/>
        <w:rPr>
          <w:sz w:val="20"/>
          <w:szCs w:val="20"/>
          <w:color w:val="auto"/>
        </w:rPr>
      </w:pPr>
    </w:p>
    <w:p>
      <w:pPr>
        <w:jc w:val="both"/>
        <w:ind w:firstLine="1241"/>
        <w:spacing w:after="0" w:line="220" w:lineRule="auto"/>
        <w:tabs>
          <w:tab w:leader="none" w:pos="1853"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146" w:lineRule="exact"/>
        <w:rPr>
          <w:sz w:val="20"/>
          <w:szCs w:val="20"/>
          <w:color w:val="auto"/>
        </w:rPr>
      </w:pPr>
    </w:p>
    <w:p>
      <w:pPr>
        <w:jc w:val="both"/>
        <w:ind w:firstLine="1241"/>
        <w:spacing w:after="0" w:line="225" w:lineRule="auto"/>
        <w:tabs>
          <w:tab w:leader="none" w:pos="1852"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exercise all other rights and remedies available to Agent or the Lenders under the Loan Documents, under applicable law, or in equity;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Event of Default resulting solely from failure of Borrowers to comply with the financial covenants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neither Agent nor the Required Lenders may exercise the foregoing remedies in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until the date that is ten Business Days after the day on which financial statements are required to be delivered for the applicable fiscal quarter.</w:t>
      </w:r>
    </w:p>
    <w:p>
      <w:pPr>
        <w:spacing w:after="0" w:line="14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The foregoing to the contrary notwithstanding, upon the occurrence of any Event of Default described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Subsidiaries' obligations in respect of outstanding Bank Products), without presentment, demand, protest, or notice or other requirements of any kind, all of which are expressly waived by Borrowers.</w:t>
      </w:r>
    </w:p>
    <w:p>
      <w:pPr>
        <w:spacing w:after="0" w:line="147"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b w:val="1"/>
          <w:bCs w:val="1"/>
          <w:u w:val="single" w:color="auto"/>
          <w:color w:val="auto"/>
        </w:rPr>
        <w:t>Remedies Cumulative</w:t>
      </w:r>
      <w:r>
        <w:rPr>
          <w:rFonts w:ascii="Times New Roman" w:cs="Times New Roman" w:eastAsia="Times New Roman" w:hAnsi="Times New Roman"/>
          <w:sz w:val="21"/>
          <w:szCs w:val="21"/>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82" w:lineRule="exact"/>
        <w:rPr>
          <w:sz w:val="20"/>
          <w:szCs w:val="20"/>
          <w:color w:val="auto"/>
        </w:rPr>
      </w:pPr>
    </w:p>
    <w:p>
      <w:pPr>
        <w:ind w:left="1240" w:hanging="618"/>
        <w:spacing w:after="0"/>
        <w:tabs>
          <w:tab w:leader="none" w:pos="1240" w:val="left"/>
        </w:tabs>
        <w:numPr>
          <w:ilvl w:val="0"/>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WAIVERS; INDEMNIFICATION.</w:t>
      </w:r>
    </w:p>
    <w:p>
      <w:pPr>
        <w:spacing w:after="0" w:line="17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u w:val="single" w:color="auto"/>
          <w:color w:val="auto"/>
        </w:rPr>
        <w:t>Demand; Protest; etc</w:t>
      </w:r>
      <w:r>
        <w:rPr>
          <w:rFonts w:ascii="Times New Roman" w:cs="Times New Roman" w:eastAsia="Times New Roman" w:hAnsi="Times New Roman"/>
          <w:sz w:val="21"/>
          <w:szCs w:val="21"/>
          <w:color w:val="auto"/>
        </w:rPr>
        <w:t>.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143"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u w:val="single" w:color="auto"/>
          <w:color w:val="auto"/>
        </w:rPr>
        <w:t>The Lender Group's Liability for Collateral</w:t>
      </w:r>
      <w:r>
        <w:rPr>
          <w:rFonts w:ascii="Times New Roman" w:cs="Times New Roman" w:eastAsia="Times New Roman" w:hAnsi="Times New Roman"/>
          <w:sz w:val="21"/>
          <w:szCs w:val="21"/>
          <w:color w:val="auto"/>
        </w:rPr>
        <w:t>. Each Borrower hereby agrees that: (a) so long as Agent 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41" w:lineRule="exact"/>
        <w:rPr>
          <w:sz w:val="20"/>
          <w:szCs w:val="20"/>
          <w:color w:val="auto"/>
        </w:rPr>
      </w:pPr>
    </w:p>
    <w:p>
      <w:pPr>
        <w:jc w:val="both"/>
        <w:ind w:firstLine="619"/>
        <w:spacing w:after="0" w:line="207"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 Each Borrower shall pay, indemnify, defend, and hold the Agent-Related Persons, the Lender-Related Persons, the Issuing Bank, and each Participant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Loan Parties' and their Subsidiaries' compliance with the terms of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 (iii) any claims for Taxes, which shall be governed by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other than Taxes which relate to primarily non-Tax claims),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The foregoing to the contrary notwithstanding,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8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 xml:space="preserve">Borrower shall have any obligation to any Indemnified Person under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Times New Roman" w:cs="Times New Roman" w:eastAsia="Times New Roman" w:hAnsi="Times New Roman"/>
          <w:sz w:val="20"/>
          <w:szCs w:val="20"/>
          <w:b w:val="1"/>
          <w:bCs w:val="1"/>
          <w:color w:val="auto"/>
        </w:rPr>
        <w:t>WITHOUT</w:t>
      </w:r>
    </w:p>
    <w:p>
      <w:pPr>
        <w:jc w:val="both"/>
        <w:spacing w:after="0" w:line="218" w:lineRule="auto"/>
        <w:rPr>
          <w:sz w:val="20"/>
          <w:szCs w:val="20"/>
          <w:color w:val="auto"/>
        </w:rPr>
      </w:pPr>
      <w:r>
        <w:rPr>
          <w:rFonts w:ascii="Times New Roman" w:cs="Times New Roman" w:eastAsia="Times New Roman" w:hAnsi="Times New Roman"/>
          <w:sz w:val="21"/>
          <w:szCs w:val="21"/>
          <w:b w:val="1"/>
          <w:bCs w:val="1"/>
          <w:color w:val="auto"/>
        </w:rPr>
        <w:t>LIMITATION, THE FOREGOING INDEMNITY SHALL APPLY TO EACH INDEMNIFIED PERSON WITH RESPECT TO INDEMNIFIED LIABILITIES WHICH IN WHOLE OR IN PART ARE CAUSED BY OR ARISE OUT OF ANY NEGLIGENT ACT OR OMISSION OF SUCH INDEMNIFIED PERSON OR OF ANY OTHER PERSON.</w:t>
      </w:r>
    </w:p>
    <w:p>
      <w:pPr>
        <w:spacing w:after="0" w:line="141" w:lineRule="exact"/>
        <w:rPr>
          <w:sz w:val="20"/>
          <w:szCs w:val="20"/>
          <w:color w:val="auto"/>
        </w:rPr>
      </w:pPr>
    </w:p>
    <w:p>
      <w:pPr>
        <w:ind w:left="1220" w:hanging="598"/>
        <w:spacing w:after="0"/>
        <w:tabs>
          <w:tab w:leader="none" w:pos="1220"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NOTICES.</w:t>
      </w:r>
    </w:p>
    <w:p>
      <w:pPr>
        <w:spacing w:after="0" w:line="175"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20"/>
          <w:szCs w:val="20"/>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ectPr>
          <w:pgSz w:w="11900" w:h="16838" w:orient="portrait"/>
          <w:cols w:equalWidth="0" w:num="1">
            <w:col w:w="11240"/>
          </w:cols>
          <w:pgMar w:left="320" w:top="1440" w:right="339" w:bottom="1440" w:gutter="0" w:footer="0" w:header="0"/>
        </w:sectPr>
      </w:pPr>
    </w:p>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If to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0" w:right="580"/>
        <w:spacing w:after="0" w:line="231" w:lineRule="auto"/>
        <w:rPr>
          <w:sz w:val="20"/>
          <w:szCs w:val="20"/>
          <w:color w:val="auto"/>
        </w:rPr>
      </w:pPr>
      <w:r>
        <w:rPr>
          <w:rFonts w:ascii="Times New Roman" w:cs="Times New Roman" w:eastAsia="Times New Roman" w:hAnsi="Times New Roman"/>
          <w:sz w:val="20"/>
          <w:szCs w:val="20"/>
          <w:color w:val="auto"/>
        </w:rPr>
        <w:t xml:space="preserve">with courtesy copies to (which shall not constitute Notice for purposes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If to Lender: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IES Holdings,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5433 Westheimer, Suite 500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Tracy McLauchlin and Mary Newman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auto"/>
        </w:rPr>
        <w:t>tracy.mclauchlin@ies-co.com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mary.newman@ies-co.com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Dinsmore &amp; Shohl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255 East Fifth Street, Suite 1900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Cincinnati, Ohio 45202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Michael Dailey, Esq.</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(513) 977-8141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michael.dailey@dinsmore.com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-27940</wp:posOffset>
            </wp:positionV>
            <wp:extent cx="16338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63385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MAC S4035-029,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8601 N Scottsdale Rd, 2nd Suite 240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Scottsdale, AZ 85253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Attn: Michael L. Gerard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Fax No.: (866) 670-1619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michael.l.gerard@wellsfargo.com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-27940</wp:posOffset>
            </wp:positionV>
            <wp:extent cx="17805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780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720"/>
            <w:col w:w="71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type w:val="continuous"/>
        </w:sectPr>
      </w:pPr>
    </w:p>
    <w:bookmarkStart w:id="168" w:name="page169"/>
    <w:bookmarkEnd w:id="168"/>
    <w:p>
      <w:pPr>
        <w:spacing w:after="0" w:line="364" w:lineRule="exact"/>
        <w:rPr>
          <w:sz w:val="20"/>
          <w:szCs w:val="20"/>
          <w:color w:val="auto"/>
        </w:rPr>
      </w:pPr>
    </w:p>
    <w:tbl>
      <w:tblPr>
        <w:tblLayout w:type="fixed"/>
        <w:tblInd w:w="600" w:type="dxa"/>
        <w:tblCellMar>
          <w:top w:w="0" w:type="dxa"/>
          <w:left w:w="0" w:type="dxa"/>
          <w:bottom w:w="0" w:type="dxa"/>
          <w:right w:w="0" w:type="dxa"/>
        </w:tblCellMar>
      </w:tblPr>
      <w:tr>
        <w:trPr>
          <w:trHeight w:val="245"/>
        </w:trPr>
        <w:tc>
          <w:tcPr>
            <w:tcW w:w="28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with courtesy copies to</w:t>
            </w: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Goldberg Kohn Ltd.</w:t>
            </w:r>
          </w:p>
        </w:tc>
      </w:tr>
      <w:tr>
        <w:trPr>
          <w:trHeight w:val="245"/>
        </w:trPr>
        <w:tc>
          <w:tcPr>
            <w:tcW w:w="28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(which shall not constitute</w:t>
            </w: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55 East Monroe, Suite 3300</w:t>
            </w:r>
          </w:p>
        </w:tc>
      </w:tr>
      <w:tr>
        <w:trPr>
          <w:trHeight w:val="258"/>
        </w:trPr>
        <w:tc>
          <w:tcPr>
            <w:tcW w:w="28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Notice for purposes of this</w:t>
            </w: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Chicago, Illinois 60603</w:t>
            </w:r>
          </w:p>
        </w:tc>
      </w:tr>
      <w:tr>
        <w:trPr>
          <w:trHeight w:val="219"/>
        </w:trPr>
        <w:tc>
          <w:tcPr>
            <w:tcW w:w="2880" w:type="dxa"/>
            <w:vAlign w:val="bottom"/>
            <w:gridSpan w:val="2"/>
          </w:tcPr>
          <w:p>
            <w:pPr>
              <w:spacing w:after="0" w:line="219" w:lineRule="exact"/>
              <w:rPr>
                <w:sz w:val="20"/>
                <w:szCs w:val="20"/>
                <w:color w:val="auto"/>
              </w:rPr>
            </w:pPr>
            <w:r>
              <w:rPr>
                <w:rFonts w:ascii="Times New Roman" w:cs="Times New Roman" w:eastAsia="Times New Roman" w:hAnsi="Times New Roman"/>
                <w:sz w:val="21"/>
                <w:szCs w:val="21"/>
                <w:color w:val="auto"/>
              </w:rPr>
              <w:t>Section 11)</w:t>
            </w:r>
          </w:p>
        </w:tc>
        <w:tc>
          <w:tcPr>
            <w:tcW w:w="4440" w:type="dxa"/>
            <w:vAlign w:val="bottom"/>
            <w:gridSpan w:val="2"/>
          </w:tcPr>
          <w:p>
            <w:pPr>
              <w:ind w:left="660"/>
              <w:spacing w:after="0" w:line="219" w:lineRule="exact"/>
              <w:rPr>
                <w:sz w:val="20"/>
                <w:szCs w:val="20"/>
                <w:color w:val="auto"/>
              </w:rPr>
            </w:pPr>
            <w:r>
              <w:rPr>
                <w:rFonts w:ascii="Times New Roman" w:cs="Times New Roman" w:eastAsia="Times New Roman" w:hAnsi="Times New Roman"/>
                <w:sz w:val="21"/>
                <w:szCs w:val="21"/>
                <w:color w:val="auto"/>
              </w:rPr>
              <w:t>Attn: William Starshak, Esq.</w:t>
            </w:r>
          </w:p>
        </w:tc>
      </w:tr>
      <w:tr>
        <w:trPr>
          <w:trHeight w:val="251"/>
        </w:trPr>
        <w:tc>
          <w:tcPr>
            <w:tcW w:w="880" w:type="dxa"/>
            <w:vAlign w:val="bottom"/>
            <w:tcBorders>
              <w:top w:val="single" w:sz="8" w:color="auto"/>
            </w:tcBorders>
          </w:tcPr>
          <w:p>
            <w:pPr>
              <w:spacing w:after="0"/>
              <w:rPr>
                <w:sz w:val="21"/>
                <w:szCs w:val="21"/>
                <w:color w:val="auto"/>
              </w:rPr>
            </w:pPr>
          </w:p>
        </w:tc>
        <w:tc>
          <w:tcPr>
            <w:tcW w:w="2000" w:type="dxa"/>
            <w:vAlign w:val="bottom"/>
          </w:tcPr>
          <w:p>
            <w:pPr>
              <w:spacing w:after="0"/>
              <w:rPr>
                <w:sz w:val="21"/>
                <w:szCs w:val="21"/>
                <w:color w:val="auto"/>
              </w:rPr>
            </w:pP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Fax No. (312) 863-7426</w:t>
            </w:r>
          </w:p>
        </w:tc>
      </w:tr>
      <w:tr>
        <w:trPr>
          <w:trHeight w:val="219"/>
        </w:trPr>
        <w:tc>
          <w:tcPr>
            <w:tcW w:w="8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40" w:type="dxa"/>
            <w:vAlign w:val="bottom"/>
            <w:gridSpan w:val="2"/>
          </w:tcPr>
          <w:p>
            <w:pPr>
              <w:ind w:left="660"/>
              <w:spacing w:after="0" w:line="219" w:lineRule="exact"/>
              <w:rPr>
                <w:sz w:val="20"/>
                <w:szCs w:val="20"/>
                <w:color w:val="auto"/>
              </w:rPr>
            </w:pPr>
            <w:r>
              <w:rPr>
                <w:rFonts w:ascii="Times New Roman" w:cs="Times New Roman" w:eastAsia="Times New Roman" w:hAnsi="Times New Roman"/>
                <w:sz w:val="21"/>
                <w:szCs w:val="21"/>
                <w:color w:val="auto"/>
                <w:w w:val="97"/>
              </w:rPr>
              <w:t>Email: William.Starshak@goldbergkohn.com</w:t>
            </w:r>
          </w:p>
        </w:tc>
      </w:tr>
      <w:tr>
        <w:trPr>
          <w:trHeight w:val="20"/>
        </w:trPr>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bl>
    <w:p>
      <w:pPr>
        <w:spacing w:after="0" w:line="33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Any party hereto may change the address at which they are to receive notices hereunder, by notice in writing in the foregoing manner given to the other party. All notices or demands sent in accordance with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deemed received on the earlier of the date of actual receipt or three Business Days after the deposit thereof in the 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46" w:lineRule="exact"/>
        <w:rPr>
          <w:sz w:val="20"/>
          <w:szCs w:val="20"/>
          <w:color w:val="auto"/>
        </w:rPr>
      </w:pPr>
    </w:p>
    <w:p>
      <w:pPr>
        <w:ind w:left="1240" w:hanging="618"/>
        <w:spacing w:after="0"/>
        <w:tabs>
          <w:tab w:leader="none" w:pos="1240"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CHOICE OF LAW AND VENUE; JURY TRIAL WAIVER; JUDICIAL REFERENCE PROVISION.</w:t>
      </w:r>
    </w:p>
    <w:p>
      <w:pPr>
        <w:spacing w:after="0" w:line="171" w:lineRule="exact"/>
        <w:rPr>
          <w:rFonts w:ascii="Times New Roman" w:cs="Times New Roman" w:eastAsia="Times New Roman" w:hAnsi="Times New Roman"/>
          <w:sz w:val="21"/>
          <w:szCs w:val="21"/>
          <w:b w:val="1"/>
          <w:bCs w:val="1"/>
          <w:color w:val="auto"/>
        </w:rPr>
      </w:pPr>
    </w:p>
    <w:p>
      <w:pPr>
        <w:jc w:val="both"/>
        <w:ind w:firstLine="1241"/>
        <w:spacing w:after="0" w:line="213" w:lineRule="auto"/>
        <w:tabs>
          <w:tab w:leader="none" w:pos="1853"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p>
    <w:p>
      <w:pPr>
        <w:spacing w:after="0" w:line="141"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2"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BOROUGH OF MANHATTAN, STATE OF NEW YORK;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THAT ANY SUIT SEEKING ENFORCEMENT AGAINST ANY COLLATERAL OR OTHER PROPERTY MAY BE BROUGHT, AT AGENT'S OPTION, IN THE COURTS OF ANY JURISDICTION WHERE AGENT ELECTS TO BRING SUCH ACTION OR WHERE SUCH COLLATERAL OR OTHER PROPERTY MAY BE FOUND. EACH BORROWER AND EACH MEMBER OF THE LENDER GROUP WAIVE, TO THE EXTENT PERMITTED UNDER APPLICABLE LAW, ANY RIGHT EACH MAY HAVE TO ASSERT THE DOCTRINE OF </w:t>
      </w:r>
      <w:r>
        <w:rPr>
          <w:rFonts w:ascii="Times New Roman" w:cs="Times New Roman" w:eastAsia="Times New Roman" w:hAnsi="Times New Roman"/>
          <w:sz w:val="21"/>
          <w:szCs w:val="21"/>
          <w:b w:val="1"/>
          <w:bCs w:val="1"/>
          <w:u w:val="single" w:color="auto"/>
          <w:color w:val="auto"/>
        </w:rPr>
        <w:t>FORUM NON CONVENIENS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8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OR TO OBJECT TO VENUE TO THE EXTENT ANY PROCEEDING IS BROUGHT IN ACCORDANCE WITH THIS </w:t>
      </w:r>
      <w:r>
        <w:rPr>
          <w:rFonts w:ascii="Times New Roman" w:cs="Times New Roman" w:eastAsia="Times New Roman" w:hAnsi="Times New Roman"/>
          <w:sz w:val="21"/>
          <w:szCs w:val="21"/>
          <w:b w:val="1"/>
          <w:bCs w:val="1"/>
          <w:u w:val="single" w:color="auto"/>
          <w:color w:val="auto"/>
        </w:rPr>
        <w:t>SECTION 12(b)</w:t>
      </w:r>
      <w:r>
        <w:rPr>
          <w:rFonts w:ascii="Times New Roman" w:cs="Times New Roman" w:eastAsia="Times New Roman" w:hAnsi="Times New Roman"/>
          <w:sz w:val="21"/>
          <w:szCs w:val="21"/>
          <w:b w:val="1"/>
          <w:bCs w:val="1"/>
          <w:color w:val="auto"/>
        </w:rPr>
        <w:t>.</w:t>
      </w:r>
    </w:p>
    <w:p>
      <w:pPr>
        <w:spacing w:after="0" w:line="142" w:lineRule="exact"/>
        <w:rPr>
          <w:sz w:val="20"/>
          <w:szCs w:val="20"/>
          <w:color w:val="auto"/>
        </w:rPr>
      </w:pPr>
    </w:p>
    <w:p>
      <w:pPr>
        <w:jc w:val="both"/>
        <w:ind w:firstLine="1241"/>
        <w:spacing w:after="0" w:line="211" w:lineRule="auto"/>
        <w:tabs>
          <w:tab w:leader="none" w:pos="18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TO THE MAXIMUM EXTENT PERMITTED BY APPLICABLE LAW,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"CLAIM").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EACH BORROWER HEREBY IRREVOCABLY AND UNCONDITIONALLY SUBMITS TO THE EXCLUSIVE JURISDICTION OF THE STATE AND FEDERAL COURTS LOCATED IN THE BOROUGH OF MANHATTAN AND THE STATE OF NEW YORK,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CLAIM MAY BE MADE BY ANY LOAN PARTY AGAINST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42" w:lineRule="exact"/>
        <w:rPr>
          <w:rFonts w:ascii="Times New Roman" w:cs="Times New Roman" w:eastAsia="Times New Roman" w:hAnsi="Times New Roman"/>
          <w:sz w:val="21"/>
          <w:szCs w:val="21"/>
          <w:color w:val="auto"/>
        </w:rPr>
      </w:pPr>
    </w:p>
    <w:p>
      <w:pPr>
        <w:ind w:firstLine="1241"/>
        <w:spacing w:after="0" w:line="237" w:lineRule="auto"/>
        <w:tabs>
          <w:tab w:leader="none" w:pos="1856"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 THE EVENT ANY LEGAL PROCEEDING IS FILED IN A COURT OF THE STATE OF CALIFORNIA (THE "COURT") BY OR AGAINST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8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b w:val="1"/>
          <w:bCs w:val="1"/>
          <w:color w:val="auto"/>
        </w:rPr>
        <w:t>PARTY HERETO IN CONNECTION WITH ANY CLAIM AND THE WAIVER SET FORTH IN CLAUSE (C) ABOVE IS NOT ENFORCEABLE IN SUCH PROCEEDING, THE PARTIES HERETO AGREE AS FOLLOWS:</w:t>
      </w:r>
    </w:p>
    <w:p>
      <w:pPr>
        <w:spacing w:after="0" w:line="142" w:lineRule="exact"/>
        <w:rPr>
          <w:sz w:val="20"/>
          <w:szCs w:val="20"/>
          <w:color w:val="auto"/>
        </w:rPr>
      </w:pPr>
    </w:p>
    <w:p>
      <w:pPr>
        <w:jc w:val="both"/>
        <w:ind w:firstLine="1860"/>
        <w:spacing w:after="0" w:line="218" w:lineRule="auto"/>
        <w:tabs>
          <w:tab w:leader="none" w:pos="246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40" w:lineRule="exact"/>
        <w:rPr>
          <w:rFonts w:ascii="Times New Roman" w:cs="Times New Roman" w:eastAsia="Times New Roman" w:hAnsi="Times New Roman"/>
          <w:sz w:val="21"/>
          <w:szCs w:val="21"/>
          <w:color w:val="auto"/>
        </w:rPr>
      </w:pPr>
    </w:p>
    <w:p>
      <w:pPr>
        <w:jc w:val="both"/>
        <w:ind w:firstLine="1860"/>
        <w:spacing w:after="0" w:line="212" w:lineRule="auto"/>
        <w:tabs>
          <w:tab w:leader="none" w:pos="246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42" w:lineRule="exact"/>
        <w:rPr>
          <w:rFonts w:ascii="Times New Roman" w:cs="Times New Roman" w:eastAsia="Times New Roman" w:hAnsi="Times New Roman"/>
          <w:sz w:val="21"/>
          <w:szCs w:val="21"/>
          <w:color w:val="auto"/>
        </w:rPr>
      </w:pPr>
    </w:p>
    <w:p>
      <w:pPr>
        <w:jc w:val="both"/>
        <w:ind w:firstLine="1860"/>
        <w:spacing w:after="0" w:line="214" w:lineRule="auto"/>
        <w:tabs>
          <w:tab w:leader="none" w:pos="2475"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42" w:lineRule="exact"/>
        <w:rPr>
          <w:rFonts w:ascii="Times New Roman" w:cs="Times New Roman" w:eastAsia="Times New Roman" w:hAnsi="Times New Roman"/>
          <w:sz w:val="21"/>
          <w:szCs w:val="21"/>
          <w:color w:val="auto"/>
        </w:rPr>
      </w:pPr>
    </w:p>
    <w:p>
      <w:pPr>
        <w:jc w:val="both"/>
        <w:ind w:firstLine="1860"/>
        <w:spacing w:after="0" w:line="223" w:lineRule="auto"/>
        <w:tabs>
          <w:tab w:leader="none" w:pos="246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8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OBLIGATION TO ARRANGE FOR AND PAY THE COSTS OF THE COURT REPORTER;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THAT SUCH COSTS, ALONG WITH THE REFEREE'S FEES, SHALL ULTIMATELY BE BORNE BY THE PARTY WHO DOES NOT PREVAIL, AS DETERMINED BY THE REFEREE.</w:t>
      </w:r>
    </w:p>
    <w:p>
      <w:pPr>
        <w:spacing w:after="0" w:line="143" w:lineRule="exact"/>
        <w:rPr>
          <w:sz w:val="20"/>
          <w:szCs w:val="20"/>
          <w:color w:val="auto"/>
        </w:rPr>
      </w:pPr>
    </w:p>
    <w:p>
      <w:pPr>
        <w:jc w:val="both"/>
        <w:ind w:firstLine="1860"/>
        <w:spacing w:after="0" w:line="232" w:lineRule="auto"/>
        <w:tabs>
          <w:tab w:leader="none" w:pos="2471"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42" w:lineRule="exact"/>
        <w:rPr>
          <w:rFonts w:ascii="Times New Roman" w:cs="Times New Roman" w:eastAsia="Times New Roman" w:hAnsi="Times New Roman"/>
          <w:sz w:val="20"/>
          <w:szCs w:val="20"/>
          <w:color w:val="auto"/>
        </w:rPr>
      </w:pPr>
    </w:p>
    <w:p>
      <w:pPr>
        <w:jc w:val="both"/>
        <w:ind w:firstLine="1860"/>
        <w:spacing w:after="0" w:line="210" w:lineRule="auto"/>
        <w:tabs>
          <w:tab w:leader="none" w:pos="2463"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50" w:lineRule="exact"/>
        <w:rPr>
          <w:rFonts w:ascii="Times New Roman" w:cs="Times New Roman" w:eastAsia="Times New Roman" w:hAnsi="Times New Roman"/>
          <w:sz w:val="21"/>
          <w:szCs w:val="21"/>
          <w:color w:val="auto"/>
        </w:rPr>
      </w:pPr>
    </w:p>
    <w:p>
      <w:pPr>
        <w:jc w:val="both"/>
        <w:ind w:firstLine="1860"/>
        <w:spacing w:after="0" w:line="215" w:lineRule="auto"/>
        <w:tabs>
          <w:tab w:leader="none" w:pos="2469"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4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ASSIGNMENTS AND PARTICIPATIONS; SUCCESSORS.</w:t>
      </w:r>
    </w:p>
    <w:p>
      <w:pPr>
        <w:spacing w:after="0" w:line="171" w:lineRule="exact"/>
        <w:rPr>
          <w:rFonts w:ascii="Times New Roman" w:cs="Times New Roman" w:eastAsia="Times New Roman" w:hAnsi="Times New Roman"/>
          <w:sz w:val="21"/>
          <w:szCs w:val="21"/>
          <w:b w:val="1"/>
          <w:bCs w:val="1"/>
          <w:color w:val="auto"/>
        </w:rPr>
      </w:pPr>
    </w:p>
    <w:p>
      <w:pPr>
        <w:ind w:left="12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u w:val="single" w:color="auto"/>
          <w:color w:val="auto"/>
        </w:rPr>
        <w:t>Assignments and Participations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b w:val="1"/>
          <w:bCs w:val="1"/>
          <w:color w:val="auto"/>
        </w:rPr>
      </w:pPr>
    </w:p>
    <w:p>
      <w:pPr>
        <w:jc w:val="both"/>
        <w:ind w:firstLine="1241"/>
        <w:spacing w:after="0" w:line="220" w:lineRule="auto"/>
        <w:tabs>
          <w:tab w:leader="none" w:pos="1905"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with the prior written consent (such consent not be unreasonably withheld or delayed)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86" w:lineRule="exact"/>
        <w:rPr>
          <w:sz w:val="20"/>
          <w:szCs w:val="20"/>
          <w:color w:val="auto"/>
        </w:rPr>
      </w:pPr>
    </w:p>
    <w:p>
      <w:pPr>
        <w:jc w:val="both"/>
        <w:ind w:firstLine="2478"/>
        <w:spacing w:after="0" w:line="220" w:lineRule="auto"/>
        <w:tabs>
          <w:tab w:leader="none" w:pos="3084"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Borrowers shall be required (1) if a Default or Event of Default has occurred and is continuing, or (2) in connection with an assignment to a Person that is a Lender or an Affiliate (other than natural persons) of a Lender;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Borrowers shall be deemed to have consented to a proposed assignment unless they object thereto by written notice to Agent within five Business Days after having received notice thereof; and</w:t>
      </w:r>
    </w:p>
    <w:p>
      <w:pPr>
        <w:spacing w:after="0" w:line="145"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Swing Lender, and Issuing Bank.</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shall be subject to the following additional conditions:</w:t>
      </w:r>
    </w:p>
    <w:p>
      <w:pPr>
        <w:spacing w:after="0" w:line="17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may be made to a natural person,</w:t>
      </w:r>
    </w:p>
    <w:p>
      <w:pPr>
        <w:spacing w:after="0" w:line="171"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may be made to a Loan Party or an Affiliate of a Loan Party,</w:t>
      </w:r>
    </w:p>
    <w:p>
      <w:pPr>
        <w:spacing w:after="0" w:line="171" w:lineRule="exact"/>
        <w:rPr>
          <w:rFonts w:ascii="Times New Roman" w:cs="Times New Roman" w:eastAsia="Times New Roman" w:hAnsi="Times New Roman"/>
          <w:sz w:val="21"/>
          <w:szCs w:val="21"/>
          <w:color w:val="auto"/>
        </w:rPr>
      </w:pPr>
    </w:p>
    <w:p>
      <w:pPr>
        <w:jc w:val="both"/>
        <w:ind w:firstLine="2478"/>
        <w:spacing w:after="0" w:line="213" w:lineRule="auto"/>
        <w:tabs>
          <w:tab w:leader="none" w:pos="3085"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49" w:lineRule="exact"/>
        <w:rPr>
          <w:rFonts w:ascii="Times New Roman" w:cs="Times New Roman" w:eastAsia="Times New Roman" w:hAnsi="Times New Roman"/>
          <w:sz w:val="21"/>
          <w:szCs w:val="21"/>
          <w:color w:val="auto"/>
        </w:rPr>
      </w:pPr>
    </w:p>
    <w:p>
      <w:pPr>
        <w:ind w:firstLine="2478"/>
        <w:spacing w:after="0" w:line="235" w:lineRule="auto"/>
        <w:tabs>
          <w:tab w:leader="none" w:pos="3084"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partial assignment shall be made as an assignment of a proportionate part of all the assigning Lender's rights and obligations under this Agreement,</w:t>
      </w:r>
    </w:p>
    <w:p>
      <w:pPr>
        <w:spacing w:after="0" w:line="145" w:lineRule="exact"/>
        <w:rPr>
          <w:rFonts w:ascii="Times New Roman" w:cs="Times New Roman" w:eastAsia="Times New Roman" w:hAnsi="Times New Roman"/>
          <w:sz w:val="21"/>
          <w:szCs w:val="21"/>
          <w:color w:val="auto"/>
        </w:rPr>
      </w:pPr>
    </w:p>
    <w:p>
      <w:pPr>
        <w:jc w:val="both"/>
        <w:ind w:firstLine="2478"/>
        <w:spacing w:after="0" w:line="220" w:lineRule="auto"/>
        <w:tabs>
          <w:tab w:leader="none" w:pos="3087"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to each assignment shall execute and deliver to Agent an Assignment and Acceptance;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45" w:lineRule="exact"/>
        <w:rPr>
          <w:rFonts w:ascii="Times New Roman" w:cs="Times New Roman" w:eastAsia="Times New Roman" w:hAnsi="Times New Roman"/>
          <w:sz w:val="21"/>
          <w:szCs w:val="21"/>
          <w:color w:val="auto"/>
        </w:rPr>
      </w:pPr>
    </w:p>
    <w:p>
      <w:pPr>
        <w:ind w:firstLine="2478"/>
        <w:spacing w:after="0" w:line="235" w:lineRule="auto"/>
        <w:tabs>
          <w:tab w:leader="none" w:pos="3088"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waived by Agent, the assigning Lender or Assignee has paid to Agent, for Agent's separate account, a processing fee in the amount of $3,500, and</w:t>
      </w:r>
    </w:p>
    <w:p>
      <w:pPr>
        <w:spacing w:after="0" w:line="145" w:lineRule="exact"/>
        <w:rPr>
          <w:rFonts w:ascii="Times New Roman" w:cs="Times New Roman" w:eastAsia="Times New Roman" w:hAnsi="Times New Roman"/>
          <w:sz w:val="21"/>
          <w:szCs w:val="21"/>
          <w:color w:val="auto"/>
        </w:rPr>
      </w:pPr>
    </w:p>
    <w:p>
      <w:pPr>
        <w:ind w:firstLine="2478"/>
        <w:spacing w:after="0" w:line="235" w:lineRule="auto"/>
        <w:tabs>
          <w:tab w:leader="none" w:pos="3084"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if it is not a Lender, shall deliver to Agent an Administrative Questionnaire in a form approved by Agent (the "</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Documents have been assigned by it pursuant to such Assignment and Acceptance, relinquish its rights (except with respect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17.9(a)</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41"/>
        <w:spacing w:after="0" w:line="209" w:lineRule="auto"/>
        <w:tabs>
          <w:tab w:leader="none" w:pos="185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Immediately upon Agent's receipt of the required processing fee, if applicable, and delivery of notice to the assigning Lender pursuant to </w:t>
      </w:r>
      <w:r>
        <w:rPr>
          <w:rFonts w:ascii="Times New Roman" w:cs="Times New Roman" w:eastAsia="Times New Roman" w:hAnsi="Times New Roman"/>
          <w:sz w:val="21"/>
          <w:szCs w:val="21"/>
          <w:u w:val="single" w:color="auto"/>
          <w:color w:val="auto"/>
        </w:rPr>
        <w:t>Section 13.1(b)</w:t>
      </w:r>
      <w:r>
        <w:rPr>
          <w:rFonts w:ascii="Times New Roman" w:cs="Times New Roman" w:eastAsia="Times New Roman" w:hAnsi="Times New Roman"/>
          <w:sz w:val="21"/>
          <w:szCs w:val="21"/>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 w:cs="Times New Roman" w:eastAsia="Times New Roman" w:hAnsi="Times New Roman"/>
          <w:sz w:val="21"/>
          <w:szCs w:val="21"/>
          <w:i w:val="1"/>
          <w:iCs w:val="1"/>
          <w:color w:val="auto"/>
        </w:rPr>
        <w:t>pro tanto</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at any time sell to one or more commercial banks, financial institutions, or other Persons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 interests in all or any portion of its Obligations, its Commitment, and the other rights and interests of that Lender (the "</w:t>
      </w:r>
      <w:r>
        <w:rPr>
          <w:rFonts w:ascii="Times New Roman" w:cs="Times New Roman" w:eastAsia="Times New Roman" w:hAnsi="Times New Roman"/>
          <w:sz w:val="21"/>
          <w:szCs w:val="21"/>
          <w:u w:val="single" w:color="auto"/>
          <w:color w:val="auto"/>
        </w:rPr>
        <w:t>Originating Lender</w:t>
      </w:r>
      <w:r>
        <w:rPr>
          <w:rFonts w:ascii="Times New Roman" w:cs="Times New Roman" w:eastAsia="Times New Roman" w:hAnsi="Times New Roman"/>
          <w:sz w:val="21"/>
          <w:szCs w:val="21"/>
          <w:color w:val="auto"/>
        </w:rPr>
        <w:t xml:space="preserve">") hereunder and under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8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w:t>
      </w:r>
    </w:p>
    <w:p>
      <w:pPr>
        <w:spacing w:after="0" w:line="1" w:lineRule="exact"/>
        <w:rPr>
          <w:sz w:val="20"/>
          <w:szCs w:val="20"/>
          <w:color w:val="auto"/>
        </w:rPr>
      </w:pPr>
    </w:p>
    <w:p>
      <w:pPr>
        <w:jc w:val="both"/>
        <w:ind w:firstLine="3"/>
        <w:spacing w:after="0" w:line="219" w:lineRule="auto"/>
        <w:tabs>
          <w:tab w:leader="none" w:pos="33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the amount or postpone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48" w:lineRule="exact"/>
        <w:rPr>
          <w:rFonts w:ascii="Times New Roman" w:cs="Times New Roman" w:eastAsia="Times New Roman" w:hAnsi="Times New Roman"/>
          <w:sz w:val="20"/>
          <w:szCs w:val="20"/>
          <w:color w:val="auto"/>
        </w:rPr>
      </w:pPr>
    </w:p>
    <w:p>
      <w:pPr>
        <w:jc w:val="both"/>
        <w:ind w:firstLine="1241"/>
        <w:spacing w:after="0" w:line="220" w:lineRule="auto"/>
        <w:tabs>
          <w:tab w:leader="none" w:pos="1856"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disclose all documents and information which it now or hereafter may have relating to any Loan Party and its Subsidiaries and their respective businesses.</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pledge shall release such Lender from any of its obligations hereunder or substitute any such pledgee or assignee for such Lender as a party hereto.</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86" w:lineRule="exact"/>
        <w:rPr>
          <w:sz w:val="20"/>
          <w:szCs w:val="20"/>
          <w:color w:val="auto"/>
        </w:rPr>
      </w:pPr>
    </w:p>
    <w:p>
      <w:pPr>
        <w:ind w:firstLine="1241"/>
        <w:spacing w:after="0" w:line="235" w:lineRule="auto"/>
        <w:tabs>
          <w:tab w:leader="none" w:pos="184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make a copy of the Register (and each Lender shall make a copy of its Participant Register to the extent it has one) available for review by Borrowers from time to time as Borrowers may reasonably request.</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color w:val="auto"/>
        </w:rPr>
        <w:t xml:space="preserve">. This Agreement shall bind and inure to the benefit of the respective successors and assigns of each of the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Borrower may assign this Agreement or any rights or duties hereunder without the Lenders' prior written consent and any prohibited assignment shall be absolutely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xml:space="preserve">. No consent to assignment by the Lenders shall release any Borrower from its Obligations. A Lender may assign this Agreement and the other Loan Documents and its rights and duties hereunder and thereunder pursuant to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and, except as expressly required pursuant to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no consent or approval by any Borrower is required in connection with any such assignment.</w:t>
      </w:r>
    </w:p>
    <w:p>
      <w:pPr>
        <w:spacing w:after="0" w:line="146" w:lineRule="exact"/>
        <w:rPr>
          <w:sz w:val="20"/>
          <w:szCs w:val="20"/>
          <w:color w:val="auto"/>
        </w:rPr>
      </w:pPr>
    </w:p>
    <w:p>
      <w:pPr>
        <w:ind w:left="1240" w:hanging="618"/>
        <w:spacing w:after="0"/>
        <w:tabs>
          <w:tab w:leader="none" w:pos="1240" w:val="left"/>
        </w:tabs>
        <w:numPr>
          <w:ilvl w:val="0"/>
          <w:numId w:val="1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AMENDMENTS; WAIVERS.</w:t>
      </w:r>
    </w:p>
    <w:p>
      <w:pPr>
        <w:spacing w:after="0" w:line="171" w:lineRule="exact"/>
        <w:rPr>
          <w:rFonts w:ascii="Times New Roman" w:cs="Times New Roman" w:eastAsia="Times New Roman" w:hAnsi="Times New Roman"/>
          <w:sz w:val="21"/>
          <w:szCs w:val="21"/>
          <w:b w:val="1"/>
          <w:bCs w:val="1"/>
          <w:color w:val="auto"/>
        </w:rPr>
      </w:pPr>
    </w:p>
    <w:p>
      <w:pPr>
        <w:ind w:left="12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b w:val="1"/>
          <w:bCs w:val="1"/>
          <w:u w:val="single" w:color="auto"/>
          <w:color w:val="auto"/>
        </w:rPr>
        <w:t>Amendments and Waivers</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b w:val="1"/>
          <w:bCs w:val="1"/>
          <w:color w:val="auto"/>
        </w:rPr>
      </w:pPr>
    </w:p>
    <w:p>
      <w:pPr>
        <w:jc w:val="both"/>
        <w:ind w:firstLine="1241"/>
        <w:spacing w:after="0" w:line="213" w:lineRule="auto"/>
        <w:tabs>
          <w:tab w:leader="none" w:pos="1853"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amendment, waiver or other modification of any provision of this Agreement or any other Loan Document (other than the Fee Letter), and no consent with respect to any departure by any Borrower therefrom, shall be effective unless the same shall be in writing and signed by the Required Lenders (or by Agent at the written request of the Required Lenders) and the Administrative Borrower on behalf of each Loan Party party thereto and then any such waiver or consent shall be effective, but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waiver, amendment, or consent shall, unless in writing and signed by all of the Lenders directly affected thereby and the Administrative Borrower on behalf of each Loan Party party thereto, do any of the following:</w:t>
      </w:r>
    </w:p>
    <w:p>
      <w:pPr>
        <w:spacing w:after="0" w:line="149"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increase the amount of or extend the expiration date of any Commitment of any Lender or amend, modify, or eliminate the last sentence of </w:t>
      </w:r>
      <w:r>
        <w:rPr>
          <w:rFonts w:ascii="Times New Roman" w:cs="Times New Roman" w:eastAsia="Times New Roman" w:hAnsi="Times New Roman"/>
          <w:sz w:val="21"/>
          <w:szCs w:val="21"/>
          <w:u w:val="single" w:color="auto"/>
          <w:color w:val="auto"/>
        </w:rPr>
        <w:t>Section 2.4(c)(i)</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or delay any date fixed by this Agreement or any other Loan Document for any payment of principal, interest, fees, or other amounts due hereunder or under any other Loan Document,</w:t>
      </w:r>
    </w:p>
    <w:p>
      <w:pPr>
        <w:spacing w:after="0" w:line="145" w:lineRule="exact"/>
        <w:rPr>
          <w:rFonts w:ascii="Times New Roman" w:cs="Times New Roman" w:eastAsia="Times New Roman" w:hAnsi="Times New Roman"/>
          <w:sz w:val="21"/>
          <w:szCs w:val="21"/>
          <w:color w:val="auto"/>
        </w:rPr>
      </w:pPr>
    </w:p>
    <w:p>
      <w:pPr>
        <w:jc w:val="both"/>
        <w:ind w:firstLine="1860"/>
        <w:spacing w:after="0" w:line="217" w:lineRule="auto"/>
        <w:tabs>
          <w:tab w:leader="none" w:pos="2475"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 xml:space="preserve">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spacing w:after="0" w:line="132"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modify, or eliminate this Section or any provision of this Agreement providing for consent 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action by all Lenders,</w:t>
      </w:r>
    </w:p>
    <w:p>
      <w:pPr>
        <w:spacing w:after="0" w:line="149"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eliminate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3.2</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eliminate </w:t>
      </w:r>
      <w:r>
        <w:rPr>
          <w:rFonts w:ascii="Times New Roman" w:cs="Times New Roman" w:eastAsia="Times New Roman" w:hAnsi="Times New Roman"/>
          <w:sz w:val="21"/>
          <w:szCs w:val="21"/>
          <w:u w:val="single" w:color="auto"/>
          <w:color w:val="auto"/>
        </w:rPr>
        <w:t>Section 15.11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85" w:lineRule="exact"/>
        <w:rPr>
          <w:sz w:val="20"/>
          <w:szCs w:val="20"/>
          <w:color w:val="auto"/>
        </w:rPr>
      </w:pPr>
    </w:p>
    <w:p>
      <w:pPr>
        <w:ind w:left="1860"/>
        <w:spacing w:after="0"/>
        <w:tabs>
          <w:tab w:leader="none" w:pos="2460" w:val="left"/>
        </w:tabs>
        <w:rPr>
          <w:sz w:val="20"/>
          <w:szCs w:val="20"/>
          <w:color w:val="auto"/>
        </w:rPr>
      </w:pPr>
      <w:r>
        <w:rPr>
          <w:rFonts w:ascii="Times New Roman" w:cs="Times New Roman" w:eastAsia="Times New Roman" w:hAnsi="Times New Roman"/>
          <w:sz w:val="20"/>
          <w:szCs w:val="20"/>
          <w:color w:val="auto"/>
        </w:rPr>
        <w:t>(vii)</w:t>
        <w:tab/>
        <w:t xml:space="preserve">other than as permitted by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release or contractually subordinate Agent's Lien in and to any</w:t>
      </w:r>
    </w:p>
    <w:p>
      <w:pPr>
        <w:spacing w:after="0"/>
        <w:rPr>
          <w:sz w:val="20"/>
          <w:szCs w:val="20"/>
          <w:color w:val="auto"/>
        </w:rPr>
      </w:pPr>
      <w:r>
        <w:rPr>
          <w:rFonts w:ascii="Times New Roman" w:cs="Times New Roman" w:eastAsia="Times New Roman" w:hAnsi="Times New Roman"/>
          <w:sz w:val="21"/>
          <w:szCs w:val="21"/>
          <w:color w:val="auto"/>
        </w:rPr>
        <w:t>of the Collateral,</w:t>
      </w:r>
    </w:p>
    <w:p>
      <w:pPr>
        <w:spacing w:after="0" w:line="136" w:lineRule="exact"/>
        <w:rPr>
          <w:sz w:val="20"/>
          <w:szCs w:val="20"/>
          <w:color w:val="auto"/>
        </w:rPr>
      </w:pPr>
    </w:p>
    <w:p>
      <w:pPr>
        <w:ind w:left="1860"/>
        <w:spacing w:after="0"/>
        <w:tabs>
          <w:tab w:leader="none" w:pos="2460" w:val="left"/>
        </w:tabs>
        <w:rPr>
          <w:sz w:val="20"/>
          <w:szCs w:val="20"/>
          <w:color w:val="auto"/>
        </w:rPr>
      </w:pPr>
      <w:r>
        <w:rPr>
          <w:rFonts w:ascii="Times New Roman" w:cs="Times New Roman" w:eastAsia="Times New Roman" w:hAnsi="Times New Roman"/>
          <w:sz w:val="21"/>
          <w:szCs w:val="21"/>
          <w:color w:val="auto"/>
        </w:rPr>
        <w:t>(viii)</w:t>
        <w:tab/>
        <w:t>amend, modify, or eliminate the definitions of "Required Lenders", Supermajority Lenders or "Pro Rata</w:t>
      </w:r>
    </w:p>
    <w:p>
      <w:pPr>
        <w:spacing w:after="0"/>
        <w:rPr>
          <w:sz w:val="20"/>
          <w:szCs w:val="20"/>
          <w:color w:val="auto"/>
        </w:rPr>
      </w:pPr>
      <w:r>
        <w:rPr>
          <w:rFonts w:ascii="Times New Roman" w:cs="Times New Roman" w:eastAsia="Times New Roman" w:hAnsi="Times New Roman"/>
          <w:sz w:val="21"/>
          <w:szCs w:val="21"/>
          <w:color w:val="auto"/>
        </w:rPr>
        <w:t>Share",</w:t>
      </w:r>
    </w:p>
    <w:p>
      <w:pPr>
        <w:spacing w:after="0" w:line="149" w:lineRule="exact"/>
        <w:rPr>
          <w:sz w:val="20"/>
          <w:szCs w:val="20"/>
          <w:color w:val="auto"/>
        </w:rPr>
      </w:pPr>
    </w:p>
    <w:p>
      <w:pPr>
        <w:jc w:val="both"/>
        <w:ind w:firstLine="1860"/>
        <w:spacing w:after="0" w:line="220" w:lineRule="auto"/>
        <w:tabs>
          <w:tab w:leader="none" w:pos="2463"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eliminate any of the provisions of </w:t>
      </w:r>
      <w:r>
        <w:rPr>
          <w:rFonts w:ascii="Times New Roman" w:cs="Times New Roman" w:eastAsia="Times New Roman" w:hAnsi="Times New Roman"/>
          <w:sz w:val="21"/>
          <w:szCs w:val="21"/>
          <w:u w:val="single" w:color="auto"/>
          <w:color w:val="auto"/>
        </w:rPr>
        <w:t>Section 2.4(b)(i)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any Real Property is included in the Collateral, add, increase, renew or extend any Loan, Letter of Credit or Commitment hereunder until the completion of flood due diligence, documentation and coverage as required by the Flood Laws or as otherwise satisfactory to all Lenders, or</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modify, or eliminate any of the provisions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with respect to assignments to, or participations with, Persons who are Loan Parties or Affiliates of a Loan Party;</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modification, or consent shall amend, modify, waive, or eliminate,</w:t>
      </w:r>
    </w:p>
    <w:p>
      <w:pPr>
        <w:spacing w:after="0" w:line="171"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or any of the terms or provisions of, the Fee Letter, without the written consent of Agent and Borrowers (and shall not require the written consent of any of the Lenders),</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provision of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pertaining to Agent, or any other rights or duties of Agent under this Agreement or the other Loan Documents, without the written consent of Agent, Borrowers, and the Required Lenders;</w:t>
      </w:r>
    </w:p>
    <w:p>
      <w:pPr>
        <w:spacing w:after="0" w:line="145"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amendment, waiver, modification, elimination, or consent shall amend, without written consent of Agent, Borrowers and the Supermajority Lenders, modify, or eliminate the definition of Borrowing Base or any of the defined terms (including the definitions of Eligible Accounts, Eligible Equipment, Eligible Inventory, Eligible Progress Billing Accounts) that are used in such definition to the extent that any such change results in more credit being made available to Borrowers based upon the Borrowing Base, but not otherwise, or the definition of Maximum Revolver Amount, or change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86" w:lineRule="exact"/>
        <w:rPr>
          <w:sz w:val="20"/>
          <w:szCs w:val="20"/>
          <w:color w:val="auto"/>
        </w:rPr>
      </w:pPr>
    </w:p>
    <w:p>
      <w:pPr>
        <w:jc w:val="both"/>
        <w:ind w:firstLine="1241"/>
        <w:spacing w:after="0" w:line="220" w:lineRule="auto"/>
        <w:tabs>
          <w:tab w:leader="none" w:pos="1853"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19" w:lineRule="auto"/>
        <w:tabs>
          <w:tab w:leader="none" w:pos="1856"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Loan Party, shall not require consent by or the agreement of any Loan Party, (ii)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Times New Roman" w:cs="Times New Roman" w:eastAsia="Times New Roman" w:hAnsi="Times New Roman"/>
          <w:sz w:val="20"/>
          <w:szCs w:val="20"/>
          <w:u w:val="single" w:color="auto"/>
          <w:color w:val="auto"/>
        </w:rPr>
        <w:t>Section 14.1(a)(i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that affect such Lender),</w:t>
      </w:r>
    </w:p>
    <w:p>
      <w:pPr>
        <w:jc w:val="both"/>
        <w:ind w:firstLine="3"/>
        <w:spacing w:after="0" w:line="218" w:lineRule="auto"/>
        <w:tabs>
          <w:tab w:leader="none" w:pos="38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amendment contemplated by </w:t>
      </w:r>
      <w:r>
        <w:rPr>
          <w:rFonts w:ascii="Times New Roman" w:cs="Times New Roman" w:eastAsia="Times New Roman" w:hAnsi="Times New Roman"/>
          <w:sz w:val="21"/>
          <w:szCs w:val="21"/>
          <w:u w:val="single" w:color="auto"/>
          <w:color w:val="auto"/>
        </w:rPr>
        <w:t>Section 2.12(c)</w:t>
      </w:r>
      <w:r>
        <w:rPr>
          <w:rFonts w:ascii="Times New Roman" w:cs="Times New Roman" w:eastAsia="Times New Roman" w:hAnsi="Times New Roman"/>
          <w:sz w:val="21"/>
          <w:szCs w:val="21"/>
          <w:color w:val="auto"/>
        </w:rPr>
        <w:t xml:space="preserve"> of this Agreement in connection with a Benchmark Transition Event shall be effective as contemplated by such </w:t>
      </w:r>
      <w:r>
        <w:rPr>
          <w:rFonts w:ascii="Times New Roman" w:cs="Times New Roman" w:eastAsia="Times New Roman" w:hAnsi="Times New Roman"/>
          <w:sz w:val="21"/>
          <w:szCs w:val="21"/>
          <w:u w:val="single" w:color="auto"/>
          <w:color w:val="auto"/>
        </w:rPr>
        <w:t>Section 2.12(c)</w:t>
      </w:r>
      <w:r>
        <w:rPr>
          <w:rFonts w:ascii="Times New Roman" w:cs="Times New Roman" w:eastAsia="Times New Roman" w:hAnsi="Times New Roman"/>
          <w:sz w:val="21"/>
          <w:szCs w:val="21"/>
          <w:color w:val="auto"/>
        </w:rPr>
        <w:t xml:space="preserve"> hereof and (iv) any amendment contemplated by </w:t>
      </w:r>
      <w:r>
        <w:rPr>
          <w:rFonts w:ascii="Times New Roman" w:cs="Times New Roman" w:eastAsia="Times New Roman" w:hAnsi="Times New Roman"/>
          <w:sz w:val="21"/>
          <w:szCs w:val="21"/>
          <w:u w:val="single" w:color="auto"/>
          <w:color w:val="auto"/>
        </w:rPr>
        <w:t>Section 2.6(g)</w:t>
      </w:r>
      <w:r>
        <w:rPr>
          <w:rFonts w:ascii="Times New Roman" w:cs="Times New Roman" w:eastAsia="Times New Roman" w:hAnsi="Times New Roman"/>
          <w:sz w:val="21"/>
          <w:szCs w:val="21"/>
          <w:color w:val="auto"/>
        </w:rPr>
        <w:t xml:space="preserve"> of this Agreement in connection with the use or administration of Daily Simple SOFR shall be effective as contemplated by such </w:t>
      </w:r>
      <w:r>
        <w:rPr>
          <w:rFonts w:ascii="Times New Roman" w:cs="Times New Roman" w:eastAsia="Times New Roman" w:hAnsi="Times New Roman"/>
          <w:sz w:val="21"/>
          <w:szCs w:val="21"/>
          <w:u w:val="single" w:color="auto"/>
          <w:color w:val="auto"/>
        </w:rPr>
        <w:t>Section 2.6(g)</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14.2.</w:t>
      </w:r>
      <w:r>
        <w:rPr>
          <w:sz w:val="20"/>
          <w:szCs w:val="20"/>
          <w:color w:val="auto"/>
        </w:rPr>
        <w:tab/>
      </w:r>
      <w:r>
        <w:rPr>
          <w:rFonts w:ascii="Times New Roman" w:cs="Times New Roman" w:eastAsia="Times New Roman" w:hAnsi="Times New Roman"/>
          <w:sz w:val="20"/>
          <w:szCs w:val="20"/>
          <w:b w:val="1"/>
          <w:bCs w:val="1"/>
          <w:u w:val="single" w:color="auto"/>
          <w:color w:val="auto"/>
        </w:rPr>
        <w:t>Replacement of Certain Lenders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1" w:lineRule="auto"/>
        <w:tabs>
          <w:tab w:leader="none" w:pos="1853"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then Borrowers or Agent, upon at least five Business Days prior irrevocable notice, may permanently replace any Lender that failed to give its consent, authorization, or agreement (a "</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or any Lender that made a claim for compensation (a "</w:t>
      </w:r>
      <w:r>
        <w:rPr>
          <w:rFonts w:ascii="Times New Roman" w:cs="Times New Roman" w:eastAsia="Times New Roman" w:hAnsi="Times New Roman"/>
          <w:sz w:val="21"/>
          <w:szCs w:val="21"/>
          <w:u w:val="single" w:color="auto"/>
          <w:color w:val="auto"/>
        </w:rPr>
        <w:t>Tax Lender</w:t>
      </w:r>
      <w:r>
        <w:rPr>
          <w:rFonts w:ascii="Times New Roman" w:cs="Times New Roman" w:eastAsia="Times New Roman" w:hAnsi="Times New Roman"/>
          <w:sz w:val="21"/>
          <w:szCs w:val="21"/>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51" w:lineRule="exact"/>
        <w:rPr>
          <w:rFonts w:ascii="Times New Roman" w:cs="Times New Roman" w:eastAsia="Times New Roman" w:hAnsi="Times New Roman"/>
          <w:sz w:val="21"/>
          <w:szCs w:val="21"/>
          <w:color w:val="auto"/>
        </w:rPr>
      </w:pPr>
    </w:p>
    <w:p>
      <w:pPr>
        <w:jc w:val="both"/>
        <w:ind w:firstLine="1241"/>
        <w:spacing w:after="0" w:line="221" w:lineRule="auto"/>
        <w:tabs>
          <w:tab w:leader="none" w:pos="185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 (iii) [reserved]).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accordance with the terms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 purchase a participation in each Letter of Credit, in an amount equal to its Pro Rata Share of participations in such Letters of Credit.</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14.3. </w:t>
      </w:r>
      <w:r>
        <w:rPr>
          <w:rFonts w:ascii="Times New Roman" w:cs="Times New Roman" w:eastAsia="Times New Roman" w:hAnsi="Times New Roman"/>
          <w:sz w:val="21"/>
          <w:szCs w:val="21"/>
          <w:b w:val="1"/>
          <w:bCs w:val="1"/>
          <w:u w:val="single" w:color="auto"/>
          <w:color w:val="auto"/>
        </w:rPr>
        <w:t>No Waivers; Cumulative Remedies</w:t>
      </w:r>
      <w:r>
        <w:rPr>
          <w:rFonts w:ascii="Times New Roman" w:cs="Times New Roman" w:eastAsia="Times New Roman" w:hAnsi="Times New Roman"/>
          <w:sz w:val="21"/>
          <w:szCs w:val="21"/>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Borrowers of any provision of this Agreement. Agent's and each Lender's rights under this Agreement and the other Loan Documents will be cumulative and not exclusive of any other right or remedy that Agent or any Lender may have.</w:t>
      </w:r>
    </w:p>
    <w:p>
      <w:pPr>
        <w:spacing w:after="0" w:line="146" w:lineRule="exact"/>
        <w:rPr>
          <w:sz w:val="20"/>
          <w:szCs w:val="20"/>
          <w:color w:val="auto"/>
        </w:rPr>
      </w:pPr>
    </w:p>
    <w:p>
      <w:pPr>
        <w:ind w:left="1240" w:hanging="618"/>
        <w:spacing w:after="0"/>
        <w:tabs>
          <w:tab w:leader="none" w:pos="1240"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AGENT; THE LENDER GROUP.</w:t>
      </w:r>
    </w:p>
    <w:p>
      <w:pPr>
        <w:spacing w:after="0" w:line="171"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b w:val="1"/>
          <w:bCs w:val="1"/>
          <w:u w:val="single" w:color="auto"/>
          <w:color w:val="auto"/>
        </w:rPr>
        <w:t>Appointment and Authorization of Agent</w:t>
      </w:r>
      <w:r>
        <w:rPr>
          <w:rFonts w:ascii="Times New Roman" w:cs="Times New Roman" w:eastAsia="Times New Roman" w:hAnsi="Times New Roman"/>
          <w:sz w:val="21"/>
          <w:szCs w:val="21"/>
          <w:color w:val="auto"/>
        </w:rPr>
        <w:t xml:space="preserve">.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8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w:t>
      </w:r>
    </w:p>
    <w:p>
      <w:pPr>
        <w:spacing w:after="0" w:line="4" w:lineRule="exact"/>
        <w:rPr>
          <w:sz w:val="20"/>
          <w:szCs w:val="20"/>
          <w:color w:val="auto"/>
        </w:rPr>
      </w:pPr>
    </w:p>
    <w:p>
      <w:pPr>
        <w:jc w:val="both"/>
        <w:ind w:firstLine="3"/>
        <w:spacing w:after="0" w:line="212" w:lineRule="auto"/>
        <w:tabs>
          <w:tab w:leader="none" w:pos="28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145"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b w:val="1"/>
          <w:bCs w:val="1"/>
          <w:u w:val="single" w:color="auto"/>
          <w:color w:val="auto"/>
        </w:rPr>
        <w:t>Delegation of Duties</w:t>
      </w:r>
      <w:r>
        <w:rPr>
          <w:rFonts w:ascii="Times New Roman" w:cs="Times New Roman" w:eastAsia="Times New Roman" w:hAnsi="Times New Roman"/>
          <w:sz w:val="21"/>
          <w:szCs w:val="21"/>
          <w:color w:val="auto"/>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42"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u w:val="single" w:color="auto"/>
          <w:color w:val="auto"/>
        </w:rPr>
        <w:t>Liability of Agent</w:t>
      </w:r>
      <w:r>
        <w:rPr>
          <w:rFonts w:ascii="Times New Roman" w:cs="Times New Roman" w:eastAsia="Times New Roman" w:hAnsi="Times New Roman"/>
          <w:sz w:val="20"/>
          <w:szCs w:val="20"/>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8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15.4. </w:t>
      </w:r>
      <w:r>
        <w:rPr>
          <w:rFonts w:ascii="Times New Roman" w:cs="Times New Roman" w:eastAsia="Times New Roman" w:hAnsi="Times New Roman"/>
          <w:sz w:val="21"/>
          <w:szCs w:val="21"/>
          <w:b w:val="1"/>
          <w:bCs w:val="1"/>
          <w:u w:val="single" w:color="auto"/>
          <w:color w:val="auto"/>
        </w:rPr>
        <w:t>Reliance by Agent</w:t>
      </w:r>
      <w:r>
        <w:rPr>
          <w:rFonts w:ascii="Times New Roman" w:cs="Times New Roman" w:eastAsia="Times New Roman" w:hAnsi="Times New Roman"/>
          <w:sz w:val="21"/>
          <w:szCs w:val="21"/>
          <w:color w:val="auto"/>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46"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15.5. </w:t>
      </w:r>
      <w:r>
        <w:rPr>
          <w:rFonts w:ascii="Times New Roman" w:cs="Times New Roman" w:eastAsia="Times New Roman" w:hAnsi="Times New Roman"/>
          <w:sz w:val="21"/>
          <w:szCs w:val="21"/>
          <w:b w:val="1"/>
          <w:bCs w:val="1"/>
          <w:u w:val="single" w:color="auto"/>
          <w:color w:val="auto"/>
        </w:rPr>
        <w:t>Notice of Default or Event of Default</w:t>
      </w:r>
      <w:r>
        <w:rPr>
          <w:rFonts w:ascii="Times New Roman" w:cs="Times New Roman" w:eastAsia="Times New Roman" w:hAnsi="Times New Roman"/>
          <w:sz w:val="21"/>
          <w:szCs w:val="21"/>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 w:cs="Times New Roman" w:eastAsia="Times New Roman" w:hAnsi="Times New Roman"/>
          <w:sz w:val="21"/>
          <w:szCs w:val="21"/>
          <w:u w:val="single" w:color="auto"/>
          <w:color w:val="auto"/>
        </w:rPr>
        <w:t>Section 15.4</w:t>
      </w:r>
      <w:r>
        <w:rPr>
          <w:rFonts w:ascii="Times New Roman" w:cs="Times New Roman" w:eastAsia="Times New Roman" w:hAnsi="Times New Roman"/>
          <w:sz w:val="21"/>
          <w:szCs w:val="21"/>
          <w:color w:val="auto"/>
        </w:rPr>
        <w:t xml:space="preserve">, Agent shall take such action with respect to such Default or Event of Default as may be requested by the Required Lenders in accordance with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51"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15.6. </w:t>
      </w:r>
      <w:r>
        <w:rPr>
          <w:rFonts w:ascii="Times New Roman" w:cs="Times New Roman" w:eastAsia="Times New Roman" w:hAnsi="Times New Roman"/>
          <w:sz w:val="21"/>
          <w:szCs w:val="21"/>
          <w:b w:val="1"/>
          <w:bCs w:val="1"/>
          <w:u w:val="single" w:color="auto"/>
          <w:color w:val="auto"/>
        </w:rPr>
        <w:t>Credit Decision</w:t>
      </w:r>
      <w:r>
        <w:rPr>
          <w:rFonts w:ascii="Times New Roman" w:cs="Times New Roman" w:eastAsia="Times New Roman" w:hAnsi="Times New Roman"/>
          <w:sz w:val="21"/>
          <w:szCs w:val="21"/>
          <w:color w:val="auto"/>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8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50"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15.7. </w:t>
      </w:r>
      <w:r>
        <w:rPr>
          <w:rFonts w:ascii="Times New Roman" w:cs="Times New Roman" w:eastAsia="Times New Roman" w:hAnsi="Times New Roman"/>
          <w:sz w:val="21"/>
          <w:szCs w:val="21"/>
          <w:b w:val="1"/>
          <w:bCs w:val="1"/>
          <w:u w:val="single" w:color="auto"/>
          <w:color w:val="auto"/>
        </w:rPr>
        <w:t>Costs and Expenses; Indemnification</w:t>
      </w:r>
      <w:r>
        <w:rPr>
          <w:rFonts w:ascii="Times New Roman" w:cs="Times New Roman" w:eastAsia="Times New Roman" w:hAnsi="Times New Roman"/>
          <w:sz w:val="21"/>
          <w:szCs w:val="21"/>
          <w:color w:val="auto"/>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the Loan Parties and their Subsidiaries, each Lender hereby agrees that it is and shall be obligated to pay to Agent such Lender's ratable share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-131-</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8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15.8. </w:t>
      </w:r>
      <w:r>
        <w:rPr>
          <w:rFonts w:ascii="Times New Roman" w:cs="Times New Roman" w:eastAsia="Times New Roman" w:hAnsi="Times New Roman"/>
          <w:sz w:val="21"/>
          <w:szCs w:val="21"/>
          <w:b w:val="1"/>
          <w:bCs w:val="1"/>
          <w:u w:val="single" w:color="auto"/>
          <w:color w:val="auto"/>
        </w:rPr>
        <w:t>Agent in Individual Capacity</w:t>
      </w:r>
      <w:r>
        <w:rPr>
          <w:rFonts w:ascii="Times New Roman" w:cs="Times New Roman" w:eastAsia="Times New Roman" w:hAnsi="Times New Roman"/>
          <w:sz w:val="21"/>
          <w:szCs w:val="21"/>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146"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15.9. </w:t>
      </w:r>
      <w:r>
        <w:rPr>
          <w:rFonts w:ascii="Times New Roman" w:cs="Times New Roman" w:eastAsia="Times New Roman" w:hAnsi="Times New Roman"/>
          <w:sz w:val="21"/>
          <w:szCs w:val="21"/>
          <w:b w:val="1"/>
          <w:bCs w:val="1"/>
          <w:u w:val="single" w:color="auto"/>
          <w:color w:val="auto"/>
        </w:rPr>
        <w:t>Successor Agent</w:t>
      </w:r>
      <w:r>
        <w:rPr>
          <w:rFonts w:ascii="Times New Roman" w:cs="Times New Roman" w:eastAsia="Times New Roman" w:hAnsi="Times New Roman"/>
          <w:sz w:val="21"/>
          <w:szCs w:val="21"/>
          <w:color w:val="auto"/>
        </w:rPr>
        <w:t xml:space="preserve">. Agent may resign as Agent upon 30 days (ten days if an Event of Default has occurred and is continuing) prior written notice to the Lenders (unless such notice is waived by the Required Lenders) and Borrowers (unless such notice is waived by Borrowers or a Default or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-132-</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82"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15.10. </w:t>
      </w:r>
      <w:r>
        <w:rPr>
          <w:rFonts w:ascii="Times New Roman" w:cs="Times New Roman" w:eastAsia="Times New Roman" w:hAnsi="Times New Roman"/>
          <w:sz w:val="21"/>
          <w:szCs w:val="21"/>
          <w:b w:val="1"/>
          <w:bCs w:val="1"/>
          <w:u w:val="single" w:color="auto"/>
          <w:color w:val="auto"/>
        </w:rPr>
        <w:t>Lender in Individual Capacity</w:t>
      </w:r>
      <w:r>
        <w:rPr>
          <w:rFonts w:ascii="Times New Roman" w:cs="Times New Roman" w:eastAsia="Times New Roman" w:hAnsi="Times New Roman"/>
          <w:sz w:val="21"/>
          <w:szCs w:val="21"/>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46" w:lineRule="exact"/>
        <w:rPr>
          <w:sz w:val="20"/>
          <w:szCs w:val="20"/>
          <w:color w:val="auto"/>
        </w:rPr>
      </w:pPr>
    </w:p>
    <w:p>
      <w:pPr>
        <w:ind w:left="1240"/>
        <w:spacing w:after="0"/>
        <w:tabs>
          <w:tab w:leader="none" w:pos="1940" w:val="left"/>
        </w:tabs>
        <w:rPr>
          <w:sz w:val="20"/>
          <w:szCs w:val="20"/>
          <w:color w:val="auto"/>
        </w:rPr>
      </w:pPr>
      <w:r>
        <w:rPr>
          <w:rFonts w:ascii="Times New Roman" w:cs="Times New Roman" w:eastAsia="Times New Roman" w:hAnsi="Times New Roman"/>
          <w:sz w:val="21"/>
          <w:szCs w:val="21"/>
          <w:color w:val="auto"/>
        </w:rPr>
        <w:t>15.11.</w:t>
      </w:r>
      <w:r>
        <w:rPr>
          <w:sz w:val="20"/>
          <w:szCs w:val="20"/>
          <w:color w:val="auto"/>
        </w:rPr>
        <w:tab/>
      </w:r>
      <w:r>
        <w:rPr>
          <w:rFonts w:ascii="Times New Roman" w:cs="Times New Roman" w:eastAsia="Times New Roman" w:hAnsi="Times New Roman"/>
          <w:sz w:val="20"/>
          <w:szCs w:val="20"/>
          <w:b w:val="1"/>
          <w:bCs w:val="1"/>
          <w:u w:val="single" w:color="auto"/>
          <w:color w:val="auto"/>
        </w:rPr>
        <w:t>Collateral Matters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07" w:lineRule="auto"/>
        <w:tabs>
          <w:tab w:leader="none" w:pos="185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no Default or Event of Default exists or would be caused thereby and Borrowers certify to Agent that the sale or disposition is permitted under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 w:cs="Times New Roman" w:eastAsia="Times New Roman" w:hAnsi="Times New Roman"/>
          <w:sz w:val="21"/>
          <w:szCs w:val="21"/>
          <w:u w:val="single" w:color="auto"/>
          <w:color w:val="auto"/>
        </w:rPr>
        <w:t>Section 15.11</w:t>
      </w:r>
      <w:r>
        <w:rPr>
          <w:rFonts w:ascii="Times New Roman" w:cs="Times New Roman" w:eastAsia="Times New Roman" w:hAnsi="Times New Roman"/>
          <w:sz w:val="21"/>
          <w:szCs w:val="21"/>
          <w:color w:val="auto"/>
        </w:rPr>
        <w:t>.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-133-</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8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 xml:space="preserve">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Bank Product Obligations not entitled to the application set forth in </w:t>
      </w:r>
      <w:r>
        <w:rPr>
          <w:rFonts w:ascii="Times New Roman" w:cs="Times New Roman" w:eastAsia="Times New Roman" w:hAnsi="Times New Roman"/>
          <w:sz w:val="20"/>
          <w:szCs w:val="20"/>
          <w:u w:val="single" w:color="auto"/>
          <w:color w:val="auto"/>
        </w:rPr>
        <w:t>Section 2.4(b)(iii)(J)</w:t>
      </w:r>
      <w:r>
        <w:rPr>
          <w:rFonts w:ascii="Times New Roman" w:cs="Times New Roman" w:eastAsia="Times New Roman" w:hAnsi="Times New Roman"/>
          <w:sz w:val="20"/>
          <w:szCs w:val="20"/>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authorizes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xml:space="preserve"> to release its Lien on such property. Notwithstanding the provisions of this </w:t>
      </w:r>
      <w:r>
        <w:rPr>
          <w:rFonts w:ascii="Times New Roman" w:cs="Times New Roman" w:eastAsia="Times New Roman" w:hAnsi="Times New Roman"/>
          <w:sz w:val="20"/>
          <w:szCs w:val="20"/>
          <w:u w:val="single" w:color="auto"/>
          <w:color w:val="auto"/>
        </w:rPr>
        <w:t>Section 15.11</w:t>
      </w:r>
      <w:r>
        <w:rPr>
          <w:rFonts w:ascii="Times New Roman" w:cs="Times New Roman" w:eastAsia="Times New Roman" w:hAnsi="Times New Roman"/>
          <w:sz w:val="20"/>
          <w:szCs w:val="20"/>
          <w:color w:val="auto"/>
        </w:rPr>
        <w:t>, Agent shall be authorized, without the consent of any Lender and without the requirement that an asset sale consisting of the sale, transfer or other disposition having occurred, to release any security interest in any building, structure or improvement located in an area determined by the Federal Emergency Management Agency to have special flood hazards.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-134-</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86" w:lineRule="exact"/>
        <w:rPr>
          <w:sz w:val="20"/>
          <w:szCs w:val="20"/>
          <w:color w:val="auto"/>
        </w:rPr>
      </w:pPr>
    </w:p>
    <w:p>
      <w:pPr>
        <w:jc w:val="both"/>
        <w:ind w:firstLine="1241"/>
        <w:spacing w:after="0" w:line="210" w:lineRule="auto"/>
        <w:tabs>
          <w:tab w:leader="none" w:pos="1852"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42" w:lineRule="exact"/>
        <w:rPr>
          <w:sz w:val="20"/>
          <w:szCs w:val="20"/>
          <w:color w:val="auto"/>
        </w:rPr>
      </w:pPr>
    </w:p>
    <w:p>
      <w:pPr>
        <w:ind w:left="1240"/>
        <w:spacing w:after="0"/>
        <w:tabs>
          <w:tab w:leader="none" w:pos="1940" w:val="left"/>
        </w:tabs>
        <w:rPr>
          <w:sz w:val="20"/>
          <w:szCs w:val="20"/>
          <w:color w:val="auto"/>
        </w:rPr>
      </w:pPr>
      <w:r>
        <w:rPr>
          <w:rFonts w:ascii="Times New Roman" w:cs="Times New Roman" w:eastAsia="Times New Roman" w:hAnsi="Times New Roman"/>
          <w:sz w:val="21"/>
          <w:szCs w:val="21"/>
          <w:color w:val="auto"/>
        </w:rPr>
        <w:t>15.12.</w:t>
      </w:r>
      <w:r>
        <w:rPr>
          <w:sz w:val="20"/>
          <w:szCs w:val="20"/>
          <w:color w:val="auto"/>
        </w:rPr>
        <w:tab/>
      </w:r>
      <w:r>
        <w:rPr>
          <w:rFonts w:ascii="Times New Roman" w:cs="Times New Roman" w:eastAsia="Times New Roman" w:hAnsi="Times New Roman"/>
          <w:sz w:val="20"/>
          <w:szCs w:val="20"/>
          <w:b w:val="1"/>
          <w:bCs w:val="1"/>
          <w:u w:val="single" w:color="auto"/>
          <w:color w:val="auto"/>
        </w:rPr>
        <w:t>Restrictions on Actions by Lenders; Sharing of Payments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25" w:lineRule="auto"/>
        <w:tabs>
          <w:tab w:leader="none" w:pos="1853"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50" w:lineRule="exact"/>
        <w:rPr>
          <w:rFonts w:ascii="Times New Roman" w:cs="Times New Roman" w:eastAsia="Times New Roman" w:hAnsi="Times New Roman"/>
          <w:sz w:val="20"/>
          <w:szCs w:val="20"/>
          <w:color w:val="auto"/>
        </w:rPr>
      </w:pPr>
    </w:p>
    <w:p>
      <w:pPr>
        <w:jc w:val="both"/>
        <w:ind w:firstLine="1241"/>
        <w:spacing w:after="0" w:line="210" w:lineRule="auto"/>
        <w:tabs>
          <w:tab w:leader="none" w:pos="1852"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8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15.13. </w:t>
      </w:r>
      <w:r>
        <w:rPr>
          <w:rFonts w:ascii="Times New Roman" w:cs="Times New Roman" w:eastAsia="Times New Roman" w:hAnsi="Times New Roman"/>
          <w:sz w:val="21"/>
          <w:szCs w:val="21"/>
          <w:b w:val="1"/>
          <w:bCs w:val="1"/>
          <w:u w:val="single" w:color="auto"/>
          <w:color w:val="auto"/>
        </w:rPr>
        <w:t>Agency for Perfection</w:t>
      </w:r>
      <w:r>
        <w:rPr>
          <w:rFonts w:ascii="Times New Roman" w:cs="Times New Roman" w:eastAsia="Times New Roman" w:hAnsi="Times New Roman"/>
          <w:sz w:val="21"/>
          <w:szCs w:val="21"/>
          <w:color w:val="auto"/>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46"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15.14. </w:t>
      </w:r>
      <w:r>
        <w:rPr>
          <w:rFonts w:ascii="Times New Roman" w:cs="Times New Roman" w:eastAsia="Times New Roman" w:hAnsi="Times New Roman"/>
          <w:sz w:val="21"/>
          <w:szCs w:val="21"/>
          <w:b w:val="1"/>
          <w:bCs w:val="1"/>
          <w:u w:val="single" w:color="auto"/>
          <w:color w:val="auto"/>
        </w:rPr>
        <w:t>Payments by Agent to the Lenders</w:t>
      </w:r>
      <w:r>
        <w:rPr>
          <w:rFonts w:ascii="Times New Roman" w:cs="Times New Roman" w:eastAsia="Times New Roman" w:hAnsi="Times New Roman"/>
          <w:sz w:val="21"/>
          <w:szCs w:val="21"/>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15.15. </w:t>
      </w:r>
      <w:r>
        <w:rPr>
          <w:rFonts w:ascii="Times New Roman" w:cs="Times New Roman" w:eastAsia="Times New Roman" w:hAnsi="Times New Roman"/>
          <w:sz w:val="21"/>
          <w:szCs w:val="21"/>
          <w:b w:val="1"/>
          <w:bCs w:val="1"/>
          <w:u w:val="single" w:color="auto"/>
          <w:color w:val="auto"/>
        </w:rPr>
        <w:t>Concerning the Collateral and Related Loan Documents</w:t>
      </w:r>
      <w:r>
        <w:rPr>
          <w:rFonts w:ascii="Times New Roman" w:cs="Times New Roman" w:eastAsia="Times New Roman" w:hAnsi="Times New Roman"/>
          <w:sz w:val="21"/>
          <w:szCs w:val="21"/>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46"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15.16. </w:t>
      </w:r>
      <w:r>
        <w:rPr>
          <w:rFonts w:ascii="Times New Roman" w:cs="Times New Roman" w:eastAsia="Times New Roman" w:hAnsi="Times New Roman"/>
          <w:sz w:val="21"/>
          <w:szCs w:val="21"/>
          <w:b w:val="1"/>
          <w:bCs w:val="1"/>
          <w:u w:val="single" w:color="auto"/>
          <w:color w:val="auto"/>
        </w:rPr>
        <w:t>Field Examination Reports; Confidentiality; Disclaimers by Lenders; Other Reports and Information</w:t>
      </w:r>
      <w:r>
        <w:rPr>
          <w:rFonts w:ascii="Times New Roman" w:cs="Times New Roman" w:eastAsia="Times New Roman" w:hAnsi="Times New Roman"/>
          <w:sz w:val="21"/>
          <w:szCs w:val="21"/>
          <w:color w:val="auto"/>
        </w:rPr>
        <w:t>. By becoming a party to this Agreement, each Lender:</w:t>
      </w:r>
    </w:p>
    <w:p>
      <w:pPr>
        <w:spacing w:after="0" w:line="146" w:lineRule="exact"/>
        <w:rPr>
          <w:sz w:val="20"/>
          <w:szCs w:val="20"/>
          <w:color w:val="auto"/>
        </w:rPr>
      </w:pPr>
    </w:p>
    <w:p>
      <w:pPr>
        <w:jc w:val="both"/>
        <w:ind w:firstLine="1241"/>
        <w:spacing w:after="0" w:line="225" w:lineRule="auto"/>
        <w:tabs>
          <w:tab w:leader="none" w:pos="185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deemed to have requested that Agent furnish such Lender, promptly after it becomes available, a copy of each field examination report respecting any Loan Party or its Subsidiaries (each, a "</w:t>
      </w:r>
      <w:r>
        <w:rPr>
          <w:rFonts w:ascii="Times New Roman" w:cs="Times New Roman" w:eastAsia="Times New Roman" w:hAnsi="Times New Roman"/>
          <w:sz w:val="21"/>
          <w:szCs w:val="21"/>
          <w:u w:val="single" w:color="auto"/>
          <w:color w:val="auto"/>
        </w:rPr>
        <w:t>Report</w:t>
      </w:r>
      <w:r>
        <w:rPr>
          <w:rFonts w:ascii="Times New Roman" w:cs="Times New Roman" w:eastAsia="Times New Roman" w:hAnsi="Times New Roman"/>
          <w:sz w:val="21"/>
          <w:szCs w:val="21"/>
          <w:color w:val="auto"/>
        </w:rPr>
        <w:t>") prepared by or at the request of Agent, and Agent shall so furnish each Lender with such Reports,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expressly agrees and acknowledges that Agent does not (i) make any representation or warranty as to the accuracy of any Report, and (ii) shall not be liable for any information contained in any Report,</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Borrowers' and their Subsidiaries' books and records, as well as on representations of Borrowers' personnel,</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and</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any other indemnification provision contained in this Agreement, agrees: (i) to hold Agent and any other Lender preparing a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-136-</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8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50" w:lineRule="exact"/>
        <w:rPr>
          <w:sz w:val="20"/>
          <w:szCs w:val="20"/>
          <w:color w:val="auto"/>
        </w:rPr>
      </w:pPr>
    </w:p>
    <w:p>
      <w:pPr>
        <w:jc w:val="both"/>
        <w:ind w:firstLine="1241"/>
        <w:spacing w:after="0" w:line="211" w:lineRule="auto"/>
        <w:tabs>
          <w:tab w:leader="none" w:pos="185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 (z) any time that Agent renders to Borrowers a statement regarding the Loan Account, Agent shall send a copy of such statement to each Lender.</w:t>
      </w:r>
    </w:p>
    <w:p>
      <w:pPr>
        <w:spacing w:after="0" w:line="148" w:lineRule="exact"/>
        <w:rPr>
          <w:sz w:val="20"/>
          <w:szCs w:val="20"/>
          <w:color w:val="auto"/>
        </w:rPr>
      </w:pPr>
    </w:p>
    <w:p>
      <w:pPr>
        <w:jc w:val="both"/>
        <w:ind w:firstLine="619"/>
        <w:spacing w:after="0" w:line="210" w:lineRule="auto"/>
        <w:rPr>
          <w:sz w:val="20"/>
          <w:szCs w:val="20"/>
          <w:color w:val="auto"/>
        </w:rPr>
      </w:pPr>
      <w:r>
        <w:rPr>
          <w:rFonts w:ascii="Times New Roman" w:cs="Times New Roman" w:eastAsia="Times New Roman" w:hAnsi="Times New Roman"/>
          <w:sz w:val="21"/>
          <w:szCs w:val="21"/>
          <w:color w:val="auto"/>
        </w:rPr>
        <w:t xml:space="preserve">15.17. </w:t>
      </w:r>
      <w:r>
        <w:rPr>
          <w:rFonts w:ascii="Times New Roman" w:cs="Times New Roman" w:eastAsia="Times New Roman" w:hAnsi="Times New Roman"/>
          <w:sz w:val="21"/>
          <w:szCs w:val="21"/>
          <w:b w:val="1"/>
          <w:bCs w:val="1"/>
          <w:u w:val="single" w:color="auto"/>
          <w:color w:val="auto"/>
        </w:rPr>
        <w:t>Several Obligations; No Liability</w:t>
      </w:r>
      <w:r>
        <w:rPr>
          <w:rFonts w:ascii="Times New Roman" w:cs="Times New Roman" w:eastAsia="Times New Roman" w:hAnsi="Times New Roman"/>
          <w:sz w:val="21"/>
          <w:szCs w:val="21"/>
          <w:color w:val="auto"/>
        </w:rPr>
        <w:t xml:space="preserve">.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 w:cs="Times New Roman" w:eastAsia="Times New Roman" w:hAnsi="Times New Roman"/>
          <w:sz w:val="21"/>
          <w:szCs w:val="21"/>
          <w:u w:val="single" w:color="auto"/>
          <w:color w:val="auto"/>
        </w:rPr>
        <w:t>Section 15.7</w:t>
      </w:r>
      <w:r>
        <w:rPr>
          <w:rFonts w:ascii="Times New Roman" w:cs="Times New Roman" w:eastAsia="Times New Roman" w:hAnsi="Times New Roman"/>
          <w:sz w:val="21"/>
          <w:szCs w:val="21"/>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41" w:lineRule="exact"/>
        <w:rPr>
          <w:sz w:val="20"/>
          <w:szCs w:val="20"/>
          <w:color w:val="auto"/>
        </w:rPr>
      </w:pPr>
    </w:p>
    <w:p>
      <w:pPr>
        <w:ind w:left="1240" w:hanging="618"/>
        <w:spacing w:after="0"/>
        <w:tabs>
          <w:tab w:leader="none" w:pos="1240" w:val="left"/>
        </w:tabs>
        <w:numPr>
          <w:ilvl w:val="0"/>
          <w:numId w:val="1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 TAXES.</w:t>
      </w:r>
    </w:p>
    <w:p>
      <w:pPr>
        <w:spacing w:after="0" w:line="171"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-137-</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8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1"/>
          <w:szCs w:val="21"/>
          <w:color w:val="auto"/>
        </w:rPr>
        <w:t xml:space="preserve">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(collectively a "</w:t>
      </w:r>
      <w:r>
        <w:rPr>
          <w:rFonts w:ascii="Times New Roman" w:cs="Times New Roman" w:eastAsia="Times New Roman" w:hAnsi="Times New Roman"/>
          <w:sz w:val="21"/>
          <w:szCs w:val="21"/>
          <w:u w:val="single" w:color="auto"/>
          <w:color w:val="auto"/>
        </w:rPr>
        <w:t>Tax Indemnitee</w:t>
      </w:r>
      <w:r>
        <w:rPr>
          <w:rFonts w:ascii="Times New Roman" w:cs="Times New Roman" w:eastAsia="Times New Roman" w:hAnsi="Times New Roman"/>
          <w:sz w:val="21"/>
          <w:szCs w:val="21"/>
          <w:color w:val="auto"/>
        </w:rPr>
        <w:t xml:space="preserve">") for the full amount of Indemnified Taxes arising in connection with this Agreement or any other Loan Document or breach thereof by any Loan Party (including any Indemnified Taxes imposed or asserted on, or attributable to, amounts payable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survive the termination of this Agreement, the resignation and replacement of Agent, and the repayment of the Obligations.</w:t>
      </w:r>
    </w:p>
    <w:p>
      <w:pPr>
        <w:spacing w:after="0" w:line="154"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16.2.</w:t>
      </w:r>
      <w:r>
        <w:rPr>
          <w:sz w:val="20"/>
          <w:szCs w:val="20"/>
          <w:color w:val="auto"/>
        </w:rPr>
        <w:tab/>
      </w:r>
      <w:r>
        <w:rPr>
          <w:rFonts w:ascii="Times New Roman" w:cs="Times New Roman" w:eastAsia="Times New Roman" w:hAnsi="Times New Roman"/>
          <w:sz w:val="20"/>
          <w:szCs w:val="20"/>
          <w:b w:val="1"/>
          <w:bCs w:val="1"/>
          <w:u w:val="single" w:color="auto"/>
          <w:color w:val="auto"/>
        </w:rPr>
        <w:t>Exemptions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20" w:lineRule="auto"/>
        <w:tabs>
          <w:tab w:leader="none" w:pos="1853"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Administrative Borrower on behalf of all Borrowers one of the following before receiving its first payment under this Agreement:</w:t>
      </w:r>
    </w:p>
    <w:p>
      <w:pPr>
        <w:spacing w:after="0" w:line="145" w:lineRule="exact"/>
        <w:rPr>
          <w:rFonts w:ascii="Times New Roman" w:cs="Times New Roman" w:eastAsia="Times New Roman" w:hAnsi="Times New Roman"/>
          <w:sz w:val="21"/>
          <w:szCs w:val="21"/>
          <w:color w:val="auto"/>
        </w:rPr>
      </w:pPr>
    </w:p>
    <w:p>
      <w:pPr>
        <w:jc w:val="both"/>
        <w:ind w:firstLine="1860"/>
        <w:spacing w:after="0" w:line="226" w:lineRule="auto"/>
        <w:tabs>
          <w:tab w:leader="none" w:pos="2463"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Lender or Participant is entitled to claim an exemption from United States withholding tax pursuant to the portfolio interest exception, (A) a statement of the Lender or Participant, signed under penalty of perjury, that it is not a</w:t>
      </w:r>
    </w:p>
    <w:p>
      <w:pPr>
        <w:spacing w:after="0" w:line="1" w:lineRule="exact"/>
        <w:rPr>
          <w:rFonts w:ascii="Times New Roman" w:cs="Times New Roman" w:eastAsia="Times New Roman" w:hAnsi="Times New Roman"/>
          <w:sz w:val="20"/>
          <w:szCs w:val="20"/>
          <w:color w:val="auto"/>
        </w:rPr>
      </w:pPr>
    </w:p>
    <w:p>
      <w:pPr>
        <w:jc w:val="both"/>
        <w:ind w:firstLine="3"/>
        <w:spacing w:after="0" w:line="214" w:lineRule="auto"/>
        <w:tabs>
          <w:tab w:leader="none" w:pos="30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"bank" as described in Section 881(c)(3)(A) of the IRC, (II) a 10% shareholder of any Borrower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48" w:lineRule="exact"/>
        <w:rPr>
          <w:rFonts w:ascii="Times New Roman" w:cs="Times New Roman" w:eastAsia="Times New Roman" w:hAnsi="Times New Roman"/>
          <w:sz w:val="21"/>
          <w:szCs w:val="21"/>
          <w:color w:val="auto"/>
        </w:rPr>
      </w:pPr>
    </w:p>
    <w:p>
      <w:pPr>
        <w:ind w:firstLine="1860"/>
        <w:spacing w:after="0" w:line="235" w:lineRule="auto"/>
        <w:tabs>
          <w:tab w:leader="none" w:pos="2469"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5" w:val="left"/>
        </w:tabs>
        <w:numPr>
          <w:ilvl w:val="2"/>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-138-</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86" w:lineRule="exact"/>
        <w:rPr>
          <w:sz w:val="20"/>
          <w:szCs w:val="20"/>
          <w:color w:val="auto"/>
        </w:rPr>
      </w:pPr>
    </w:p>
    <w:p>
      <w:pPr>
        <w:jc w:val="both"/>
        <w:ind w:firstLine="1860"/>
        <w:spacing w:after="0" w:line="220" w:lineRule="auto"/>
        <w:tabs>
          <w:tab w:leader="none" w:pos="2463"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71"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or Participant shall provide new forms (or successor forms) upon the expiration or obsolescence of any previously delivered forms and promptly notify Agent and Administrative Borrower (or, in the case of a Participant, to the Lender granting the participation only) of any change in circumstances which would modify or render invalid any claimed exemption or reduction.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3"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16.2(c)</w:t>
      </w:r>
      <w:r>
        <w:rPr>
          <w:rFonts w:ascii="Times New Roman" w:cs="Times New Roman" w:eastAsia="Times New Roman" w:hAnsi="Times New Roman"/>
          <w:sz w:val="21"/>
          <w:szCs w:val="21"/>
          <w:color w:val="auto"/>
        </w:rPr>
        <w:t xml:space="preserve"> shall require a Lender or Participant to disclose any information that it deems to be confidential (including its tax returns). Each Lender and each Participant shall provide new forms (or successor forms) upon the expiration or obsolescence of any previously delivered forms and promptly notify Agent and Administrative Borrower (or, in the case of a Participant, to the Lender granting the participation only) of any change in circumstances which would modify or render invalid any claimed exemption or reduction.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to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Times New Roman" w:cs="Times New Roman" w:eastAsia="Times New Roman" w:hAnsi="Times New Roman"/>
          <w:sz w:val="21"/>
          <w:szCs w:val="21"/>
          <w:u w:val="single" w:color="auto"/>
          <w:color w:val="auto"/>
        </w:rPr>
        <w:t>Section 16.2(a)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16.2(c)</w:t>
      </w:r>
      <w:r>
        <w:rPr>
          <w:rFonts w:ascii="Times New Roman" w:cs="Times New Roman" w:eastAsia="Times New Roman" w:hAnsi="Times New Roman"/>
          <w:sz w:val="21"/>
          <w:szCs w:val="21"/>
          <w:color w:val="auto"/>
        </w:rPr>
        <w:t xml:space="preserve"> as no longer valid. With respect to such percentage amount, such Participant or Assignee may provide new documentation, pursuant to </w:t>
      </w:r>
      <w:r>
        <w:rPr>
          <w:rFonts w:ascii="Times New Roman" w:cs="Times New Roman" w:eastAsia="Times New Roman" w:hAnsi="Times New Roman"/>
          <w:sz w:val="21"/>
          <w:szCs w:val="21"/>
          <w:u w:val="single" w:color="auto"/>
          <w:color w:val="auto"/>
        </w:rPr>
        <w:t>Section 16.2(a)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16.2(c)</w:t>
      </w:r>
      <w:r>
        <w:rPr>
          <w:rFonts w:ascii="Times New Roman" w:cs="Times New Roman" w:eastAsia="Times New Roman" w:hAnsi="Times New Roman"/>
          <w:sz w:val="21"/>
          <w:szCs w:val="21"/>
          <w:color w:val="auto"/>
        </w:rPr>
        <w:t xml:space="preserve">, if applicable. Borrowers agree that each Participant shall be entitled to the benefits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to its participation in any portion of the Commitments and the Obligations so long as such Participant complies with the obligations set forth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-139-</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86" w:lineRule="exact"/>
        <w:rPr>
          <w:sz w:val="20"/>
          <w:szCs w:val="20"/>
          <w:color w:val="auto"/>
        </w:rPr>
      </w:pPr>
    </w:p>
    <w:p>
      <w:pPr>
        <w:jc w:val="both"/>
        <w:ind w:firstLine="1241"/>
        <w:spacing w:after="0" w:line="211" w:lineRule="auto"/>
        <w:tabs>
          <w:tab w:leader="none" w:pos="185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16.3.</w:t>
      </w:r>
      <w:r>
        <w:rPr>
          <w:sz w:val="20"/>
          <w:szCs w:val="20"/>
          <w:color w:val="auto"/>
        </w:rPr>
        <w:tab/>
      </w:r>
      <w:r>
        <w:rPr>
          <w:rFonts w:ascii="Times New Roman" w:cs="Times New Roman" w:eastAsia="Times New Roman" w:hAnsi="Times New Roman"/>
          <w:sz w:val="20"/>
          <w:szCs w:val="20"/>
          <w:b w:val="1"/>
          <w:bCs w:val="1"/>
          <w:u w:val="single" w:color="auto"/>
          <w:color w:val="auto"/>
        </w:rPr>
        <w:t>Reductions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5" w:lineRule="auto"/>
        <w:tabs>
          <w:tab w:leader="none" w:pos="185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cs="Times New Roman" w:eastAsia="Times New Roman" w:hAnsi="Times New Roman"/>
          <w:sz w:val="21"/>
          <w:szCs w:val="21"/>
          <w:u w:val="single" w:color="auto"/>
          <w:color w:val="auto"/>
        </w:rPr>
        <w:t>Section 16.2(a)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16.2(c)</w:t>
      </w:r>
      <w:r>
        <w:rPr>
          <w:rFonts w:ascii="Times New Roman" w:cs="Times New Roman" w:eastAsia="Times New Roman" w:hAnsi="Times New Roman"/>
          <w:sz w:val="21"/>
          <w:szCs w:val="21"/>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45"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2"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-140-</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82"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color w:val="auto"/>
        </w:rPr>
        <w:t xml:space="preserve">16.4. </w:t>
      </w:r>
      <w:r>
        <w:rPr>
          <w:rFonts w:ascii="Times New Roman" w:cs="Times New Roman" w:eastAsia="Times New Roman" w:hAnsi="Times New Roman"/>
          <w:sz w:val="21"/>
          <w:szCs w:val="21"/>
          <w:b w:val="1"/>
          <w:bCs w:val="1"/>
          <w:u w:val="single" w:color="auto"/>
          <w:color w:val="auto"/>
        </w:rPr>
        <w:t>Refunds</w:t>
      </w:r>
      <w:r>
        <w:rPr>
          <w:rFonts w:ascii="Times New Roman" w:cs="Times New Roman" w:eastAsia="Times New Roman" w:hAnsi="Times New Roman"/>
          <w:sz w:val="21"/>
          <w:szCs w:val="21"/>
          <w:color w:val="auto"/>
        </w:rPr>
        <w:t xml:space="preserve">. If Agent or a Lender determines, in its sole discretion, that it has received a refund of any Indemnified Taxes to which the Loan Parties have paid additional amounts pursuant to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so long as no Default or Event of Default has occurred and is continuing, it shall pay over such refund to Administrative Borrower on behalf of the Loan Parties (but only to the extent of payments made, or additional amounts paid, by the Loan Parties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Times New Roman" w:cs="Times New Roman" w:eastAsia="Times New Roman" w:hAnsi="Times New Roman"/>
          <w:sz w:val="21"/>
          <w:szCs w:val="21"/>
          <w:u w:val="single" w:color="auto"/>
          <w:color w:val="auto"/>
        </w:rPr>
        <w:t>Section 16.4</w:t>
      </w:r>
      <w:r>
        <w:rPr>
          <w:rFonts w:ascii="Times New Roman" w:cs="Times New Roman" w:eastAsia="Times New Roman" w:hAnsi="Times New Roman"/>
          <w:sz w:val="21"/>
          <w:szCs w:val="21"/>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42" w:lineRule="exact"/>
        <w:rPr>
          <w:sz w:val="20"/>
          <w:szCs w:val="20"/>
          <w:color w:val="auto"/>
        </w:rPr>
      </w:pPr>
    </w:p>
    <w:p>
      <w:pPr>
        <w:ind w:left="1240" w:hanging="618"/>
        <w:spacing w:after="0"/>
        <w:tabs>
          <w:tab w:leader="none" w:pos="1240" w:val="left"/>
        </w:tabs>
        <w:numPr>
          <w:ilvl w:val="0"/>
          <w:numId w:val="1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71"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17.1. </w:t>
      </w:r>
      <w:r>
        <w:rPr>
          <w:rFonts w:ascii="Times New Roman" w:cs="Times New Roman" w:eastAsia="Times New Roman" w:hAnsi="Times New Roman"/>
          <w:sz w:val="21"/>
          <w:szCs w:val="21"/>
          <w:b w:val="1"/>
          <w:bCs w:val="1"/>
          <w:u w:val="single" w:color="auto"/>
          <w:color w:val="auto"/>
        </w:rPr>
        <w:t>Effectiveness</w:t>
      </w:r>
      <w:r>
        <w:rPr>
          <w:rFonts w:ascii="Times New Roman" w:cs="Times New Roman" w:eastAsia="Times New Roman" w:hAnsi="Times New Roman"/>
          <w:sz w:val="21"/>
          <w:szCs w:val="21"/>
          <w:color w:val="auto"/>
        </w:rPr>
        <w:t>. This Agreement shall be binding and deemed effective when executed by each Borrower, Agent, and each Lender whose signature is provided for on the signature pages hereof.</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17.2. </w:t>
      </w:r>
      <w:r>
        <w:rPr>
          <w:rFonts w:ascii="Times New Roman" w:cs="Times New Roman" w:eastAsia="Times New Roman" w:hAnsi="Times New Roman"/>
          <w:sz w:val="21"/>
          <w:szCs w:val="21"/>
          <w:b w:val="1"/>
          <w:bCs w:val="1"/>
          <w:u w:val="single" w:color="auto"/>
          <w:color w:val="auto"/>
        </w:rPr>
        <w:t>Section Headings</w:t>
      </w:r>
      <w:r>
        <w:rPr>
          <w:rFonts w:ascii="Times New Roman" w:cs="Times New Roman" w:eastAsia="Times New Roman" w:hAnsi="Times New Roman"/>
          <w:sz w:val="21"/>
          <w:szCs w:val="21"/>
          <w:color w:val="auto"/>
        </w:rPr>
        <w:t>. Headings and numbers have been set forth herein for convenience only. Unless the contrary is compelled by the context, everything contained in each Section applies equally to this entire Agreement.</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17.3.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Neither this Agreement nor any uncertainty or ambiguity herein shall be construed against the Lender Group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42"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17.4. </w:t>
      </w:r>
      <w:r>
        <w:rPr>
          <w:rFonts w:ascii="Times New Roman" w:cs="Times New Roman" w:eastAsia="Times New Roman" w:hAnsi="Times New Roman"/>
          <w:sz w:val="21"/>
          <w:szCs w:val="21"/>
          <w:b w:val="1"/>
          <w:bCs w:val="1"/>
          <w:u w:val="single" w:color="auto"/>
          <w:color w:val="auto"/>
        </w:rPr>
        <w:t>Severability of Provisions</w:t>
      </w:r>
      <w:r>
        <w:rPr>
          <w:rFonts w:ascii="Times New Roman" w:cs="Times New Roman" w:eastAsia="Times New Roman" w:hAnsi="Times New Roman"/>
          <w:sz w:val="21"/>
          <w:szCs w:val="21"/>
          <w:color w:val="auto"/>
        </w:rPr>
        <w:t>. Each provision of this Agreement shall be severable from every other provision of this Agreement for the purpose of determining the legal enforceability of any specific provision.</w:t>
      </w:r>
    </w:p>
    <w:p>
      <w:pPr>
        <w:spacing w:after="0" w:line="142"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21"/>
          <w:szCs w:val="21"/>
          <w:b w:val="1"/>
          <w:bCs w:val="1"/>
          <w:u w:val="single" w:color="auto"/>
          <w:color w:val="auto"/>
        </w:rPr>
        <w:t>Bank Product Providers</w:t>
      </w:r>
      <w:r>
        <w:rPr>
          <w:rFonts w:ascii="Times New Roman" w:cs="Times New Roman" w:eastAsia="Times New Roman" w:hAnsi="Times New Roman"/>
          <w:sz w:val="21"/>
          <w:szCs w:val="21"/>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8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1"/>
          <w:szCs w:val="21"/>
          <w:color w:val="auto"/>
        </w:rPr>
        <w:t>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58"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17.6. </w:t>
      </w:r>
      <w:r>
        <w:rPr>
          <w:rFonts w:ascii="Times New Roman" w:cs="Times New Roman" w:eastAsia="Times New Roman" w:hAnsi="Times New Roman"/>
          <w:sz w:val="21"/>
          <w:szCs w:val="21"/>
          <w:b w:val="1"/>
          <w:bCs w:val="1"/>
          <w:u w:val="single" w:color="auto"/>
          <w:color w:val="auto"/>
        </w:rPr>
        <w:t>Debtor-Creditor Relationship</w:t>
      </w:r>
      <w:r>
        <w:rPr>
          <w:rFonts w:ascii="Times New Roman" w:cs="Times New Roman" w:eastAsia="Times New Roman" w:hAnsi="Times New Roman"/>
          <w:sz w:val="21"/>
          <w:szCs w:val="21"/>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41" w:lineRule="exact"/>
        <w:rPr>
          <w:sz w:val="20"/>
          <w:szCs w:val="20"/>
          <w:color w:val="auto"/>
        </w:rPr>
      </w:pPr>
    </w:p>
    <w:p>
      <w:pPr>
        <w:jc w:val="both"/>
        <w:ind w:firstLine="619"/>
        <w:spacing w:after="0" w:line="214" w:lineRule="auto"/>
        <w:rPr>
          <w:sz w:val="20"/>
          <w:szCs w:val="20"/>
          <w:color w:val="auto"/>
        </w:rPr>
      </w:pPr>
      <w:r>
        <w:rPr>
          <w:rFonts w:ascii="Times New Roman" w:cs="Times New Roman" w:eastAsia="Times New Roman" w:hAnsi="Times New Roman"/>
          <w:sz w:val="21"/>
          <w:szCs w:val="21"/>
          <w:color w:val="auto"/>
        </w:rPr>
        <w:t xml:space="preserve">17.7. </w:t>
      </w:r>
      <w:r>
        <w:rPr>
          <w:rFonts w:ascii="Times New Roman" w:cs="Times New Roman" w:eastAsia="Times New Roman" w:hAnsi="Times New Roman"/>
          <w:sz w:val="21"/>
          <w:szCs w:val="21"/>
          <w:b w:val="1"/>
          <w:bCs w:val="1"/>
          <w:u w:val="single" w:color="auto"/>
          <w:color w:val="auto"/>
        </w:rPr>
        <w:t>Counterparts; Electronic Execution</w:t>
      </w:r>
      <w:r>
        <w:rPr>
          <w:rFonts w:ascii="Times New Roman" w:cs="Times New Roman" w:eastAsia="Times New Roman" w:hAnsi="Times New Roman"/>
          <w:sz w:val="21"/>
          <w:szCs w:val="21"/>
          <w:color w:val="auto"/>
        </w:rPr>
        <w:t>. This Agreement may be executed in any number of counterparts and by different parties on separate counterparts, each of which, when executed and delivered, 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-142-</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8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manual signature shall for all purposes have the same validity, legal effect, and admissibility in evidence as an original manual signature. Agent reserves the right, in its discretion, to accept, deny, or condition acceptance of any electronic signature on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 The foregoing shall apply to each other Loan Document, and any notice delivered hereunder or thereunder,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17.8.</w:t>
      </w:r>
      <w:r>
        <w:rPr>
          <w:sz w:val="20"/>
          <w:szCs w:val="20"/>
          <w:color w:val="auto"/>
        </w:rPr>
        <w:tab/>
      </w:r>
      <w:r>
        <w:rPr>
          <w:rFonts w:ascii="Times New Roman" w:cs="Times New Roman" w:eastAsia="Times New Roman" w:hAnsi="Times New Roman"/>
          <w:sz w:val="20"/>
          <w:szCs w:val="20"/>
          <w:b w:val="1"/>
          <w:bCs w:val="1"/>
          <w:u w:val="single" w:color="auto"/>
          <w:color w:val="auto"/>
        </w:rPr>
        <w:t>Revival and Reinstatement of Obligations; Certain Waivers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8" w:lineRule="auto"/>
        <w:tabs>
          <w:tab w:leader="none" w:pos="185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Times New Roman" w:cs="Times New Roman" w:eastAsia="Times New Roman" w:hAnsi="Times New Roman"/>
          <w:sz w:val="20"/>
          <w:szCs w:val="20"/>
          <w:u w:val="single" w:color="auto"/>
          <w:color w:val="auto"/>
        </w:rPr>
        <w:t>Voidable Transfer</w:t>
      </w:r>
      <w:r>
        <w:rPr>
          <w:rFonts w:ascii="Times New Roman" w:cs="Times New Roman" w:eastAsia="Times New Roman" w:hAnsi="Times New Roman"/>
          <w:sz w:val="20"/>
          <w:szCs w:val="20"/>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15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17.9.</w:t>
      </w:r>
      <w:r>
        <w:rPr>
          <w:sz w:val="20"/>
          <w:szCs w:val="20"/>
          <w:color w:val="auto"/>
        </w:rPr>
        <w:tab/>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3" w:lineRule="auto"/>
        <w:tabs>
          <w:tab w:leader="none" w:pos="185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Times New Roman" w:cs="Times New Roman" w:eastAsia="Times New Roman" w:hAnsi="Times New Roman"/>
          <w:sz w:val="21"/>
          <w:szCs w:val="21"/>
          <w:u w:val="single" w:color="auto"/>
          <w:color w:val="auto"/>
        </w:rPr>
        <w:t>Lender Group Representatives</w:t>
      </w:r>
      <w:r>
        <w:rPr>
          <w:rFonts w:ascii="Times New Roman" w:cs="Times New Roman" w:eastAsia="Times New Roman" w:hAnsi="Times New Roman"/>
          <w:sz w:val="21"/>
          <w:szCs w:val="21"/>
          <w:color w:val="auto"/>
        </w:rPr>
        <w:t>") on a "need to know" basis in connection with this Agreement and the transactions contemplated hereby and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-143-</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color w:val="auto"/>
        </w:rPr>
        <w:t xml:space="preserve">a confidential basis, (ii) to Subsidiaries and Affiliates of any member of the Lender Group (including the Bank Product Providers);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Subsidiary or Affiliate shall have agreed to receive such information hereunder subject to the terms of this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receipt of Confidential Information any such assignee, participant, or pledgee shall have agreed in writing to receive such Confidential Information either subject to the terms of this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xml:space="preserve"> or pursuant to confidentiality requirements substantially similar to those contained in this </w:t>
      </w:r>
      <w:r>
        <w:rPr>
          <w:rFonts w:ascii="Times New Roman" w:cs="Times New Roman" w:eastAsia="Times New Roman" w:hAnsi="Times New Roman"/>
          <w:sz w:val="20"/>
          <w:szCs w:val="20"/>
          <w:u w:val="single" w:color="auto"/>
          <w:color w:val="auto"/>
        </w:rPr>
        <w:t>Section 17.9</w:t>
      </w:r>
      <w:r>
        <w:rPr>
          <w:rFonts w:ascii="Times New Roman" w:cs="Times New Roman" w:eastAsia="Times New Roman" w:hAnsi="Times New Roman"/>
          <w:sz w:val="20"/>
          <w:szCs w:val="20"/>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and (x) in connection with, and to the extent reasonably necessary for, the exercise of any secured creditor remedy under this Agreement or under any other Loan Document.</w:t>
      </w:r>
    </w:p>
    <w:p>
      <w:pPr>
        <w:spacing w:after="0" w:line="163" w:lineRule="exact"/>
        <w:rPr>
          <w:sz w:val="20"/>
          <w:szCs w:val="20"/>
          <w:color w:val="auto"/>
        </w:rPr>
      </w:pPr>
    </w:p>
    <w:p>
      <w:pPr>
        <w:jc w:val="both"/>
        <w:ind w:firstLine="1241"/>
        <w:spacing w:after="0" w:line="215" w:lineRule="auto"/>
        <w:tabs>
          <w:tab w:leader="none" w:pos="185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-144-</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86" w:lineRule="exact"/>
        <w:rPr>
          <w:sz w:val="20"/>
          <w:szCs w:val="20"/>
          <w:color w:val="auto"/>
        </w:rPr>
      </w:pPr>
    </w:p>
    <w:p>
      <w:pPr>
        <w:jc w:val="both"/>
        <w:ind w:firstLine="1241"/>
        <w:spacing w:after="0" w:line="218" w:lineRule="auto"/>
        <w:tabs>
          <w:tab w:leader="none" w:pos="185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Agent may make materials or information provided by or on behalf of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available to the Lenders by posting the Communications on IntraLinks, SyndTrak or a substantially similar secure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Lenders that do not wish to receive material non-public information with respect to the Loan Parties or their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52" w:lineRule="exact"/>
        <w:rPr>
          <w:sz w:val="20"/>
          <w:szCs w:val="20"/>
          <w:color w:val="auto"/>
        </w:rPr>
      </w:pPr>
    </w:p>
    <w:p>
      <w:pPr>
        <w:jc w:val="both"/>
        <w:ind w:firstLine="619"/>
        <w:spacing w:after="0" w:line="213" w:lineRule="auto"/>
        <w:rPr>
          <w:sz w:val="20"/>
          <w:szCs w:val="20"/>
          <w:color w:val="auto"/>
        </w:rPr>
      </w:pPr>
      <w:r>
        <w:rPr>
          <w:rFonts w:ascii="Times New Roman" w:cs="Times New Roman" w:eastAsia="Times New Roman" w:hAnsi="Times New Roman"/>
          <w:sz w:val="21"/>
          <w:szCs w:val="21"/>
          <w:color w:val="auto"/>
        </w:rPr>
        <w:t xml:space="preserve">17.10. </w:t>
      </w:r>
      <w:r>
        <w:rPr>
          <w:rFonts w:ascii="Times New Roman" w:cs="Times New Roman" w:eastAsia="Times New Roman" w:hAnsi="Times New Roman"/>
          <w:sz w:val="21"/>
          <w:szCs w:val="21"/>
          <w:b w:val="1"/>
          <w:bCs w:val="1"/>
          <w:u w:val="single" w:color="auto"/>
          <w:color w:val="auto"/>
        </w:rPr>
        <w:t>Survival</w:t>
      </w:r>
      <w:r>
        <w:rPr>
          <w:rFonts w:ascii="Times New Roman" w:cs="Times New Roman" w:eastAsia="Times New Roman" w:hAnsi="Times New Roman"/>
          <w:sz w:val="21"/>
          <w:szCs w:val="21"/>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17.11. </w:t>
      </w:r>
      <w:r>
        <w:rPr>
          <w:rFonts w:ascii="Times New Roman" w:cs="Times New Roman" w:eastAsia="Times New Roman" w:hAnsi="Times New Roman"/>
          <w:sz w:val="21"/>
          <w:szCs w:val="21"/>
          <w:b w:val="1"/>
          <w:bCs w:val="1"/>
          <w:u w:val="single" w:color="auto"/>
          <w:color w:val="auto"/>
        </w:rPr>
        <w:t>Patriot Act; Due Diligence</w:t>
      </w:r>
      <w:r>
        <w:rPr>
          <w:rFonts w:ascii="Times New Roman" w:cs="Times New Roman" w:eastAsia="Times New Roman" w:hAnsi="Times New Roman"/>
          <w:sz w:val="21"/>
          <w:szCs w:val="21"/>
          <w:color w:val="auto"/>
        </w:rPr>
        <w:t>. 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-145-</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the reasonable costs and charges for any such due diligence by Agent shall constitute Lender Group Expenses hereunder and be for the account of Borrowers.</w:t>
      </w:r>
    </w:p>
    <w:p>
      <w:pPr>
        <w:spacing w:after="0" w:line="142" w:lineRule="exact"/>
        <w:rPr>
          <w:sz w:val="20"/>
          <w:szCs w:val="20"/>
          <w:color w:val="auto"/>
        </w:rPr>
      </w:pPr>
    </w:p>
    <w:p>
      <w:pPr>
        <w:jc w:val="both"/>
        <w:ind w:firstLine="619"/>
        <w:spacing w:after="0" w:line="215" w:lineRule="auto"/>
        <w:rPr>
          <w:sz w:val="20"/>
          <w:szCs w:val="20"/>
          <w:color w:val="auto"/>
        </w:rPr>
      </w:pPr>
      <w:r>
        <w:rPr>
          <w:rFonts w:ascii="Times New Roman" w:cs="Times New Roman" w:eastAsia="Times New Roman" w:hAnsi="Times New Roman"/>
          <w:sz w:val="21"/>
          <w:szCs w:val="21"/>
          <w:color w:val="auto"/>
        </w:rPr>
        <w:t xml:space="preserve">17.12. </w:t>
      </w:r>
      <w:r>
        <w:rPr>
          <w:rFonts w:ascii="Times New Roman" w:cs="Times New Roman" w:eastAsia="Times New Roman" w:hAnsi="Times New Roman"/>
          <w:sz w:val="21"/>
          <w:szCs w:val="21"/>
          <w:b w:val="1"/>
          <w:bCs w:val="1"/>
          <w:u w:val="single" w:color="auto"/>
          <w:color w:val="auto"/>
        </w:rPr>
        <w:t>Integration</w:t>
      </w:r>
      <w:r>
        <w:rPr>
          <w:rFonts w:ascii="Times New Roman" w:cs="Times New Roman" w:eastAsia="Times New Roman" w:hAnsi="Times New Roman"/>
          <w:sz w:val="21"/>
          <w:szCs w:val="21"/>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0"/>
          <w:szCs w:val="20"/>
          <w:color w:val="auto"/>
        </w:rPr>
        <w:t xml:space="preserve">17.13. </w:t>
      </w:r>
      <w:r>
        <w:rPr>
          <w:rFonts w:ascii="Times New Roman" w:cs="Times New Roman" w:eastAsia="Times New Roman" w:hAnsi="Times New Roman"/>
          <w:sz w:val="20"/>
          <w:szCs w:val="20"/>
          <w:b w:val="1"/>
          <w:bCs w:val="1"/>
          <w:u w:val="single" w:color="auto"/>
          <w:color w:val="auto"/>
        </w:rPr>
        <w:t>Parent as Agent for Borrowers</w:t>
      </w:r>
      <w:r>
        <w:rPr>
          <w:rFonts w:ascii="Times New Roman" w:cs="Times New Roman" w:eastAsia="Times New Roman" w:hAnsi="Times New Roman"/>
          <w:sz w:val="20"/>
          <w:szCs w:val="20"/>
          <w:color w:val="auto"/>
        </w:rPr>
        <w:t>. Each Borrower hereby irrevocably appoints Parent as the borrowing agent and attorney-in-fact for all Borrowers (the "</w:t>
      </w:r>
      <w:r>
        <w:rPr>
          <w:rFonts w:ascii="Times New Roman" w:cs="Times New Roman" w:eastAsia="Times New Roman" w:hAnsi="Times New Roman"/>
          <w:sz w:val="20"/>
          <w:szCs w:val="20"/>
          <w:u w:val="single" w:color="auto"/>
          <w:color w:val="auto"/>
        </w:rPr>
        <w:t>Administrative Borrower</w:t>
      </w:r>
      <w:r>
        <w:rPr>
          <w:rFonts w:ascii="Times New Roman" w:cs="Times New Roman" w:eastAsia="Times New Roman" w:hAnsi="Times New Roman"/>
          <w:sz w:val="20"/>
          <w:szCs w:val="20"/>
          <w:color w:val="auto"/>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Administrative Borrower in accordance with the terms hereof shall be deemed to have been given to each Borrower,</w:t>
      </w:r>
    </w:p>
    <w:p>
      <w:pPr>
        <w:spacing w:after="0" w:line="2" w:lineRule="exact"/>
        <w:rPr>
          <w:sz w:val="20"/>
          <w:szCs w:val="20"/>
          <w:color w:val="auto"/>
        </w:rPr>
      </w:pPr>
    </w:p>
    <w:p>
      <w:pPr>
        <w:jc w:val="both"/>
        <w:ind w:firstLine="3"/>
        <w:spacing w:after="0" w:line="207" w:lineRule="auto"/>
        <w:tabs>
          <w:tab w:leader="none" w:pos="29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enter into Bank Product Provider Agreements on behalf of Borrowers and their Subsidiaries, (d) to enter amendments, waivers, consents or other modifications of this Agreement and the other Loan Documents and (e) to take such action as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Administrative Borrower</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except that Borrowers will have no liability to the relevant Agent-Related Person or Lender-Related Person under this </w:t>
      </w:r>
      <w:r>
        <w:rPr>
          <w:rFonts w:ascii="Times New Roman" w:cs="Times New Roman" w:eastAsia="Times New Roman" w:hAnsi="Times New Roman"/>
          <w:sz w:val="21"/>
          <w:szCs w:val="21"/>
          <w:u w:val="single" w:color="auto"/>
          <w:color w:val="auto"/>
        </w:rPr>
        <w:t>Section 17.13</w:t>
      </w:r>
      <w:r>
        <w:rPr>
          <w:rFonts w:ascii="Times New Roman" w:cs="Times New Roman" w:eastAsia="Times New Roman" w:hAnsi="Times New Roman"/>
          <w:sz w:val="21"/>
          <w:szCs w:val="21"/>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17.14. </w:t>
      </w:r>
      <w:r>
        <w:rPr>
          <w:rFonts w:ascii="Times New Roman" w:cs="Times New Roman" w:eastAsia="Times New Roman" w:hAnsi="Times New Roman"/>
          <w:sz w:val="21"/>
          <w:szCs w:val="21"/>
          <w:b w:val="1"/>
          <w:bCs w:val="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5" w:lineRule="exact"/>
        <w:rPr>
          <w:sz w:val="20"/>
          <w:szCs w:val="20"/>
          <w:color w:val="auto"/>
        </w:rPr>
      </w:pPr>
    </w:p>
    <w:p>
      <w:pPr>
        <w:ind w:firstLine="1241"/>
        <w:spacing w:after="0" w:line="235" w:lineRule="auto"/>
        <w:tabs>
          <w:tab w:leader="none" w:pos="1853"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71"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9"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5"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42" w:lineRule="exact"/>
        <w:rPr>
          <w:sz w:val="20"/>
          <w:szCs w:val="20"/>
          <w:color w:val="auto"/>
        </w:rPr>
      </w:pPr>
    </w:p>
    <w:p>
      <w:pPr>
        <w:jc w:val="both"/>
        <w:ind w:firstLine="619"/>
        <w:spacing w:after="0" w:line="219" w:lineRule="auto"/>
        <w:rPr>
          <w:sz w:val="20"/>
          <w:szCs w:val="20"/>
          <w:color w:val="auto"/>
        </w:rPr>
      </w:pPr>
      <w:r>
        <w:rPr>
          <w:rFonts w:ascii="Times New Roman" w:cs="Times New Roman" w:eastAsia="Times New Roman" w:hAnsi="Times New Roman"/>
          <w:sz w:val="20"/>
          <w:szCs w:val="20"/>
          <w:color w:val="auto"/>
        </w:rPr>
        <w:t xml:space="preserve">17.15. </w:t>
      </w:r>
      <w:r>
        <w:rPr>
          <w:rFonts w:ascii="Times New Roman" w:cs="Times New Roman" w:eastAsia="Times New Roman" w:hAnsi="Times New Roman"/>
          <w:sz w:val="20"/>
          <w:szCs w:val="20"/>
          <w:b w:val="1"/>
          <w:bCs w:val="1"/>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8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2" w:lineRule="exact"/>
        <w:rPr>
          <w:sz w:val="20"/>
          <w:szCs w:val="20"/>
          <w:color w:val="auto"/>
        </w:rPr>
      </w:pPr>
    </w:p>
    <w:p>
      <w:pPr>
        <w:ind w:left="1240"/>
        <w:spacing w:after="0"/>
        <w:tabs>
          <w:tab w:leader="none" w:pos="1940" w:val="left"/>
        </w:tabs>
        <w:rPr>
          <w:sz w:val="20"/>
          <w:szCs w:val="20"/>
          <w:color w:val="auto"/>
        </w:rPr>
      </w:pPr>
      <w:r>
        <w:rPr>
          <w:rFonts w:ascii="Times New Roman" w:cs="Times New Roman" w:eastAsia="Times New Roman" w:hAnsi="Times New Roman"/>
          <w:sz w:val="21"/>
          <w:szCs w:val="21"/>
          <w:color w:val="auto"/>
        </w:rPr>
        <w:t>17.16.</w:t>
      </w:r>
      <w:r>
        <w:rPr>
          <w:sz w:val="20"/>
          <w:szCs w:val="20"/>
          <w:color w:val="auto"/>
        </w:rPr>
        <w:tab/>
      </w:r>
      <w:r>
        <w:rPr>
          <w:rFonts w:ascii="Times New Roman" w:cs="Times New Roman" w:eastAsia="Times New Roman" w:hAnsi="Times New Roman"/>
          <w:sz w:val="20"/>
          <w:szCs w:val="20"/>
          <w:b w:val="1"/>
          <w:bCs w:val="1"/>
          <w:u w:val="single" w:color="auto"/>
          <w:color w:val="auto"/>
        </w:rPr>
        <w:t>Erroneous Payments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41"/>
        <w:spacing w:after="0" w:line="218" w:lineRule="auto"/>
        <w:tabs>
          <w:tab w:leader="none" w:pos="1853"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each Issuing Bank, each other Bank Product Provider and any other party hereto hereby severally agrees that if (i) Agent notifies (which such notice shall be conclusive absent manifest error) such Lender or Issuing Bank or any Bank Product Provider (or the Lender which is an Affiliate of a Lender, Issuing Bank or Bank Product Provider) or any other Person that has received funds from Agent or any of its Affiliates, either for its own account or on behalf of a Lender, Issuing Bank or Bank Product Provider (each such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 (x) 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20"/>
          <w:szCs w:val="20"/>
          <w:u w:val="single" w:color="auto"/>
          <w:color w:val="auto"/>
        </w:rPr>
        <w:t>Section 17.16(a),</w:t>
      </w:r>
      <w:r>
        <w:rPr>
          <w:rFonts w:ascii="Times New Roman" w:cs="Times New Roman" w:eastAsia="Times New Roman" w:hAnsi="Times New Roman"/>
          <w:sz w:val="20"/>
          <w:szCs w:val="20"/>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then, in each case, such Payment Recipient is deemed to have knowledge of such error at the time of its receipt of such Erroneous Payment; provided that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156" w:lineRule="exact"/>
        <w:rPr>
          <w:rFonts w:ascii="Times New Roman" w:cs="Times New Roman" w:eastAsia="Times New Roman" w:hAnsi="Times New Roman"/>
          <w:sz w:val="20"/>
          <w:szCs w:val="20"/>
          <w:color w:val="auto"/>
        </w:rPr>
      </w:pPr>
    </w:p>
    <w:p>
      <w:pPr>
        <w:ind w:firstLine="1241"/>
        <w:spacing w:after="0" w:line="235" w:lineRule="auto"/>
        <w:tabs>
          <w:tab w:leader="none" w:pos="1852"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Payment Recipient agrees that, in the case of clause (a)(ii) above, it shall promptly notify Agent in writing of such occurrence.</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-148-</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8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received by such Payment Recipient to the date such amount is repaid to Agent at the greater of the Federal Funds Rate and a rate determined by Agent in accordance with banking industry rules on interbank compensation from time to time in effect.</w:t>
      </w:r>
    </w:p>
    <w:p>
      <w:pPr>
        <w:spacing w:after="0" w:line="146" w:lineRule="exact"/>
        <w:rPr>
          <w:sz w:val="20"/>
          <w:szCs w:val="20"/>
          <w:color w:val="auto"/>
        </w:rPr>
      </w:pPr>
    </w:p>
    <w:p>
      <w:pPr>
        <w:jc w:val="both"/>
        <w:ind w:firstLine="1241"/>
        <w:spacing w:after="0" w:line="208" w:lineRule="auto"/>
        <w:tabs>
          <w:tab w:leader="none" w:pos="1852"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then at the sole discretion of Agent and upon Agent's written notice to such Lender (i) such Lender shall be deemed to have made a cashless assignment of the full face amount of the portion of its Loans (but not its Commitments) with respect to which such Erroneous Payment was made (the "</w:t>
      </w:r>
      <w:r>
        <w:rPr>
          <w:rFonts w:ascii="Times New Roman" w:cs="Times New Roman" w:eastAsia="Times New Roman" w:hAnsi="Times New Roman"/>
          <w:sz w:val="21"/>
          <w:szCs w:val="21"/>
          <w:u w:val="single" w:color="auto"/>
          <w:color w:val="auto"/>
        </w:rPr>
        <w:t>Erroneous Payment Impacted Loans</w:t>
      </w:r>
      <w:r>
        <w:rPr>
          <w:rFonts w:ascii="Times New Roman" w:cs="Times New Roman" w:eastAsia="Times New Roman" w:hAnsi="Times New Roman"/>
          <w:sz w:val="21"/>
          <w:szCs w:val="21"/>
          <w:color w:val="auto"/>
        </w:rPr>
        <w:t>") to Agent or, at the option of Agent, Agent's applicable lending affiliate (such assignee, the "</w:t>
      </w:r>
      <w:r>
        <w:rPr>
          <w:rFonts w:ascii="Times New Roman" w:cs="Times New Roman" w:eastAsia="Times New Roman" w:hAnsi="Times New Roman"/>
          <w:sz w:val="21"/>
          <w:szCs w:val="21"/>
          <w:u w:val="single" w:color="auto"/>
          <w:color w:val="auto"/>
        </w:rPr>
        <w:t>Agent Assignee</w:t>
      </w:r>
      <w:r>
        <w:rPr>
          <w:rFonts w:ascii="Times New Roman" w:cs="Times New Roman" w:eastAsia="Times New Roman" w:hAnsi="Times New Roman"/>
          <w:sz w:val="21"/>
          <w:szCs w:val="21"/>
          <w:color w:val="auto"/>
        </w:rPr>
        <w:t>") in an amount that is equal to the Erroneous Payment Return Deficiency (or such lesser amount as Agent may specify) (such assignment of the Loans (but not Commitments) of the Erroneous Payment Impacted Loans, the "</w:t>
      </w:r>
      <w:r>
        <w:rPr>
          <w:rFonts w:ascii="Times New Roman" w:cs="Times New Roman" w:eastAsia="Times New Roman" w:hAnsi="Times New Roman"/>
          <w:sz w:val="21"/>
          <w:szCs w:val="21"/>
          <w:u w:val="single" w:color="auto"/>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 Deficiency Assignment</w:t>
      </w:r>
      <w:r>
        <w:rPr>
          <w:rFonts w:ascii="Times New Roman" w:cs="Times New Roman" w:eastAsia="Times New Roman" w:hAnsi="Times New Roman"/>
          <w:sz w:val="21"/>
          <w:szCs w:val="21"/>
          <w:color w:val="auto"/>
        </w:rPr>
        <w:t xml:space="preserve">") plus any accrued and unpaid interest on such assigned amount, without further consent or approval of any party hereto and without any payment by Agent Assignee as the assignee of such Erroneous Payment Deficiency Assignment. Without limitation of its rights hereunder, following the effectiveness of the Erroneous Payment Deficiency Assignment, Agent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13 and (3) Agent may reflect such assignments in the Register without further consent or action by any other Person.</w:t>
      </w:r>
    </w:p>
    <w:p>
      <w:pPr>
        <w:spacing w:after="0" w:line="152" w:lineRule="exact"/>
        <w:rPr>
          <w:rFonts w:ascii="Times New Roman" w:cs="Times New Roman" w:eastAsia="Times New Roman" w:hAnsi="Times New Roman"/>
          <w:sz w:val="21"/>
          <w:szCs w:val="21"/>
          <w:color w:val="auto"/>
        </w:rPr>
      </w:pPr>
    </w:p>
    <w:p>
      <w:pPr>
        <w:jc w:val="both"/>
        <w:ind w:firstLine="1241"/>
        <w:spacing w:after="0" w:line="219" w:lineRule="auto"/>
        <w:tabs>
          <w:tab w:leader="none" w:pos="185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hereby agrees that (x) in the event an Erroneous Payment (or portion thereof) is not recovered from any Payment Recipient that has received such Erroneous Payment (or portion thereof) for any reason, Agent (1) shall be subrogated to all the rights of such Payment Recipient and (2)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Times New Roman" w:cs="Times New Roman" w:eastAsia="Times New Roman" w:hAnsi="Times New Roman"/>
          <w:sz w:val="20"/>
          <w:szCs w:val="20"/>
          <w:u w:val="single" w:color="auto"/>
          <w:color w:val="auto"/>
        </w:rPr>
        <w:t>Section 17.16</w:t>
      </w:r>
      <w:r>
        <w:rPr>
          <w:rFonts w:ascii="Times New Roman" w:cs="Times New Roman" w:eastAsia="Times New Roman" w:hAnsi="Times New Roman"/>
          <w:sz w:val="20"/>
          <w:szCs w:val="20"/>
          <w:color w:val="auto"/>
        </w:rPr>
        <w:t xml:space="preserve"> or under the indemnification provisions of this Agreement,</w:t>
      </w:r>
    </w:p>
    <w:p>
      <w:pPr>
        <w:spacing w:after="0" w:line="4" w:lineRule="exact"/>
        <w:rPr>
          <w:rFonts w:ascii="Times New Roman" w:cs="Times New Roman" w:eastAsia="Times New Roman" w:hAnsi="Times New Roman"/>
          <w:sz w:val="20"/>
          <w:szCs w:val="20"/>
          <w:color w:val="auto"/>
        </w:rPr>
      </w:pPr>
    </w:p>
    <w:p>
      <w:pPr>
        <w:jc w:val="both"/>
        <w:ind w:firstLine="3"/>
        <w:spacing w:after="0" w:line="210" w:lineRule="auto"/>
        <w:tabs>
          <w:tab w:leader="none" w:pos="304"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Agent from the Borrowers or any other Loan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-149-</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86" w:lineRule="exact"/>
        <w:rPr>
          <w:sz w:val="20"/>
          <w:szCs w:val="20"/>
          <w:color w:val="auto"/>
        </w:rPr>
      </w:pPr>
    </w:p>
    <w:p>
      <w:pPr>
        <w:jc w:val="both"/>
        <w:ind w:firstLine="1241"/>
        <w:spacing w:after="0" w:line="225" w:lineRule="auto"/>
        <w:tabs>
          <w:tab w:leader="none" w:pos="185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11" w:lineRule="auto"/>
        <w:tabs>
          <w:tab w:leader="none" w:pos="185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to the contrary notwithstanding, (i) nothing in this </w:t>
      </w:r>
      <w:r>
        <w:rPr>
          <w:rFonts w:ascii="Times New Roman" w:cs="Times New Roman" w:eastAsia="Times New Roman" w:hAnsi="Times New Roman"/>
          <w:sz w:val="21"/>
          <w:szCs w:val="21"/>
          <w:u w:val="single" w:color="auto"/>
          <w:color w:val="auto"/>
        </w:rPr>
        <w:t>Section 17.16</w:t>
      </w:r>
      <w:r>
        <w:rPr>
          <w:rFonts w:ascii="Times New Roman" w:cs="Times New Roman" w:eastAsia="Times New Roman" w:hAnsi="Times New Roman"/>
          <w:sz w:val="21"/>
          <w:szCs w:val="21"/>
          <w:color w:val="auto"/>
        </w:rPr>
        <w:t xml:space="preserve"> will constitute a waiver or release of any claim of any party hereunder arising from any Payment Recipient's receipt of an Erroneous Payment and (ii) there will only be deemed to be a recovery of the Erroneous Payment to the extent that Agent has received payment from the Payment Recipient in immediately available funds the Erroneous Payment Return, whether directly from the Payment Recipient, as a result of the exercise by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Agent Assignee and shall not constitute a recovery of the Erroneous Payment).</w:t>
      </w:r>
    </w:p>
    <w:p>
      <w:pPr>
        <w:spacing w:after="0" w:line="142" w:lineRule="exact"/>
        <w:rPr>
          <w:sz w:val="20"/>
          <w:szCs w:val="20"/>
          <w:color w:val="auto"/>
        </w:rPr>
      </w:pPr>
    </w:p>
    <w:p>
      <w:pPr>
        <w:jc w:val="both"/>
        <w:ind w:firstLine="619"/>
        <w:spacing w:after="0" w:line="208" w:lineRule="auto"/>
        <w:rPr>
          <w:sz w:val="20"/>
          <w:szCs w:val="20"/>
          <w:color w:val="auto"/>
        </w:rPr>
      </w:pPr>
      <w:r>
        <w:rPr>
          <w:rFonts w:ascii="Times New Roman" w:cs="Times New Roman" w:eastAsia="Times New Roman" w:hAnsi="Times New Roman"/>
          <w:sz w:val="21"/>
          <w:szCs w:val="21"/>
          <w:color w:val="auto"/>
        </w:rPr>
        <w:t xml:space="preserve">17.17. </w:t>
      </w:r>
      <w:r>
        <w:rPr>
          <w:rFonts w:ascii="Times New Roman" w:cs="Times New Roman" w:eastAsia="Times New Roman" w:hAnsi="Times New Roman"/>
          <w:sz w:val="21"/>
          <w:szCs w:val="21"/>
          <w:b w:val="1"/>
          <w:bCs w:val="1"/>
          <w:u w:val="single" w:color="auto"/>
          <w:color w:val="auto"/>
        </w:rPr>
        <w:t>Amendment and Restatement</w:t>
      </w:r>
      <w:r>
        <w:rPr>
          <w:rFonts w:ascii="Times New Roman" w:cs="Times New Roman" w:eastAsia="Times New Roman" w:hAnsi="Times New Roman"/>
          <w:sz w:val="21"/>
          <w:szCs w:val="21"/>
          <w:color w:val="auto"/>
        </w:rPr>
        <w:t>. Effective on the date hereof and subject to the satisfaction of the conditions specified herein, Wells Fargo hereby joins the Credit Agreement in the capacity as administrative agent for the Lender Group and shall have the rights and obligations of Agent hereunder, including Section 15 hereof. For the avoidance of doubt, Wells Fargo shall continue to be a Lender hereunder and hereby agrees, and reaffirms its obligation, to adhere to and be bound by all of the terms and provisions of the Amended Loan Agreement applicable to a Lender thereunder. As described in the Restructuring Agreement, this Agreement and the Guaranty and Security Agreement collectively amend and restate the Existing Credit Agreement in its entirety. The Existing Loans, the Existing Letters of Credit and the other Existing Obligations outstanding under the Existing Credit Agreement shall be governed by and deemed to be outstanding under the amended and restated terms set forth in this Agreement, the Guaranty and Security Agreement and the other Loan Documents, and the Existing Obligations are and shall continue to be (and all Obligations incurred pursuant hereto shall be) secured by, among other things, the Existing Collateral as well as the other Collateral pursuant to the Guaranty and Security Agreement and the other Loan Documents. Each party hereto (and with respect to each Loan Party other than Borrowers, by such Loan Party's execution and delivery of the Reaffirmation of Loan Documents, the Restructuring Agreement, and the Guaranty and Security Agreement) hereby acknowledges, confirms and agrees that as of the date hereof and subject to the satisfaction of the conditions specified herein, (i) the security interests in and Liens upon the Collateral heretofore granted to Wells Fargo as "Lender" under the Existing Credit Agreement to secure the Existing Obligations (the "</w:t>
      </w:r>
      <w:r>
        <w:rPr>
          <w:rFonts w:ascii="Times New Roman" w:cs="Times New Roman" w:eastAsia="Times New Roman" w:hAnsi="Times New Roman"/>
          <w:sz w:val="21"/>
          <w:szCs w:val="21"/>
          <w:u w:val="single" w:color="auto"/>
          <w:color w:val="auto"/>
        </w:rPr>
        <w:t>Existing Liens</w:t>
      </w:r>
      <w:r>
        <w:rPr>
          <w:rFonts w:ascii="Times New Roman" w:cs="Times New Roman" w:eastAsia="Times New Roman" w:hAnsi="Times New Roman"/>
          <w:sz w:val="21"/>
          <w:szCs w:val="21"/>
          <w:color w:val="auto"/>
        </w:rPr>
        <w:t>") shall continue in full force and effect in favor of Wells Fargo as Agent, and (ii) the Existing Liens are deemed to mean, and shall mean, a security interest in and Lien upon the Collateral granted to Agent for the benefit of the Lender Group under the Loan Documents, including the Guaranty and Security Agreement. The execution and delivery of this Agreement, which is made for the purposes described in the foregoing recitals, shall not effectuate a novation of any of the Existing Loan Documents, or, except as set forth below, constitute a release or discharge of the Existing Obligations or the Existing Collateral, but rather as a substitution of certain terms governing the payment and performance of such obligations and indebtedness As a material part of the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-150-</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8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for Agent and Lenders entering into this Agreement and in order to induce Lenders to extend credit pursuant to this Agreement, on the date hereof each Borrower hereby releases and forever discharges Agent, each Lender, each Bank Product Provider and their respective directors, officers, employees, agents, attorneys, affiliates, subsidiaries, successors and assigns from any and all liabilities, obligations, actions, contracts, claims, causes of action, damages, demands, costs and expenses whatsoever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of every kind and nature, however evidenced or created, whether known or unknown, arising prior to or on the date of this Agreement including, but not limited to, any Claims involving the extension of credit under or administration of a Loan Party, the Existing Credit Agreement, this Agreement, the Guaranty and Security Agreement, the Loan Documents or Bank Product Agreements, as each may be amended, the Obligations or any other transactions evidenced by this Agreement, the Existing Credit Agreement, the Guaranty and Security Agreement, the Loan Documents or any Bank Product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-151-</w:t>
      </w:r>
    </w:p>
    <w:p>
      <w:pPr>
        <w:sectPr>
          <w:pgSz w:w="11900" w:h="16838" w:orient="portrait"/>
          <w:cols w:equalWidth="0" w:num="1">
            <w:col w:w="11240"/>
          </w:cols>
          <w:pgMar w:left="320" w:top="1440" w:right="339" w:bottom="1440" w:gutter="0" w:footer="0" w:header="0"/>
        </w:sectPr>
      </w:pPr>
    </w:p>
    <w:bookmarkStart w:id="202" w:name="page203"/>
    <w:bookmarkEnd w:id="202"/>
    <w:p>
      <w:pPr>
        <w:ind w:firstLine="619"/>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caused this Agreement to be executed and delivered as of the date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written.</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ADMINISTRATIVE BORROWER:</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IES HOLDINGS, INC., a Delaware corporation</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9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Tracy A. McLauchlin</w:t>
            </w:r>
          </w:p>
        </w:tc>
      </w:t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95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Tracy A. McLauchlin</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95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Senior Vice President, Chief Financial Officer,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Third Amended and Restated Credit Agreement</w:t>
      </w:r>
    </w:p>
    <w:p>
      <w:pPr>
        <w:sectPr>
          <w:pgSz w:w="11900" w:h="16838" w:orient="portrait"/>
          <w:cols w:equalWidth="0" w:num="1">
            <w:col w:w="11240"/>
          </w:cols>
          <w:pgMar w:left="320" w:top="1335" w:right="339" w:bottom="1440" w:gutter="0" w:footer="0" w:header="0"/>
        </w:sectPr>
      </w:pPr>
    </w:p>
    <w:bookmarkStart w:id="203" w:name="page204"/>
    <w:bookmarkEnd w:id="203"/>
    <w:p>
      <w:pPr>
        <w:ind w:left="40"/>
        <w:spacing w:after="0"/>
        <w:rPr>
          <w:sz w:val="20"/>
          <w:szCs w:val="20"/>
          <w:color w:val="auto"/>
        </w:rPr>
      </w:pPr>
      <w:r>
        <w:rPr>
          <w:rFonts w:ascii="Times New Roman" w:cs="Times New Roman" w:eastAsia="Times New Roman" w:hAnsi="Times New Roman"/>
          <w:sz w:val="21"/>
          <w:szCs w:val="21"/>
          <w:b w:val="1"/>
          <w:bCs w:val="1"/>
          <w:u w:val="single" w:color="auto"/>
          <w:color w:val="auto"/>
        </w:rPr>
        <w:t>BORROWERS:</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COMMUNICATIONS, LLC, a Delaware limited liability company;</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COMMERCIAL, INC., a Delaware corporation;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RESIDENTIAL, INC., a Delaware corporation;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INTEGRATED ELECTRICAL FINANCE, INC., a Delaware corporation;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SUBSIDIARY HOLDINGS, INC., a Delaware corporation;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MAGNETECH INDUSTRIAL SERVICES, INC., an Indiana corporation;</w:t>
      </w:r>
    </w:p>
    <w:p>
      <w:pPr>
        <w:spacing w:after="0" w:line="16" w:lineRule="exact"/>
        <w:rPr>
          <w:sz w:val="20"/>
          <w:szCs w:val="20"/>
          <w:color w:val="auto"/>
        </w:rPr>
      </w:pPr>
    </w:p>
    <w:p>
      <w:pPr>
        <w:ind w:left="40" w:right="360"/>
        <w:spacing w:after="0" w:line="256" w:lineRule="auto"/>
        <w:rPr>
          <w:sz w:val="20"/>
          <w:szCs w:val="20"/>
          <w:color w:val="auto"/>
        </w:rPr>
      </w:pPr>
      <w:r>
        <w:rPr>
          <w:rFonts w:ascii="Times New Roman" w:cs="Times New Roman" w:eastAsia="Times New Roman" w:hAnsi="Times New Roman"/>
          <w:sz w:val="21"/>
          <w:szCs w:val="21"/>
          <w:color w:val="auto"/>
        </w:rPr>
        <w:t>SOUTHERN INDUSTRIAL SALES AND SERVICES, INC., a Georgia corporation d/b/a Southern Rewinding and Sales; CALUMET ARMATURE AND ELECTRIC, L.L.C., an Illinois limited liability company; TECHNIBUS, INC., a Delaware corporation;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INFRASTRUCTURE SOLUTIONS, LLC, a Delaware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FREEMAN ENCLOSURE SYSTEMS, LLC, an Ohio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NEXT ELECTRIC, LLC, a Wisconsin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AZIMUTH COMMUNICATIONS, INC., an Oregon corporation;</w:t>
      </w:r>
    </w:p>
    <w:p>
      <w:pPr>
        <w:spacing w:after="0" w:line="16" w:lineRule="exact"/>
        <w:rPr>
          <w:sz w:val="20"/>
          <w:szCs w:val="20"/>
          <w:color w:val="auto"/>
        </w:rPr>
      </w:pPr>
    </w:p>
    <w:p>
      <w:pPr>
        <w:ind w:left="40" w:right="2580"/>
        <w:spacing w:after="0" w:line="256" w:lineRule="auto"/>
        <w:rPr>
          <w:sz w:val="20"/>
          <w:szCs w:val="20"/>
          <w:color w:val="auto"/>
        </w:rPr>
      </w:pPr>
      <w:r>
        <w:rPr>
          <w:rFonts w:ascii="Times New Roman" w:cs="Times New Roman" w:eastAsia="Times New Roman" w:hAnsi="Times New Roman"/>
          <w:sz w:val="21"/>
          <w:szCs w:val="21"/>
          <w:color w:val="auto"/>
        </w:rPr>
        <w:t>PLANT POWER AND CONTROL SYSTEMS, L.L.C., an Alabama limited liability company; AERIAL LIGHTING &amp; ELECTRIC, INC., a Connecticut corporation;</w:t>
      </w:r>
    </w:p>
    <w:p>
      <w:pPr>
        <w:spacing w:after="0" w:line="1" w:lineRule="exact"/>
        <w:rPr>
          <w:sz w:val="20"/>
          <w:szCs w:val="20"/>
          <w:color w:val="auto"/>
        </w:rPr>
      </w:pPr>
    </w:p>
    <w:p>
      <w:pPr>
        <w:ind w:left="40" w:right="4460"/>
        <w:spacing w:after="0" w:line="256" w:lineRule="auto"/>
        <w:rPr>
          <w:sz w:val="20"/>
          <w:szCs w:val="20"/>
          <w:color w:val="auto"/>
        </w:rPr>
      </w:pPr>
      <w:r>
        <w:rPr>
          <w:rFonts w:ascii="Times New Roman" w:cs="Times New Roman" w:eastAsia="Times New Roman" w:hAnsi="Times New Roman"/>
          <w:sz w:val="21"/>
          <w:szCs w:val="21"/>
          <w:color w:val="auto"/>
        </w:rPr>
        <w:t>HOTCHKISS ALARMS, LLC, a Connecticut limited liability company; K.E.P. ELECTRIC, INC., an Ohio corporation;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WEDLAKE FABRICATING, INC., an Oklahoma corporation;</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BAYONET PLUMBING, HEATING AND AIR-CONDITIONING, LLC, a Florida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EDMONSON ELECTRIC, LLC, a Florida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STR MECHANICAL, LLC, a North Carolina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TECHNICAL SERVICES II, LLC, a Virginia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INVESTMENTS, LLC, a Delaware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FL RE, LLC, a Florida limited liability company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OK RE, LLC, an Oklahoma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9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Tracy A. McLauchlin</w:t>
            </w:r>
          </w:p>
        </w:tc>
      </w:t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9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Tracy A. McLauchlin</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95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Third Amended and Restated Credit Agreement</w:t>
      </w:r>
    </w:p>
    <w:p>
      <w:pPr>
        <w:sectPr>
          <w:pgSz w:w="11900" w:h="16838" w:orient="portrait"/>
          <w:cols w:equalWidth="0" w:num="1">
            <w:col w:w="10500"/>
          </w:cols>
          <w:pgMar w:left="320" w:top="1387" w:right="1079" w:bottom="1440" w:gutter="0" w:footer="0" w:header="0"/>
        </w:sectPr>
      </w:pPr>
    </w:p>
    <w:bookmarkStart w:id="204" w:name="page205"/>
    <w:bookmarkEnd w:id="204"/>
    <w:p>
      <w:pPr>
        <w:ind w:left="40"/>
        <w:spacing w:after="0"/>
        <w:rPr>
          <w:sz w:val="20"/>
          <w:szCs w:val="20"/>
          <w:color w:val="auto"/>
        </w:rPr>
      </w:pPr>
      <w:r>
        <w:rPr>
          <w:rFonts w:ascii="Times New Roman" w:cs="Times New Roman" w:eastAsia="Times New Roman" w:hAnsi="Times New Roman"/>
          <w:sz w:val="21"/>
          <w:szCs w:val="21"/>
          <w:b w:val="1"/>
          <w:bCs w:val="1"/>
          <w:color w:val="auto"/>
        </w:rPr>
        <w:t>IES MANAGEMENT LP</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INTEGRATED ELECTRICAL FINANCE, INC.,</w:t>
            </w:r>
          </w:p>
        </w:tc>
      </w:tr>
      <w:tr>
        <w:trPr>
          <w:trHeight w:val="268"/>
        </w:trPr>
        <w:tc>
          <w:tcPr>
            <w:tcW w:w="900" w:type="dxa"/>
            <w:vAlign w:val="bottom"/>
          </w:tcPr>
          <w:p>
            <w:pPr>
              <w:spacing w:after="0"/>
              <w:rPr>
                <w:sz w:val="23"/>
                <w:szCs w:val="23"/>
                <w:color w:val="auto"/>
              </w:rPr>
            </w:pP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its General Partner</w:t>
            </w:r>
          </w:p>
        </w:tc>
      </w:tr>
      <w:tr>
        <w:trPr>
          <w:trHeight w:val="516"/>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0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Tracy A. McLauchlin</w:t>
            </w:r>
          </w:p>
        </w:tc>
      </w:t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Tracy A. McLauchlin</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IES MANAGEMENT ROO, LP</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IES OPERATIONS GROUP, INC.,</w:t>
            </w:r>
          </w:p>
        </w:tc>
      </w:tr>
      <w:tr>
        <w:trPr>
          <w:trHeight w:val="268"/>
        </w:trPr>
        <w:tc>
          <w:tcPr>
            <w:tcW w:w="900" w:type="dxa"/>
            <w:vAlign w:val="bottom"/>
          </w:tcPr>
          <w:p>
            <w:pPr>
              <w:spacing w:after="0"/>
              <w:rPr>
                <w:sz w:val="23"/>
                <w:szCs w:val="23"/>
                <w:color w:val="auto"/>
              </w:rPr>
            </w:pP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its General Partner</w:t>
            </w:r>
          </w:p>
        </w:tc>
      </w:tr>
      <w:tr>
        <w:trPr>
          <w:trHeight w:val="516"/>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0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Tracy A. McLauchlin</w:t>
            </w:r>
          </w:p>
        </w:tc>
      </w:t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Tracy A. McLauchlin</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0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President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Third Amended and Restated Credit Agreement</w:t>
      </w:r>
    </w:p>
    <w:p>
      <w:pPr>
        <w:sectPr>
          <w:pgSz w:w="11900" w:h="16838" w:orient="portrait"/>
          <w:cols w:equalWidth="0" w:num="1">
            <w:col w:w="11240"/>
          </w:cols>
          <w:pgMar w:left="320" w:top="1386" w:right="339" w:bottom="1440" w:gutter="0" w:footer="0" w:header="0"/>
        </w:sectPr>
      </w:pPr>
    </w:p>
    <w:bookmarkStart w:id="205" w:name="page206"/>
    <w:bookmarkEnd w:id="205"/>
    <w:p>
      <w:pPr>
        <w:ind w:left="4100"/>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a national banking association, as Agent and as a Lender</w:t>
      </w:r>
    </w:p>
    <w:p>
      <w:pPr>
        <w:spacing w:after="0" w:line="200" w:lineRule="exact"/>
        <w:rPr>
          <w:sz w:val="20"/>
          <w:szCs w:val="20"/>
          <w:color w:val="auto"/>
        </w:rPr>
      </w:pPr>
    </w:p>
    <w:p>
      <w:pPr>
        <w:spacing w:after="0" w:line="332" w:lineRule="exact"/>
        <w:rPr>
          <w:sz w:val="20"/>
          <w:szCs w:val="20"/>
          <w:color w:val="auto"/>
        </w:rPr>
      </w:pPr>
    </w:p>
    <w:tbl>
      <w:tblPr>
        <w:tblLayout w:type="fixed"/>
        <w:tblInd w:w="4100" w:type="dxa"/>
        <w:tblCellMar>
          <w:top w:w="0" w:type="dxa"/>
          <w:left w:w="0" w:type="dxa"/>
          <w:bottom w:w="0" w:type="dxa"/>
          <w:right w:w="0" w:type="dxa"/>
        </w:tblCellMar>
      </w:tblP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Michael Gerard</w:t>
            </w:r>
          </w:p>
        </w:tc>
      </w:tr>
      <w:tr>
        <w:trPr>
          <w:trHeight w:val="241"/>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Michael Gerard</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 Third Amended and Restated Credit Agreement</w:t>
      </w:r>
    </w:p>
    <w:p>
      <w:pPr>
        <w:sectPr>
          <w:pgSz w:w="11900" w:h="16838" w:orient="portrait"/>
          <w:cols w:equalWidth="0" w:num="1">
            <w:col w:w="11240"/>
          </w:cols>
          <w:pgMar w:left="320" w:top="1413"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A-1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Agent's Account</w:t>
      </w:r>
    </w:p>
    <w:p>
      <w:pPr>
        <w:spacing w:after="0" w:line="200" w:lineRule="exact"/>
        <w:rPr>
          <w:sz w:val="20"/>
          <w:szCs w:val="20"/>
          <w:color w:val="auto"/>
        </w:rPr>
      </w:pPr>
    </w:p>
    <w:p>
      <w:pPr>
        <w:spacing w:after="0" w:line="20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An account at a bank designated by Agent from time to time as the account into which Borrower shall make all payments to Agent for the benefit of the Lender Group and into which the Lender Group shall make all payments to Agent under this Agreement and the other Loan Documents; unless and until Agent notifies Borrower and the Lender Group to the contrary, Agent's Account shall be that certain deposit account bearing account number XXXXXXXXXXXXX714, reference IES Holdings, Inc., and maintained by Agent with Wells Fargo Bank, N.A., 420 Montgomery Street, San Francisco, CA, ABA #121-000-248.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A-1</w:t>
      </w:r>
    </w:p>
    <w:p>
      <w:pPr>
        <w:sectPr>
          <w:pgSz w:w="11900" w:h="16838" w:orient="portrait"/>
          <w:cols w:equalWidth="0" w:num="1">
            <w:col w:w="11240"/>
          </w:cols>
          <w:pgMar w:left="320" w:top="1335" w:right="339" w:bottom="1440" w:gutter="0" w:footer="0" w:header="0"/>
        </w:sectPr>
      </w:pPr>
    </w:p>
    <w:bookmarkStart w:id="207" w:name="page208"/>
    <w:bookmarkEnd w:id="207"/>
    <w:tbl>
      <w:tblPr>
        <w:tblLayout w:type="fixed"/>
        <w:tblInd w:w="10" w:type="dxa"/>
        <w:tblCellMar>
          <w:top w:w="0" w:type="dxa"/>
          <w:left w:w="0" w:type="dxa"/>
          <w:bottom w:w="0" w:type="dxa"/>
          <w:right w:w="0" w:type="dxa"/>
        </w:tblCellMar>
      </w:tblPr>
      <w:tr>
        <w:trPr>
          <w:trHeight w:val="241"/>
        </w:trPr>
        <w:tc>
          <w:tcPr>
            <w:tcW w:w="2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20" w:type="dxa"/>
            <w:vAlign w:val="bottom"/>
            <w:gridSpan w:val="3"/>
          </w:tcPr>
          <w:p>
            <w:pPr>
              <w:jc w:val="center"/>
              <w:ind w:right="2460"/>
              <w:spacing w:after="0"/>
              <w:rPr>
                <w:sz w:val="20"/>
                <w:szCs w:val="20"/>
                <w:color w:val="auto"/>
              </w:rPr>
            </w:pPr>
            <w:r>
              <w:rPr>
                <w:rFonts w:ascii="Times New Roman" w:cs="Times New Roman" w:eastAsia="Times New Roman" w:hAnsi="Times New Roman"/>
                <w:sz w:val="21"/>
                <w:szCs w:val="21"/>
                <w:b w:val="1"/>
                <w:bCs w:val="1"/>
                <w:color w:val="auto"/>
                <w:w w:val="97"/>
              </w:rPr>
              <w:t>Schedule C-1</w:t>
            </w:r>
          </w:p>
        </w:tc>
      </w:tr>
      <w:tr>
        <w:trPr>
          <w:trHeight w:val="20"/>
        </w:trPr>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42"/>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00" w:type="dxa"/>
            <w:vAlign w:val="bottom"/>
            <w:gridSpan w:val="4"/>
          </w:tcPr>
          <w:p>
            <w:pPr>
              <w:jc w:val="center"/>
              <w:ind w:right="2380"/>
              <w:spacing w:after="0"/>
              <w:rPr>
                <w:sz w:val="20"/>
                <w:szCs w:val="20"/>
                <w:color w:val="auto"/>
              </w:rPr>
            </w:pPr>
            <w:r>
              <w:rPr>
                <w:rFonts w:ascii="Times New Roman" w:cs="Times New Roman" w:eastAsia="Times New Roman" w:hAnsi="Times New Roman"/>
                <w:sz w:val="21"/>
                <w:szCs w:val="21"/>
                <w:b w:val="1"/>
                <w:bCs w:val="1"/>
                <w:color w:val="auto"/>
                <w:w w:val="97"/>
              </w:rPr>
              <w:t>Commitments</w:t>
            </w:r>
          </w:p>
        </w:tc>
      </w:tr>
      <w:tr>
        <w:trPr>
          <w:trHeight w:val="447"/>
        </w:trPr>
        <w:tc>
          <w:tcPr>
            <w:tcW w:w="2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spacing w:after="0"/>
              <w:rPr>
                <w:sz w:val="24"/>
                <w:szCs w:val="24"/>
                <w:color w:val="auto"/>
              </w:rPr>
            </w:pPr>
          </w:p>
        </w:tc>
      </w:tr>
      <w:tr>
        <w:trPr>
          <w:trHeight w:val="592"/>
        </w:trPr>
        <w:tc>
          <w:tcPr>
            <w:tcW w:w="2020" w:type="dxa"/>
            <w:vAlign w:val="bottom"/>
            <w:tcBorders>
              <w:left w:val="single" w:sz="8" w:color="auto"/>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21"/>
                <w:szCs w:val="21"/>
                <w:b w:val="1"/>
                <w:bCs w:val="1"/>
                <w:color w:val="auto"/>
              </w:rPr>
              <w:t>Lender</w:t>
            </w:r>
          </w:p>
        </w:tc>
        <w:tc>
          <w:tcPr>
            <w:tcW w:w="900" w:type="dxa"/>
            <w:vAlign w:val="bottom"/>
            <w:tcBorders>
              <w:bottom w:val="single" w:sz="8" w:color="auto"/>
              <w:right w:val="single" w:sz="8" w:color="auto"/>
            </w:tcBorders>
            <w:shd w:val="clear" w:color="auto" w:fill="CCCCCC"/>
          </w:tcPr>
          <w:p>
            <w:pPr>
              <w:spacing w:after="0"/>
              <w:rPr>
                <w:sz w:val="24"/>
                <w:szCs w:val="24"/>
                <w:color w:val="auto"/>
              </w:rPr>
            </w:pPr>
          </w:p>
        </w:tc>
        <w:tc>
          <w:tcPr>
            <w:tcW w:w="2040" w:type="dxa"/>
            <w:vAlign w:val="bottom"/>
            <w:tcBorders>
              <w:bottom w:val="single" w:sz="8" w:color="auto"/>
            </w:tcBorders>
            <w:shd w:val="clear" w:color="auto" w:fill="CCCCCC"/>
          </w:tcPr>
          <w:p>
            <w:pPr>
              <w:spacing w:after="0"/>
              <w:rPr>
                <w:sz w:val="20"/>
                <w:szCs w:val="20"/>
                <w:color w:val="auto"/>
              </w:rPr>
            </w:pPr>
            <w:r>
              <w:rPr>
                <w:rFonts w:ascii="Times New Roman" w:cs="Times New Roman" w:eastAsia="Times New Roman" w:hAnsi="Times New Roman"/>
                <w:sz w:val="21"/>
                <w:szCs w:val="21"/>
                <w:b w:val="1"/>
                <w:bCs w:val="1"/>
                <w:color w:val="auto"/>
                <w:w w:val="98"/>
              </w:rPr>
              <w:t>Revolver Commitment</w:t>
            </w:r>
          </w:p>
        </w:tc>
        <w:tc>
          <w:tcPr>
            <w:tcW w:w="80" w:type="dxa"/>
            <w:vAlign w:val="bottom"/>
            <w:tcBorders>
              <w:bottom w:val="single" w:sz="8" w:color="auto"/>
            </w:tcBorders>
            <w:shd w:val="clear" w:color="auto" w:fill="CCCCCC"/>
          </w:tcPr>
          <w:p>
            <w:pPr>
              <w:spacing w:after="0"/>
              <w:rPr>
                <w:sz w:val="24"/>
                <w:szCs w:val="24"/>
                <w:color w:val="auto"/>
              </w:rPr>
            </w:pPr>
          </w:p>
        </w:tc>
        <w:tc>
          <w:tcPr>
            <w:tcW w:w="740" w:type="dxa"/>
            <w:vAlign w:val="bottom"/>
            <w:tcBorders>
              <w:bottom w:val="single" w:sz="8" w:color="auto"/>
              <w:right w:val="single" w:sz="8" w:color="auto"/>
            </w:tcBorders>
            <w:shd w:val="clear" w:color="auto" w:fill="CCCCCC"/>
          </w:tcPr>
          <w:p>
            <w:pPr>
              <w:spacing w:after="0"/>
              <w:rPr>
                <w:sz w:val="24"/>
                <w:szCs w:val="24"/>
                <w:color w:val="auto"/>
              </w:rPr>
            </w:pPr>
          </w:p>
        </w:tc>
        <w:tc>
          <w:tcPr>
            <w:tcW w:w="2880" w:type="dxa"/>
            <w:vAlign w:val="bottom"/>
            <w:tcBorders>
              <w:bottom w:val="single" w:sz="8" w:color="auto"/>
              <w:right w:val="single" w:sz="8" w:color="auto"/>
            </w:tcBorders>
            <w:gridSpan w:val="2"/>
            <w:shd w:val="clear" w:color="auto" w:fill="CCCCCC"/>
          </w:tcPr>
          <w:p>
            <w:pPr>
              <w:jc w:val="right"/>
              <w:ind w:right="1140"/>
              <w:spacing w:after="0"/>
              <w:rPr>
                <w:sz w:val="20"/>
                <w:szCs w:val="20"/>
                <w:color w:val="auto"/>
              </w:rPr>
            </w:pPr>
            <w:r>
              <w:rPr>
                <w:rFonts w:ascii="Times New Roman" w:cs="Times New Roman" w:eastAsia="Times New Roman" w:hAnsi="Times New Roman"/>
                <w:sz w:val="21"/>
                <w:szCs w:val="21"/>
                <w:b w:val="1"/>
                <w:bCs w:val="1"/>
                <w:color w:val="auto"/>
                <w:w w:val="99"/>
              </w:rPr>
              <w:t>Total Commitment</w:t>
            </w:r>
          </w:p>
        </w:tc>
      </w:tr>
      <w:tr>
        <w:trPr>
          <w:trHeight w:val="187"/>
        </w:trPr>
        <w:tc>
          <w:tcPr>
            <w:tcW w:w="2020" w:type="dxa"/>
            <w:vAlign w:val="bottom"/>
            <w:tcBorders>
              <w:lef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rPr>
              <w:t>Wells  Fargo  Bank,</w:t>
            </w:r>
          </w:p>
        </w:tc>
        <w:tc>
          <w:tcPr>
            <w:tcW w:w="900" w:type="dxa"/>
            <w:vAlign w:val="bottom"/>
            <w:tcBorders>
              <w:right w:val="single" w:sz="8" w:color="auto"/>
            </w:tcBorders>
          </w:tcPr>
          <w:p>
            <w:pPr>
              <w:ind w:left="100"/>
              <w:spacing w:after="0" w:line="187" w:lineRule="exact"/>
              <w:rPr>
                <w:sz w:val="20"/>
                <w:szCs w:val="20"/>
                <w:color w:val="auto"/>
              </w:rPr>
            </w:pPr>
            <w:r>
              <w:rPr>
                <w:rFonts w:ascii="Times New Roman" w:cs="Times New Roman" w:eastAsia="Times New Roman" w:hAnsi="Times New Roman"/>
                <w:sz w:val="21"/>
                <w:szCs w:val="21"/>
                <w:b w:val="1"/>
                <w:bCs w:val="1"/>
                <w:color w:val="auto"/>
                <w:w w:val="98"/>
              </w:rPr>
              <w:t>National</w:t>
            </w:r>
          </w:p>
        </w:tc>
        <w:tc>
          <w:tcPr>
            <w:tcW w:w="2040" w:type="dxa"/>
            <w:vAlign w:val="bottom"/>
          </w:tcPr>
          <w:p>
            <w:pPr>
              <w:spacing w:after="0" w:line="187" w:lineRule="exact"/>
              <w:rPr>
                <w:sz w:val="20"/>
                <w:szCs w:val="20"/>
                <w:color w:val="auto"/>
              </w:rPr>
            </w:pPr>
            <w:r>
              <w:rPr>
                <w:rFonts w:ascii="Times New Roman" w:cs="Times New Roman" w:eastAsia="Times New Roman" w:hAnsi="Times New Roman"/>
                <w:sz w:val="21"/>
                <w:szCs w:val="21"/>
                <w:color w:val="auto"/>
              </w:rPr>
              <w:t>$150,000,000</w:t>
            </w: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gridSpan w:val="2"/>
          </w:tcPr>
          <w:p>
            <w:pPr>
              <w:jc w:val="right"/>
              <w:ind w:right="1720"/>
              <w:spacing w:after="0" w:line="187" w:lineRule="exact"/>
              <w:rPr>
                <w:sz w:val="20"/>
                <w:szCs w:val="20"/>
                <w:color w:val="auto"/>
              </w:rPr>
            </w:pPr>
            <w:r>
              <w:rPr>
                <w:rFonts w:ascii="Times New Roman" w:cs="Times New Roman" w:eastAsia="Times New Roman" w:hAnsi="Times New Roman"/>
                <w:sz w:val="21"/>
                <w:szCs w:val="21"/>
                <w:color w:val="auto"/>
                <w:w w:val="98"/>
              </w:rPr>
              <w:t>$150,000,000</w:t>
            </w:r>
          </w:p>
        </w:tc>
      </w:tr>
      <w:tr>
        <w:trPr>
          <w:trHeight w:val="271"/>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Association</w:t>
            </w:r>
          </w:p>
        </w:tc>
        <w:tc>
          <w:tcPr>
            <w:tcW w:w="900" w:type="dxa"/>
            <w:vAlign w:val="bottom"/>
            <w:tcBorders>
              <w:bottom w:val="single" w:sz="8" w:color="auto"/>
              <w:right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spacing w:after="0"/>
              <w:rPr>
                <w:sz w:val="23"/>
                <w:szCs w:val="23"/>
                <w:color w:val="auto"/>
              </w:rPr>
            </w:pPr>
          </w:p>
        </w:tc>
      </w:tr>
      <w:tr>
        <w:trPr>
          <w:trHeight w:val="257"/>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All Lenders</w:t>
            </w:r>
          </w:p>
        </w:tc>
        <w:tc>
          <w:tcPr>
            <w:tcW w:w="90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$150,000,000</w:t>
            </w:r>
          </w:p>
        </w:tc>
        <w:tc>
          <w:tcPr>
            <w:tcW w:w="820" w:type="dxa"/>
            <w:vAlign w:val="bottom"/>
            <w:tcBorders>
              <w:bottom w:val="single" w:sz="8" w:color="auto"/>
              <w:right w:val="single" w:sz="8" w:color="auto"/>
            </w:tcBorders>
            <w:gridSpan w:val="2"/>
          </w:tcPr>
          <w:p>
            <w:pPr>
              <w:spacing w:after="0"/>
              <w:rPr>
                <w:sz w:val="22"/>
                <w:szCs w:val="22"/>
                <w:color w:val="auto"/>
              </w:rPr>
            </w:pPr>
          </w:p>
        </w:tc>
        <w:tc>
          <w:tcPr>
            <w:tcW w:w="2880" w:type="dxa"/>
            <w:vAlign w:val="bottom"/>
            <w:tcBorders>
              <w:bottom w:val="single" w:sz="8" w:color="auto"/>
              <w:right w:val="single" w:sz="8" w:color="auto"/>
            </w:tcBorders>
            <w:gridSpan w:val="2"/>
          </w:tcPr>
          <w:p>
            <w:pPr>
              <w:jc w:val="right"/>
              <w:ind w:right="1720"/>
              <w:spacing w:after="0"/>
              <w:rPr>
                <w:sz w:val="20"/>
                <w:szCs w:val="20"/>
                <w:color w:val="auto"/>
              </w:rPr>
            </w:pPr>
            <w:r>
              <w:rPr>
                <w:rFonts w:ascii="Times New Roman" w:cs="Times New Roman" w:eastAsia="Times New Roman" w:hAnsi="Times New Roman"/>
                <w:sz w:val="21"/>
                <w:szCs w:val="21"/>
                <w:color w:val="auto"/>
                <w:w w:val="98"/>
              </w:rPr>
              <w:t>$150,000,000</w:t>
            </w:r>
          </w:p>
        </w:tc>
      </w:tr>
      <w:tr>
        <w:trPr>
          <w:trHeight w:val="1354"/>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gridSpan w:val="3"/>
          </w:tcPr>
          <w:p>
            <w:pPr>
              <w:jc w:val="center"/>
              <w:ind w:right="2460"/>
              <w:spacing w:after="0"/>
              <w:rPr>
                <w:sz w:val="20"/>
                <w:szCs w:val="20"/>
                <w:color w:val="auto"/>
              </w:rPr>
            </w:pPr>
            <w:r>
              <w:rPr>
                <w:rFonts w:ascii="Times New Roman" w:cs="Times New Roman" w:eastAsia="Times New Roman" w:hAnsi="Times New Roman"/>
                <w:sz w:val="17"/>
                <w:szCs w:val="17"/>
                <w:color w:val="auto"/>
                <w:w w:val="99"/>
              </w:rPr>
              <w:t>Schedule C-1</w:t>
            </w:r>
          </w:p>
        </w:tc>
      </w:tr>
    </w:tbl>
    <w:p>
      <w:pPr>
        <w:sectPr>
          <w:pgSz w:w="11900" w:h="16838" w:orient="portrait"/>
          <w:cols w:equalWidth="0" w:num="1">
            <w:col w:w="10139"/>
          </w:cols>
          <w:pgMar w:left="320" w:top="1316" w:right="1440" w:bottom="1440" w:gutter="0" w:footer="0" w:header="0"/>
        </w:sectPr>
      </w:pPr>
    </w:p>
    <w:bookmarkStart w:id="208" w:name="page209"/>
    <w:bookmarkEnd w:id="208"/>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D-1</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Designated Account</w:t>
      </w:r>
    </w:p>
    <w:p>
      <w:pPr>
        <w:spacing w:after="0" w:line="200" w:lineRule="exact"/>
        <w:rPr>
          <w:sz w:val="20"/>
          <w:szCs w:val="20"/>
          <w:color w:val="auto"/>
        </w:rPr>
      </w:pPr>
    </w:p>
    <w:p>
      <w:pPr>
        <w:spacing w:after="0" w:line="203"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21"/>
          <w:szCs w:val="21"/>
          <w:b w:val="1"/>
          <w:bCs w:val="1"/>
          <w:u w:val="single" w:color="auto"/>
          <w:color w:val="auto"/>
        </w:rPr>
        <w:t>Designated Account of Administrative Borrower</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Bank Name:</w:t>
      </w:r>
      <w:r>
        <w:rPr>
          <w:sz w:val="20"/>
          <w:szCs w:val="20"/>
          <w:color w:val="auto"/>
        </w:rPr>
        <w:tab/>
      </w:r>
      <w:r>
        <w:rPr>
          <w:rFonts w:ascii="Times New Roman" w:cs="Times New Roman" w:eastAsia="Times New Roman" w:hAnsi="Times New Roman"/>
          <w:sz w:val="20"/>
          <w:szCs w:val="20"/>
          <w:color w:val="auto"/>
        </w:rPr>
        <w:t>Wells Fargo (the "</w:t>
      </w:r>
      <w:r>
        <w:rPr>
          <w:rFonts w:ascii="Times New Roman" w:cs="Times New Roman" w:eastAsia="Times New Roman" w:hAnsi="Times New Roman"/>
          <w:sz w:val="20"/>
          <w:szCs w:val="20"/>
          <w:u w:val="single" w:color="auto"/>
          <w:color w:val="auto"/>
        </w:rPr>
        <w:t>Designated Account Bank</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1"/>
          <w:szCs w:val="21"/>
          <w:color w:val="auto"/>
        </w:rPr>
        <w:t>ABA Number:</w:t>
      </w:r>
      <w:r>
        <w:rPr>
          <w:sz w:val="20"/>
          <w:szCs w:val="20"/>
          <w:color w:val="auto"/>
        </w:rPr>
        <w:tab/>
      </w:r>
      <w:r>
        <w:rPr>
          <w:rFonts w:ascii="Times New Roman" w:cs="Times New Roman" w:eastAsia="Times New Roman" w:hAnsi="Times New Roman"/>
          <w:sz w:val="20"/>
          <w:szCs w:val="20"/>
          <w:color w:val="auto"/>
        </w:rPr>
        <w:t>121000248</w:t>
      </w:r>
    </w:p>
    <w:p>
      <w:pPr>
        <w:spacing w:after="0" w:line="17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1"/>
          <w:szCs w:val="21"/>
          <w:color w:val="auto"/>
        </w:rPr>
        <w:t>Account Name:</w:t>
      </w:r>
      <w:r>
        <w:rPr>
          <w:sz w:val="20"/>
          <w:szCs w:val="20"/>
          <w:color w:val="auto"/>
        </w:rPr>
        <w:tab/>
      </w:r>
      <w:r>
        <w:rPr>
          <w:rFonts w:ascii="Times New Roman" w:cs="Times New Roman" w:eastAsia="Times New Roman" w:hAnsi="Times New Roman"/>
          <w:sz w:val="20"/>
          <w:szCs w:val="20"/>
          <w:color w:val="auto"/>
        </w:rPr>
        <w:t>IES Operating Account</w:t>
      </w:r>
    </w:p>
    <w:p>
      <w:pPr>
        <w:spacing w:after="0" w:line="158"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1"/>
          <w:szCs w:val="21"/>
          <w:color w:val="auto"/>
        </w:rPr>
        <w:t>Full Address of Account Holder:</w:t>
      </w:r>
      <w:r>
        <w:rPr>
          <w:sz w:val="20"/>
          <w:szCs w:val="20"/>
          <w:color w:val="auto"/>
        </w:rPr>
        <w:tab/>
      </w:r>
      <w:r>
        <w:rPr>
          <w:rFonts w:ascii="Times New Roman" w:cs="Times New Roman" w:eastAsia="Times New Roman" w:hAnsi="Times New Roman"/>
          <w:sz w:val="20"/>
          <w:szCs w:val="20"/>
          <w:color w:val="auto"/>
        </w:rPr>
        <w:t>IES Holdings, Inc.</w:t>
      </w:r>
    </w:p>
    <w:p>
      <w:pPr>
        <w:ind w:left="200"/>
        <w:spacing w:after="0" w:line="205" w:lineRule="auto"/>
        <w:rPr>
          <w:sz w:val="20"/>
          <w:szCs w:val="20"/>
          <w:color w:val="auto"/>
        </w:rPr>
      </w:pPr>
      <w:r>
        <w:rPr>
          <w:rFonts w:ascii="Times New Roman" w:cs="Times New Roman" w:eastAsia="Times New Roman" w:hAnsi="Times New Roman"/>
          <w:sz w:val="21"/>
          <w:szCs w:val="21"/>
          <w:color w:val="auto"/>
        </w:rPr>
        <w:t>5433 Westheimer Road, Suite 500</w:t>
      </w:r>
    </w:p>
    <w:p>
      <w:pPr>
        <w:ind w:left="200"/>
        <w:spacing w:after="0"/>
        <w:rPr>
          <w:sz w:val="20"/>
          <w:szCs w:val="20"/>
          <w:color w:val="auto"/>
        </w:rPr>
      </w:pPr>
      <w:r>
        <w:rPr>
          <w:rFonts w:ascii="Times New Roman" w:cs="Times New Roman" w:eastAsia="Times New Roman" w:hAnsi="Times New Roman"/>
          <w:sz w:val="21"/>
          <w:szCs w:val="21"/>
          <w:color w:val="auto"/>
        </w:rPr>
        <w:t>Houston, TX 77056</w:t>
      </w:r>
    </w:p>
    <w:p>
      <w:pPr>
        <w:spacing w:after="0" w:line="14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1"/>
          <w:szCs w:val="21"/>
          <w:color w:val="auto"/>
        </w:rPr>
        <w:t>Account Number:</w:t>
      </w:r>
      <w:r>
        <w:rPr>
          <w:sz w:val="20"/>
          <w:szCs w:val="20"/>
          <w:color w:val="auto"/>
        </w:rPr>
        <w:tab/>
      </w:r>
      <w:r>
        <w:rPr>
          <w:rFonts w:ascii="Times New Roman" w:cs="Times New Roman" w:eastAsia="Times New Roman" w:hAnsi="Times New Roman"/>
          <w:sz w:val="20"/>
          <w:szCs w:val="20"/>
          <w:color w:val="auto"/>
        </w:rPr>
        <w:t>XXXXXXX797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Schedule D-1</w:t>
      </w:r>
    </w:p>
    <w:p>
      <w:pPr>
        <w:sectPr>
          <w:pgSz w:w="11900" w:h="16838" w:orient="portrait"/>
          <w:cols w:equalWidth="0" w:num="1">
            <w:col w:w="10139"/>
          </w:cols>
          <w:pgMar w:left="320" w:top="1335" w:right="1440" w:bottom="1440" w:gutter="0" w:footer="0" w:header="0"/>
        </w:sectPr>
      </w:pPr>
    </w:p>
    <w:bookmarkStart w:id="209" w:name="page210"/>
    <w:bookmarkEnd w:id="209"/>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3.1</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The obligation of each Lender to make its initial extension of credit provided for in this Agreement is subject to the fulfillment, to the satisfaction of each Lender (the making of such initial extension of credit by any Lender being conclusively deemed to be its satisfaction or waiver of the following), of each of the following conditions precedent:</w:t>
      </w:r>
    </w:p>
    <w:p>
      <w:pPr>
        <w:spacing w:after="0" w:line="146" w:lineRule="exact"/>
        <w:rPr>
          <w:sz w:val="20"/>
          <w:szCs w:val="20"/>
          <w:color w:val="auto"/>
        </w:rPr>
      </w:pPr>
    </w:p>
    <w:p>
      <w:pPr>
        <w:ind w:left="1860" w:hanging="619"/>
        <w:spacing w:after="0"/>
        <w:tabs>
          <w:tab w:leader="none" w:pos="186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Date shall occur on or before April 28, 2022;</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a letter duly executed by each Loan Party authorizing Agent to file appropriate financing statements in such office or offices as may be necessary or, in the opinion of Agent, desirable to perfect the security interests to be created by the Loan Documents;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evidence that appropriate financing statements have been duly filed in such office or offices as may be necessary or, in the opinion of Agent, desirable to perfect the Agent's Liens in and to the Collateral, and Agent shall have received searches reflecting the filing of all such financing statements;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each of the following documents, in form and substance satisfactory to Agent, duly executed and delivered, and each such document shall be in full force and effect:</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63"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completed Borrowing Base Certificate (which such Borrowing Base Certificate shall be delivered in accordance with the provisions of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of this Agreement;</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Fee Letter,</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Guaranty and Security Agreement,</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completed Perfection Certificate for each of the Loan Parties,</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Reaffirmation Agreement,</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Restructuring Agreement,</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Manager Side Letter, and</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Patent and Trademark Security Agreement;</w:t>
      </w:r>
    </w:p>
    <w:p>
      <w:pPr>
        <w:spacing w:after="0" w:line="171" w:lineRule="exact"/>
        <w:rPr>
          <w:rFonts w:ascii="Times New Roman" w:cs="Times New Roman" w:eastAsia="Times New Roman" w:hAnsi="Times New Roman"/>
          <w:sz w:val="21"/>
          <w:szCs w:val="21"/>
          <w:color w:val="auto"/>
        </w:rPr>
      </w:pPr>
    </w:p>
    <w:p>
      <w:pPr>
        <w:jc w:val="both"/>
        <w:ind w:firstLine="1241"/>
        <w:spacing w:after="0" w:line="226" w:lineRule="auto"/>
        <w:tabs>
          <w:tab w:leader="none" w:pos="1853"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a certificate from the Secretary of each Loan Party (i) attesting to the resolutions of such Loan Party's board of directors authorizing its execution, delivery, and performance of the Loan Documents to which it is a party,</w:t>
      </w:r>
    </w:p>
    <w:p>
      <w:pPr>
        <w:spacing w:after="0" w:line="1" w:lineRule="exact"/>
        <w:rPr>
          <w:rFonts w:ascii="Times New Roman" w:cs="Times New Roman" w:eastAsia="Times New Roman" w:hAnsi="Times New Roman"/>
          <w:sz w:val="20"/>
          <w:szCs w:val="20"/>
          <w:color w:val="auto"/>
        </w:rPr>
      </w:pPr>
    </w:p>
    <w:p>
      <w:pPr>
        <w:ind w:firstLine="3"/>
        <w:spacing w:after="0" w:line="224" w:lineRule="auto"/>
        <w:tabs>
          <w:tab w:leader="none" w:pos="321"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authorizing specific officers of such Loan Party to execute the same, and (iii) attesting to the incumbency and signatures of such specific officers of such Loan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3.1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9" w:lineRule="exact"/>
        <w:rPr>
          <w:sz w:val="20"/>
          <w:szCs w:val="20"/>
          <w:color w:val="auto"/>
        </w:rPr>
      </w:pPr>
    </w:p>
    <w:p>
      <w:pPr>
        <w:jc w:val="both"/>
        <w:ind w:firstLine="1241"/>
        <w:spacing w:after="0" w:line="220" w:lineRule="auto"/>
        <w:tabs>
          <w:tab w:leader="none" w:pos="1856"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copies of each Loan Party's Governing Documents, as amended, modified, or supplemented to the Closing Date, which Governing Documents shall be (i) certified by the Secretary of such Loan Party, and (ii) with respect to Governing Documents that are charter documents, certified as of a recent date (not more than 30 days prior to the Closing Date) by the appropriate governmental official;</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a certificate of status with respect to each Loan Party specified by Agent, dated within 10 days of the Closing Date (or such later date as Agent may agree in its sole discretion), such certificate to be issued by the appropriate officer of the jurisdiction of organization of such Loan Party, which certificate shall indicate that such Loan Party is in good standing in such jurisdiction;</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ind w:left="1840" w:hanging="599"/>
        <w:spacing w:after="0"/>
        <w:tabs>
          <w:tab w:leader="none" w:pos="18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an opinion of the Loan Parties' counsel in form and substance satisfactory to Agent;</w:t>
      </w:r>
    </w:p>
    <w:p>
      <w:pPr>
        <w:spacing w:after="0" w:line="171"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have the Required Liquidity after giving effect to the initial extensions of credit under this Agreement and the payment of all fees and expenses required to be paid by Borrowers on the Closing Date under this Agreement or the other Loan Documents;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completed (i) Patriot Act searches, OFAC/PEP searches and customary individual background checks for each Loan Party, and (ii) OFAC/PEP searches and customary individual background searches for each Loan Party's senior management and key principals, the results of which shall be satisfactory to Agent;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45"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a set of Projections of Borrowers for the 3 year period following the Closing Date (on a year by year basis, and for the 1 year period following the Closing Date, on a month by month basis), in form and substance (including as to scope and underlying assumptions) satisfactory to Agent;</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have reimbursed Agent for all Lender Group Expenses incurred in connection with the transactions evidenced by this Agreement and the other Loan Documents;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ten Business Days prior to the Closing Date, any Loan Party that qualifies as a "legal entity customer" under the Beneficial Ownership Regulation shall deliver a Beneficial Ownership Certification in relation to such Loan Party, which such Beneficial Ownership Certificate shall be complete and accurate in all respects.</w:t>
      </w:r>
    </w:p>
    <w:p>
      <w:pPr>
        <w:spacing w:after="0" w:line="13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shall have received credit committee approval for the transactions contemplated by the Agreement;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w:t>
      </w:r>
    </w:p>
    <w:p>
      <w:pPr>
        <w:spacing w:after="0" w:line="149"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documents and legal matters in connection with the transactions contemplated by this Agreement shall have been delivered, executed, or recorded and shall be in form and substance satisfactory to Agent.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3.1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3.6</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Subsequent</w:t>
      </w:r>
    </w:p>
    <w:p>
      <w:pPr>
        <w:spacing w:after="0" w:line="240" w:lineRule="exact"/>
        <w:rPr>
          <w:sz w:val="20"/>
          <w:szCs w:val="20"/>
          <w:color w:val="auto"/>
        </w:rPr>
      </w:pPr>
    </w:p>
    <w:p>
      <w:pPr>
        <w:jc w:val="both"/>
        <w:ind w:firstLine="3"/>
        <w:spacing w:after="0" w:line="262" w:lineRule="auto"/>
        <w:tabs>
          <w:tab w:leader="none" w:pos="42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sixtieth (60th) day after the Closing Date, Borrowers shall deliver to Agent duly executed Control Agreements with respect to each Deposit Account of the Loan Parties (other than Excluded Accounts or Deposit Accounts already subject to a Control Agreement).</w:t>
      </w:r>
    </w:p>
    <w:p>
      <w:pPr>
        <w:spacing w:after="0" w:line="188" w:lineRule="exact"/>
        <w:rPr>
          <w:rFonts w:ascii="Times New Roman" w:cs="Times New Roman" w:eastAsia="Times New Roman" w:hAnsi="Times New Roman"/>
          <w:sz w:val="21"/>
          <w:szCs w:val="21"/>
          <w:color w:val="auto"/>
        </w:rPr>
      </w:pPr>
    </w:p>
    <w:p>
      <w:pPr>
        <w:ind w:left="360" w:hanging="357"/>
        <w:spacing w:after="0"/>
        <w:tabs>
          <w:tab w:leader="none" w:pos="36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forty-fifth (45th) day after the Closing Date, Borrowers shall deliver to</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Agent certificates of insurance, together with the endorsements thereto, as are required by Section 5.6 of the Credit Agreement, the form and substance of which shall be satisfactory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3.6</w:t>
      </w:r>
    </w:p>
    <w:p>
      <w:pPr>
        <w:sectPr>
          <w:pgSz w:w="11900" w:h="16838" w:orient="portrait"/>
          <w:cols w:equalWidth="0" w:num="1">
            <w:col w:w="11240"/>
          </w:cols>
          <w:pgMar w:left="320" w:top="1440"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5.1</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21"/>
          <w:szCs w:val="21"/>
          <w:color w:val="auto"/>
        </w:rPr>
        <w:t>Deliver to Agent (and if so requested by Agent, with copies for each Lender) each of the financial statements, reports, or other items set forth below at the following times (unless such time is extended, in writing, by (i) Agent, which Agent may do without obtaining the consent of the other members of the Lender Group for a period of up to twenty (20) days, or (ii) by Agent and Required Lenders) in form satisfactory to Agent:</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7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as soon as available, but in any</w:t>
            </w:r>
          </w:p>
        </w:tc>
        <w:tc>
          <w:tcPr>
            <w:tcW w:w="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w:t>
            </w:r>
          </w:p>
        </w:tc>
        <w:tc>
          <w:tcPr>
            <w:tcW w:w="8060" w:type="dxa"/>
            <w:vAlign w:val="bottom"/>
            <w:tcBorders>
              <w:top w:val="single" w:sz="8" w:color="auto"/>
              <w:right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21"/>
                <w:szCs w:val="21"/>
                <w:color w:val="auto"/>
              </w:rPr>
              <w:t>a Compliance Certificate along with the underlying calculations, including the calculations to</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event within 30 days after the</w:t>
            </w:r>
          </w:p>
        </w:tc>
        <w:tc>
          <w:tcPr>
            <w:tcW w:w="8520" w:type="dxa"/>
            <w:vAlign w:val="bottom"/>
            <w:tcBorders>
              <w:right w:val="single" w:sz="8" w:color="auto"/>
            </w:tcBorders>
            <w:gridSpan w:val="6"/>
          </w:tcPr>
          <w:p>
            <w:pPr>
              <w:ind w:left="80"/>
              <w:spacing w:after="0" w:line="207" w:lineRule="exact"/>
              <w:rPr>
                <w:sz w:val="20"/>
                <w:szCs w:val="20"/>
                <w:color w:val="auto"/>
              </w:rPr>
            </w:pPr>
            <w:r>
              <w:rPr>
                <w:rFonts w:ascii="Times New Roman" w:cs="Times New Roman" w:eastAsia="Times New Roman" w:hAnsi="Times New Roman"/>
                <w:sz w:val="21"/>
                <w:szCs w:val="21"/>
                <w:color w:val="auto"/>
                <w:w w:val="99"/>
              </w:rPr>
              <w:t>establish compliance with the financial covenants set forth in Section 7 of the Agreement and certain</w:t>
            </w:r>
          </w:p>
        </w:tc>
        <w:tc>
          <w:tcPr>
            <w:tcW w:w="0" w:type="dxa"/>
            <w:vAlign w:val="bottom"/>
          </w:tcPr>
          <w:p>
            <w:pPr>
              <w:spacing w:after="0"/>
              <w:rPr>
                <w:sz w:val="1"/>
                <w:szCs w:val="1"/>
                <w:color w:val="auto"/>
              </w:rPr>
            </w:pPr>
          </w:p>
        </w:tc>
      </w:tr>
      <w:tr>
        <w:trPr>
          <w:trHeight w:val="26"/>
        </w:trPr>
        <w:tc>
          <w:tcPr>
            <w:tcW w:w="2720" w:type="dxa"/>
            <w:vAlign w:val="bottom"/>
            <w:tcBorders>
              <w:left w:val="single" w:sz="8" w:color="auto"/>
              <w:right w:val="single" w:sz="8" w:color="auto"/>
            </w:tcBorders>
            <w:vMerge w:val="restart"/>
          </w:tcPr>
          <w:p>
            <w:pPr>
              <w:ind w:left="40"/>
              <w:spacing w:after="0" w:line="207" w:lineRule="exact"/>
              <w:rPr>
                <w:sz w:val="20"/>
                <w:szCs w:val="20"/>
                <w:color w:val="auto"/>
              </w:rPr>
            </w:pPr>
            <w:r>
              <w:rPr>
                <w:rFonts w:ascii="Times New Roman" w:cs="Times New Roman" w:eastAsia="Times New Roman" w:hAnsi="Times New Roman"/>
                <w:sz w:val="21"/>
                <w:szCs w:val="21"/>
                <w:color w:val="auto"/>
              </w:rPr>
              <w:t>end of each month,</w:t>
            </w:r>
          </w:p>
        </w:tc>
        <w:tc>
          <w:tcPr>
            <w:tcW w:w="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20" w:type="dxa"/>
            <w:vAlign w:val="bottom"/>
            <w:tcBorders>
              <w:left w:val="single" w:sz="8" w:color="auto"/>
              <w:right w:val="single" w:sz="8" w:color="auto"/>
            </w:tcBorders>
            <w:vMerge w:val="continue"/>
          </w:tcPr>
          <w:p>
            <w:pPr>
              <w:spacing w:after="0"/>
              <w:rPr>
                <w:sz w:val="15"/>
                <w:szCs w:val="15"/>
                <w:color w:val="auto"/>
              </w:rPr>
            </w:pPr>
          </w:p>
        </w:tc>
        <w:tc>
          <w:tcPr>
            <w:tcW w:w="8520" w:type="dxa"/>
            <w:vAlign w:val="bottom"/>
            <w:tcBorders>
              <w:right w:val="single" w:sz="8" w:color="auto"/>
            </w:tcBorders>
            <w:gridSpan w:val="6"/>
          </w:tcPr>
          <w:p>
            <w:pPr>
              <w:ind w:left="80"/>
              <w:spacing w:after="0" w:line="181" w:lineRule="exact"/>
              <w:rPr>
                <w:sz w:val="20"/>
                <w:szCs w:val="20"/>
                <w:color w:val="auto"/>
              </w:rPr>
            </w:pPr>
            <w:r>
              <w:rPr>
                <w:rFonts w:ascii="Times New Roman" w:cs="Times New Roman" w:eastAsia="Times New Roman" w:hAnsi="Times New Roman"/>
                <w:sz w:val="20"/>
                <w:szCs w:val="20"/>
                <w:color w:val="auto"/>
              </w:rPr>
              <w:t>other covenants under this Agreement, as well as calculations of Liquidity, Excess Availability and,</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21"/>
                <w:szCs w:val="21"/>
                <w:color w:val="auto"/>
              </w:rPr>
              <w:t>if required, Fixed Charge Coverage Ratio.</w:t>
            </w:r>
          </w:p>
        </w:tc>
        <w:tc>
          <w:tcPr>
            <w:tcW w:w="0" w:type="dxa"/>
            <w:vAlign w:val="bottom"/>
          </w:tcPr>
          <w:p>
            <w:pPr>
              <w:spacing w:after="0"/>
              <w:rPr>
                <w:sz w:val="1"/>
                <w:szCs w:val="1"/>
                <w:color w:val="auto"/>
              </w:rPr>
            </w:pPr>
          </w:p>
        </w:tc>
      </w:tr>
      <w:tr>
        <w:trPr>
          <w:trHeight w:val="248"/>
        </w:trPr>
        <w:tc>
          <w:tcPr>
            <w:tcW w:w="2720" w:type="dxa"/>
            <w:vAlign w:val="bottom"/>
            <w:tcBorders>
              <w:left w:val="single" w:sz="8" w:color="auto"/>
              <w:right w:val="single" w:sz="8" w:color="auto"/>
            </w:tcBorders>
          </w:tcPr>
          <w:p>
            <w:pPr>
              <w:spacing w:after="0"/>
              <w:rPr>
                <w:sz w:val="21"/>
                <w:szCs w:val="21"/>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w:t>
            </w:r>
          </w:p>
        </w:tc>
        <w:tc>
          <w:tcPr>
            <w:tcW w:w="8060" w:type="dxa"/>
            <w:vAlign w:val="bottom"/>
            <w:tcBorders>
              <w:right w:val="single" w:sz="8" w:color="auto"/>
            </w:tcBorders>
            <w:gridSpan w:val="5"/>
          </w:tcPr>
          <w:p>
            <w:pPr>
              <w:jc w:val="right"/>
              <w:ind w:right="2"/>
              <w:spacing w:after="0"/>
              <w:rPr>
                <w:sz w:val="20"/>
                <w:szCs w:val="20"/>
                <w:color w:val="auto"/>
              </w:rPr>
            </w:pPr>
            <w:r>
              <w:rPr>
                <w:rFonts w:ascii="Times New Roman" w:cs="Times New Roman" w:eastAsia="Times New Roman" w:hAnsi="Times New Roman"/>
                <w:sz w:val="21"/>
                <w:szCs w:val="21"/>
                <w:color w:val="auto"/>
              </w:rPr>
              <w:t>an unaudited consolidated balance sheet, income statement, statement of cash flow, and</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spacing w:after="0"/>
              <w:rPr>
                <w:sz w:val="17"/>
                <w:szCs w:val="17"/>
                <w:color w:val="auto"/>
              </w:rPr>
            </w:pP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statement of shareholder's equity with respect to the Borrowers and their respective Subsidiaries</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spacing w:after="0"/>
              <w:rPr>
                <w:sz w:val="17"/>
                <w:szCs w:val="17"/>
                <w:color w:val="auto"/>
              </w:rPr>
            </w:pP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during such period and compared to the prior period and plan, prepared in accordance with GAAP,</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spacing w:after="0"/>
              <w:rPr>
                <w:sz w:val="17"/>
                <w:szCs w:val="17"/>
                <w:color w:val="auto"/>
              </w:rPr>
            </w:pP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subject to year-end audit adjustments and the absence of footnotes, together with a corresponding</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discussion and analysis of results from management; and</w:t>
            </w:r>
          </w:p>
        </w:tc>
        <w:tc>
          <w:tcPr>
            <w:tcW w:w="0" w:type="dxa"/>
            <w:vAlign w:val="bottom"/>
          </w:tcPr>
          <w:p>
            <w:pPr>
              <w:spacing w:after="0"/>
              <w:rPr>
                <w:sz w:val="1"/>
                <w:szCs w:val="1"/>
                <w:color w:val="auto"/>
              </w:rPr>
            </w:pPr>
          </w:p>
        </w:tc>
      </w:tr>
      <w:tr>
        <w:trPr>
          <w:trHeight w:val="106"/>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auto"/>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color w:val="auto"/>
              </w:rPr>
              <w:t>as soon as available, but in any</w:t>
            </w:r>
          </w:p>
        </w:tc>
        <w:tc>
          <w:tcPr>
            <w:tcW w:w="8520" w:type="dxa"/>
            <w:vAlign w:val="bottom"/>
            <w:tcBorders>
              <w:right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21"/>
                <w:szCs w:val="21"/>
                <w:color w:val="auto"/>
              </w:rPr>
              <w:t>(a)  consolidated financial statements of Borrowers and their respective Subsidiaries for such fiscal</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6" w:lineRule="exact"/>
              <w:rPr>
                <w:sz w:val="20"/>
                <w:szCs w:val="20"/>
                <w:color w:val="auto"/>
              </w:rPr>
            </w:pPr>
            <w:r>
              <w:rPr>
                <w:rFonts w:ascii="Times New Roman" w:cs="Times New Roman" w:eastAsia="Times New Roman" w:hAnsi="Times New Roman"/>
                <w:sz w:val="21"/>
                <w:szCs w:val="21"/>
                <w:color w:val="auto"/>
              </w:rPr>
              <w:t>event  within  one  hundred</w:t>
            </w:r>
          </w:p>
        </w:tc>
        <w:tc>
          <w:tcPr>
            <w:tcW w:w="8520" w:type="dxa"/>
            <w:vAlign w:val="bottom"/>
            <w:tcBorders>
              <w:right w:val="single" w:sz="8" w:color="auto"/>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1"/>
                <w:szCs w:val="21"/>
                <w:color w:val="auto"/>
              </w:rPr>
              <w:t>twenty (120) days after the end</w:t>
            </w:r>
          </w:p>
        </w:tc>
        <w:tc>
          <w:tcPr>
            <w:tcW w:w="8520" w:type="dxa"/>
            <w:vAlign w:val="bottom"/>
            <w:tcBorders>
              <w:right w:val="single" w:sz="8" w:color="auto"/>
            </w:tcBorders>
            <w:gridSpan w:val="6"/>
          </w:tcPr>
          <w:p>
            <w:pPr>
              <w:ind w:left="60"/>
              <w:spacing w:after="0" w:line="104" w:lineRule="exact"/>
              <w:rPr>
                <w:sz w:val="20"/>
                <w:szCs w:val="20"/>
                <w:color w:val="auto"/>
              </w:rPr>
            </w:pPr>
            <w:r>
              <w:rPr>
                <w:rFonts w:ascii="Times New Roman" w:cs="Times New Roman" w:eastAsia="Times New Roman" w:hAnsi="Times New Roman"/>
                <w:sz w:val="12"/>
                <w:szCs w:val="12"/>
                <w:color w:val="auto"/>
              </w:rPr>
              <w:t>year, audited by Ernst &amp; Young or another independent certified public accountant reasonably</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vMerge w:val="continue"/>
          </w:tcPr>
          <w:p>
            <w:pPr>
              <w:spacing w:after="0"/>
              <w:rPr>
                <w:sz w:val="17"/>
                <w:szCs w:val="17"/>
                <w:color w:val="auto"/>
              </w:rPr>
            </w:pPr>
          </w:p>
        </w:tc>
        <w:tc>
          <w:tcPr>
            <w:tcW w:w="8520" w:type="dxa"/>
            <w:vAlign w:val="bottom"/>
            <w:tcBorders>
              <w:right w:val="single" w:sz="8" w:color="auto"/>
            </w:tcBorders>
            <w:gridSpan w:val="6"/>
          </w:tcPr>
          <w:p>
            <w:pPr>
              <w:ind w:left="60"/>
              <w:spacing w:after="0" w:line="206" w:lineRule="exact"/>
              <w:rPr>
                <w:sz w:val="20"/>
                <w:szCs w:val="20"/>
                <w:color w:val="auto"/>
              </w:rPr>
            </w:pPr>
            <w:r>
              <w:rPr>
                <w:rFonts w:ascii="Times New Roman" w:cs="Times New Roman" w:eastAsia="Times New Roman" w:hAnsi="Times New Roman"/>
                <w:sz w:val="21"/>
                <w:szCs w:val="21"/>
                <w:color w:val="auto"/>
              </w:rPr>
              <w:t>acceptable to Agent, prepared in accordance with GAAP, and certified, without any qualifications</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of each fiscal year, which, with</w:t>
            </w: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(including any (A) "going concern" or like qualification or exception, (B) qualification or exception</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respect to term (a), shall be</w:t>
            </w: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as to the scope of such audit, or (C) qualification which relates to the treatment or classification of</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deemed  to  be  delivered  to</w:t>
            </w: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w w:val="99"/>
              </w:rPr>
              <w:t>any item and which, as a condition to the removal of such qualification, would require an adjustment</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Agent upon filing of the same</w:t>
            </w: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to such item), by such accountants to have been prepared in accordance with GAAP (such audited</w:t>
            </w:r>
          </w:p>
        </w:tc>
        <w:tc>
          <w:tcPr>
            <w:tcW w:w="0" w:type="dxa"/>
            <w:vAlign w:val="bottom"/>
          </w:tcPr>
          <w:p>
            <w:pPr>
              <w:spacing w:after="0"/>
              <w:rPr>
                <w:sz w:val="1"/>
                <w:szCs w:val="1"/>
                <w:color w:val="auto"/>
              </w:rPr>
            </w:pPr>
          </w:p>
        </w:tc>
      </w:tr>
      <w:tr>
        <w:trPr>
          <w:trHeight w:val="207"/>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with the SEC on EDGAR</w:t>
            </w:r>
          </w:p>
        </w:tc>
        <w:tc>
          <w:tcPr>
            <w:tcW w:w="8520" w:type="dxa"/>
            <w:vAlign w:val="bottom"/>
            <w:tcBorders>
              <w:right w:val="single" w:sz="8" w:color="auto"/>
            </w:tcBorders>
            <w:gridSpan w:val="6"/>
          </w:tcPr>
          <w:p>
            <w:pPr>
              <w:ind w:left="60"/>
              <w:spacing w:after="0" w:line="207" w:lineRule="exact"/>
              <w:rPr>
                <w:sz w:val="20"/>
                <w:szCs w:val="20"/>
                <w:color w:val="auto"/>
              </w:rPr>
            </w:pPr>
            <w:r>
              <w:rPr>
                <w:rFonts w:ascii="Times New Roman" w:cs="Times New Roman" w:eastAsia="Times New Roman" w:hAnsi="Times New Roman"/>
                <w:sz w:val="21"/>
                <w:szCs w:val="21"/>
                <w:color w:val="auto"/>
              </w:rPr>
              <w:t>financial statements to include a balance sheet, income statement, statement of cash flow, and</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statement of shareholder's equity and, if prepared, such accountants' letter to management); and</w:t>
            </w:r>
          </w:p>
        </w:tc>
        <w:tc>
          <w:tcPr>
            <w:tcW w:w="0" w:type="dxa"/>
            <w:vAlign w:val="bottom"/>
          </w:tcPr>
          <w:p>
            <w:pPr>
              <w:spacing w:after="0"/>
              <w:rPr>
                <w:sz w:val="1"/>
                <w:szCs w:val="1"/>
                <w:color w:val="auto"/>
              </w:rPr>
            </w:pPr>
          </w:p>
        </w:tc>
      </w:tr>
      <w:tr>
        <w:trPr>
          <w:trHeight w:val="248"/>
        </w:trPr>
        <w:tc>
          <w:tcPr>
            <w:tcW w:w="2720" w:type="dxa"/>
            <w:vAlign w:val="bottom"/>
            <w:tcBorders>
              <w:left w:val="single" w:sz="8" w:color="auto"/>
              <w:right w:val="single" w:sz="8" w:color="auto"/>
            </w:tcBorders>
          </w:tcPr>
          <w:p>
            <w:pPr>
              <w:spacing w:after="0"/>
              <w:rPr>
                <w:sz w:val="21"/>
                <w:szCs w:val="21"/>
                <w:color w:val="auto"/>
              </w:rPr>
            </w:pPr>
          </w:p>
        </w:tc>
        <w:tc>
          <w:tcPr>
            <w:tcW w:w="85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(b)   a Compliance Certificate along with the underlying calculations, including the calculations to</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right w:val="single" w:sz="8" w:color="auto"/>
            </w:tcBorders>
          </w:tcPr>
          <w:p>
            <w:pPr>
              <w:spacing w:after="0"/>
              <w:rPr>
                <w:sz w:val="19"/>
                <w:szCs w:val="19"/>
                <w:color w:val="auto"/>
              </w:rPr>
            </w:pPr>
          </w:p>
        </w:tc>
        <w:tc>
          <w:tcPr>
            <w:tcW w:w="8520" w:type="dxa"/>
            <w:vAlign w:val="bottom"/>
            <w:tcBorders>
              <w:right w:val="single" w:sz="8" w:color="auto"/>
            </w:tcBorders>
            <w:gridSpan w:val="6"/>
          </w:tcPr>
          <w:p>
            <w:pPr>
              <w:ind w:left="60"/>
              <w:spacing w:after="0" w:line="219" w:lineRule="exact"/>
              <w:rPr>
                <w:sz w:val="20"/>
                <w:szCs w:val="20"/>
                <w:color w:val="auto"/>
              </w:rPr>
            </w:pPr>
            <w:r>
              <w:rPr>
                <w:rFonts w:ascii="Times New Roman" w:cs="Times New Roman" w:eastAsia="Times New Roman" w:hAnsi="Times New Roman"/>
                <w:sz w:val="21"/>
                <w:szCs w:val="21"/>
                <w:color w:val="auto"/>
              </w:rPr>
              <w:t>establish compliance with the financial covenants set forth in Section 7 and certain other covenants</w:t>
            </w:r>
          </w:p>
        </w:tc>
        <w:tc>
          <w:tcPr>
            <w:tcW w:w="0" w:type="dxa"/>
            <w:vAlign w:val="bottom"/>
          </w:tcPr>
          <w:p>
            <w:pPr>
              <w:spacing w:after="0"/>
              <w:rPr>
                <w:sz w:val="1"/>
                <w:szCs w:val="1"/>
                <w:color w:val="auto"/>
              </w:rPr>
            </w:pPr>
          </w:p>
        </w:tc>
      </w:tr>
      <w:tr>
        <w:trPr>
          <w:trHeight w:val="174"/>
        </w:trPr>
        <w:tc>
          <w:tcPr>
            <w:tcW w:w="2720" w:type="dxa"/>
            <w:vAlign w:val="bottom"/>
            <w:tcBorders>
              <w:left w:val="single" w:sz="8" w:color="auto"/>
              <w:right w:val="single" w:sz="8" w:color="auto"/>
            </w:tcBorders>
          </w:tcPr>
          <w:p>
            <w:pPr>
              <w:spacing w:after="0"/>
              <w:rPr>
                <w:sz w:val="15"/>
                <w:szCs w:val="15"/>
                <w:color w:val="auto"/>
              </w:rPr>
            </w:pPr>
          </w:p>
        </w:tc>
        <w:tc>
          <w:tcPr>
            <w:tcW w:w="5260" w:type="dxa"/>
            <w:vAlign w:val="bottom"/>
            <w:gridSpan w:val="3"/>
          </w:tcPr>
          <w:p>
            <w:pPr>
              <w:ind w:left="60"/>
              <w:spacing w:after="0" w:line="174" w:lineRule="exact"/>
              <w:rPr>
                <w:sz w:val="20"/>
                <w:szCs w:val="20"/>
                <w:color w:val="auto"/>
              </w:rPr>
            </w:pPr>
            <w:r>
              <w:rPr>
                <w:rFonts w:ascii="Times New Roman" w:cs="Times New Roman" w:eastAsia="Times New Roman" w:hAnsi="Times New Roman"/>
                <w:sz w:val="20"/>
                <w:szCs w:val="20"/>
                <w:color w:val="auto"/>
              </w:rPr>
              <w:t>under this Agreement, as well as calculations of Liquidity,</w:t>
            </w:r>
          </w:p>
        </w:tc>
        <w:tc>
          <w:tcPr>
            <w:tcW w:w="7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20"/>
                <w:szCs w:val="20"/>
                <w:color w:val="auto"/>
              </w:rPr>
              <w:t>Excess</w:t>
            </w:r>
          </w:p>
        </w:tc>
        <w:tc>
          <w:tcPr>
            <w:tcW w:w="2480" w:type="dxa"/>
            <w:vAlign w:val="bottom"/>
            <w:tcBorders>
              <w:right w:val="single" w:sz="8" w:color="auto"/>
            </w:tcBorders>
          </w:tcPr>
          <w:p>
            <w:pPr>
              <w:jc w:val="right"/>
              <w:ind w:right="2"/>
              <w:spacing w:after="0" w:line="174" w:lineRule="exact"/>
              <w:rPr>
                <w:sz w:val="20"/>
                <w:szCs w:val="20"/>
                <w:color w:val="auto"/>
              </w:rPr>
            </w:pPr>
            <w:r>
              <w:rPr>
                <w:rFonts w:ascii="Times New Roman" w:cs="Times New Roman" w:eastAsia="Times New Roman" w:hAnsi="Times New Roman"/>
                <w:sz w:val="20"/>
                <w:szCs w:val="20"/>
                <w:color w:val="auto"/>
                <w:w w:val="97"/>
              </w:rPr>
              <w:t>Availability and Fixed Charge</w:t>
            </w:r>
          </w:p>
        </w:tc>
        <w:tc>
          <w:tcPr>
            <w:tcW w:w="0" w:type="dxa"/>
            <w:vAlign w:val="bottom"/>
          </w:tcPr>
          <w:p>
            <w:pPr>
              <w:spacing w:after="0"/>
              <w:rPr>
                <w:sz w:val="1"/>
                <w:szCs w:val="1"/>
                <w:color w:val="auto"/>
              </w:rPr>
            </w:pPr>
          </w:p>
        </w:tc>
      </w:tr>
      <w:tr>
        <w:trPr>
          <w:trHeight w:val="268"/>
        </w:trPr>
        <w:tc>
          <w:tcPr>
            <w:tcW w:w="2720" w:type="dxa"/>
            <w:vAlign w:val="bottom"/>
            <w:tcBorders>
              <w:left w:val="single" w:sz="8" w:color="auto"/>
              <w:right w:val="single" w:sz="8" w:color="auto"/>
            </w:tcBorders>
          </w:tcPr>
          <w:p>
            <w:pPr>
              <w:spacing w:after="0"/>
              <w:rPr>
                <w:sz w:val="23"/>
                <w:szCs w:val="23"/>
                <w:color w:val="auto"/>
              </w:rPr>
            </w:pPr>
          </w:p>
        </w:tc>
        <w:tc>
          <w:tcPr>
            <w:tcW w:w="852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Coverage Ratio.</w:t>
            </w:r>
          </w:p>
        </w:tc>
        <w:tc>
          <w:tcPr>
            <w:tcW w:w="0" w:type="dxa"/>
            <w:vAlign w:val="bottom"/>
          </w:tcPr>
          <w:p>
            <w:pPr>
              <w:spacing w:after="0"/>
              <w:rPr>
                <w:sz w:val="1"/>
                <w:szCs w:val="1"/>
                <w:color w:val="auto"/>
              </w:rPr>
            </w:pPr>
          </w:p>
        </w:tc>
      </w:tr>
      <w:tr>
        <w:trPr>
          <w:trHeight w:val="106"/>
        </w:trPr>
        <w:tc>
          <w:tcPr>
            <w:tcW w:w="2720" w:type="dxa"/>
            <w:vAlign w:val="bottom"/>
            <w:tcBorders>
              <w:left w:val="single" w:sz="8" w:color="auto"/>
              <w:bottom w:val="single" w:sz="8" w:color="auto"/>
              <w:right w:val="single" w:sz="8" w:color="auto"/>
            </w:tcBorders>
          </w:tcPr>
          <w:p>
            <w:pPr>
              <w:spacing w:after="0"/>
              <w:rPr>
                <w:sz w:val="9"/>
                <w:szCs w:val="9"/>
                <w:color w:val="auto"/>
              </w:rPr>
            </w:pPr>
          </w:p>
        </w:tc>
        <w:tc>
          <w:tcPr>
            <w:tcW w:w="51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720" w:type="dxa"/>
            <w:vAlign w:val="bottom"/>
            <w:tcBorders>
              <w:left w:val="single" w:sz="8" w:color="auto"/>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color w:val="auto"/>
              </w:rPr>
              <w:t>as soon as available, but in any</w:t>
            </w:r>
          </w:p>
        </w:tc>
        <w:tc>
          <w:tcPr>
            <w:tcW w:w="8520" w:type="dxa"/>
            <w:vAlign w:val="bottom"/>
            <w:tcBorders>
              <w:right w:val="single" w:sz="8" w:color="auto"/>
            </w:tcBorders>
            <w:gridSpan w:val="6"/>
          </w:tcPr>
          <w:p>
            <w:pPr>
              <w:spacing w:after="0" w:line="187" w:lineRule="exact"/>
              <w:rPr>
                <w:sz w:val="20"/>
                <w:szCs w:val="20"/>
                <w:color w:val="auto"/>
              </w:rPr>
            </w:pPr>
            <w:r>
              <w:rPr>
                <w:rFonts w:ascii="Times New Roman" w:cs="Times New Roman" w:eastAsia="Times New Roman" w:hAnsi="Times New Roman"/>
                <w:sz w:val="21"/>
                <w:szCs w:val="21"/>
                <w:color w:val="auto"/>
              </w:rPr>
              <w:t>(a)   copies of Borrowers' Projections, in form and substance (including as to scope and underlying</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event on or before the last day</w:t>
            </w:r>
          </w:p>
        </w:tc>
        <w:tc>
          <w:tcPr>
            <w:tcW w:w="8520" w:type="dxa"/>
            <w:vAlign w:val="bottom"/>
            <w:tcBorders>
              <w:right w:val="single" w:sz="8" w:color="auto"/>
            </w:tcBorders>
            <w:gridSpan w:val="6"/>
          </w:tcPr>
          <w:p>
            <w:pPr>
              <w:spacing w:after="0" w:line="207" w:lineRule="exact"/>
              <w:rPr>
                <w:sz w:val="20"/>
                <w:szCs w:val="20"/>
                <w:color w:val="auto"/>
              </w:rPr>
            </w:pPr>
            <w:r>
              <w:rPr>
                <w:rFonts w:ascii="Times New Roman" w:cs="Times New Roman" w:eastAsia="Times New Roman" w:hAnsi="Times New Roman"/>
                <w:sz w:val="21"/>
                <w:szCs w:val="21"/>
                <w:color w:val="auto"/>
              </w:rPr>
              <w:t>assumptions) satisfactory to Agent, in its Permitted Discretion, for the forthcoming fiscal year, on a</w:t>
            </w:r>
          </w:p>
        </w:tc>
        <w:tc>
          <w:tcPr>
            <w:tcW w:w="0" w:type="dxa"/>
            <w:vAlign w:val="bottom"/>
          </w:tcPr>
          <w:p>
            <w:pPr>
              <w:spacing w:after="0"/>
              <w:rPr>
                <w:sz w:val="1"/>
                <w:szCs w:val="1"/>
                <w:color w:val="auto"/>
              </w:rPr>
            </w:pPr>
          </w:p>
        </w:tc>
      </w:tr>
      <w:tr>
        <w:trPr>
          <w:trHeight w:val="269"/>
        </w:trPr>
        <w:tc>
          <w:tcPr>
            <w:tcW w:w="2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of each fiscal year,</w:t>
            </w:r>
          </w:p>
        </w:tc>
        <w:tc>
          <w:tcPr>
            <w:tcW w:w="852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monthly basis.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5.1</w:t>
      </w:r>
    </w:p>
    <w:p>
      <w:pPr>
        <w:sectPr>
          <w:pgSz w:w="11900" w:h="16838" w:orient="portrait"/>
          <w:cols w:equalWidth="0" w:num="1">
            <w:col w:w="11240"/>
          </w:cols>
          <w:pgMar w:left="320" w:top="1335" w:right="339"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207"/>
        </w:trPr>
        <w:tc>
          <w:tcPr>
            <w:tcW w:w="2720" w:type="dxa"/>
            <w:vAlign w:val="bottom"/>
            <w:tcBorders>
              <w:top w:val="single" w:sz="8" w:color="auto"/>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if  and  when  filed  by  any</w:t>
            </w:r>
          </w:p>
        </w:tc>
        <w:tc>
          <w:tcPr>
            <w:tcW w:w="4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color w:val="auto"/>
              </w:rPr>
              <w:t>(a)</w:t>
            </w:r>
          </w:p>
        </w:tc>
        <w:tc>
          <w:tcPr>
            <w:tcW w:w="812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color w:val="auto"/>
              </w:rPr>
              <w:t>Form 10-Q quarterly reports, Form 10-K annual reports, and Form 8-K current reports;</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Borrower, all of which shall be</w:t>
            </w:r>
          </w:p>
        </w:tc>
        <w:tc>
          <w:tcPr>
            <w:tcW w:w="400" w:type="dxa"/>
            <w:vAlign w:val="bottom"/>
            <w:vMerge w:val="continue"/>
          </w:tcPr>
          <w:p>
            <w:pPr>
              <w:spacing w:after="0"/>
              <w:rPr>
                <w:sz w:val="17"/>
                <w:szCs w:val="17"/>
                <w:color w:val="auto"/>
              </w:rPr>
            </w:pPr>
          </w:p>
        </w:tc>
        <w:tc>
          <w:tcPr>
            <w:tcW w:w="81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deemed  to  be  delivered  to</w:t>
            </w:r>
          </w:p>
        </w:tc>
        <w:tc>
          <w:tcPr>
            <w:tcW w:w="400" w:type="dxa"/>
            <w:vAlign w:val="bottom"/>
          </w:tcPr>
          <w:p>
            <w:pPr>
              <w:ind w:left="60"/>
              <w:spacing w:after="0" w:line="207" w:lineRule="exact"/>
              <w:rPr>
                <w:sz w:val="20"/>
                <w:szCs w:val="20"/>
                <w:color w:val="auto"/>
              </w:rPr>
            </w:pPr>
            <w:r>
              <w:rPr>
                <w:rFonts w:ascii="Times New Roman" w:cs="Times New Roman" w:eastAsia="Times New Roman" w:hAnsi="Times New Roman"/>
                <w:sz w:val="21"/>
                <w:szCs w:val="21"/>
                <w:color w:val="auto"/>
              </w:rPr>
              <w:t>(b)</w:t>
            </w:r>
          </w:p>
        </w:tc>
        <w:tc>
          <w:tcPr>
            <w:tcW w:w="8120" w:type="dxa"/>
            <w:vAlign w:val="bottom"/>
            <w:tcBorders>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21"/>
                <w:szCs w:val="21"/>
                <w:color w:val="auto"/>
              </w:rPr>
              <w:t>any other filings made by any Borrower with the SEC; and</w:t>
            </w:r>
          </w:p>
        </w:tc>
        <w:tc>
          <w:tcPr>
            <w:tcW w:w="0" w:type="dxa"/>
            <w:vAlign w:val="bottom"/>
          </w:tcPr>
          <w:p>
            <w:pPr>
              <w:spacing w:after="0"/>
              <w:rPr>
                <w:sz w:val="1"/>
                <w:szCs w:val="1"/>
                <w:color w:val="auto"/>
              </w:rPr>
            </w:pPr>
          </w:p>
        </w:tc>
      </w:tr>
      <w:tr>
        <w:trPr>
          <w:trHeight w:val="309"/>
        </w:trPr>
        <w:tc>
          <w:tcPr>
            <w:tcW w:w="2720" w:type="dxa"/>
            <w:vAlign w:val="bottom"/>
            <w:tcBorders>
              <w:left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Agent upon filing of the same</w:t>
            </w: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w:t>
            </w:r>
          </w:p>
        </w:tc>
        <w:tc>
          <w:tcPr>
            <w:tcW w:w="8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any other information that is provided by any Borrower to its shareholders generally.</w:t>
            </w:r>
          </w:p>
        </w:tc>
        <w:tc>
          <w:tcPr>
            <w:tcW w:w="0" w:type="dxa"/>
            <w:vAlign w:val="bottom"/>
          </w:tcPr>
          <w:p>
            <w:pPr>
              <w:spacing w:after="0"/>
              <w:rPr>
                <w:sz w:val="1"/>
                <w:szCs w:val="1"/>
                <w:color w:val="auto"/>
              </w:rPr>
            </w:pPr>
          </w:p>
        </w:tc>
      </w:tr>
      <w:tr>
        <w:trPr>
          <w:trHeight w:val="168"/>
        </w:trPr>
        <w:tc>
          <w:tcPr>
            <w:tcW w:w="2240" w:type="dxa"/>
            <w:vAlign w:val="bottom"/>
            <w:tcBorders>
              <w:left w:val="single" w:sz="8" w:color="auto"/>
              <w:bottom w:val="single" w:sz="8" w:color="auto"/>
            </w:tcBorders>
            <w:gridSpan w:val="4"/>
          </w:tcPr>
          <w:p>
            <w:pPr>
              <w:ind w:left="40"/>
              <w:spacing w:after="0" w:line="168" w:lineRule="exact"/>
              <w:rPr>
                <w:sz w:val="20"/>
                <w:szCs w:val="20"/>
                <w:color w:val="auto"/>
              </w:rPr>
            </w:pPr>
            <w:r>
              <w:rPr>
                <w:rFonts w:ascii="Times New Roman" w:cs="Times New Roman" w:eastAsia="Times New Roman" w:hAnsi="Times New Roman"/>
                <w:sz w:val="19"/>
                <w:szCs w:val="19"/>
                <w:color w:val="auto"/>
              </w:rPr>
              <w:t>with the SEC on EDGAR.</w:t>
            </w:r>
          </w:p>
        </w:tc>
        <w:tc>
          <w:tcPr>
            <w:tcW w:w="4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rPr>
              <w:t>promptly,</w:t>
            </w:r>
          </w:p>
        </w:tc>
        <w:tc>
          <w:tcPr>
            <w:tcW w:w="700" w:type="dxa"/>
            <w:vAlign w:val="bottom"/>
          </w:tcPr>
          <w:p>
            <w:pPr>
              <w:jc w:val="right"/>
              <w:spacing w:after="0" w:line="187" w:lineRule="exact"/>
              <w:rPr>
                <w:sz w:val="20"/>
                <w:szCs w:val="20"/>
                <w:color w:val="auto"/>
              </w:rPr>
            </w:pPr>
            <w:r>
              <w:rPr>
                <w:rFonts w:ascii="Times New Roman" w:cs="Times New Roman" w:eastAsia="Times New Roman" w:hAnsi="Times New Roman"/>
                <w:sz w:val="21"/>
                <w:szCs w:val="21"/>
                <w:color w:val="auto"/>
              </w:rPr>
              <w:t>but  in</w:t>
            </w:r>
          </w:p>
        </w:tc>
        <w:tc>
          <w:tcPr>
            <w:tcW w:w="560" w:type="dxa"/>
            <w:vAlign w:val="bottom"/>
          </w:tcPr>
          <w:p>
            <w:pPr>
              <w:ind w:left="80"/>
              <w:spacing w:after="0" w:line="187" w:lineRule="exact"/>
              <w:rPr>
                <w:sz w:val="20"/>
                <w:szCs w:val="20"/>
                <w:color w:val="auto"/>
              </w:rPr>
            </w:pPr>
            <w:r>
              <w:rPr>
                <w:rFonts w:ascii="Times New Roman" w:cs="Times New Roman" w:eastAsia="Times New Roman" w:hAnsi="Times New Roman"/>
                <w:sz w:val="21"/>
                <w:szCs w:val="21"/>
                <w:color w:val="auto"/>
              </w:rPr>
              <w:t>any</w:t>
            </w:r>
          </w:p>
        </w:tc>
        <w:tc>
          <w:tcPr>
            <w:tcW w:w="480" w:type="dxa"/>
            <w:vAlign w:val="bottom"/>
            <w:tcBorders>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21"/>
                <w:szCs w:val="21"/>
                <w:color w:val="auto"/>
                <w:w w:val="92"/>
              </w:rPr>
              <w:t>event</w:t>
            </w:r>
          </w:p>
        </w:tc>
        <w:tc>
          <w:tcPr>
            <w:tcW w:w="8520" w:type="dxa"/>
            <w:vAlign w:val="bottom"/>
            <w:tcBorders>
              <w:right w:val="single" w:sz="8" w:color="auto"/>
            </w:tcBorders>
            <w:gridSpan w:val="2"/>
          </w:tcPr>
          <w:p>
            <w:pPr>
              <w:spacing w:after="0" w:line="187" w:lineRule="exact"/>
              <w:rPr>
                <w:sz w:val="20"/>
                <w:szCs w:val="20"/>
                <w:color w:val="auto"/>
              </w:rPr>
            </w:pPr>
            <w:r>
              <w:rPr>
                <w:rFonts w:ascii="Times New Roman" w:cs="Times New Roman" w:eastAsia="Times New Roman" w:hAnsi="Times New Roman"/>
                <w:sz w:val="21"/>
                <w:szCs w:val="21"/>
                <w:color w:val="auto"/>
                <w:w w:val="98"/>
              </w:rPr>
              <w:t>notice of such event or condition and a statement of the curative action that Borrowers propose to take</w:t>
            </w:r>
          </w:p>
        </w:tc>
        <w:tc>
          <w:tcPr>
            <w:tcW w:w="0" w:type="dxa"/>
            <w:vAlign w:val="bottom"/>
          </w:tcPr>
          <w:p>
            <w:pPr>
              <w:spacing w:after="0"/>
              <w:rPr>
                <w:sz w:val="1"/>
                <w:szCs w:val="1"/>
                <w:color w:val="auto"/>
              </w:rPr>
            </w:pPr>
          </w:p>
        </w:tc>
      </w:tr>
      <w:tr>
        <w:trPr>
          <w:trHeight w:val="206"/>
        </w:trPr>
        <w:tc>
          <w:tcPr>
            <w:tcW w:w="780" w:type="dxa"/>
            <w:vAlign w:val="bottom"/>
            <w:tcBorders>
              <w:lef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within</w:t>
            </w:r>
          </w:p>
        </w:tc>
        <w:tc>
          <w:tcPr>
            <w:tcW w:w="200" w:type="dxa"/>
            <w:vAlign w:val="bottom"/>
          </w:tcPr>
          <w:p>
            <w:pPr>
              <w:ind w:left="20"/>
              <w:spacing w:after="0" w:line="207" w:lineRule="exact"/>
              <w:rPr>
                <w:sz w:val="20"/>
                <w:szCs w:val="20"/>
                <w:color w:val="auto"/>
              </w:rPr>
            </w:pPr>
            <w:r>
              <w:rPr>
                <w:rFonts w:ascii="Times New Roman" w:cs="Times New Roman" w:eastAsia="Times New Roman" w:hAnsi="Times New Roman"/>
                <w:sz w:val="21"/>
                <w:szCs w:val="21"/>
                <w:color w:val="auto"/>
              </w:rPr>
              <w:t>5</w:t>
            </w:r>
          </w:p>
        </w:tc>
        <w:tc>
          <w:tcPr>
            <w:tcW w:w="700" w:type="dxa"/>
            <w:vAlign w:val="bottom"/>
          </w:tcPr>
          <w:p>
            <w:pPr>
              <w:jc w:val="right"/>
              <w:ind w:right="57"/>
              <w:spacing w:after="0" w:line="207" w:lineRule="exact"/>
              <w:rPr>
                <w:sz w:val="20"/>
                <w:szCs w:val="20"/>
                <w:color w:val="auto"/>
              </w:rPr>
            </w:pPr>
            <w:r>
              <w:rPr>
                <w:rFonts w:ascii="Times New Roman" w:cs="Times New Roman" w:eastAsia="Times New Roman" w:hAnsi="Times New Roman"/>
                <w:sz w:val="21"/>
                <w:szCs w:val="21"/>
                <w:color w:val="auto"/>
              </w:rPr>
              <w:t>days</w:t>
            </w:r>
          </w:p>
        </w:tc>
        <w:tc>
          <w:tcPr>
            <w:tcW w:w="560" w:type="dxa"/>
            <w:vAlign w:val="bottom"/>
          </w:tcPr>
          <w:p>
            <w:pPr>
              <w:ind w:left="80"/>
              <w:spacing w:after="0" w:line="207" w:lineRule="exact"/>
              <w:rPr>
                <w:sz w:val="20"/>
                <w:szCs w:val="20"/>
                <w:color w:val="auto"/>
              </w:rPr>
            </w:pPr>
            <w:r>
              <w:rPr>
                <w:rFonts w:ascii="Times New Roman" w:cs="Times New Roman" w:eastAsia="Times New Roman" w:hAnsi="Times New Roman"/>
                <w:sz w:val="21"/>
                <w:szCs w:val="21"/>
                <w:color w:val="auto"/>
              </w:rPr>
              <w:t>after</w:t>
            </w:r>
          </w:p>
        </w:tc>
        <w:tc>
          <w:tcPr>
            <w:tcW w:w="48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any</w:t>
            </w:r>
          </w:p>
        </w:tc>
        <w:tc>
          <w:tcPr>
            <w:tcW w:w="8520" w:type="dxa"/>
            <w:vAlign w:val="bottom"/>
            <w:tcBorders>
              <w:right w:val="single" w:sz="8" w:color="auto"/>
            </w:tcBorders>
            <w:gridSpan w:val="2"/>
          </w:tcPr>
          <w:p>
            <w:pPr>
              <w:spacing w:after="0" w:line="207" w:lineRule="exact"/>
              <w:rPr>
                <w:sz w:val="20"/>
                <w:szCs w:val="20"/>
                <w:color w:val="auto"/>
              </w:rPr>
            </w:pPr>
            <w:r>
              <w:rPr>
                <w:rFonts w:ascii="Times New Roman" w:cs="Times New Roman" w:eastAsia="Times New Roman" w:hAnsi="Times New Roman"/>
                <w:sz w:val="21"/>
                <w:szCs w:val="21"/>
                <w:color w:val="auto"/>
              </w:rPr>
              <w:t>with respect thereto.</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w w:val="97"/>
              </w:rPr>
              <w:t>Borrower has knowledge of any</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Borders>
              <w:lef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event</w:t>
            </w:r>
          </w:p>
        </w:tc>
        <w:tc>
          <w:tcPr>
            <w:tcW w:w="20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or</w:t>
            </w:r>
          </w:p>
        </w:tc>
        <w:tc>
          <w:tcPr>
            <w:tcW w:w="1260" w:type="dxa"/>
            <w:vAlign w:val="bottom"/>
            <w:gridSpan w:val="2"/>
          </w:tcPr>
          <w:p>
            <w:pPr>
              <w:jc w:val="right"/>
              <w:ind w:right="97"/>
              <w:spacing w:after="0" w:line="207" w:lineRule="exact"/>
              <w:rPr>
                <w:sz w:val="20"/>
                <w:szCs w:val="20"/>
                <w:color w:val="auto"/>
              </w:rPr>
            </w:pPr>
            <w:r>
              <w:rPr>
                <w:rFonts w:ascii="Times New Roman" w:cs="Times New Roman" w:eastAsia="Times New Roman" w:hAnsi="Times New Roman"/>
                <w:sz w:val="21"/>
                <w:szCs w:val="21"/>
                <w:color w:val="auto"/>
              </w:rPr>
              <w:t>condition</w:t>
            </w:r>
          </w:p>
        </w:tc>
        <w:tc>
          <w:tcPr>
            <w:tcW w:w="48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that</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constitutes  a  Default  or  an</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68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Event of Default,</w:t>
            </w: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80" w:type="dxa"/>
            <w:vAlign w:val="bottom"/>
            <w:tcBorders>
              <w:left w:val="single" w:sz="8" w:color="auto"/>
            </w:tcBorders>
          </w:tcPr>
          <w:p>
            <w:pPr>
              <w:ind w:left="40"/>
              <w:spacing w:after="0" w:line="188" w:lineRule="exact"/>
              <w:rPr>
                <w:sz w:val="20"/>
                <w:szCs w:val="20"/>
                <w:color w:val="auto"/>
              </w:rPr>
            </w:pPr>
            <w:r>
              <w:rPr>
                <w:rFonts w:ascii="Times New Roman" w:cs="Times New Roman" w:eastAsia="Times New Roman" w:hAnsi="Times New Roman"/>
                <w:sz w:val="21"/>
                <w:szCs w:val="21"/>
                <w:color w:val="auto"/>
                <w:w w:val="93"/>
              </w:rPr>
              <w:t>promptly</w:t>
            </w:r>
          </w:p>
        </w:tc>
        <w:tc>
          <w:tcPr>
            <w:tcW w:w="200" w:type="dxa"/>
            <w:vAlign w:val="bottom"/>
          </w:tcPr>
          <w:p>
            <w:pPr>
              <w:spacing w:after="0"/>
              <w:rPr>
                <w:sz w:val="16"/>
                <w:szCs w:val="16"/>
                <w:color w:val="auto"/>
              </w:rPr>
            </w:pPr>
          </w:p>
        </w:tc>
        <w:tc>
          <w:tcPr>
            <w:tcW w:w="1260" w:type="dxa"/>
            <w:vAlign w:val="bottom"/>
            <w:gridSpan w:val="2"/>
          </w:tcPr>
          <w:p>
            <w:pPr>
              <w:jc w:val="right"/>
              <w:ind w:right="337"/>
              <w:spacing w:after="0" w:line="188" w:lineRule="exact"/>
              <w:rPr>
                <w:sz w:val="20"/>
                <w:szCs w:val="20"/>
                <w:color w:val="auto"/>
              </w:rPr>
            </w:pPr>
            <w:r>
              <w:rPr>
                <w:rFonts w:ascii="Times New Roman" w:cs="Times New Roman" w:eastAsia="Times New Roman" w:hAnsi="Times New Roman"/>
                <w:sz w:val="21"/>
                <w:szCs w:val="21"/>
                <w:color w:val="auto"/>
              </w:rPr>
              <w:t>after</w:t>
            </w:r>
          </w:p>
        </w:tc>
        <w:tc>
          <w:tcPr>
            <w:tcW w:w="480" w:type="dxa"/>
            <w:vAlign w:val="bottom"/>
            <w:tcBorders>
              <w:right w:val="single" w:sz="8" w:color="auto"/>
            </w:tcBorders>
          </w:tcPr>
          <w:p>
            <w:pPr>
              <w:jc w:val="right"/>
              <w:spacing w:after="0" w:line="188" w:lineRule="exact"/>
              <w:rPr>
                <w:sz w:val="20"/>
                <w:szCs w:val="20"/>
                <w:color w:val="auto"/>
              </w:rPr>
            </w:pPr>
            <w:r>
              <w:rPr>
                <w:rFonts w:ascii="Times New Roman" w:cs="Times New Roman" w:eastAsia="Times New Roman" w:hAnsi="Times New Roman"/>
                <w:sz w:val="21"/>
                <w:szCs w:val="21"/>
                <w:color w:val="auto"/>
              </w:rPr>
              <w:t>the</w:t>
            </w:r>
          </w:p>
        </w:tc>
        <w:tc>
          <w:tcPr>
            <w:tcW w:w="8520" w:type="dxa"/>
            <w:vAlign w:val="bottom"/>
            <w:tcBorders>
              <w:right w:val="single" w:sz="8" w:color="auto"/>
            </w:tcBorders>
            <w:gridSpan w:val="2"/>
          </w:tcPr>
          <w:p>
            <w:pPr>
              <w:spacing w:after="0" w:line="188" w:lineRule="exact"/>
              <w:rPr>
                <w:sz w:val="20"/>
                <w:szCs w:val="20"/>
                <w:color w:val="auto"/>
              </w:rPr>
            </w:pPr>
            <w:r>
              <w:rPr>
                <w:rFonts w:ascii="Times New Roman" w:cs="Times New Roman" w:eastAsia="Times New Roman" w:hAnsi="Times New Roman"/>
                <w:sz w:val="21"/>
                <w:szCs w:val="21"/>
                <w:color w:val="auto"/>
              </w:rPr>
              <w:t>notice of all actions, suits, or proceedings brought by or against any Borrower or any of its</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commencement thereof, but in</w:t>
            </w:r>
          </w:p>
        </w:tc>
        <w:tc>
          <w:tcPr>
            <w:tcW w:w="8520" w:type="dxa"/>
            <w:vAlign w:val="bottom"/>
            <w:tcBorders>
              <w:right w:val="single" w:sz="8" w:color="auto"/>
            </w:tcBorders>
            <w:gridSpan w:val="2"/>
          </w:tcPr>
          <w:p>
            <w:pPr>
              <w:spacing w:after="0" w:line="207" w:lineRule="exact"/>
              <w:rPr>
                <w:sz w:val="20"/>
                <w:szCs w:val="20"/>
                <w:color w:val="auto"/>
              </w:rPr>
            </w:pPr>
            <w:r>
              <w:rPr>
                <w:rFonts w:ascii="Times New Roman" w:cs="Times New Roman" w:eastAsia="Times New Roman" w:hAnsi="Times New Roman"/>
                <w:sz w:val="21"/>
                <w:szCs w:val="21"/>
                <w:color w:val="auto"/>
              </w:rPr>
              <w:t>Subsidiaries before any Governmental Authority which reasonably could be expected to result in a</w:t>
            </w:r>
          </w:p>
        </w:tc>
        <w:tc>
          <w:tcPr>
            <w:tcW w:w="0" w:type="dxa"/>
            <w:vAlign w:val="bottom"/>
          </w:tcPr>
          <w:p>
            <w:pPr>
              <w:spacing w:after="0"/>
              <w:rPr>
                <w:sz w:val="1"/>
                <w:szCs w:val="1"/>
                <w:color w:val="auto"/>
              </w:rPr>
            </w:pPr>
          </w:p>
        </w:tc>
      </w:tr>
      <w:tr>
        <w:trPr>
          <w:trHeight w:val="206"/>
        </w:trPr>
        <w:tc>
          <w:tcPr>
            <w:tcW w:w="2240" w:type="dxa"/>
            <w:vAlign w:val="bottom"/>
            <w:tcBorders>
              <w:left w:val="single" w:sz="8" w:color="auto"/>
            </w:tcBorders>
            <w:gridSpan w:val="4"/>
          </w:tcPr>
          <w:p>
            <w:pPr>
              <w:ind w:left="40"/>
              <w:spacing w:after="0" w:line="207" w:lineRule="exact"/>
              <w:rPr>
                <w:sz w:val="20"/>
                <w:szCs w:val="20"/>
                <w:color w:val="auto"/>
              </w:rPr>
            </w:pPr>
            <w:r>
              <w:rPr>
                <w:rFonts w:ascii="Times New Roman" w:cs="Times New Roman" w:eastAsia="Times New Roman" w:hAnsi="Times New Roman"/>
                <w:sz w:val="21"/>
                <w:szCs w:val="21"/>
                <w:color w:val="auto"/>
              </w:rPr>
              <w:t>any event within 5 days</w:t>
            </w:r>
          </w:p>
        </w:tc>
        <w:tc>
          <w:tcPr>
            <w:tcW w:w="48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after</w:t>
            </w:r>
          </w:p>
        </w:tc>
        <w:tc>
          <w:tcPr>
            <w:tcW w:w="8520" w:type="dxa"/>
            <w:vAlign w:val="bottom"/>
            <w:tcBorders>
              <w:right w:val="single" w:sz="8" w:color="auto"/>
            </w:tcBorders>
            <w:gridSpan w:val="2"/>
          </w:tcPr>
          <w:p>
            <w:pPr>
              <w:spacing w:after="0" w:line="207" w:lineRule="exact"/>
              <w:rPr>
                <w:sz w:val="20"/>
                <w:szCs w:val="20"/>
                <w:color w:val="auto"/>
              </w:rPr>
            </w:pPr>
            <w:r>
              <w:rPr>
                <w:rFonts w:ascii="Times New Roman" w:cs="Times New Roman" w:eastAsia="Times New Roman" w:hAnsi="Times New Roman"/>
                <w:sz w:val="21"/>
                <w:szCs w:val="21"/>
                <w:color w:val="auto"/>
              </w:rPr>
              <w:t>Material Adverse Effect.</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the  service  of  process  with</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Borders>
              <w:lef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respect</w:t>
            </w:r>
          </w:p>
        </w:tc>
        <w:tc>
          <w:tcPr>
            <w:tcW w:w="900" w:type="dxa"/>
            <w:vAlign w:val="bottom"/>
            <w:gridSpan w:val="2"/>
          </w:tcPr>
          <w:p>
            <w:pPr>
              <w:jc w:val="right"/>
              <w:ind w:right="57"/>
              <w:spacing w:after="0" w:line="207" w:lineRule="exact"/>
              <w:rPr>
                <w:sz w:val="20"/>
                <w:szCs w:val="20"/>
                <w:color w:val="auto"/>
              </w:rPr>
            </w:pPr>
            <w:r>
              <w:rPr>
                <w:rFonts w:ascii="Times New Roman" w:cs="Times New Roman" w:eastAsia="Times New Roman" w:hAnsi="Times New Roman"/>
                <w:sz w:val="21"/>
                <w:szCs w:val="21"/>
                <w:color w:val="auto"/>
              </w:rPr>
              <w:t>thereto</w:t>
            </w:r>
          </w:p>
        </w:tc>
        <w:tc>
          <w:tcPr>
            <w:tcW w:w="560" w:type="dxa"/>
            <w:vAlign w:val="bottom"/>
          </w:tcPr>
          <w:p>
            <w:pPr>
              <w:jc w:val="right"/>
              <w:ind w:right="97"/>
              <w:spacing w:after="0" w:line="207" w:lineRule="exact"/>
              <w:rPr>
                <w:sz w:val="20"/>
                <w:szCs w:val="20"/>
                <w:color w:val="auto"/>
              </w:rPr>
            </w:pPr>
            <w:r>
              <w:rPr>
                <w:rFonts w:ascii="Times New Roman" w:cs="Times New Roman" w:eastAsia="Times New Roman" w:hAnsi="Times New Roman"/>
                <w:sz w:val="21"/>
                <w:szCs w:val="21"/>
                <w:color w:val="auto"/>
              </w:rPr>
              <w:t>on</w:t>
            </w:r>
          </w:p>
        </w:tc>
        <w:tc>
          <w:tcPr>
            <w:tcW w:w="48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any</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gridSpan w:val="5"/>
          </w:tcPr>
          <w:p>
            <w:pPr>
              <w:ind w:left="40"/>
              <w:spacing w:after="0" w:line="207" w:lineRule="exact"/>
              <w:rPr>
                <w:sz w:val="20"/>
                <w:szCs w:val="20"/>
                <w:color w:val="auto"/>
              </w:rPr>
            </w:pPr>
            <w:r>
              <w:rPr>
                <w:rFonts w:ascii="Times New Roman" w:cs="Times New Roman" w:eastAsia="Times New Roman" w:hAnsi="Times New Roman"/>
                <w:sz w:val="21"/>
                <w:szCs w:val="21"/>
                <w:color w:val="auto"/>
              </w:rPr>
              <w:t>Borrower   or   any   of   its</w:t>
            </w:r>
          </w:p>
        </w:tc>
        <w:tc>
          <w:tcPr>
            <w:tcW w:w="400" w:type="dxa"/>
            <w:vAlign w:val="bottom"/>
          </w:tcPr>
          <w:p>
            <w:pPr>
              <w:spacing w:after="0"/>
              <w:rPr>
                <w:sz w:val="17"/>
                <w:szCs w:val="17"/>
                <w:color w:val="auto"/>
              </w:rPr>
            </w:pPr>
          </w:p>
        </w:tc>
        <w:tc>
          <w:tcPr>
            <w:tcW w:w="8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68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Subsidiaries,</w:t>
            </w:r>
          </w:p>
        </w:tc>
        <w:tc>
          <w:tcPr>
            <w:tcW w:w="560" w:type="dxa"/>
            <w:vAlign w:val="bottom"/>
            <w:tcBorders>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24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21"/>
                <w:szCs w:val="21"/>
                <w:color w:val="auto"/>
                <w:w w:val="97"/>
              </w:rPr>
              <w:t>upon the request of Agent,</w:t>
            </w:r>
          </w:p>
        </w:tc>
        <w:tc>
          <w:tcPr>
            <w:tcW w:w="480" w:type="dxa"/>
            <w:vAlign w:val="bottom"/>
            <w:tcBorders>
              <w:right w:val="single" w:sz="8" w:color="auto"/>
            </w:tcBorders>
          </w:tcPr>
          <w:p>
            <w:pPr>
              <w:spacing w:after="0"/>
              <w:rPr>
                <w:sz w:val="22"/>
                <w:szCs w:val="22"/>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(a)</w:t>
            </w:r>
          </w:p>
        </w:tc>
        <w:tc>
          <w:tcPr>
            <w:tcW w:w="81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1"/>
                <w:szCs w:val="21"/>
                <w:color w:val="auto"/>
              </w:rPr>
              <w:t>any other information reasonably requested relating to the financial condition of any</w:t>
            </w:r>
          </w:p>
        </w:tc>
        <w:tc>
          <w:tcPr>
            <w:tcW w:w="0" w:type="dxa"/>
            <w:vAlign w:val="bottom"/>
          </w:tcPr>
          <w:p>
            <w:pPr>
              <w:spacing w:after="0"/>
              <w:rPr>
                <w:sz w:val="1"/>
                <w:szCs w:val="1"/>
                <w:color w:val="auto"/>
              </w:rPr>
            </w:pPr>
          </w:p>
        </w:tc>
      </w:tr>
      <w:tr>
        <w:trPr>
          <w:trHeight w:val="29"/>
        </w:trPr>
        <w:tc>
          <w:tcPr>
            <w:tcW w:w="7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400" w:type="dxa"/>
            <w:vAlign w:val="bottom"/>
            <w:vMerge w:val="continue"/>
          </w:tcPr>
          <w:p>
            <w:pPr>
              <w:spacing w:after="0"/>
              <w:rPr>
                <w:sz w:val="2"/>
                <w:szCs w:val="2"/>
                <w:color w:val="auto"/>
              </w:rPr>
            </w:pPr>
          </w:p>
        </w:tc>
        <w:tc>
          <w:tcPr>
            <w:tcW w:w="8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80" w:type="dxa"/>
            <w:vAlign w:val="bottom"/>
            <w:tcBorders>
              <w:lef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85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Borrower or its Subsidiaries.</w:t>
            </w:r>
          </w:p>
        </w:tc>
        <w:tc>
          <w:tcPr>
            <w:tcW w:w="0" w:type="dxa"/>
            <w:vAlign w:val="bottom"/>
          </w:tcPr>
          <w:p>
            <w:pPr>
              <w:spacing w:after="0"/>
              <w:rPr>
                <w:sz w:val="1"/>
                <w:szCs w:val="1"/>
                <w:color w:val="auto"/>
              </w:rPr>
            </w:pPr>
          </w:p>
        </w:tc>
      </w:tr>
      <w:tr>
        <w:trPr>
          <w:trHeight w:val="111"/>
        </w:trPr>
        <w:tc>
          <w:tcPr>
            <w:tcW w:w="7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5.1</w:t>
      </w:r>
    </w:p>
    <w:p>
      <w:pPr>
        <w:sectPr>
          <w:pgSz w:w="11900" w:h="16838" w:orient="portrait"/>
          <w:cols w:equalWidth="0" w:num="1">
            <w:col w:w="11240"/>
          </w:cols>
          <w:pgMar w:left="320" w:top="1383" w:right="339" w:bottom="1440" w:gutter="0" w:footer="0" w:header="0"/>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5.2</w:t>
      </w:r>
    </w:p>
    <w:p>
      <w:pPr>
        <w:spacing w:after="0" w:line="200" w:lineRule="exact"/>
        <w:rPr>
          <w:sz w:val="20"/>
          <w:szCs w:val="20"/>
          <w:color w:val="auto"/>
        </w:rPr>
      </w:pPr>
    </w:p>
    <w:p>
      <w:pPr>
        <w:spacing w:after="0" w:line="207" w:lineRule="exact"/>
        <w:rPr>
          <w:sz w:val="20"/>
          <w:szCs w:val="20"/>
          <w:color w:val="auto"/>
        </w:rPr>
      </w:pPr>
    </w:p>
    <w:p>
      <w:pPr>
        <w:jc w:val="both"/>
        <w:ind w:right="20" w:firstLine="619"/>
        <w:spacing w:after="0" w:line="220" w:lineRule="auto"/>
        <w:rPr>
          <w:sz w:val="20"/>
          <w:szCs w:val="20"/>
          <w:color w:val="auto"/>
        </w:rPr>
      </w:pPr>
      <w:r>
        <w:rPr>
          <w:rFonts w:ascii="Times New Roman" w:cs="Times New Roman" w:eastAsia="Times New Roman" w:hAnsi="Times New Roman"/>
          <w:sz w:val="21"/>
          <w:szCs w:val="21"/>
          <w:color w:val="auto"/>
        </w:rPr>
        <w:t>Provide Agent (and if so requested by Agent, with copies for each Lender) with each of the documents set forth below at the following times (unless such time is extended, in writing, by (i) Agent, which Agent may do without obtaining the consent of the other members of the Lender Group for a period of up to twenty (20) days, or (ii) by Agent and Required Lenders) in form satisfactory to Agent:</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480" w:type="dxa"/>
            <w:vAlign w:val="bottom"/>
            <w:tcBorders>
              <w:top w:val="single" w:sz="8" w:color="auto"/>
              <w:left w:val="single" w:sz="8" w:color="auto"/>
              <w:right w:val="single" w:sz="8" w:color="auto"/>
            </w:tcBorders>
            <w:gridSpan w:val="6"/>
          </w:tcPr>
          <w:p>
            <w:pPr>
              <w:ind w:left="40"/>
              <w:spacing w:after="0" w:line="220" w:lineRule="exact"/>
              <w:rPr>
                <w:sz w:val="20"/>
                <w:szCs w:val="20"/>
                <w:color w:val="auto"/>
              </w:rPr>
            </w:pPr>
            <w:r>
              <w:rPr>
                <w:rFonts w:ascii="Times New Roman" w:cs="Times New Roman" w:eastAsia="Times New Roman" w:hAnsi="Times New Roman"/>
                <w:sz w:val="21"/>
                <w:szCs w:val="21"/>
                <w:color w:val="auto"/>
              </w:rPr>
              <w:t>On or prior to the twenty-</w:t>
            </w:r>
          </w:p>
        </w:tc>
        <w:tc>
          <w:tcPr>
            <w:tcW w:w="4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color w:val="auto"/>
              </w:rPr>
              <w:t>(a)</w:t>
            </w:r>
          </w:p>
        </w:tc>
        <w:tc>
          <w:tcPr>
            <w:tcW w:w="300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21"/>
                <w:szCs w:val="21"/>
                <w:color w:val="auto"/>
              </w:rPr>
              <w:t>a Borrowing Base Certificate;</w:t>
            </w:r>
          </w:p>
        </w:tc>
        <w:tc>
          <w:tcPr>
            <w:tcW w:w="7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1"/>
                <w:szCs w:val="21"/>
                <w:color w:val="auto"/>
                <w:w w:val="96"/>
              </w:rPr>
              <w:t>provided</w:t>
            </w:r>
          </w:p>
        </w:tc>
        <w:tc>
          <w:tcPr>
            <w:tcW w:w="46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21"/>
                <w:szCs w:val="21"/>
                <w:color w:val="auto"/>
              </w:rPr>
              <w:t>, that during an Increased Reporting Period, then a</w:t>
            </w:r>
          </w:p>
        </w:tc>
        <w:tc>
          <w:tcPr>
            <w:tcW w:w="0" w:type="dxa"/>
            <w:vAlign w:val="bottom"/>
          </w:tcPr>
          <w:p>
            <w:pPr>
              <w:spacing w:after="0"/>
              <w:rPr>
                <w:sz w:val="1"/>
                <w:szCs w:val="1"/>
                <w:color w:val="auto"/>
              </w:rPr>
            </w:pPr>
          </w:p>
        </w:tc>
      </w:tr>
      <w:tr>
        <w:trPr>
          <w:trHeight w:val="121"/>
        </w:trPr>
        <w:tc>
          <w:tcPr>
            <w:tcW w:w="2480" w:type="dxa"/>
            <w:vAlign w:val="bottom"/>
            <w:tcBorders>
              <w:left w:val="single" w:sz="8" w:color="auto"/>
              <w:right w:val="single" w:sz="8" w:color="auto"/>
            </w:tcBorders>
            <w:gridSpan w:val="6"/>
            <w:vMerge w:val="restart"/>
          </w:tcPr>
          <w:p>
            <w:pPr>
              <w:ind w:left="40"/>
              <w:spacing w:after="0" w:line="206" w:lineRule="exact"/>
              <w:rPr>
                <w:sz w:val="20"/>
                <w:szCs w:val="20"/>
                <w:color w:val="auto"/>
              </w:rPr>
            </w:pPr>
            <w:r>
              <w:rPr>
                <w:rFonts w:ascii="Times New Roman" w:cs="Times New Roman" w:eastAsia="Times New Roman" w:hAnsi="Times New Roman"/>
                <w:sz w:val="21"/>
                <w:szCs w:val="21"/>
                <w:color w:val="auto"/>
              </w:rPr>
              <w:t>third  (23rd)  day  of  each</w:t>
            </w:r>
          </w:p>
        </w:tc>
        <w:tc>
          <w:tcPr>
            <w:tcW w:w="400" w:type="dxa"/>
            <w:vAlign w:val="bottom"/>
            <w:tcBorders>
              <w:bottom w:val="single" w:sz="8" w:color="auto"/>
            </w:tcBorders>
            <w:vMerge w:val="continue"/>
          </w:tcPr>
          <w:p>
            <w:pPr>
              <w:spacing w:after="0"/>
              <w:rPr>
                <w:sz w:val="10"/>
                <w:szCs w:val="10"/>
                <w:color w:val="auto"/>
              </w:rPr>
            </w:pPr>
          </w:p>
        </w:tc>
        <w:tc>
          <w:tcPr>
            <w:tcW w:w="300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4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480" w:type="dxa"/>
            <w:vAlign w:val="bottom"/>
            <w:tcBorders>
              <w:left w:val="single" w:sz="8" w:color="auto"/>
              <w:right w:val="single" w:sz="8" w:color="auto"/>
            </w:tcBorders>
            <w:gridSpan w:val="6"/>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30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6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gridSpan w:val="6"/>
          </w:tcPr>
          <w:p>
            <w:pPr>
              <w:ind w:left="40"/>
              <w:spacing w:after="0" w:line="207" w:lineRule="exact"/>
              <w:rPr>
                <w:sz w:val="20"/>
                <w:szCs w:val="20"/>
                <w:color w:val="auto"/>
              </w:rPr>
            </w:pPr>
            <w:r>
              <w:rPr>
                <w:rFonts w:ascii="Times New Roman" w:cs="Times New Roman" w:eastAsia="Times New Roman" w:hAnsi="Times New Roman"/>
                <w:sz w:val="21"/>
                <w:szCs w:val="21"/>
                <w:color w:val="auto"/>
              </w:rPr>
              <w:t>month or more frequently if</w:t>
            </w:r>
          </w:p>
        </w:tc>
        <w:tc>
          <w:tcPr>
            <w:tcW w:w="878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21"/>
                <w:szCs w:val="21"/>
                <w:color w:val="auto"/>
                <w:w w:val="99"/>
              </w:rPr>
              <w:t>Borrowing Base Certificate shall be delivered to Agent on Friday of every other calendar week until the</w:t>
            </w: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1"/>
                <w:szCs w:val="21"/>
                <w:color w:val="auto"/>
                <w:w w:val="97"/>
              </w:rPr>
              <w:t>Agent requests</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21"/>
                <w:szCs w:val="21"/>
                <w:color w:val="auto"/>
              </w:rPr>
              <w:t>end of such Increased Reporting Period;</w:t>
            </w:r>
          </w:p>
        </w:tc>
        <w:tc>
          <w:tcPr>
            <w:tcW w:w="0" w:type="dxa"/>
            <w:vAlign w:val="bottom"/>
          </w:tcPr>
          <w:p>
            <w:pPr>
              <w:spacing w:after="0"/>
              <w:rPr>
                <w:sz w:val="1"/>
                <w:szCs w:val="1"/>
                <w:color w:val="auto"/>
              </w:rPr>
            </w:pPr>
          </w:p>
        </w:tc>
      </w:tr>
      <w:tr>
        <w:trPr>
          <w:trHeight w:val="62"/>
        </w:trPr>
        <w:tc>
          <w:tcPr>
            <w:tcW w:w="1280" w:type="dxa"/>
            <w:vAlign w:val="bottom"/>
            <w:tcBorders>
              <w:left w:val="single" w:sz="8" w:color="auto"/>
            </w:tcBorders>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8780" w:type="dxa"/>
            <w:vAlign w:val="bottom"/>
            <w:tcBorders>
              <w:right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21"/>
                <w:szCs w:val="21"/>
                <w:color w:val="auto"/>
              </w:rPr>
              <w:t>(b)  an Account roll-forward with supporting details to the extent requested by Agent;</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w:t>
            </w:r>
          </w:p>
        </w:tc>
        <w:tc>
          <w:tcPr>
            <w:tcW w:w="83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to the extent requested by Agent, notice of all claims, offsets, or disputes asserted by Account</w:t>
            </w:r>
          </w:p>
        </w:tc>
        <w:tc>
          <w:tcPr>
            <w:tcW w:w="0" w:type="dxa"/>
            <w:vAlign w:val="bottom"/>
          </w:tcPr>
          <w:p>
            <w:pPr>
              <w:spacing w:after="0"/>
              <w:rPr>
                <w:sz w:val="1"/>
                <w:szCs w:val="1"/>
                <w:color w:val="auto"/>
              </w:rPr>
            </w:pPr>
          </w:p>
        </w:tc>
      </w:tr>
      <w:tr>
        <w:trPr>
          <w:trHeight w:val="268"/>
        </w:trPr>
        <w:tc>
          <w:tcPr>
            <w:tcW w:w="58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7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1"/>
                <w:szCs w:val="21"/>
                <w:color w:val="auto"/>
              </w:rPr>
              <w:t>Debtors with respect to each Borrower's and its Subsidiaries' Accounts;</w:t>
            </w: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w:t>
            </w:r>
          </w:p>
        </w:tc>
        <w:tc>
          <w:tcPr>
            <w:tcW w:w="83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1"/>
                <w:szCs w:val="21"/>
                <w:color w:val="auto"/>
              </w:rPr>
              <w:t>to the extent requested by Agent, copies of invoices together with corresponding shipping and</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21"/>
                <w:szCs w:val="21"/>
                <w:color w:val="auto"/>
              </w:rPr>
              <w:t>delivery documents and credit memos together with corresponding supporting documentation with</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21"/>
                <w:szCs w:val="21"/>
                <w:color w:val="auto"/>
              </w:rPr>
              <w:t>respect to invoices and credit memos in excess of an amount determined in the sole discretion of Agent</w:t>
            </w:r>
          </w:p>
        </w:tc>
        <w:tc>
          <w:tcPr>
            <w:tcW w:w="0" w:type="dxa"/>
            <w:vAlign w:val="bottom"/>
          </w:tcPr>
          <w:p>
            <w:pPr>
              <w:spacing w:after="0"/>
              <w:rPr>
                <w:sz w:val="1"/>
                <w:szCs w:val="1"/>
                <w:color w:val="auto"/>
              </w:rPr>
            </w:pPr>
          </w:p>
        </w:tc>
      </w:tr>
      <w:tr>
        <w:trPr>
          <w:trHeight w:val="268"/>
        </w:trPr>
        <w:tc>
          <w:tcPr>
            <w:tcW w:w="58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7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1"/>
                <w:szCs w:val="21"/>
                <w:color w:val="auto"/>
              </w:rPr>
              <w:t>from time to time;</w:t>
            </w:r>
          </w:p>
        </w:tc>
        <w:tc>
          <w:tcPr>
            <w:tcW w:w="0" w:type="dxa"/>
            <w:vAlign w:val="bottom"/>
          </w:tcPr>
          <w:p>
            <w:pPr>
              <w:spacing w:after="0"/>
              <w:rPr>
                <w:sz w:val="1"/>
                <w:szCs w:val="1"/>
                <w:color w:val="auto"/>
              </w:rPr>
            </w:pPr>
          </w:p>
        </w:tc>
      </w:tr>
      <w:tr>
        <w:trPr>
          <w:trHeight w:val="248"/>
        </w:trPr>
        <w:tc>
          <w:tcPr>
            <w:tcW w:w="580" w:type="dxa"/>
            <w:vAlign w:val="bottom"/>
            <w:tcBorders>
              <w:lef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1"/>
                <w:szCs w:val="21"/>
                <w:color w:val="auto"/>
              </w:rPr>
              <w:t xml:space="preserve">(e)   a report regarding each Loan Party's and its Subsidiaries' accrued, but unpaid, </w:t>
            </w:r>
            <w:r>
              <w:rPr>
                <w:rFonts w:ascii="Times New Roman" w:cs="Times New Roman" w:eastAsia="Times New Roman" w:hAnsi="Times New Roman"/>
                <w:sz w:val="21"/>
                <w:szCs w:val="21"/>
                <w:i w:val="1"/>
                <w:iCs w:val="1"/>
                <w:color w:val="auto"/>
              </w:rPr>
              <w:t>ad valorem</w:t>
            </w:r>
            <w:r>
              <w:rPr>
                <w:rFonts w:ascii="Times New Roman" w:cs="Times New Roman" w:eastAsia="Times New Roman" w:hAnsi="Times New Roman"/>
                <w:sz w:val="21"/>
                <w:szCs w:val="21"/>
                <w:color w:val="auto"/>
              </w:rPr>
              <w:t xml:space="preserve"> taxes;</w:t>
            </w:r>
          </w:p>
        </w:tc>
        <w:tc>
          <w:tcPr>
            <w:tcW w:w="0" w:type="dxa"/>
            <w:vAlign w:val="bottom"/>
          </w:tcPr>
          <w:p>
            <w:pPr>
              <w:spacing w:after="0"/>
              <w:rPr>
                <w:sz w:val="1"/>
                <w:szCs w:val="1"/>
                <w:color w:val="auto"/>
              </w:rPr>
            </w:pPr>
          </w:p>
        </w:tc>
      </w:tr>
      <w:tr>
        <w:trPr>
          <w:trHeight w:val="268"/>
        </w:trPr>
        <w:tc>
          <w:tcPr>
            <w:tcW w:w="58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and</w:t>
            </w:r>
          </w:p>
        </w:tc>
        <w:tc>
          <w:tcPr>
            <w:tcW w:w="3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58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7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1"/>
                <w:szCs w:val="21"/>
                <w:color w:val="auto"/>
              </w:rPr>
              <w:t>(f) a detailed list of each Loan Party's and its Subsidiaries' customers in respect of all Accounts, with</w:t>
            </w:r>
          </w:p>
        </w:tc>
        <w:tc>
          <w:tcPr>
            <w:tcW w:w="0" w:type="dxa"/>
            <w:vAlign w:val="bottom"/>
          </w:tcPr>
          <w:p>
            <w:pPr>
              <w:spacing w:after="0"/>
              <w:rPr>
                <w:sz w:val="1"/>
                <w:szCs w:val="1"/>
                <w:color w:val="auto"/>
              </w:rPr>
            </w:pPr>
          </w:p>
        </w:tc>
      </w:tr>
      <w:tr>
        <w:trPr>
          <w:trHeight w:val="268"/>
        </w:trPr>
        <w:tc>
          <w:tcPr>
            <w:tcW w:w="58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87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1"/>
                <w:szCs w:val="21"/>
                <w:color w:val="auto"/>
              </w:rPr>
              <w:t>address and contact information.</w:t>
            </w:r>
          </w:p>
        </w:tc>
        <w:tc>
          <w:tcPr>
            <w:tcW w:w="0" w:type="dxa"/>
            <w:vAlign w:val="bottom"/>
          </w:tcPr>
          <w:p>
            <w:pPr>
              <w:spacing w:after="0"/>
              <w:rPr>
                <w:sz w:val="1"/>
                <w:szCs w:val="1"/>
                <w:color w:val="auto"/>
              </w:rPr>
            </w:pPr>
          </w:p>
        </w:tc>
      </w:tr>
      <w:tr>
        <w:trPr>
          <w:trHeight w:val="209"/>
        </w:trPr>
        <w:tc>
          <w:tcPr>
            <w:tcW w:w="2480" w:type="dxa"/>
            <w:vAlign w:val="bottom"/>
            <w:tcBorders>
              <w:left w:val="single" w:sz="8" w:color="auto"/>
              <w:bottom w:val="single" w:sz="8" w:color="auto"/>
              <w:right w:val="single" w:sz="8" w:color="auto"/>
            </w:tcBorders>
            <w:gridSpan w:val="6"/>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480" w:type="dxa"/>
            <w:vAlign w:val="bottom"/>
            <w:tcBorders>
              <w:left w:val="single" w:sz="8" w:color="auto"/>
              <w:right w:val="single" w:sz="8" w:color="auto"/>
            </w:tcBorders>
            <w:gridSpan w:val="6"/>
          </w:tcPr>
          <w:p>
            <w:pPr>
              <w:ind w:left="40"/>
              <w:spacing w:after="0" w:line="187" w:lineRule="exact"/>
              <w:rPr>
                <w:sz w:val="20"/>
                <w:szCs w:val="20"/>
                <w:color w:val="auto"/>
              </w:rPr>
            </w:pPr>
            <w:r>
              <w:rPr>
                <w:rFonts w:ascii="Times New Roman" w:cs="Times New Roman" w:eastAsia="Times New Roman" w:hAnsi="Times New Roman"/>
                <w:sz w:val="21"/>
                <w:szCs w:val="21"/>
                <w:color w:val="auto"/>
              </w:rPr>
              <w:t>Quarterly (no later than the</w:t>
            </w:r>
          </w:p>
        </w:tc>
        <w:tc>
          <w:tcPr>
            <w:tcW w:w="400" w:type="dxa"/>
            <w:vAlign w:val="bottom"/>
          </w:tcPr>
          <w:p>
            <w:pPr>
              <w:ind w:left="20"/>
              <w:spacing w:after="0" w:line="187" w:lineRule="exact"/>
              <w:rPr>
                <w:sz w:val="20"/>
                <w:szCs w:val="20"/>
                <w:color w:val="auto"/>
              </w:rPr>
            </w:pPr>
            <w:r>
              <w:rPr>
                <w:rFonts w:ascii="Times New Roman" w:cs="Times New Roman" w:eastAsia="Times New Roman" w:hAnsi="Times New Roman"/>
                <w:sz w:val="21"/>
                <w:szCs w:val="21"/>
                <w:color w:val="auto"/>
              </w:rPr>
              <w:t>(a)</w:t>
            </w:r>
          </w:p>
        </w:tc>
        <w:tc>
          <w:tcPr>
            <w:tcW w:w="8380" w:type="dxa"/>
            <w:vAlign w:val="bottom"/>
            <w:tcBorders>
              <w:right w:val="single" w:sz="8" w:color="auto"/>
            </w:tcBorders>
            <w:gridSpan w:val="3"/>
          </w:tcPr>
          <w:p>
            <w:pPr>
              <w:jc w:val="right"/>
              <w:ind w:right="2557"/>
              <w:spacing w:after="0" w:line="187" w:lineRule="exact"/>
              <w:rPr>
                <w:sz w:val="20"/>
                <w:szCs w:val="20"/>
                <w:color w:val="auto"/>
              </w:rPr>
            </w:pPr>
            <w:r>
              <w:rPr>
                <w:rFonts w:ascii="Times New Roman" w:cs="Times New Roman" w:eastAsia="Times New Roman" w:hAnsi="Times New Roman"/>
                <w:sz w:val="21"/>
                <w:szCs w:val="21"/>
                <w:color w:val="auto"/>
                <w:w w:val="98"/>
              </w:rPr>
              <w:t>a Perfection Certificate or a supplement to the Perfection Certificate.</w:t>
            </w: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gridSpan w:val="6"/>
          </w:tcPr>
          <w:p>
            <w:pPr>
              <w:ind w:left="40"/>
              <w:spacing w:after="0" w:line="207" w:lineRule="exact"/>
              <w:rPr>
                <w:sz w:val="20"/>
                <w:szCs w:val="20"/>
                <w:color w:val="auto"/>
              </w:rPr>
            </w:pPr>
            <w:r>
              <w:rPr>
                <w:rFonts w:ascii="Times New Roman" w:cs="Times New Roman" w:eastAsia="Times New Roman" w:hAnsi="Times New Roman"/>
                <w:sz w:val="21"/>
                <w:szCs w:val="21"/>
                <w:color w:val="auto"/>
              </w:rPr>
              <w:t>45th day after the end of</w:t>
            </w:r>
          </w:p>
        </w:tc>
        <w:tc>
          <w:tcPr>
            <w:tcW w:w="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180" w:type="dxa"/>
            <w:vAlign w:val="bottom"/>
            <w:tcBorders>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each fiscal quarter),</w:t>
            </w: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6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900" w:type="dxa"/>
            <w:vAlign w:val="bottom"/>
            <w:tcBorders>
              <w:left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21"/>
                <w:szCs w:val="21"/>
                <w:color w:val="auto"/>
              </w:rPr>
              <w:t>promptly</w:t>
            </w:r>
          </w:p>
        </w:tc>
        <w:tc>
          <w:tcPr>
            <w:tcW w:w="380" w:type="dxa"/>
            <w:vAlign w:val="bottom"/>
          </w:tcPr>
          <w:p>
            <w:pPr>
              <w:ind w:left="20"/>
              <w:spacing w:after="0" w:line="188" w:lineRule="exact"/>
              <w:rPr>
                <w:sz w:val="20"/>
                <w:szCs w:val="20"/>
                <w:color w:val="auto"/>
              </w:rPr>
            </w:pPr>
            <w:r>
              <w:rPr>
                <w:rFonts w:ascii="Times New Roman" w:cs="Times New Roman" w:eastAsia="Times New Roman" w:hAnsi="Times New Roman"/>
                <w:sz w:val="21"/>
                <w:szCs w:val="21"/>
                <w:color w:val="auto"/>
              </w:rPr>
              <w:t>but</w:t>
            </w:r>
          </w:p>
        </w:tc>
        <w:tc>
          <w:tcPr>
            <w:tcW w:w="1200" w:type="dxa"/>
            <w:vAlign w:val="bottom"/>
            <w:tcBorders>
              <w:right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21"/>
                <w:szCs w:val="21"/>
                <w:color w:val="auto"/>
              </w:rPr>
              <w:t>in any event</w:t>
            </w:r>
          </w:p>
        </w:tc>
        <w:tc>
          <w:tcPr>
            <w:tcW w:w="400" w:type="dxa"/>
            <w:vAlign w:val="bottom"/>
          </w:tcPr>
          <w:p>
            <w:pPr>
              <w:ind w:left="20"/>
              <w:spacing w:after="0" w:line="188" w:lineRule="exact"/>
              <w:rPr>
                <w:sz w:val="20"/>
                <w:szCs w:val="20"/>
                <w:color w:val="auto"/>
              </w:rPr>
            </w:pPr>
            <w:r>
              <w:rPr>
                <w:rFonts w:ascii="Times New Roman" w:cs="Times New Roman" w:eastAsia="Times New Roman" w:hAnsi="Times New Roman"/>
                <w:sz w:val="21"/>
                <w:szCs w:val="21"/>
                <w:color w:val="auto"/>
              </w:rPr>
              <w:t>(a)</w:t>
            </w:r>
          </w:p>
        </w:tc>
        <w:tc>
          <w:tcPr>
            <w:tcW w:w="8380" w:type="dxa"/>
            <w:vAlign w:val="bottom"/>
            <w:tcBorders>
              <w:right w:val="single" w:sz="8" w:color="auto"/>
            </w:tcBorders>
            <w:gridSpan w:val="3"/>
          </w:tcPr>
          <w:p>
            <w:pPr>
              <w:jc w:val="right"/>
              <w:spacing w:after="0" w:line="188" w:lineRule="exact"/>
              <w:rPr>
                <w:sz w:val="20"/>
                <w:szCs w:val="20"/>
                <w:color w:val="auto"/>
              </w:rPr>
            </w:pPr>
            <w:r>
              <w:rPr>
                <w:rFonts w:ascii="Times New Roman" w:cs="Times New Roman" w:eastAsia="Times New Roman" w:hAnsi="Times New Roman"/>
                <w:sz w:val="21"/>
                <w:szCs w:val="21"/>
                <w:color w:val="auto"/>
              </w:rPr>
              <w:t>notice of such acquisition, together with a description of the Margin Stock and a Form U-1 (with</w:t>
            </w: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gridSpan w:val="6"/>
          </w:tcPr>
          <w:p>
            <w:pPr>
              <w:ind w:left="40"/>
              <w:spacing w:after="0" w:line="207" w:lineRule="exact"/>
              <w:rPr>
                <w:sz w:val="20"/>
                <w:szCs w:val="20"/>
                <w:color w:val="auto"/>
              </w:rPr>
            </w:pPr>
            <w:r>
              <w:rPr>
                <w:rFonts w:ascii="Times New Roman" w:cs="Times New Roman" w:eastAsia="Times New Roman" w:hAnsi="Times New Roman"/>
                <w:sz w:val="21"/>
                <w:szCs w:val="21"/>
                <w:color w:val="auto"/>
                <w:w w:val="99"/>
              </w:rPr>
              <w:t>within 2 days after any Loan</w:t>
            </w:r>
          </w:p>
        </w:tc>
        <w:tc>
          <w:tcPr>
            <w:tcW w:w="87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21"/>
                <w:szCs w:val="21"/>
                <w:color w:val="auto"/>
              </w:rPr>
              <w:t>sufficient additional originals thereof for each Agent) duly executed and delivered by the Borrowers,</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rPr>
              <w:t>Party</w:t>
            </w:r>
          </w:p>
        </w:tc>
        <w:tc>
          <w:tcPr>
            <w:tcW w:w="70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21"/>
                <w:szCs w:val="21"/>
                <w:color w:val="auto"/>
                <w:w w:val="97"/>
              </w:rPr>
              <w:t>acquires</w:t>
            </w:r>
          </w:p>
        </w:tc>
        <w:tc>
          <w:tcPr>
            <w:tcW w:w="1200" w:type="dxa"/>
            <w:vAlign w:val="bottom"/>
            <w:tcBorders>
              <w:right w:val="single" w:sz="8" w:color="auto"/>
            </w:tcBorders>
            <w:gridSpan w:val="3"/>
          </w:tcPr>
          <w:p>
            <w:pPr>
              <w:jc w:val="right"/>
              <w:spacing w:after="0" w:line="207" w:lineRule="exact"/>
              <w:rPr>
                <w:sz w:val="20"/>
                <w:szCs w:val="20"/>
                <w:color w:val="auto"/>
              </w:rPr>
            </w:pPr>
            <w:r>
              <w:rPr>
                <w:rFonts w:ascii="Times New Roman" w:cs="Times New Roman" w:eastAsia="Times New Roman" w:hAnsi="Times New Roman"/>
                <w:sz w:val="21"/>
                <w:szCs w:val="21"/>
                <w:color w:val="auto"/>
              </w:rPr>
              <w:t>any Margin</w:t>
            </w:r>
          </w:p>
        </w:tc>
        <w:tc>
          <w:tcPr>
            <w:tcW w:w="87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21"/>
                <w:szCs w:val="21"/>
                <w:color w:val="auto"/>
              </w:rPr>
              <w:t>together with such other documentation as Agent shall reasonably request, in order to enable Agent and</w:t>
            </w:r>
          </w:p>
        </w:tc>
        <w:tc>
          <w:tcPr>
            <w:tcW w:w="0" w:type="dxa"/>
            <w:vAlign w:val="bottom"/>
          </w:tcPr>
          <w:p>
            <w:pPr>
              <w:spacing w:after="0"/>
              <w:rPr>
                <w:sz w:val="1"/>
                <w:szCs w:val="1"/>
                <w:color w:val="auto"/>
              </w:rPr>
            </w:pPr>
          </w:p>
        </w:tc>
      </w:tr>
      <w:tr>
        <w:trPr>
          <w:trHeight w:val="206"/>
        </w:trPr>
        <w:tc>
          <w:tcPr>
            <w:tcW w:w="580" w:type="dxa"/>
            <w:vAlign w:val="bottom"/>
            <w:tcBorders>
              <w:left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color w:val="auto"/>
                <w:w w:val="97"/>
              </w:rPr>
              <w:t>Stock,</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80" w:type="dxa"/>
            <w:vAlign w:val="bottom"/>
            <w:tcBorders>
              <w:right w:val="single" w:sz="8" w:color="auto"/>
            </w:tcBorders>
            <w:gridSpan w:val="4"/>
          </w:tcPr>
          <w:p>
            <w:pPr>
              <w:ind w:left="20"/>
              <w:spacing w:after="0" w:line="207" w:lineRule="exact"/>
              <w:rPr>
                <w:sz w:val="20"/>
                <w:szCs w:val="20"/>
                <w:color w:val="auto"/>
              </w:rPr>
            </w:pPr>
            <w:r>
              <w:rPr>
                <w:rFonts w:ascii="Times New Roman" w:cs="Times New Roman" w:eastAsia="Times New Roman" w:hAnsi="Times New Roman"/>
                <w:sz w:val="21"/>
                <w:szCs w:val="21"/>
                <w:color w:val="auto"/>
              </w:rPr>
              <w:t>the Agents to comply with any of the requirements under Regulations T, U or X of the Federal Reserve</w:t>
            </w:r>
          </w:p>
        </w:tc>
        <w:tc>
          <w:tcPr>
            <w:tcW w:w="0" w:type="dxa"/>
            <w:vAlign w:val="bottom"/>
          </w:tcPr>
          <w:p>
            <w:pPr>
              <w:spacing w:after="0"/>
              <w:rPr>
                <w:sz w:val="1"/>
                <w:szCs w:val="1"/>
                <w:color w:val="auto"/>
              </w:rPr>
            </w:pPr>
          </w:p>
        </w:tc>
      </w:tr>
      <w:tr>
        <w:trPr>
          <w:trHeight w:val="269"/>
        </w:trPr>
        <w:tc>
          <w:tcPr>
            <w:tcW w:w="580" w:type="dxa"/>
            <w:vAlign w:val="bottom"/>
            <w:tcBorders>
              <w:left w:val="single" w:sz="8" w:color="auto"/>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780" w:type="dxa"/>
            <w:vAlign w:val="bottom"/>
            <w:tcBorders>
              <w:bottom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color w:val="auto"/>
              </w:rPr>
              <w:t>Board.</w:t>
            </w:r>
          </w:p>
        </w:tc>
        <w:tc>
          <w:tcPr>
            <w:tcW w:w="0" w:type="dxa"/>
            <w:vAlign w:val="bottom"/>
          </w:tcPr>
          <w:p>
            <w:pPr>
              <w:spacing w:after="0"/>
              <w:rPr>
                <w:sz w:val="1"/>
                <w:szCs w:val="1"/>
                <w:color w:val="auto"/>
              </w:rPr>
            </w:pPr>
          </w:p>
        </w:tc>
      </w:tr>
      <w:tr>
        <w:trPr>
          <w:trHeight w:val="188"/>
        </w:trPr>
        <w:tc>
          <w:tcPr>
            <w:tcW w:w="580" w:type="dxa"/>
            <w:vAlign w:val="bottom"/>
            <w:tcBorders>
              <w:left w:val="single" w:sz="8" w:color="auto"/>
            </w:tcBorders>
          </w:tcPr>
          <w:p>
            <w:pPr>
              <w:ind w:left="40"/>
              <w:spacing w:after="0" w:line="188" w:lineRule="exact"/>
              <w:rPr>
                <w:sz w:val="20"/>
                <w:szCs w:val="20"/>
                <w:color w:val="auto"/>
              </w:rPr>
            </w:pPr>
            <w:r>
              <w:rPr>
                <w:rFonts w:ascii="Times New Roman" w:cs="Times New Roman" w:eastAsia="Times New Roman" w:hAnsi="Times New Roman"/>
                <w:sz w:val="21"/>
                <w:szCs w:val="21"/>
                <w:color w:val="auto"/>
              </w:rPr>
              <w:t>Upon</w:t>
            </w:r>
          </w:p>
        </w:tc>
        <w:tc>
          <w:tcPr>
            <w:tcW w:w="7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21"/>
                <w:szCs w:val="21"/>
                <w:color w:val="auto"/>
                <w:w w:val="98"/>
              </w:rPr>
              <w:t>any</w:t>
            </w:r>
          </w:p>
        </w:tc>
        <w:tc>
          <w:tcPr>
            <w:tcW w:w="9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21"/>
                <w:szCs w:val="21"/>
                <w:color w:val="auto"/>
              </w:rPr>
              <w:t>change</w:t>
            </w:r>
          </w:p>
        </w:tc>
        <w:tc>
          <w:tcPr>
            <w:tcW w:w="300" w:type="dxa"/>
            <w:vAlign w:val="bottom"/>
            <w:tcBorders>
              <w:right w:val="single" w:sz="8" w:color="auto"/>
            </w:tcBorders>
          </w:tcPr>
          <w:p>
            <w:pPr>
              <w:jc w:val="right"/>
              <w:spacing w:after="0" w:line="188" w:lineRule="exact"/>
              <w:rPr>
                <w:sz w:val="20"/>
                <w:szCs w:val="20"/>
                <w:color w:val="auto"/>
              </w:rPr>
            </w:pPr>
            <w:r>
              <w:rPr>
                <w:rFonts w:ascii="Times New Roman" w:cs="Times New Roman" w:eastAsia="Times New Roman" w:hAnsi="Times New Roman"/>
                <w:sz w:val="21"/>
                <w:szCs w:val="21"/>
                <w:color w:val="auto"/>
              </w:rPr>
              <w:t>in</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21"/>
                <w:szCs w:val="21"/>
                <w:color w:val="auto"/>
              </w:rPr>
              <w:t>(a)</w:t>
            </w:r>
          </w:p>
        </w:tc>
        <w:tc>
          <w:tcPr>
            <w:tcW w:w="8380" w:type="dxa"/>
            <w:vAlign w:val="bottom"/>
            <w:tcBorders>
              <w:right w:val="single" w:sz="8" w:color="auto"/>
            </w:tcBorders>
            <w:gridSpan w:val="3"/>
            <w:vMerge w:val="restart"/>
          </w:tcPr>
          <w:p>
            <w:pPr>
              <w:jc w:val="right"/>
              <w:ind w:right="777"/>
              <w:spacing w:after="0"/>
              <w:rPr>
                <w:sz w:val="20"/>
                <w:szCs w:val="20"/>
                <w:color w:val="auto"/>
              </w:rPr>
            </w:pPr>
            <w:r>
              <w:rPr>
                <w:rFonts w:ascii="Times New Roman" w:cs="Times New Roman" w:eastAsia="Times New Roman" w:hAnsi="Times New Roman"/>
                <w:sz w:val="21"/>
                <w:szCs w:val="21"/>
                <w:color w:val="auto"/>
                <w:w w:val="99"/>
              </w:rPr>
              <w:t>the new amount required to be on deposit in the Permitted Florida Statutory Account; and</w:t>
            </w:r>
          </w:p>
        </w:tc>
        <w:tc>
          <w:tcPr>
            <w:tcW w:w="0" w:type="dxa"/>
            <w:vAlign w:val="bottom"/>
          </w:tcPr>
          <w:p>
            <w:pPr>
              <w:spacing w:after="0"/>
              <w:rPr>
                <w:sz w:val="1"/>
                <w:szCs w:val="1"/>
                <w:color w:val="auto"/>
              </w:rPr>
            </w:pPr>
          </w:p>
        </w:tc>
      </w:tr>
      <w:tr>
        <w:trPr>
          <w:trHeight w:val="206"/>
        </w:trPr>
        <w:tc>
          <w:tcPr>
            <w:tcW w:w="900" w:type="dxa"/>
            <w:vAlign w:val="bottom"/>
            <w:tcBorders>
              <w:lef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21"/>
                <w:szCs w:val="21"/>
                <w:color w:val="auto"/>
                <w:w w:val="97"/>
              </w:rPr>
              <w:t>applicable</w:t>
            </w:r>
          </w:p>
        </w:tc>
        <w:tc>
          <w:tcPr>
            <w:tcW w:w="72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21"/>
                <w:szCs w:val="21"/>
                <w:color w:val="auto"/>
              </w:rPr>
              <w:t>laws,</w:t>
            </w:r>
          </w:p>
        </w:tc>
        <w:tc>
          <w:tcPr>
            <w:tcW w:w="560" w:type="dxa"/>
            <w:vAlign w:val="bottom"/>
          </w:tcPr>
          <w:p>
            <w:pPr>
              <w:ind w:left="20"/>
              <w:spacing w:after="0" w:line="207" w:lineRule="exact"/>
              <w:rPr>
                <w:sz w:val="20"/>
                <w:szCs w:val="20"/>
                <w:color w:val="auto"/>
              </w:rPr>
            </w:pPr>
            <w:r>
              <w:rPr>
                <w:rFonts w:ascii="Times New Roman" w:cs="Times New Roman" w:eastAsia="Times New Roman" w:hAnsi="Times New Roman"/>
                <w:sz w:val="21"/>
                <w:szCs w:val="21"/>
                <w:color w:val="auto"/>
              </w:rPr>
              <w:t>rules,</w:t>
            </w:r>
          </w:p>
        </w:tc>
        <w:tc>
          <w:tcPr>
            <w:tcW w:w="30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or</w:t>
            </w:r>
          </w:p>
        </w:tc>
        <w:tc>
          <w:tcPr>
            <w:tcW w:w="400" w:type="dxa"/>
            <w:vAlign w:val="bottom"/>
            <w:vMerge w:val="continue"/>
          </w:tcPr>
          <w:p>
            <w:pPr>
              <w:spacing w:after="0"/>
              <w:rPr>
                <w:sz w:val="17"/>
                <w:szCs w:val="17"/>
                <w:color w:val="auto"/>
              </w:rPr>
            </w:pPr>
          </w:p>
        </w:tc>
        <w:tc>
          <w:tcPr>
            <w:tcW w:w="838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tcBorders>
            <w:gridSpan w:val="3"/>
          </w:tcPr>
          <w:p>
            <w:pPr>
              <w:ind w:left="40"/>
              <w:spacing w:after="0" w:line="207" w:lineRule="exact"/>
              <w:rPr>
                <w:sz w:val="20"/>
                <w:szCs w:val="20"/>
                <w:color w:val="auto"/>
              </w:rPr>
            </w:pPr>
            <w:r>
              <w:rPr>
                <w:rFonts w:ascii="Times New Roman" w:cs="Times New Roman" w:eastAsia="Times New Roman" w:hAnsi="Times New Roman"/>
                <w:sz w:val="21"/>
                <w:szCs w:val="21"/>
                <w:color w:val="auto"/>
              </w:rPr>
              <w:t>regulations</w:t>
            </w:r>
          </w:p>
        </w:tc>
        <w:tc>
          <w:tcPr>
            <w:tcW w:w="3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that</w:t>
            </w:r>
          </w:p>
        </w:tc>
        <w:tc>
          <w:tcPr>
            <w:tcW w:w="86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21"/>
                <w:szCs w:val="21"/>
                <w:color w:val="auto"/>
              </w:rPr>
              <w:t>would</w:t>
            </w:r>
          </w:p>
        </w:tc>
        <w:tc>
          <w:tcPr>
            <w:tcW w:w="400" w:type="dxa"/>
            <w:vAlign w:val="bottom"/>
          </w:tcPr>
          <w:p>
            <w:pPr>
              <w:ind w:left="60"/>
              <w:spacing w:after="0" w:line="207" w:lineRule="exact"/>
              <w:rPr>
                <w:sz w:val="20"/>
                <w:szCs w:val="20"/>
                <w:color w:val="auto"/>
              </w:rPr>
            </w:pPr>
            <w:r>
              <w:rPr>
                <w:rFonts w:ascii="Times New Roman" w:cs="Times New Roman" w:eastAsia="Times New Roman" w:hAnsi="Times New Roman"/>
                <w:sz w:val="21"/>
                <w:szCs w:val="21"/>
                <w:color w:val="auto"/>
              </w:rPr>
              <w:t>(a)</w:t>
            </w:r>
          </w:p>
        </w:tc>
        <w:tc>
          <w:tcPr>
            <w:tcW w:w="8380" w:type="dxa"/>
            <w:vAlign w:val="bottom"/>
            <w:tcBorders>
              <w:right w:val="single" w:sz="8" w:color="auto"/>
            </w:tcBorders>
            <w:gridSpan w:val="3"/>
          </w:tcPr>
          <w:p>
            <w:pPr>
              <w:jc w:val="right"/>
              <w:spacing w:after="0" w:line="207" w:lineRule="exact"/>
              <w:rPr>
                <w:sz w:val="20"/>
                <w:szCs w:val="20"/>
                <w:color w:val="auto"/>
              </w:rPr>
            </w:pPr>
            <w:r>
              <w:rPr>
                <w:rFonts w:ascii="Times New Roman" w:cs="Times New Roman" w:eastAsia="Times New Roman" w:hAnsi="Times New Roman"/>
                <w:sz w:val="21"/>
                <w:szCs w:val="21"/>
                <w:color w:val="auto"/>
              </w:rPr>
              <w:t>such other reports and information as to the Permitted Florida Statutory Account as Agent may</w:t>
            </w: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gridSpan w:val="6"/>
          </w:tcPr>
          <w:p>
            <w:pPr>
              <w:ind w:left="40"/>
              <w:spacing w:after="0" w:line="207" w:lineRule="exact"/>
              <w:rPr>
                <w:sz w:val="20"/>
                <w:szCs w:val="20"/>
                <w:color w:val="auto"/>
              </w:rPr>
            </w:pPr>
            <w:r>
              <w:rPr>
                <w:rFonts w:ascii="Times New Roman" w:cs="Times New Roman" w:eastAsia="Times New Roman" w:hAnsi="Times New Roman"/>
                <w:sz w:val="21"/>
                <w:szCs w:val="21"/>
                <w:color w:val="auto"/>
              </w:rPr>
              <w:t>require  a  change  in  the</w:t>
            </w:r>
          </w:p>
        </w:tc>
        <w:tc>
          <w:tcPr>
            <w:tcW w:w="8780" w:type="dxa"/>
            <w:vAlign w:val="bottom"/>
            <w:tcBorders>
              <w:right w:val="single" w:sz="8" w:color="auto"/>
            </w:tcBorders>
            <w:gridSpan w:val="4"/>
          </w:tcPr>
          <w:p>
            <w:pPr>
              <w:ind w:left="60"/>
              <w:spacing w:after="0" w:line="207" w:lineRule="exact"/>
              <w:rPr>
                <w:sz w:val="20"/>
                <w:szCs w:val="20"/>
                <w:color w:val="auto"/>
              </w:rPr>
            </w:pPr>
            <w:r>
              <w:rPr>
                <w:rFonts w:ascii="Times New Roman" w:cs="Times New Roman" w:eastAsia="Times New Roman" w:hAnsi="Times New Roman"/>
                <w:sz w:val="21"/>
                <w:szCs w:val="21"/>
                <w:color w:val="auto"/>
              </w:rPr>
              <w:t>reasonably request.</w:t>
            </w: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gridSpan w:val="6"/>
          </w:tcPr>
          <w:p>
            <w:pPr>
              <w:ind w:left="40"/>
              <w:spacing w:after="0" w:line="207" w:lineRule="exact"/>
              <w:rPr>
                <w:sz w:val="20"/>
                <w:szCs w:val="20"/>
                <w:color w:val="auto"/>
              </w:rPr>
            </w:pPr>
            <w:r>
              <w:rPr>
                <w:rFonts w:ascii="Times New Roman" w:cs="Times New Roman" w:eastAsia="Times New Roman" w:hAnsi="Times New Roman"/>
                <w:sz w:val="21"/>
                <w:szCs w:val="21"/>
                <w:color w:val="auto"/>
              </w:rPr>
              <w:t>amount  on  deposit  in  the</w:t>
            </w:r>
          </w:p>
        </w:tc>
        <w:tc>
          <w:tcPr>
            <w:tcW w:w="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Borders>
              <w:lef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21"/>
                <w:szCs w:val="21"/>
                <w:color w:val="auto"/>
              </w:rPr>
              <w:t>Permitted</w:t>
            </w:r>
          </w:p>
        </w:tc>
        <w:tc>
          <w:tcPr>
            <w:tcW w:w="72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21"/>
                <w:szCs w:val="21"/>
                <w:color w:val="auto"/>
                <w:w w:val="98"/>
              </w:rPr>
              <w:t>Florida</w:t>
            </w:r>
          </w:p>
        </w:tc>
        <w:tc>
          <w:tcPr>
            <w:tcW w:w="86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21"/>
                <w:szCs w:val="21"/>
                <w:color w:val="auto"/>
              </w:rPr>
              <w:t>Statutory</w:t>
            </w:r>
          </w:p>
        </w:tc>
        <w:tc>
          <w:tcPr>
            <w:tcW w:w="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9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21"/>
                <w:szCs w:val="21"/>
                <w:color w:val="auto"/>
              </w:rPr>
              <w:t>Account</w:t>
            </w:r>
          </w:p>
        </w:tc>
        <w:tc>
          <w:tcPr>
            <w:tcW w:w="3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6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5.2</w:t>
      </w:r>
    </w:p>
    <w:p>
      <w:pPr>
        <w:sectPr>
          <w:pgSz w:w="11900" w:h="16838" w:orient="portrait"/>
          <w:cols w:equalWidth="0" w:num="1">
            <w:col w:w="11260"/>
          </w:cols>
          <w:pgMar w:left="320" w:top="1335" w:right="31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41"/>
        </w:trPr>
        <w:tc>
          <w:tcPr>
            <w:tcW w:w="2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Upon request by Agent</w:t>
            </w:r>
          </w:p>
        </w:tc>
        <w:tc>
          <w:tcPr>
            <w:tcW w:w="90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9"/>
              </w:rPr>
              <w:t>(a)  to the extent Borrowers have requested that Agent make any Borrowings on its Inventory, Inventory</w:t>
            </w:r>
          </w:p>
        </w:tc>
        <w:tc>
          <w:tcPr>
            <w:tcW w:w="0" w:type="dxa"/>
            <w:vAlign w:val="bottom"/>
          </w:tcPr>
          <w:p>
            <w:pPr>
              <w:spacing w:after="0"/>
              <w:rPr>
                <w:sz w:val="1"/>
                <w:szCs w:val="1"/>
                <w:color w:val="auto"/>
              </w:rPr>
            </w:pPr>
          </w:p>
        </w:tc>
      </w:tr>
      <w:tr>
        <w:trPr>
          <w:trHeight w:val="206"/>
        </w:trPr>
        <w:tc>
          <w:tcPr>
            <w:tcW w:w="2220" w:type="dxa"/>
            <w:vAlign w:val="bottom"/>
          </w:tcPr>
          <w:p>
            <w:pPr>
              <w:spacing w:after="0"/>
              <w:rPr>
                <w:sz w:val="17"/>
                <w:szCs w:val="17"/>
                <w:color w:val="auto"/>
              </w:rPr>
            </w:pPr>
          </w:p>
        </w:tc>
        <w:tc>
          <w:tcPr>
            <w:tcW w:w="9040" w:type="dxa"/>
            <w:vAlign w:val="bottom"/>
          </w:tcPr>
          <w:p>
            <w:pPr>
              <w:ind w:left="280"/>
              <w:spacing w:after="0" w:line="207" w:lineRule="exact"/>
              <w:rPr>
                <w:sz w:val="20"/>
                <w:szCs w:val="20"/>
                <w:color w:val="auto"/>
              </w:rPr>
            </w:pPr>
            <w:r>
              <w:rPr>
                <w:rFonts w:ascii="Times New Roman" w:cs="Times New Roman" w:eastAsia="Times New Roman" w:hAnsi="Times New Roman"/>
                <w:sz w:val="21"/>
                <w:szCs w:val="21"/>
                <w:color w:val="auto"/>
              </w:rPr>
              <w:t>system/perpetual reports specifying the cost of each Borrower's and its Subsidiaries' Inventory, by</w:t>
            </w:r>
          </w:p>
        </w:tc>
        <w:tc>
          <w:tcPr>
            <w:tcW w:w="0" w:type="dxa"/>
            <w:vAlign w:val="bottom"/>
          </w:tcPr>
          <w:p>
            <w:pPr>
              <w:spacing w:after="0"/>
              <w:rPr>
                <w:sz w:val="1"/>
                <w:szCs w:val="1"/>
                <w:color w:val="auto"/>
              </w:rPr>
            </w:pPr>
          </w:p>
        </w:tc>
      </w:tr>
      <w:tr>
        <w:trPr>
          <w:trHeight w:val="206"/>
        </w:trPr>
        <w:tc>
          <w:tcPr>
            <w:tcW w:w="2220" w:type="dxa"/>
            <w:vAlign w:val="bottom"/>
          </w:tcPr>
          <w:p>
            <w:pPr>
              <w:spacing w:after="0"/>
              <w:rPr>
                <w:sz w:val="17"/>
                <w:szCs w:val="17"/>
                <w:color w:val="auto"/>
              </w:rPr>
            </w:pPr>
          </w:p>
        </w:tc>
        <w:tc>
          <w:tcPr>
            <w:tcW w:w="9040" w:type="dxa"/>
            <w:vAlign w:val="bottom"/>
          </w:tcPr>
          <w:p>
            <w:pPr>
              <w:ind w:left="280"/>
              <w:spacing w:after="0" w:line="207" w:lineRule="exact"/>
              <w:rPr>
                <w:sz w:val="20"/>
                <w:szCs w:val="20"/>
                <w:color w:val="auto"/>
              </w:rPr>
            </w:pPr>
            <w:r>
              <w:rPr>
                <w:rFonts w:ascii="Times New Roman" w:cs="Times New Roman" w:eastAsia="Times New Roman" w:hAnsi="Times New Roman"/>
                <w:sz w:val="21"/>
                <w:szCs w:val="21"/>
                <w:color w:val="auto"/>
              </w:rPr>
              <w:t>location and by category, with additional detail showing additions to and deletions therefrom (delivered</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auto"/>
            </w:tcBorders>
          </w:tcPr>
          <w:p>
            <w:pPr>
              <w:spacing w:after="0"/>
              <w:rPr>
                <w:sz w:val="23"/>
                <w:szCs w:val="23"/>
                <w:color w:val="auto"/>
              </w:rPr>
            </w:pPr>
          </w:p>
        </w:tc>
        <w:tc>
          <w:tcPr>
            <w:tcW w:w="9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1"/>
                <w:szCs w:val="21"/>
                <w:color w:val="auto"/>
              </w:rPr>
              <w:t>electronically in an acceptable format, if a Borrower has implemented electronic reporting).</w:t>
            </w:r>
          </w:p>
        </w:tc>
        <w:tc>
          <w:tcPr>
            <w:tcW w:w="0" w:type="dxa"/>
            <w:vAlign w:val="bottom"/>
          </w:tcPr>
          <w:p>
            <w:pPr>
              <w:spacing w:after="0"/>
              <w:rPr>
                <w:sz w:val="1"/>
                <w:szCs w:val="1"/>
                <w:color w:val="auto"/>
              </w:rPr>
            </w:pPr>
          </w:p>
        </w:tc>
      </w:tr>
      <w:tr>
        <w:trPr>
          <w:trHeight w:val="262"/>
        </w:trPr>
        <w:tc>
          <w:tcPr>
            <w:tcW w:w="2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Upon request by Agent</w:t>
            </w:r>
          </w:p>
        </w:tc>
        <w:tc>
          <w:tcPr>
            <w:tcW w:w="9040" w:type="dxa"/>
            <w:vAlign w:val="bottom"/>
            <w:vMerge w:val="restart"/>
          </w:tcPr>
          <w:p>
            <w:pPr>
              <w:ind w:left="320"/>
              <w:spacing w:after="0"/>
              <w:rPr>
                <w:sz w:val="20"/>
                <w:szCs w:val="20"/>
                <w:color w:val="auto"/>
              </w:rPr>
            </w:pPr>
            <w:r>
              <w:rPr>
                <w:rFonts w:ascii="Times New Roman" w:cs="Times New Roman" w:eastAsia="Times New Roman" w:hAnsi="Times New Roman"/>
                <w:sz w:val="21"/>
                <w:szCs w:val="21"/>
                <w:color w:val="auto"/>
              </w:rPr>
              <w:t>(a)  a monthly Account roll-forward, in a format acceptable to Agent in its discretion;</w:t>
            </w:r>
          </w:p>
        </w:tc>
        <w:tc>
          <w:tcPr>
            <w:tcW w:w="0" w:type="dxa"/>
            <w:vAlign w:val="bottom"/>
          </w:tcPr>
          <w:p>
            <w:pPr>
              <w:spacing w:after="0"/>
              <w:rPr>
                <w:sz w:val="1"/>
                <w:szCs w:val="1"/>
                <w:color w:val="auto"/>
              </w:rPr>
            </w:pPr>
          </w:p>
        </w:tc>
      </w:tr>
      <w:tr>
        <w:trPr>
          <w:trHeight w:val="91"/>
        </w:trPr>
        <w:tc>
          <w:tcPr>
            <w:tcW w:w="222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891540</wp:posOffset>
            </wp:positionV>
            <wp:extent cx="7155180" cy="3708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5180" cy="3708400"/>
                    </a:xfrm>
                    <a:prstGeom prst="rect">
                      <a:avLst/>
                    </a:prstGeom>
                    <a:noFill/>
                  </pic:spPr>
                </pic:pic>
              </a:graphicData>
            </a:graphic>
          </wp:anchor>
        </w:drawing>
      </w:r>
    </w:p>
    <w:p>
      <w:pPr>
        <w:jc w:val="both"/>
        <w:ind w:left="2540" w:right="100" w:firstLine="3"/>
        <w:spacing w:after="0" w:line="225" w:lineRule="auto"/>
        <w:tabs>
          <w:tab w:leader="none" w:pos="313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detailed aging of each Borrower's Accounts, together with a reconciliation to the monthly Account roll-forward and supporting documentation for any reconciling items noted (delivered electronically in an acceptable format, if a Borrower has implemented electronic reporting);</w:t>
      </w:r>
    </w:p>
    <w:p>
      <w:pPr>
        <w:spacing w:after="0" w:line="42" w:lineRule="exact"/>
        <w:rPr>
          <w:rFonts w:ascii="Times New Roman" w:cs="Times New Roman" w:eastAsia="Times New Roman" w:hAnsi="Times New Roman"/>
          <w:sz w:val="21"/>
          <w:szCs w:val="21"/>
          <w:color w:val="auto"/>
        </w:rPr>
      </w:pPr>
    </w:p>
    <w:p>
      <w:pPr>
        <w:ind w:left="2980" w:hanging="437"/>
        <w:spacing w:after="0"/>
        <w:tabs>
          <w:tab w:leader="none" w:pos="298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detailed calculation of those Accounts that are not eligible for the Borrowing Base;</w:t>
      </w:r>
    </w:p>
    <w:p>
      <w:pPr>
        <w:spacing w:after="0" w:line="67" w:lineRule="exact"/>
        <w:rPr>
          <w:rFonts w:ascii="Times New Roman" w:cs="Times New Roman" w:eastAsia="Times New Roman" w:hAnsi="Times New Roman"/>
          <w:sz w:val="21"/>
          <w:szCs w:val="21"/>
          <w:color w:val="auto"/>
        </w:rPr>
      </w:pPr>
    </w:p>
    <w:p>
      <w:pPr>
        <w:jc w:val="both"/>
        <w:ind w:left="2540" w:right="100" w:firstLine="3"/>
        <w:spacing w:after="0" w:line="225" w:lineRule="auto"/>
        <w:tabs>
          <w:tab w:leader="none" w:pos="312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Borrowers have requested that Agent make any Borrowings on its Inventory, a detailed Inventory system/perpetual report (delivered electronically in an acceptable format, if a Borrower has implemented electronic reporting);</w:t>
      </w:r>
    </w:p>
    <w:p>
      <w:pPr>
        <w:spacing w:after="0" w:line="42" w:lineRule="exact"/>
        <w:rPr>
          <w:rFonts w:ascii="Times New Roman" w:cs="Times New Roman" w:eastAsia="Times New Roman" w:hAnsi="Times New Roman"/>
          <w:sz w:val="21"/>
          <w:szCs w:val="21"/>
          <w:color w:val="auto"/>
        </w:rPr>
      </w:pPr>
    </w:p>
    <w:p>
      <w:pPr>
        <w:ind w:left="2540" w:right="100" w:firstLine="3"/>
        <w:spacing w:after="0" w:line="235" w:lineRule="auto"/>
        <w:tabs>
          <w:tab w:leader="none" w:pos="3116"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Borrowers have requested that Agent make any Borrowings on its Inventory, a detailed calculation of Inventory categories that are not eligible for the Borrowing Base;</w:t>
      </w:r>
    </w:p>
    <w:p>
      <w:pPr>
        <w:spacing w:after="0" w:line="42" w:lineRule="exact"/>
        <w:rPr>
          <w:rFonts w:ascii="Times New Roman" w:cs="Times New Roman" w:eastAsia="Times New Roman" w:hAnsi="Times New Roman"/>
          <w:sz w:val="21"/>
          <w:szCs w:val="21"/>
          <w:color w:val="auto"/>
        </w:rPr>
      </w:pPr>
    </w:p>
    <w:p>
      <w:pPr>
        <w:ind w:left="2540" w:right="100" w:firstLine="3"/>
        <w:spacing w:after="0" w:line="254" w:lineRule="auto"/>
        <w:tabs>
          <w:tab w:leader="none" w:pos="298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aging, by vendor, of each Borrower's and its Subsidiaries' accounts payable (delivered electronically in an acceptable format, if a Borrower has implemented electronic reporting); and</w:t>
      </w:r>
    </w:p>
    <w:p>
      <w:pPr>
        <w:spacing w:after="0" w:line="28" w:lineRule="exact"/>
        <w:rPr>
          <w:rFonts w:ascii="Times New Roman" w:cs="Times New Roman" w:eastAsia="Times New Roman" w:hAnsi="Times New Roman"/>
          <w:sz w:val="20"/>
          <w:szCs w:val="20"/>
          <w:color w:val="auto"/>
        </w:rPr>
      </w:pPr>
    </w:p>
    <w:p>
      <w:pPr>
        <w:ind w:left="2540" w:right="100" w:firstLine="3"/>
        <w:spacing w:after="0" w:line="235" w:lineRule="auto"/>
        <w:tabs>
          <w:tab w:leader="none" w:pos="3138"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detailed report regarding each Borrower's and its Subsidiaries' cash and Cash Equivalents, including an indication of which amounts constitute Qualified Cash.</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Upon request by Agent</w:t>
            </w:r>
          </w:p>
        </w:tc>
        <w:tc>
          <w:tcPr>
            <w:tcW w:w="6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(a)</w:t>
            </w:r>
          </w:p>
        </w:tc>
        <w:tc>
          <w:tcPr>
            <w:tcW w:w="8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a reconciliation of Accounts aging, trade accounts payable aging, and Inventory perpetual of each</w:t>
            </w:r>
          </w:p>
        </w:tc>
      </w:tr>
      <w:tr>
        <w:trPr>
          <w:trHeight w:val="206"/>
        </w:trPr>
        <w:tc>
          <w:tcPr>
            <w:tcW w:w="2220" w:type="dxa"/>
            <w:vAlign w:val="bottom"/>
          </w:tcPr>
          <w:p>
            <w:pPr>
              <w:spacing w:after="0"/>
              <w:rPr>
                <w:sz w:val="17"/>
                <w:szCs w:val="17"/>
                <w:color w:val="auto"/>
              </w:rPr>
            </w:pPr>
          </w:p>
        </w:tc>
        <w:tc>
          <w:tcPr>
            <w:tcW w:w="904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21"/>
                <w:szCs w:val="21"/>
                <w:color w:val="auto"/>
                <w:w w:val="99"/>
              </w:rPr>
              <w:t>Borrower to the general ledger and the monthly financial statements, including any book reserves related</w:t>
            </w:r>
          </w:p>
        </w:tc>
      </w:tr>
      <w:tr>
        <w:trPr>
          <w:trHeight w:val="269"/>
        </w:trPr>
        <w:tc>
          <w:tcPr>
            <w:tcW w:w="2220" w:type="dxa"/>
            <w:vAlign w:val="bottom"/>
            <w:tcBorders>
              <w:bottom w:val="single" w:sz="8" w:color="auto"/>
            </w:tcBorders>
          </w:tcPr>
          <w:p>
            <w:pPr>
              <w:spacing w:after="0"/>
              <w:rPr>
                <w:sz w:val="23"/>
                <w:szCs w:val="23"/>
                <w:color w:val="auto"/>
              </w:rPr>
            </w:pPr>
          </w:p>
        </w:tc>
        <w:tc>
          <w:tcPr>
            <w:tcW w:w="90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21"/>
                <w:szCs w:val="21"/>
                <w:color w:val="auto"/>
              </w:rPr>
              <w:t>to each category.</w:t>
            </w:r>
          </w:p>
        </w:tc>
      </w:tr>
      <w:tr>
        <w:trPr>
          <w:trHeight w:val="188"/>
        </w:trPr>
        <w:tc>
          <w:tcPr>
            <w:tcW w:w="2220" w:type="dxa"/>
            <w:vAlign w:val="bottom"/>
          </w:tcPr>
          <w:p>
            <w:pPr>
              <w:ind w:left="40"/>
              <w:spacing w:after="0" w:line="188" w:lineRule="exact"/>
              <w:rPr>
                <w:sz w:val="20"/>
                <w:szCs w:val="20"/>
                <w:color w:val="auto"/>
              </w:rPr>
            </w:pPr>
            <w:r>
              <w:rPr>
                <w:rFonts w:ascii="Times New Roman" w:cs="Times New Roman" w:eastAsia="Times New Roman" w:hAnsi="Times New Roman"/>
                <w:sz w:val="21"/>
                <w:szCs w:val="21"/>
                <w:color w:val="auto"/>
              </w:rPr>
              <w:t>Upon request by Agent</w:t>
            </w:r>
          </w:p>
        </w:tc>
        <w:tc>
          <w:tcPr>
            <w:tcW w:w="640" w:type="dxa"/>
            <w:vAlign w:val="bottom"/>
          </w:tcPr>
          <w:p>
            <w:pPr>
              <w:ind w:left="280"/>
              <w:spacing w:after="0" w:line="188" w:lineRule="exact"/>
              <w:rPr>
                <w:sz w:val="20"/>
                <w:szCs w:val="20"/>
                <w:color w:val="auto"/>
              </w:rPr>
            </w:pPr>
            <w:r>
              <w:rPr>
                <w:rFonts w:ascii="Times New Roman" w:cs="Times New Roman" w:eastAsia="Times New Roman" w:hAnsi="Times New Roman"/>
                <w:sz w:val="21"/>
                <w:szCs w:val="21"/>
                <w:color w:val="auto"/>
              </w:rPr>
              <w:t>(a)</w:t>
            </w:r>
          </w:p>
        </w:tc>
        <w:tc>
          <w:tcPr>
            <w:tcW w:w="8400" w:type="dxa"/>
            <w:vAlign w:val="bottom"/>
          </w:tcPr>
          <w:p>
            <w:pPr>
              <w:jc w:val="right"/>
              <w:spacing w:after="0" w:line="188" w:lineRule="exact"/>
              <w:rPr>
                <w:sz w:val="20"/>
                <w:szCs w:val="20"/>
                <w:color w:val="auto"/>
              </w:rPr>
            </w:pPr>
            <w:r>
              <w:rPr>
                <w:rFonts w:ascii="Times New Roman" w:cs="Times New Roman" w:eastAsia="Times New Roman" w:hAnsi="Times New Roman"/>
                <w:sz w:val="21"/>
                <w:szCs w:val="21"/>
                <w:color w:val="auto"/>
              </w:rPr>
              <w:t>a detailed list of each Borrower's and its Subsidiaries' customers, with address and contact</w:t>
            </w:r>
          </w:p>
        </w:tc>
      </w:tr>
      <w:tr>
        <w:trPr>
          <w:trHeight w:val="268"/>
        </w:trPr>
        <w:tc>
          <w:tcPr>
            <w:tcW w:w="2220" w:type="dxa"/>
            <w:vAlign w:val="bottom"/>
          </w:tcPr>
          <w:p>
            <w:pPr>
              <w:spacing w:after="0"/>
              <w:rPr>
                <w:sz w:val="23"/>
                <w:szCs w:val="23"/>
                <w:color w:val="auto"/>
              </w:rPr>
            </w:pPr>
          </w:p>
        </w:tc>
        <w:tc>
          <w:tcPr>
            <w:tcW w:w="9040" w:type="dxa"/>
            <w:vAlign w:val="bottom"/>
            <w:gridSpan w:val="2"/>
          </w:tcPr>
          <w:p>
            <w:pPr>
              <w:ind w:left="280"/>
              <w:spacing w:after="0"/>
              <w:rPr>
                <w:sz w:val="20"/>
                <w:szCs w:val="20"/>
                <w:color w:val="auto"/>
              </w:rPr>
            </w:pPr>
            <w:r>
              <w:rPr>
                <w:rFonts w:ascii="Times New Roman" w:cs="Times New Roman" w:eastAsia="Times New Roman" w:hAnsi="Times New Roman"/>
                <w:sz w:val="21"/>
                <w:szCs w:val="21"/>
                <w:color w:val="auto"/>
              </w:rPr>
              <w:t>information.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5.2</w:t>
      </w:r>
    </w:p>
    <w:p>
      <w:pPr>
        <w:sectPr>
          <w:pgSz w:w="11900" w:h="16838" w:orient="portrait"/>
          <w:cols w:equalWidth="0" w:num="1">
            <w:col w:w="11260"/>
          </w:cols>
          <w:pgMar w:left="320" w:top="1368" w:right="319" w:bottom="1440" w:gutter="0" w:footer="0" w:header="0"/>
        </w:sectPr>
      </w:pPr>
    </w:p>
    <w:bookmarkStart w:id="216" w:name="page217"/>
    <w:bookmarkEnd w:id="216"/>
    <w:tbl>
      <w:tblPr>
        <w:tblLayout w:type="fixed"/>
        <w:tblInd w:w="10" w:type="dxa"/>
        <w:tblCellMar>
          <w:top w:w="0" w:type="dxa"/>
          <w:left w:w="0" w:type="dxa"/>
          <w:bottom w:w="0" w:type="dxa"/>
          <w:right w:w="0" w:type="dxa"/>
        </w:tblCellMar>
      </w:tblPr>
      <w:tr>
        <w:trPr>
          <w:trHeight w:val="281"/>
        </w:trPr>
        <w:tc>
          <w:tcPr>
            <w:tcW w:w="24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Upon request by Agent</w:t>
            </w:r>
          </w:p>
        </w:tc>
        <w:tc>
          <w:tcPr>
            <w:tcW w:w="8780" w:type="dxa"/>
            <w:vAlign w:val="bottom"/>
            <w:tcBorders>
              <w:top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(a)  copies of purchase orders and invoices for Inventory and Equipment acquired by each Borrower or</w:t>
            </w:r>
          </w:p>
        </w:tc>
        <w:tc>
          <w:tcPr>
            <w:tcW w:w="0" w:type="dxa"/>
            <w:vAlign w:val="bottom"/>
          </w:tcPr>
          <w:p>
            <w:pPr>
              <w:spacing w:after="0"/>
              <w:rPr>
                <w:sz w:val="1"/>
                <w:szCs w:val="1"/>
                <w:color w:val="auto"/>
              </w:rPr>
            </w:pPr>
          </w:p>
        </w:tc>
      </w:tr>
      <w:tr>
        <w:trPr>
          <w:trHeight w:val="29"/>
        </w:trPr>
        <w:tc>
          <w:tcPr>
            <w:tcW w:w="2480" w:type="dxa"/>
            <w:vAlign w:val="bottom"/>
            <w:tcBorders>
              <w:left w:val="single" w:sz="8" w:color="auto"/>
              <w:right w:val="single" w:sz="8" w:color="auto"/>
            </w:tcBorders>
          </w:tcPr>
          <w:p>
            <w:pPr>
              <w:spacing w:after="0"/>
              <w:rPr>
                <w:sz w:val="2"/>
                <w:szCs w:val="2"/>
                <w:color w:val="auto"/>
              </w:rPr>
            </w:pPr>
          </w:p>
        </w:tc>
        <w:tc>
          <w:tcPr>
            <w:tcW w:w="87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its Subsidiaries, and</w:t>
            </w:r>
          </w:p>
        </w:tc>
        <w:tc>
          <w:tcPr>
            <w:tcW w:w="0" w:type="dxa"/>
            <w:vAlign w:val="bottom"/>
          </w:tcPr>
          <w:p>
            <w:pPr>
              <w:spacing w:after="0"/>
              <w:rPr>
                <w:sz w:val="1"/>
                <w:szCs w:val="1"/>
                <w:color w:val="auto"/>
              </w:rPr>
            </w:pPr>
          </w:p>
        </w:tc>
      </w:tr>
      <w:tr>
        <w:trPr>
          <w:trHeight w:val="248"/>
        </w:trPr>
        <w:tc>
          <w:tcPr>
            <w:tcW w:w="2480" w:type="dxa"/>
            <w:vAlign w:val="bottom"/>
            <w:tcBorders>
              <w:left w:val="single" w:sz="8" w:color="auto"/>
              <w:right w:val="single" w:sz="8" w:color="auto"/>
            </w:tcBorders>
          </w:tcPr>
          <w:p>
            <w:pPr>
              <w:spacing w:after="0"/>
              <w:rPr>
                <w:sz w:val="21"/>
                <w:szCs w:val="21"/>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(b)   such other reports and information as to the Collateral and as to each as Agent may reasonably</w:t>
            </w:r>
          </w:p>
        </w:tc>
        <w:tc>
          <w:tcPr>
            <w:tcW w:w="0" w:type="dxa"/>
            <w:vAlign w:val="bottom"/>
          </w:tcPr>
          <w:p>
            <w:pPr>
              <w:spacing w:after="0"/>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request.</w:t>
            </w:r>
          </w:p>
        </w:tc>
        <w:tc>
          <w:tcPr>
            <w:tcW w:w="0" w:type="dxa"/>
            <w:vAlign w:val="bottom"/>
          </w:tcPr>
          <w:p>
            <w:pPr>
              <w:spacing w:after="0"/>
              <w:rPr>
                <w:sz w:val="1"/>
                <w:szCs w:val="1"/>
                <w:color w:val="auto"/>
              </w:rPr>
            </w:pPr>
          </w:p>
        </w:tc>
      </w:tr>
      <w:tr>
        <w:trPr>
          <w:trHeight w:val="106"/>
        </w:trPr>
        <w:tc>
          <w:tcPr>
            <w:tcW w:w="248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80" w:type="dxa"/>
            <w:vAlign w:val="bottom"/>
            <w:tcBorders>
              <w:left w:val="single" w:sz="8" w:color="auto"/>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color w:val="auto"/>
              </w:rPr>
              <w:t>Upon request by Agent</w:t>
            </w:r>
          </w:p>
        </w:tc>
        <w:tc>
          <w:tcPr>
            <w:tcW w:w="400" w:type="dxa"/>
            <w:vAlign w:val="bottom"/>
          </w:tcPr>
          <w:p>
            <w:pPr>
              <w:ind w:left="60"/>
              <w:spacing w:after="0" w:line="187" w:lineRule="exact"/>
              <w:rPr>
                <w:sz w:val="20"/>
                <w:szCs w:val="20"/>
                <w:color w:val="auto"/>
              </w:rPr>
            </w:pPr>
            <w:r>
              <w:rPr>
                <w:rFonts w:ascii="Times New Roman" w:cs="Times New Roman" w:eastAsia="Times New Roman" w:hAnsi="Times New Roman"/>
                <w:sz w:val="21"/>
                <w:szCs w:val="21"/>
                <w:color w:val="auto"/>
              </w:rPr>
              <w:t>(r)</w:t>
            </w:r>
          </w:p>
        </w:tc>
        <w:tc>
          <w:tcPr>
            <w:tcW w:w="8380" w:type="dxa"/>
            <w:vAlign w:val="bottom"/>
            <w:tcBorders>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21"/>
                <w:szCs w:val="21"/>
                <w:color w:val="auto"/>
                <w:w w:val="98"/>
              </w:rPr>
              <w:t>copies of purchase orders and invoices for Inventory and Equipment acquired by any Loan Party or</w:t>
            </w:r>
          </w:p>
        </w:tc>
        <w:tc>
          <w:tcPr>
            <w:tcW w:w="0" w:type="dxa"/>
            <w:vAlign w:val="bottom"/>
          </w:tcPr>
          <w:p>
            <w:pPr>
              <w:spacing w:after="0"/>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its Subsidiaries,</w:t>
            </w:r>
          </w:p>
        </w:tc>
        <w:tc>
          <w:tcPr>
            <w:tcW w:w="0" w:type="dxa"/>
            <w:vAlign w:val="bottom"/>
          </w:tcPr>
          <w:p>
            <w:pPr>
              <w:spacing w:after="0"/>
              <w:rPr>
                <w:sz w:val="1"/>
                <w:szCs w:val="1"/>
                <w:color w:val="auto"/>
              </w:rPr>
            </w:pPr>
          </w:p>
        </w:tc>
      </w:tr>
      <w:tr>
        <w:trPr>
          <w:trHeight w:val="351"/>
        </w:trPr>
        <w:tc>
          <w:tcPr>
            <w:tcW w:w="2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w:t>
            </w:r>
          </w:p>
        </w:tc>
        <w:tc>
          <w:tcPr>
            <w:tcW w:w="8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copies of invoices together with corresponding shipping and delivery documents, and credit</w:t>
            </w:r>
          </w:p>
        </w:tc>
        <w:tc>
          <w:tcPr>
            <w:tcW w:w="0" w:type="dxa"/>
            <w:vAlign w:val="bottom"/>
          </w:tcPr>
          <w:p>
            <w:pPr>
              <w:spacing w:after="0"/>
              <w:rPr>
                <w:sz w:val="1"/>
                <w:szCs w:val="1"/>
                <w:color w:val="auto"/>
              </w:rPr>
            </w:pPr>
          </w:p>
        </w:tc>
      </w:tr>
      <w:tr>
        <w:trPr>
          <w:trHeight w:val="206"/>
        </w:trPr>
        <w:tc>
          <w:tcPr>
            <w:tcW w:w="2480" w:type="dxa"/>
            <w:vAlign w:val="bottom"/>
            <w:tcBorders>
              <w:left w:val="single" w:sz="8" w:color="auto"/>
              <w:right w:val="single" w:sz="8" w:color="auto"/>
            </w:tcBorders>
          </w:tcPr>
          <w:p>
            <w:pPr>
              <w:spacing w:after="0"/>
              <w:rPr>
                <w:sz w:val="17"/>
                <w:szCs w:val="17"/>
                <w:color w:val="auto"/>
              </w:rPr>
            </w:pPr>
          </w:p>
        </w:tc>
        <w:tc>
          <w:tcPr>
            <w:tcW w:w="8780" w:type="dxa"/>
            <w:vAlign w:val="bottom"/>
            <w:tcBorders>
              <w:right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21"/>
                <w:szCs w:val="21"/>
                <w:color w:val="auto"/>
              </w:rPr>
              <w:t>memos together with corresponding supporting documentation, with respect to invoices and credit</w:t>
            </w:r>
          </w:p>
        </w:tc>
        <w:tc>
          <w:tcPr>
            <w:tcW w:w="0" w:type="dxa"/>
            <w:vAlign w:val="bottom"/>
          </w:tcPr>
          <w:p>
            <w:pPr>
              <w:spacing w:after="0"/>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memos in excess of an amount determined in the sole discretion of Agent, from time to time,</w:t>
            </w:r>
          </w:p>
        </w:tc>
        <w:tc>
          <w:tcPr>
            <w:tcW w:w="0" w:type="dxa"/>
            <w:vAlign w:val="bottom"/>
          </w:tcPr>
          <w:p>
            <w:pPr>
              <w:spacing w:after="0"/>
              <w:rPr>
                <w:sz w:val="1"/>
                <w:szCs w:val="1"/>
                <w:color w:val="auto"/>
              </w:rPr>
            </w:pPr>
          </w:p>
        </w:tc>
      </w:tr>
      <w:tr>
        <w:trPr>
          <w:trHeight w:val="351"/>
        </w:trPr>
        <w:tc>
          <w:tcPr>
            <w:tcW w:w="2480" w:type="dxa"/>
            <w:vAlign w:val="bottom"/>
            <w:tcBorders>
              <w:left w:val="single" w:sz="8" w:color="auto"/>
              <w:right w:val="single" w:sz="8" w:color="auto"/>
            </w:tcBorders>
          </w:tcPr>
          <w:p>
            <w:pPr>
              <w:spacing w:after="0"/>
              <w:rPr>
                <w:sz w:val="24"/>
                <w:szCs w:val="24"/>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(t)  any change in the information provided in the Beneficial Ownership Certification that would result</w:t>
            </w:r>
          </w:p>
        </w:tc>
        <w:tc>
          <w:tcPr>
            <w:tcW w:w="0" w:type="dxa"/>
            <w:vAlign w:val="bottom"/>
          </w:tcPr>
          <w:p>
            <w:pPr>
              <w:spacing w:after="0"/>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in a change to the list of beneficial owners identified in parts (c) or (d) of such certification; and</w:t>
            </w:r>
          </w:p>
        </w:tc>
        <w:tc>
          <w:tcPr>
            <w:tcW w:w="0" w:type="dxa"/>
            <w:vAlign w:val="bottom"/>
          </w:tcPr>
          <w:p>
            <w:pPr>
              <w:spacing w:after="0"/>
              <w:rPr>
                <w:sz w:val="1"/>
                <w:szCs w:val="1"/>
                <w:color w:val="auto"/>
              </w:rPr>
            </w:pPr>
          </w:p>
        </w:tc>
      </w:tr>
      <w:tr>
        <w:trPr>
          <w:trHeight w:val="351"/>
        </w:trPr>
        <w:tc>
          <w:tcPr>
            <w:tcW w:w="2480" w:type="dxa"/>
            <w:vAlign w:val="bottom"/>
            <w:tcBorders>
              <w:left w:val="single" w:sz="8" w:color="auto"/>
              <w:right w:val="single" w:sz="8" w:color="auto"/>
            </w:tcBorders>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(u)</w:t>
            </w:r>
          </w:p>
        </w:tc>
        <w:tc>
          <w:tcPr>
            <w:tcW w:w="8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such other reports as to the Collateral of any Loan Party and its Subsidiaries, as Agent may</w:t>
            </w:r>
          </w:p>
        </w:tc>
        <w:tc>
          <w:tcPr>
            <w:tcW w:w="0" w:type="dxa"/>
            <w:vAlign w:val="bottom"/>
          </w:tcPr>
          <w:p>
            <w:pPr>
              <w:spacing w:after="0"/>
              <w:rPr>
                <w:sz w:val="1"/>
                <w:szCs w:val="1"/>
                <w:color w:val="auto"/>
              </w:rPr>
            </w:pPr>
          </w:p>
        </w:tc>
      </w:tr>
      <w:tr>
        <w:trPr>
          <w:trHeight w:val="268"/>
        </w:trPr>
        <w:tc>
          <w:tcPr>
            <w:tcW w:w="248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reasonably request.</w:t>
            </w:r>
          </w:p>
        </w:tc>
        <w:tc>
          <w:tcPr>
            <w:tcW w:w="0" w:type="dxa"/>
            <w:vAlign w:val="bottom"/>
          </w:tcPr>
          <w:p>
            <w:pPr>
              <w:spacing w:after="0"/>
              <w:rPr>
                <w:sz w:val="1"/>
                <w:szCs w:val="1"/>
                <w:color w:val="auto"/>
              </w:rPr>
            </w:pPr>
          </w:p>
        </w:tc>
      </w:tr>
      <w:tr>
        <w:trPr>
          <w:trHeight w:val="111"/>
        </w:trPr>
        <w:tc>
          <w:tcPr>
            <w:tcW w:w="2480" w:type="dxa"/>
            <w:vAlign w:val="bottom"/>
            <w:tcBorders>
              <w:left w:val="single" w:sz="8" w:color="auto"/>
              <w:bottom w:val="single" w:sz="8" w:color="auto"/>
              <w:right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Schedule 5.2</w:t>
      </w:r>
    </w:p>
    <w:p>
      <w:pPr>
        <w:sectPr>
          <w:pgSz w:w="11900" w:h="16838" w:orient="portrait"/>
          <w:cols w:equalWidth="0" w:num="1">
            <w:col w:w="11260"/>
          </w:cols>
          <w:pgMar w:left="320" w:top="1383" w:right="31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29, 2022</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29, 2022</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2022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April 29,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March 31, 2022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April 29,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
      <w:numFmt w:val="bullet"/>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1)"/>
      <w:numFmt w:val="lowerRoman"/>
      <w:start w:val="4"/>
    </w:lvl>
  </w:abstractNum>
  <w:abstractNum w:abstractNumId="7">
    <w:nsid w:val="2A155DBC"/>
    <w:multiLevelType w:val="hybridMultilevel"/>
    <w:lvl w:ilvl="0">
      <w:lvlJc w:val="left"/>
      <w:lvlText w:val="&amp;"/>
      <w:numFmt w:val="bullet"/>
      <w:start w:val="1"/>
    </w:lvl>
  </w:abstractNum>
  <w:abstractNum w:abstractNumId="8">
    <w:nsid w:val="1D9F6E5F"/>
    <w:multiLevelType w:val="hybridMultilevel"/>
    <w:lvl w:ilvl="0">
      <w:lvlJc w:val="left"/>
      <w:lvlText w:val="(%1)"/>
      <w:numFmt w:val="decimal"/>
      <w:start w:val="1"/>
    </w:lvl>
  </w:abstractNum>
  <w:abstractNum w:abstractNumId="9">
    <w:nsid w:val="97E1B4E"/>
    <w:multiLevelType w:val="hybridMultilevel"/>
    <w:lvl w:ilvl="0">
      <w:lvlJc w:val="left"/>
      <w:lvlText w:val="(%1)"/>
      <w:numFmt w:val="decimal"/>
      <w:start w:val="1"/>
    </w:lvl>
  </w:abstractNum>
  <w:abstractNum w:abstractNumId="10">
    <w:nsid w:val="51088277"/>
    <w:multiLevelType w:val="hybridMultilevel"/>
    <w:lvl w:ilvl="0">
      <w:lvlJc w:val="left"/>
      <w:lvlText w:val="(%1)"/>
      <w:numFmt w:val="decimal"/>
      <w:start w:val="3"/>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1)"/>
      <w:numFmt w:val="decimal"/>
      <w:start w:val="1"/>
    </w:lvl>
  </w:abstractNum>
  <w:abstractNum w:abstractNumId="13">
    <w:nsid w:val="415E286C"/>
    <w:multiLevelType w:val="hybridMultilevel"/>
    <w:lvl w:ilvl="0">
      <w:lvlJc w:val="left"/>
      <w:lvlText w:val="(%1)"/>
      <w:numFmt w:val="decimal"/>
      <w:start w:val="1"/>
    </w:lvl>
  </w:abstractNum>
  <w:abstractNum w:abstractNumId="14">
    <w:nsid w:val="7C58FD05"/>
    <w:multiLevelType w:val="hybridMultilevel"/>
    <w:lvl w:ilvl="0">
      <w:lvlJc w:val="left"/>
      <w:lvlText w:val="%1."/>
      <w:numFmt w:val="decimal"/>
      <w:start w:val="1"/>
    </w:lvl>
  </w:abstractNum>
  <w:abstractNum w:abstractNumId="15">
    <w:nsid w:val="23D86AAC"/>
    <w:multiLevelType w:val="hybridMultilevel"/>
    <w:lvl w:ilvl="0">
      <w:lvlJc w:val="left"/>
      <w:lvlText w:val="(%1)"/>
      <w:numFmt w:val="lowerRoman"/>
      <w:start w:val="1"/>
    </w:lvl>
  </w:abstractNum>
  <w:abstractNum w:abstractNumId="16">
    <w:nsid w:val="45E6D486"/>
    <w:multiLevelType w:val="hybridMultilevel"/>
    <w:lvl w:ilvl="0">
      <w:lvlJc w:val="left"/>
      <w:lvlText w:val="(%1)"/>
      <w:numFmt w:val="lowerLetter"/>
      <w:start w:val="3"/>
    </w:lvl>
  </w:abstractNum>
  <w:abstractNum w:abstractNumId="17">
    <w:nsid w:val="5C10FE21"/>
    <w:multiLevelType w:val="hybridMultilevel"/>
    <w:lvl w:ilvl="0">
      <w:lvlJc w:val="left"/>
      <w:lvlText w:val="(%1)"/>
      <w:numFmt w:val="lowerLetter"/>
      <w:start w:val="1"/>
    </w:lvl>
  </w:abstractNum>
  <w:abstractNum w:abstractNumId="18">
    <w:nsid w:val="E7FFA2B"/>
    <w:multiLevelType w:val="hybridMultilevel"/>
    <w:lvl w:ilvl="0">
      <w:lvlJc w:val="left"/>
      <w:lvlText w:val="(%1)"/>
      <w:numFmt w:val="lowerLetter"/>
      <w:start w:val="1"/>
    </w:lvl>
    <w:lvl w:ilvl="1">
      <w:lvlJc w:val="left"/>
      <w:lvlText w:val="(%2)"/>
      <w:numFmt w:val="lowerRoman"/>
      <w:start w:val="1"/>
    </w:lvl>
  </w:abstractNum>
  <w:abstractNum w:abstractNumId="19">
    <w:nsid w:val="3C5991AA"/>
    <w:multiLevelType w:val="hybridMultilevel"/>
    <w:lvl w:ilvl="0">
      <w:lvlJc w:val="left"/>
      <w:lvlText w:val="(%1)"/>
      <w:numFmt w:val="lowerLetter"/>
      <w:start w:val="5"/>
    </w:lvl>
  </w:abstractNum>
  <w:abstractNum w:abstractNumId="20">
    <w:nsid w:val="4BD8591A"/>
    <w:multiLevelType w:val="hybridMultilevel"/>
    <w:lvl w:ilvl="0">
      <w:lvlJc w:val="left"/>
      <w:lvlText w:val="(%1)"/>
      <w:numFmt w:val="lowerLetter"/>
      <w:start w:val="1"/>
    </w:lvl>
  </w:abstractNum>
  <w:abstractNum w:abstractNumId="21">
    <w:nsid w:val="78DF6A55"/>
    <w:multiLevelType w:val="hybridMultilevel"/>
    <w:lvl w:ilvl="0">
      <w:lvlJc w:val="left"/>
      <w:lvlText w:val="(%1)"/>
      <w:numFmt w:val="lowerLetter"/>
      <w:start w:val="4"/>
    </w:lvl>
  </w:abstractNum>
  <w:abstractNum w:abstractNumId="22">
    <w:nsid w:val="39B7AAA2"/>
    <w:multiLevelType w:val="hybridMultilevel"/>
    <w:lvl w:ilvl="0">
      <w:lvlJc w:val="left"/>
      <w:lvlText w:val="(%1)"/>
      <w:numFmt w:val="lowerLetter"/>
      <w:start w:val="1"/>
    </w:lvl>
  </w:abstractNum>
  <w:abstractNum w:abstractNumId="23">
    <w:nsid w:val="2B0D8DBE"/>
    <w:multiLevelType w:val="hybridMultilevel"/>
    <w:lvl w:ilvl="0">
      <w:lvlJc w:val="left"/>
      <w:lvlText w:val="(%1)"/>
      <w:numFmt w:val="lowerLetter"/>
      <w:start w:val="1"/>
    </w:lvl>
  </w:abstractNum>
  <w:abstractNum w:abstractNumId="24">
    <w:nsid w:val="6C80EC70"/>
    <w:multiLevelType w:val="hybridMultilevel"/>
    <w:lvl w:ilvl="0">
      <w:lvlJc w:val="left"/>
      <w:lvlText w:val="(%1)"/>
      <w:numFmt w:val="lowerLetter"/>
      <w:start w:val="2"/>
    </w:lvl>
    <w:lvl w:ilvl="1">
      <w:lvlJc w:val="left"/>
      <w:lvlText w:val="(%2)"/>
      <w:numFmt w:val="lowerRoman"/>
      <w:start w:val="1"/>
    </w:lvl>
  </w:abstractNum>
  <w:abstractNum w:abstractNumId="25">
    <w:nsid w:val="379E21B5"/>
    <w:multiLevelType w:val="hybridMultilevel"/>
    <w:lvl w:ilvl="0">
      <w:lvlJc w:val="left"/>
      <w:lvlText w:val="(%1)"/>
      <w:numFmt w:val="lowerLetter"/>
      <w:start w:val="3"/>
    </w:lvl>
    <w:lvl w:ilvl="1">
      <w:lvlJc w:val="left"/>
      <w:lvlText w:val="(%2)"/>
      <w:numFmt w:val="lowerRoman"/>
      <w:start w:val="1"/>
    </w:lvl>
  </w:abstractNum>
  <w:abstractNum w:abstractNumId="26">
    <w:nsid w:val="69E373"/>
    <w:multiLevelType w:val="hybridMultilevel"/>
    <w:lvl w:ilvl="0">
      <w:lvlJc w:val="left"/>
      <w:lvlText w:val="(%1)"/>
      <w:numFmt w:val="lowerLetter"/>
      <w:start w:val="1"/>
    </w:lvl>
  </w:abstractNum>
  <w:abstractNum w:abstractNumId="27">
    <w:nsid w:val="2C27173B"/>
    <w:multiLevelType w:val="hybridMultilevel"/>
    <w:lvl w:ilvl="0">
      <w:lvlJc w:val="left"/>
      <w:lvlText w:val="(%1)"/>
      <w:numFmt w:val="lowerLetter"/>
      <w:start w:val="9"/>
    </w:lvl>
  </w:abstractNum>
  <w:abstractNum w:abstractNumId="28">
    <w:nsid w:val="4C9B0904"/>
    <w:multiLevelType w:val="hybridMultilevel"/>
    <w:lvl w:ilvl="0">
      <w:lvlJc w:val="left"/>
      <w:lvlText w:val="(%1)"/>
      <w:numFmt w:val="lowerLetter"/>
      <w:start w:val="20"/>
    </w:lvl>
  </w:abstractNum>
  <w:abstractNum w:abstractNumId="29">
    <w:nsid w:val="6AA7B75C"/>
    <w:multiLevelType w:val="hybridMultilevel"/>
    <w:lvl w:ilvl="0">
      <w:lvlJc w:val="left"/>
      <w:lvlText w:val="(%1)"/>
      <w:numFmt w:val="lowerLetter"/>
      <w:start w:val="1"/>
    </w:lvl>
  </w:abstractNum>
  <w:abstractNum w:abstractNumId="30">
    <w:nsid w:val="1DF029D3"/>
    <w:multiLevelType w:val="hybridMultilevel"/>
    <w:lvl w:ilvl="0">
      <w:lvlJc w:val="left"/>
      <w:lvlText w:val="(%1)"/>
      <w:numFmt w:val="lowerLetter"/>
      <w:start w:val="5"/>
    </w:lvl>
  </w:abstractNum>
  <w:abstractNum w:abstractNumId="31">
    <w:nsid w:val="5675FF36"/>
    <w:multiLevelType w:val="hybridMultilevel"/>
    <w:lvl w:ilvl="0">
      <w:lvlJc w:val="left"/>
      <w:lvlText w:val="(%1)"/>
      <w:numFmt w:val="lowerLetter"/>
      <w:start w:val="35"/>
    </w:lvl>
    <w:lvl w:ilvl="1">
      <w:lvlJc w:val="left"/>
      <w:lvlText w:val="(%2)"/>
      <w:numFmt w:val="lowerLetter"/>
      <w:start w:val="1"/>
    </w:lvl>
  </w:abstractNum>
  <w:abstractNum w:abstractNumId="32">
    <w:nsid w:val="3DD15094"/>
    <w:multiLevelType w:val="hybridMultilevel"/>
    <w:lvl w:ilvl="0">
      <w:lvlJc w:val="left"/>
      <w:lvlText w:val="(%1)"/>
      <w:numFmt w:val="lowerLetter"/>
      <w:start w:val="6"/>
    </w:lvl>
  </w:abstractNum>
  <w:abstractNum w:abstractNumId="33">
    <w:nsid w:val="3DB012B3"/>
    <w:multiLevelType w:val="hybridMultilevel"/>
    <w:lvl w:ilvl="0">
      <w:lvlJc w:val="left"/>
      <w:lvlText w:val="(%1)"/>
      <w:numFmt w:val="lowerLetter"/>
      <w:start w:val="20"/>
    </w:lvl>
  </w:abstractNum>
  <w:abstractNum w:abstractNumId="34">
    <w:nsid w:val="2708C9AF"/>
    <w:multiLevelType w:val="hybridMultilevel"/>
    <w:lvl w:ilvl="0">
      <w:lvlJc w:val="left"/>
      <w:lvlText w:val="(%1)"/>
      <w:numFmt w:val="lowerLetter"/>
      <w:start w:val="17"/>
    </w:lvl>
  </w:abstractNum>
  <w:abstractNum w:abstractNumId="35">
    <w:nsid w:val="5B25ACE2"/>
    <w:multiLevelType w:val="hybridMultilevel"/>
    <w:lvl w:ilvl="0">
      <w:lvlJc w:val="left"/>
      <w:lvlText w:val="(%1)"/>
      <w:numFmt w:val="lowerLetter"/>
      <w:start w:val="4"/>
    </w:lvl>
  </w:abstractNum>
  <w:abstractNum w:abstractNumId="36">
    <w:nsid w:val="175DFCF0"/>
    <w:multiLevelType w:val="hybridMultilevel"/>
    <w:lvl w:ilvl="0">
      <w:lvlJc w:val="left"/>
      <w:lvlText w:val="(%1)"/>
      <w:numFmt w:val="lowerRoman"/>
      <w:start w:val="1"/>
    </w:lvl>
  </w:abstractNum>
  <w:abstractNum w:abstractNumId="37">
    <w:nsid w:val="4F97E3E4"/>
    <w:multiLevelType w:val="hybridMultilevel"/>
    <w:lvl w:ilvl="0">
      <w:lvlJc w:val="left"/>
      <w:lvlText w:val="(%1)"/>
      <w:numFmt w:val="lowerLetter"/>
      <w:start w:val="1"/>
    </w:lvl>
  </w:abstractNum>
  <w:abstractNum w:abstractNumId="38">
    <w:nsid w:val="53B0A9E"/>
    <w:multiLevelType w:val="hybridMultilevel"/>
    <w:lvl w:ilvl="0">
      <w:lvlJc w:val="left"/>
      <w:lvlText w:val="(%1)"/>
      <w:numFmt w:val="lowerLetter"/>
      <w:start w:val="2"/>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lowerLetter"/>
      <w:start w:val="4"/>
    </w:lvl>
  </w:abstractNum>
  <w:abstractNum w:abstractNumId="41">
    <w:nsid w:val="56438D15"/>
    <w:multiLevelType w:val="hybridMultilevel"/>
    <w:lvl w:ilvl="0">
      <w:lvlJc w:val="left"/>
      <w:lvlText w:val="(%1)"/>
      <w:numFmt w:val="lowerLetter"/>
      <w:start w:val="1"/>
    </w:lvl>
  </w:abstractNum>
  <w:abstractNum w:abstractNumId="42">
    <w:nsid w:val="519E3149"/>
    <w:multiLevelType w:val="hybridMultilevel"/>
    <w:lvl w:ilvl="0">
      <w:lvlJc w:val="left"/>
      <w:lvlText w:val="(%1)"/>
      <w:numFmt w:val="lowerLetter"/>
      <w:start w:val="11"/>
    </w:lvl>
  </w:abstractNum>
  <w:abstractNum w:abstractNumId="43">
    <w:nsid w:val="2C6E4AFD"/>
    <w:multiLevelType w:val="hybridMultilevel"/>
    <w:lvl w:ilvl="0">
      <w:lvlJc w:val="left"/>
      <w:lvlText w:val="%1"/>
      <w:numFmt w:val="lowerLetter"/>
      <w:start w:val="1"/>
    </w:lvl>
    <w:lvl w:ilvl="1">
      <w:lvlJc w:val="left"/>
      <w:lvlText w:val="(%2)"/>
      <w:numFmt w:val="lowerLetter"/>
      <w:start w:val="1"/>
    </w:lvl>
  </w:abstractNum>
  <w:abstractNum w:abstractNumId="44">
    <w:nsid w:val="17A1B582"/>
    <w:multiLevelType w:val="hybridMultilevel"/>
    <w:lvl w:ilvl="0">
      <w:lvlJc w:val="left"/>
      <w:lvlText w:val="(%1)"/>
      <w:numFmt w:val="lowerLetter"/>
      <w:start w:val="61"/>
    </w:lvl>
    <w:lvl w:ilvl="1">
      <w:lvlJc w:val="left"/>
      <w:lvlText w:val="(%2)"/>
      <w:numFmt w:val="lowerLetter"/>
      <w:start w:val="6"/>
    </w:lvl>
  </w:abstractNum>
  <w:abstractNum w:abstractNumId="45">
    <w:nsid w:val="4DF72E4E"/>
    <w:multiLevelType w:val="hybridMultilevel"/>
    <w:lvl w:ilvl="0">
      <w:lvlJc w:val="left"/>
      <w:lvlText w:val="(%1)"/>
      <w:numFmt w:val="lowerLetter"/>
      <w:start w:val="11"/>
    </w:lvl>
  </w:abstractNum>
  <w:abstractNum w:abstractNumId="46">
    <w:nsid w:val="5046B5A9"/>
    <w:multiLevelType w:val="hybridMultilevel"/>
    <w:lvl w:ilvl="0">
      <w:lvlJc w:val="left"/>
      <w:lvlText w:val="(%1)"/>
      <w:numFmt w:val="lowerLetter"/>
      <w:start w:val="1"/>
    </w:lvl>
  </w:abstractNum>
  <w:abstractNum w:abstractNumId="47">
    <w:nsid w:val="5D888A08"/>
    <w:multiLevelType w:val="hybridMultilevel"/>
    <w:lvl w:ilvl="0">
      <w:lvlJc w:val="left"/>
      <w:lvlText w:val="%1"/>
      <w:numFmt w:val="decimal"/>
      <w:start w:val="1"/>
    </w:lvl>
    <w:lvl w:ilvl="1">
      <w:lvlJc w:val="left"/>
      <w:lvlText w:val="(%2)"/>
      <w:numFmt w:val="lowerLetter"/>
      <w:start w:val="3"/>
    </w:lvl>
  </w:abstractNum>
  <w:abstractNum w:abstractNumId="48">
    <w:nsid w:val="2A082C70"/>
    <w:multiLevelType w:val="hybridMultilevel"/>
    <w:lvl w:ilvl="0">
      <w:lvlJc w:val="left"/>
      <w:lvlText w:val="(%1)"/>
      <w:numFmt w:val="lowerLetter"/>
      <w:start w:val="12"/>
    </w:lvl>
  </w:abstractNum>
  <w:abstractNum w:abstractNumId="49">
    <w:nsid w:val="5EC6AFD4"/>
    <w:multiLevelType w:val="hybridMultilevel"/>
    <w:lvl w:ilvl="0">
      <w:lvlJc w:val="left"/>
      <w:lvlText w:val="(%1)"/>
      <w:numFmt w:val="lowerLetter"/>
      <w:start w:val="1"/>
    </w:lvl>
  </w:abstractNum>
  <w:abstractNum w:abstractNumId="50">
    <w:nsid w:val="19E21BB2"/>
    <w:multiLevelType w:val="hybridMultilevel"/>
    <w:lvl w:ilvl="0">
      <w:lvlJc w:val="left"/>
      <w:lvlText w:val="%1"/>
      <w:numFmt w:val="lowerLetter"/>
      <w:start w:val="1"/>
    </w:lvl>
    <w:lvl w:ilvl="1">
      <w:lvlJc w:val="left"/>
      <w:lvlText w:val="(%2)"/>
      <w:numFmt w:val="lowerLetter"/>
      <w:start w:val="7"/>
    </w:lvl>
  </w:abstractNum>
  <w:abstractNum w:abstractNumId="51">
    <w:nsid w:val="75E0858A"/>
    <w:multiLevelType w:val="hybridMultilevel"/>
    <w:lvl w:ilvl="0">
      <w:lvlJc w:val="left"/>
      <w:lvlText w:val="(%1)"/>
      <w:numFmt w:val="lowerLetter"/>
      <w:start w:val="1"/>
    </w:lvl>
    <w:lvl w:ilvl="1">
      <w:lvlJc w:val="left"/>
      <w:lvlText w:val="(%2)"/>
      <w:numFmt w:val="lowerLetter"/>
      <w:start w:val="11"/>
    </w:lvl>
  </w:abstractNum>
  <w:abstractNum w:abstractNumId="52">
    <w:nsid w:val="57A61A29"/>
    <w:multiLevelType w:val="hybridMultilevel"/>
    <w:lvl w:ilvl="0">
      <w:lvlJc w:val="left"/>
      <w:lvlText w:val="(%1)"/>
      <w:numFmt w:val="lowerLetter"/>
      <w:start w:val="12"/>
    </w:lvl>
  </w:abstractNum>
  <w:abstractNum w:abstractNumId="53">
    <w:nsid w:val="5399C654"/>
    <w:multiLevelType w:val="hybridMultilevel"/>
    <w:lvl w:ilvl="0">
      <w:lvlJc w:val="left"/>
      <w:lvlText w:val="(%1)"/>
      <w:numFmt w:val="lowerLetter"/>
      <w:start w:val="1"/>
    </w:lvl>
  </w:abstractNum>
  <w:abstractNum w:abstractNumId="54">
    <w:nsid w:val="20EE1348"/>
    <w:multiLevelType w:val="hybridMultilevel"/>
    <w:lvl w:ilvl="0">
      <w:lvlJc w:val="left"/>
      <w:lvlText w:val="(%1)"/>
      <w:numFmt w:val="lowerLetter"/>
      <w:start w:val="1"/>
    </w:lvl>
  </w:abstractNum>
  <w:abstractNum w:abstractNumId="55">
    <w:nsid w:val="4427069A"/>
    <w:multiLevelType w:val="hybridMultilevel"/>
    <w:lvl w:ilvl="0">
      <w:lvlJc w:val="left"/>
      <w:lvlText w:val="(%1)"/>
      <w:numFmt w:val="lowerLetter"/>
      <w:start w:val="4"/>
    </w:lvl>
  </w:abstractNum>
  <w:abstractNum w:abstractNumId="56">
    <w:nsid w:val="B37E80A"/>
    <w:multiLevelType w:val="hybridMultilevel"/>
    <w:lvl w:ilvl="0">
      <w:lvlJc w:val="left"/>
      <w:lvlText w:val="(%1)"/>
      <w:numFmt w:val="lowerLetter"/>
      <w:start w:val="4"/>
    </w:lvl>
  </w:abstractNum>
  <w:abstractNum w:abstractNumId="57">
    <w:nsid w:val="2157F6BC"/>
    <w:multiLevelType w:val="hybridMultilevel"/>
    <w:lvl w:ilvl="0">
      <w:lvlJc w:val="left"/>
      <w:lvlText w:val="(%1)"/>
      <w:numFmt w:val="lowerLetter"/>
      <w:start w:val="1"/>
    </w:lvl>
  </w:abstractNum>
  <w:abstractNum w:abstractNumId="58">
    <w:nsid w:val="704E1DD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9">
    <w:nsid w:val="57D2F10E"/>
    <w:multiLevelType w:val="hybridMultilevel"/>
    <w:lvl w:ilvl="0">
      <w:lvlJc w:val="left"/>
      <w:lvlText w:val="(%1)"/>
      <w:numFmt w:val="lowerLetter"/>
      <w:start w:val="1"/>
    </w:lvl>
    <w:lvl w:ilvl="1">
      <w:lvlJc w:val="left"/>
      <w:lvlText w:val="(%2)"/>
      <w:numFmt w:val="lowerLetter"/>
      <w:start w:val="9"/>
    </w:lvl>
  </w:abstractNum>
  <w:abstractNum w:abstractNumId="60">
    <w:nsid w:val="BFFAE18"/>
    <w:multiLevelType w:val="hybridMultilevel"/>
    <w:lvl w:ilvl="0">
      <w:lvlJc w:val="left"/>
      <w:lvlText w:val="%1"/>
      <w:numFmt w:val="lowerLetter"/>
      <w:start w:val="1"/>
    </w:lvl>
    <w:lvl w:ilvl="1">
      <w:lvlJc w:val="left"/>
      <w:lvlText w:val="(%2)"/>
      <w:numFmt w:val="lowerLetter"/>
      <w:start w:val="35"/>
    </w:lvl>
  </w:abstractNum>
  <w:abstractNum w:abstractNumId="61">
    <w:nsid w:val="E3E47A8"/>
    <w:multiLevelType w:val="hybridMultilevel"/>
    <w:lvl w:ilvl="0">
      <w:lvlJc w:val="left"/>
      <w:lvlText w:val="(%1)"/>
      <w:numFmt w:val="lowerLetter"/>
      <w:start w:val="4"/>
    </w:lvl>
    <w:lvl w:ilvl="1">
      <w:lvlJc w:val="left"/>
      <w:lvlText w:val="(%2)"/>
      <w:numFmt w:val="lowerLetter"/>
      <w:start w:val="9"/>
    </w:lvl>
  </w:abstractNum>
  <w:abstractNum w:abstractNumId="62">
    <w:nsid w:val="2E48F044"/>
    <w:multiLevelType w:val="hybridMultilevel"/>
    <w:lvl w:ilvl="0">
      <w:lvlJc w:val="left"/>
      <w:lvlText w:val="(%1)"/>
      <w:numFmt w:val="lowerRoman"/>
      <w:start w:val="2"/>
    </w:lvl>
  </w:abstractNum>
  <w:abstractNum w:abstractNumId="63">
    <w:nsid w:val="49D0FEAC"/>
    <w:multiLevelType w:val="hybridMultilevel"/>
    <w:lvl w:ilvl="0">
      <w:lvlJc w:val="left"/>
      <w:lvlText w:val="(%1)"/>
      <w:numFmt w:val="lowerLetter"/>
      <w:start w:val="5"/>
    </w:lvl>
    <w:lvl w:ilvl="1">
      <w:lvlJc w:val="left"/>
      <w:lvlText w:val="(%2)"/>
      <w:numFmt w:val="lowerLetter"/>
      <w:start w:val="9"/>
    </w:lvl>
  </w:abstractNum>
  <w:abstractNum w:abstractNumId="64">
    <w:nsid w:val="4BEE5A5B"/>
    <w:multiLevelType w:val="hybridMultilevel"/>
    <w:lvl w:ilvl="0">
      <w:lvlJc w:val="left"/>
      <w:lvlText w:val="%1"/>
      <w:numFmt w:val="lowerLetter"/>
      <w:start w:val="1"/>
    </w:lvl>
    <w:lvl w:ilvl="1">
      <w:lvlJc w:val="left"/>
      <w:lvlText w:val="(%2)"/>
      <w:numFmt w:val="lowerRoman"/>
      <w:start w:val="2"/>
    </w:lvl>
  </w:abstractNum>
  <w:abstractNum w:abstractNumId="65">
    <w:nsid w:val="5551B9F3"/>
    <w:multiLevelType w:val="hybridMultilevel"/>
    <w:lvl w:ilvl="0">
      <w:lvlJc w:val="left"/>
      <w:lvlText w:val="(%1)"/>
      <w:numFmt w:val="lowerLetter"/>
      <w:start w:val="6"/>
    </w:lvl>
    <w:lvl w:ilvl="1">
      <w:lvlJc w:val="left"/>
      <w:lvlText w:val="(%2)"/>
      <w:numFmt w:val="lowerRoman"/>
      <w:start w:val="1"/>
    </w:lvl>
  </w:abstractNum>
  <w:abstractNum w:abstractNumId="66">
    <w:nsid w:val="24F6AB8E"/>
    <w:multiLevelType w:val="hybridMultilevel"/>
    <w:lvl w:ilvl="0">
      <w:lvlJc w:val="left"/>
      <w:lvlText w:val="(%1)"/>
      <w:numFmt w:val="lowerLetter"/>
      <w:start w:val="9"/>
    </w:lvl>
  </w:abstractNum>
  <w:abstractNum w:abstractNumId="67">
    <w:nsid w:val="634C574C"/>
    <w:multiLevelType w:val="hybridMultilevel"/>
    <w:lvl w:ilvl="0">
      <w:lvlJc w:val="left"/>
      <w:lvlText w:val="(%1)"/>
      <w:numFmt w:val="lowerLetter"/>
      <w:start w:val="25"/>
    </w:lvl>
  </w:abstractNum>
  <w:abstractNum w:abstractNumId="68">
    <w:nsid w:val="24E99DD7"/>
    <w:multiLevelType w:val="hybridMultilevel"/>
    <w:lvl w:ilvl="0">
      <w:lvlJc w:val="left"/>
      <w:lvlText w:val="(%1)"/>
      <w:numFmt w:val="lowerRoman"/>
      <w:start w:val="2"/>
    </w:lvl>
  </w:abstractNum>
  <w:abstractNum w:abstractNumId="69">
    <w:nsid w:val="2A31B62D"/>
    <w:multiLevelType w:val="hybridMultilevel"/>
    <w:lvl w:ilvl="0">
      <w:lvlJc w:val="left"/>
      <w:lvlText w:val="(%1)"/>
      <w:numFmt w:val="upperLetter"/>
      <w:start w:val="1"/>
    </w:lvl>
  </w:abstractNum>
  <w:abstractNum w:abstractNumId="70">
    <w:nsid w:val="1849C29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6"/>
    </w:lvl>
  </w:abstractNum>
  <w:abstractNum w:abstractNumId="71">
    <w:nsid w:val="7DFF9D09"/>
    <w:multiLevelType w:val="hybridMultilevel"/>
    <w:lvl w:ilvl="0">
      <w:lvlJc w:val="left"/>
      <w:lvlText w:val="(%1)"/>
      <w:numFmt w:val="lowerLetter"/>
      <w:start w:val="25"/>
    </w:lvl>
    <w:lvl w:ilvl="1">
      <w:lvlJc w:val="left"/>
      <w:lvlText w:val="(%2)"/>
      <w:numFmt w:val="lowerLetter"/>
      <w:start w:val="7"/>
    </w:lvl>
    <w:lvl w:ilvl="2">
      <w:lvlJc w:val="left"/>
      <w:lvlText w:val="(%3)"/>
      <w:numFmt w:val="upperLetter"/>
      <w:start w:val="7"/>
    </w:lvl>
  </w:abstractNum>
  <w:abstractNum w:abstractNumId="72">
    <w:nsid w:val="754342"/>
    <w:multiLevelType w:val="hybridMultilevel"/>
    <w:lvl w:ilvl="0">
      <w:lvlJc w:val="left"/>
      <w:lvlText w:val="(%1)"/>
      <w:numFmt w:val="lowerLetter"/>
      <w:start w:val="1"/>
    </w:lvl>
    <w:lvl w:ilvl="1">
      <w:lvlJc w:val="left"/>
      <w:lvlText w:val="(%2)"/>
      <w:numFmt w:val="lowerRoman"/>
      <w:start w:val="1"/>
    </w:lvl>
  </w:abstractNum>
  <w:abstractNum w:abstractNumId="73">
    <w:nsid w:val="69E7F3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4">
    <w:nsid w:val="2A6DE806"/>
    <w:multiLevelType w:val="hybridMultilevel"/>
    <w:lvl w:ilvl="0">
      <w:lvlJc w:val="left"/>
      <w:lvlText w:val="(%1)"/>
      <w:numFmt w:val="upperLetter"/>
      <w:start w:val="7"/>
    </w:lvl>
    <w:lvl w:ilvl="1">
      <w:lvlJc w:val="left"/>
      <w:lvlText w:val="%2."/>
      <w:numFmt w:val="lowerRoman"/>
      <w:start w:val="1"/>
    </w:lvl>
  </w:abstractNum>
  <w:abstractNum w:abstractNumId="75">
    <w:nsid w:val="1816F8C4"/>
    <w:multiLevelType w:val="hybridMultilevel"/>
    <w:lvl w:ilvl="0">
      <w:lvlJc w:val="left"/>
      <w:lvlText w:val="(%1)"/>
      <w:numFmt w:val="upperLetter"/>
      <w:start w:val="12"/>
    </w:lvl>
  </w:abstractNum>
  <w:abstractNum w:abstractNumId="76">
    <w:nsid w:val="37DF2233"/>
    <w:multiLevelType w:val="hybridMultilevel"/>
    <w:lvl w:ilvl="0">
      <w:lvlJc w:val="left"/>
      <w:lvlText w:val="%1"/>
      <w:numFmt w:val="lowerLetter"/>
      <w:start w:val="1"/>
    </w:lvl>
    <w:lvl w:ilvl="1">
      <w:lvlJc w:val="left"/>
      <w:lvlText w:val="(%2)"/>
      <w:numFmt w:val="lowerRoman"/>
      <w:start w:val="4"/>
    </w:lvl>
  </w:abstractNum>
  <w:abstractNum w:abstractNumId="77">
    <w:nsid w:val="7AB49DAF"/>
    <w:multiLevelType w:val="hybridMultilevel"/>
    <w:lvl w:ilvl="0">
      <w:lvlJc w:val="left"/>
      <w:lvlText w:val="(%1)"/>
      <w:numFmt w:val="lowerLetter"/>
      <w:start w:val="3"/>
    </w:lvl>
    <w:lvl w:ilvl="1">
      <w:lvlJc w:val="left"/>
      <w:lvlText w:val="(%2)"/>
      <w:numFmt w:val="lowerRoman"/>
      <w:start w:val="1"/>
    </w:lvl>
  </w:abstractNum>
  <w:abstractNum w:abstractNumId="78">
    <w:nsid w:val="759F82CD"/>
    <w:multiLevelType w:val="hybridMultilevel"/>
    <w:lvl w:ilvl="0">
      <w:lvlJc w:val="left"/>
      <w:lvlText w:val="(%1)"/>
      <w:numFmt w:val="lowerLetter"/>
      <w:start w:val="4"/>
    </w:lvl>
    <w:lvl w:ilvl="1">
      <w:lvlJc w:val="left"/>
      <w:lvlText w:val="(%2)"/>
      <w:numFmt w:val="lowerLetter"/>
      <w:start w:val="9"/>
    </w:lvl>
  </w:abstractNum>
  <w:abstractNum w:abstractNumId="79">
    <w:nsid w:val="61E74EA3"/>
    <w:multiLevelType w:val="hybridMultilevel"/>
    <w:lvl w:ilvl="0">
      <w:lvlJc w:val="left"/>
      <w:lvlText w:val="(%1)"/>
      <w:numFmt w:val="lowerLetter"/>
      <w:start w:val="1"/>
    </w:lvl>
  </w:abstractNum>
  <w:abstractNum w:abstractNumId="80">
    <w:nsid w:val="597B4D84"/>
    <w:multiLevelType w:val="hybridMultilevel"/>
    <w:lvl w:ilvl="0">
      <w:lvlJc w:val="left"/>
      <w:lvlText w:val="(%1)"/>
      <w:numFmt w:val="lowerLetter"/>
      <w:start w:val="1"/>
    </w:lvl>
  </w:abstractNum>
  <w:abstractNum w:abstractNumId="81">
    <w:nsid w:val="F819E7F"/>
    <w:multiLevelType w:val="hybridMultilevel"/>
    <w:lvl w:ilvl="0">
      <w:lvlJc w:val="left"/>
      <w:lvlText w:val="(%1)"/>
      <w:numFmt w:val="lowerLetter"/>
      <w:start w:val="5"/>
    </w:lvl>
  </w:abstractNum>
  <w:abstractNum w:abstractNumId="82">
    <w:nsid w:val="57C7D42D"/>
    <w:multiLevelType w:val="hybridMultilevel"/>
    <w:lvl w:ilvl="0">
      <w:lvlJc w:val="left"/>
      <w:lvlText w:val="(%1)"/>
      <w:numFmt w:val="lowerLetter"/>
      <w:start w:val="1"/>
    </w:lvl>
  </w:abstractNum>
  <w:abstractNum w:abstractNumId="83">
    <w:nsid w:val="312167AD"/>
    <w:multiLevelType w:val="hybridMultilevel"/>
    <w:lvl w:ilvl="0">
      <w:lvlJc w:val="left"/>
      <w:lvlText w:val="(%1)"/>
      <w:numFmt w:val="lowerLetter"/>
      <w:start w:val="1"/>
    </w:lvl>
    <w:lvl w:ilvl="1">
      <w:lvlJc w:val="left"/>
      <w:lvlText w:val="(%2)"/>
      <w:numFmt w:val="lowerRoman"/>
      <w:start w:val="1"/>
    </w:lvl>
  </w:abstractNum>
  <w:abstractNum w:abstractNumId="84">
    <w:nsid w:val="631B64D4"/>
    <w:multiLevelType w:val="hybridMultilevel"/>
    <w:lvl w:ilvl="0">
      <w:lvlJc w:val="left"/>
      <w:lvlText w:val="(%1)"/>
      <w:numFmt w:val="lowerLetter"/>
      <w:start w:val="4"/>
    </w:lvl>
  </w:abstractNum>
  <w:abstractNum w:abstractNumId="85">
    <w:nsid w:val="78B5E776"/>
    <w:multiLevelType w:val="hybridMultilevel"/>
    <w:lvl w:ilvl="0">
      <w:lvlJc w:val="left"/>
      <w:lvlText w:val="(%1)"/>
      <w:numFmt w:val="lowerLetter"/>
      <w:start w:val="6"/>
    </w:lvl>
    <w:lvl w:ilvl="1">
      <w:lvlJc w:val="left"/>
      <w:lvlText w:val="(%2)"/>
      <w:numFmt w:val="lowerRoman"/>
      <w:start w:val="1"/>
    </w:lvl>
  </w:abstractNum>
  <w:abstractNum w:abstractNumId="86">
    <w:nsid w:val="75486E47"/>
    <w:multiLevelType w:val="hybridMultilevel"/>
    <w:lvl w:ilvl="0">
      <w:lvlJc w:val="left"/>
      <w:lvlText w:val="(%1)"/>
      <w:numFmt w:val="lowerRoman"/>
      <w:start w:val="6"/>
    </w:lvl>
  </w:abstractNum>
  <w:abstractNum w:abstractNumId="87">
    <w:nsid w:val="6E534CDE"/>
    <w:multiLevelType w:val="hybridMultilevel"/>
    <w:lvl w:ilvl="0">
      <w:lvlJc w:val="left"/>
      <w:lvlText w:val="(%1)"/>
      <w:numFmt w:val="lowerLetter"/>
      <w:start w:val="7"/>
    </w:lvl>
  </w:abstractNum>
  <w:abstractNum w:abstractNumId="88">
    <w:nsid w:val="1A0DDE32"/>
    <w:multiLevelType w:val="hybridMultilevel"/>
    <w:lvl w:ilvl="0">
      <w:lvlJc w:val="left"/>
      <w:lvlText w:val="(%1)"/>
      <w:numFmt w:val="lowerLetter"/>
      <w:start w:val="8"/>
    </w:lvl>
    <w:lvl w:ilvl="1">
      <w:lvlJc w:val="left"/>
      <w:lvlText w:val="(%2)"/>
      <w:numFmt w:val="lowerLetter"/>
      <w:start w:val="9"/>
    </w:lvl>
  </w:abstractNum>
  <w:abstractNum w:abstractNumId="89">
    <w:nsid w:val="65968C1C"/>
    <w:multiLevelType w:val="hybridMultilevel"/>
    <w:lvl w:ilvl="0">
      <w:lvlJc w:val="left"/>
      <w:lvlText w:val="(%1)"/>
      <w:numFmt w:val="lowerRoman"/>
      <w:start w:val="2"/>
    </w:lvl>
  </w:abstractNum>
  <w:abstractNum w:abstractNumId="90">
    <w:nsid w:val="46263DEC"/>
    <w:multiLevelType w:val="hybridMultilevel"/>
    <w:lvl w:ilvl="0">
      <w:lvlJc w:val="left"/>
      <w:lvlText w:val="(%1)"/>
      <w:numFmt w:val="lowerLetter"/>
      <w:start w:val="10"/>
    </w:lvl>
    <w:lvl w:ilvl="1">
      <w:lvlJc w:val="left"/>
      <w:lvlText w:val="(%2)"/>
      <w:numFmt w:val="lowerLetter"/>
      <w:start w:val="9"/>
    </w:lvl>
  </w:abstractNum>
  <w:abstractNum w:abstractNumId="91">
    <w:nsid w:val="260D8C4A"/>
    <w:multiLevelType w:val="hybridMultilevel"/>
    <w:lvl w:ilvl="0">
      <w:lvlJc w:val="left"/>
      <w:lvlText w:val="(%1)"/>
      <w:numFmt w:val="lowerRoman"/>
      <w:start w:val="2"/>
    </w:lvl>
  </w:abstractNum>
  <w:abstractNum w:abstractNumId="92">
    <w:nsid w:val="73D4D3C4"/>
    <w:multiLevelType w:val="hybridMultilevel"/>
    <w:lvl w:ilvl="0">
      <w:lvlJc w:val="left"/>
      <w:lvlText w:val="%1"/>
      <w:numFmt w:val="lowerLetter"/>
      <w:start w:val="1"/>
    </w:lvl>
    <w:lvl w:ilvl="1">
      <w:lvlJc w:val="left"/>
      <w:lvlText w:val="(%2)"/>
      <w:numFmt w:val="lowerRoman"/>
      <w:start w:val="13"/>
    </w:lvl>
  </w:abstractNum>
  <w:abstractNum w:abstractNumId="93">
    <w:nsid w:val="746F2E30"/>
    <w:multiLevelType w:val="hybridMultilevel"/>
    <w:lvl w:ilvl="0">
      <w:lvlJc w:val="left"/>
      <w:lvlText w:val="(%1)"/>
      <w:numFmt w:val="lowerLetter"/>
      <w:start w:val="11"/>
    </w:lvl>
    <w:lvl w:ilvl="1">
      <w:lvlJc w:val="left"/>
      <w:lvlText w:val="(%2)"/>
      <w:numFmt w:val="lowerRoman"/>
      <w:start w:val="1"/>
    </w:lvl>
  </w:abstractNum>
  <w:abstractNum w:abstractNumId="94">
    <w:nsid w:val="6FDE8AF6"/>
    <w:multiLevelType w:val="hybridMultilevel"/>
    <w:lvl w:ilvl="0">
      <w:lvlJc w:val="left"/>
      <w:lvlText w:val="(%1)"/>
      <w:numFmt w:val="lowerLetter"/>
      <w:start w:val="13"/>
    </w:lvl>
  </w:abstractNum>
  <w:abstractNum w:abstractNumId="95">
    <w:nsid w:val="3FC32E20"/>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96">
    <w:nsid w:val="49C0E823"/>
    <w:multiLevelType w:val="hybridMultilevel"/>
    <w:lvl w:ilvl="0">
      <w:lvlJc w:val="left"/>
      <w:lvlText w:val="(%1)"/>
      <w:numFmt w:val="upperLetter"/>
      <w:start w:val="2"/>
    </w:lvl>
    <w:lvl w:ilvl="1">
      <w:lvlJc w:val="left"/>
      <w:lvlText w:val="(%2)"/>
      <w:numFmt w:val="lowerLetter"/>
      <w:start w:val="2"/>
    </w:lvl>
    <w:lvl w:ilvl="2">
      <w:lvlJc w:val="left"/>
      <w:lvlText w:val="(%3)"/>
      <w:numFmt w:val="upperLetter"/>
      <w:start w:val="1"/>
    </w:lvl>
  </w:abstractNum>
  <w:abstractNum w:abstractNumId="97">
    <w:nsid w:val="14D53685"/>
    <w:multiLevelType w:val="hybridMultilevel"/>
    <w:lvl w:ilvl="0">
      <w:lvlJc w:val="left"/>
      <w:lvlText w:val="%1"/>
      <w:numFmt w:val="lowerLetter"/>
      <w:start w:val="1"/>
    </w:lvl>
    <w:lvl w:ilvl="1">
      <w:lvlJc w:val="left"/>
      <w:lvlText w:val="(%2)"/>
      <w:numFmt w:val="upperLetter"/>
      <w:start w:val="2"/>
    </w:lvl>
  </w:abstractNum>
  <w:abstractNum w:abstractNumId="98">
    <w:nsid w:val="230F856C"/>
    <w:multiLevelType w:val="hybridMultilevel"/>
    <w:lvl w:ilvl="0">
      <w:lvlJc w:val="left"/>
      <w:lvlText w:val="(%1)"/>
      <w:numFmt w:val="lowerLetter"/>
      <w:start w:val="2"/>
    </w:lvl>
    <w:lvl w:ilvl="1">
      <w:lvlJc w:val="left"/>
      <w:lvlText w:val="%2"/>
      <w:numFmt w:val="upperLetter"/>
      <w:start w:val="1"/>
    </w:lvl>
  </w:abstractNum>
  <w:abstractNum w:abstractNumId="99">
    <w:nsid w:val="6EAA85FB"/>
    <w:multiLevelType w:val="hybridMultilevel"/>
    <w:lvl w:ilvl="0">
      <w:lvlJc w:val="left"/>
      <w:lvlText w:val="(%1)"/>
      <w:numFmt w:val="lowerLetter"/>
      <w:start w:val="1"/>
    </w:lvl>
  </w:abstractNum>
  <w:abstractNum w:abstractNumId="100">
    <w:nsid w:val="3F06ECB2"/>
    <w:multiLevelType w:val="hybridMultilevel"/>
    <w:lvl w:ilvl="0">
      <w:lvlJc w:val="left"/>
      <w:lvlText w:val="(%1)"/>
      <w:numFmt w:val="lowerLetter"/>
      <w:start w:val="2"/>
    </w:lvl>
  </w:abstractNum>
  <w:abstractNum w:abstractNumId="101">
    <w:nsid w:val="3B594807"/>
    <w:multiLevelType w:val="hybridMultilevel"/>
    <w:lvl w:ilvl="0">
      <w:lvlJc w:val="left"/>
      <w:lvlText w:val="(%1)"/>
      <w:numFmt w:val="lowerLetter"/>
      <w:start w:val="1"/>
    </w:lvl>
  </w:abstractNum>
  <w:abstractNum w:abstractNumId="102">
    <w:nsid w:val="6CAA2304"/>
    <w:multiLevelType w:val="hybridMultilevel"/>
    <w:lvl w:ilvl="0">
      <w:lvlJc w:val="left"/>
      <w:lvlText w:val="(%1)"/>
      <w:numFmt w:val="lowerLetter"/>
      <w:start w:val="6"/>
    </w:lvl>
  </w:abstractNum>
  <w:abstractNum w:abstractNumId="103">
    <w:nsid w:val="3F7C2FF4"/>
    <w:multiLevelType w:val="hybridMultilevel"/>
    <w:lvl w:ilvl="0">
      <w:lvlJc w:val="left"/>
      <w:lvlText w:val="(%1)"/>
      <w:numFmt w:val="lowerRoman"/>
      <w:start w:val="1"/>
    </w:lvl>
    <w:lvl w:ilvl="1">
      <w:lvlJc w:val="left"/>
      <w:lvlText w:val="(%2)"/>
      <w:numFmt w:val="lowerRoman"/>
      <w:start w:val="1"/>
    </w:lvl>
  </w:abstractNum>
  <w:abstractNum w:abstractNumId="104">
    <w:nsid w:val="25413BEC"/>
    <w:multiLevelType w:val="hybridMultilevel"/>
    <w:lvl w:ilvl="0">
      <w:lvlJc w:val="left"/>
      <w:lvlText w:val="%1"/>
      <w:numFmt w:val="decimal"/>
      <w:start w:val="1"/>
    </w:lvl>
    <w:lvl w:ilvl="1">
      <w:lvlJc w:val="left"/>
      <w:lvlText w:val="(%2)"/>
      <w:numFmt w:val="lowerRoman"/>
      <w:start w:val="3"/>
    </w:lvl>
  </w:abstractNum>
  <w:abstractNum w:abstractNumId="105">
    <w:nsid w:val="17180B0B"/>
    <w:multiLevelType w:val="hybridMultilevel"/>
    <w:lvl w:ilvl="0">
      <w:lvlJc w:val="left"/>
      <w:lvlText w:val="%1."/>
      <w:numFmt w:val="decimal"/>
      <w:start w:val="3"/>
    </w:lvl>
    <w:lvl w:ilvl="1">
      <w:lvlJc w:val="left"/>
      <w:lvlText w:val="%2"/>
      <w:numFmt w:val="lowerRoman"/>
      <w:start w:val="1"/>
    </w:lvl>
  </w:abstractNum>
  <w:abstractNum w:abstractNumId="106">
    <w:nsid w:val="579328B9"/>
    <w:multiLevelType w:val="hybridMultilevel"/>
    <w:lvl w:ilvl="0">
      <w:lvlJc w:val="left"/>
      <w:lvlText w:val="(%1)"/>
      <w:numFmt w:val="lowerLetter"/>
      <w:start w:val="1"/>
    </w:lvl>
  </w:abstractNum>
  <w:abstractNum w:abstractNumId="107">
    <w:nsid w:val="5D205E20"/>
    <w:multiLevelType w:val="hybridMultilevel"/>
    <w:lvl w:ilvl="0">
      <w:lvlJc w:val="left"/>
      <w:lvlText w:val="%1."/>
      <w:numFmt w:val="decimal"/>
      <w:start w:val="4"/>
    </w:lvl>
  </w:abstractNum>
  <w:abstractNum w:abstractNumId="108">
    <w:nsid w:val="11CCA8BA"/>
    <w:multiLevelType w:val="hybridMultilevel"/>
    <w:lvl w:ilvl="0">
      <w:lvlJc w:val="left"/>
      <w:lvlText w:val="(%1)"/>
      <w:numFmt w:val="lowerLetter"/>
      <w:start w:val="1"/>
    </w:lvl>
  </w:abstractNum>
  <w:abstractNum w:abstractNumId="109">
    <w:nsid w:val="4D32AB86"/>
    <w:multiLevelType w:val="hybridMultilevel"/>
    <w:lvl w:ilvl="0">
      <w:lvlJc w:val="left"/>
      <w:lvlText w:val="(%1)"/>
      <w:numFmt w:val="lowerLetter"/>
      <w:start w:val="2"/>
    </w:lvl>
  </w:abstractNum>
  <w:abstractNum w:abstractNumId="110">
    <w:nsid w:val="3F07ACC3"/>
    <w:multiLevelType w:val="hybridMultilevel"/>
    <w:lvl w:ilvl="0">
      <w:lvlJc w:val="left"/>
      <w:lvlText w:val="%1"/>
      <w:numFmt w:val="lowerLetter"/>
      <w:start w:val="1"/>
    </w:lvl>
    <w:lvl w:ilvl="1">
      <w:lvlJc w:val="left"/>
      <w:lvlText w:val="(%2)"/>
      <w:numFmt w:val="lowerLetter"/>
      <w:start w:val="1"/>
    </w:lvl>
  </w:abstractNum>
  <w:abstractNum w:abstractNumId="111">
    <w:nsid w:val="6B47F63E"/>
    <w:multiLevelType w:val="hybridMultilevel"/>
    <w:lvl w:ilvl="0">
      <w:lvlJc w:val="left"/>
      <w:lvlText w:val="(%1)"/>
      <w:numFmt w:val="lowerLetter"/>
      <w:start w:val="61"/>
    </w:lvl>
    <w:lvl w:ilvl="1">
      <w:lvlJc w:val="left"/>
      <w:lvlText w:val="%2"/>
      <w:numFmt w:val="lowerLetter"/>
      <w:start w:val="1"/>
    </w:lvl>
  </w:abstractNum>
  <w:abstractNum w:abstractNumId="112">
    <w:nsid w:val="5CB44A05"/>
    <w:multiLevelType w:val="hybridMultilevel"/>
    <w:lvl w:ilvl="0">
      <w:lvlJc w:val="left"/>
      <w:lvlText w:val="(%1)"/>
      <w:numFmt w:val="lowerLetter"/>
      <w:start w:val="1"/>
    </w:lvl>
  </w:abstractNum>
  <w:abstractNum w:abstractNumId="113">
    <w:nsid w:val="16CF80F1"/>
    <w:multiLevelType w:val="hybridMultilevel"/>
    <w:lvl w:ilvl="0">
      <w:lvlJc w:val="left"/>
      <w:lvlText w:val="(%1)"/>
      <w:numFmt w:val="lowerLetter"/>
      <w:start w:val="1"/>
    </w:lvl>
  </w:abstractNum>
  <w:abstractNum w:abstractNumId="114">
    <w:nsid w:val="1C695DEC"/>
    <w:multiLevelType w:val="hybridMultilevel"/>
    <w:lvl w:ilvl="0">
      <w:lvlJc w:val="left"/>
      <w:lvlText w:val="(%1)"/>
      <w:numFmt w:val="lowerLetter"/>
      <w:start w:val="1"/>
    </w:lvl>
  </w:abstractNum>
  <w:abstractNum w:abstractNumId="115">
    <w:nsid w:val="3FCFAED9"/>
    <w:multiLevelType w:val="hybridMultilevel"/>
    <w:lvl w:ilvl="0">
      <w:lvlJc w:val="left"/>
      <w:lvlText w:val="(%1)"/>
      <w:numFmt w:val="lowerLetter"/>
      <w:start w:val="2"/>
    </w:lvl>
  </w:abstractNum>
  <w:abstractNum w:abstractNumId="116">
    <w:nsid w:val="F856867"/>
    <w:multiLevelType w:val="hybridMultilevel"/>
    <w:lvl w:ilvl="0">
      <w:lvlJc w:val="left"/>
      <w:lvlText w:val="(%1)"/>
      <w:numFmt w:val="lowerLetter"/>
      <w:start w:val="2"/>
    </w:lvl>
  </w:abstractNum>
  <w:abstractNum w:abstractNumId="117">
    <w:nsid w:val="11B1CC33"/>
    <w:multiLevelType w:val="hybridMultilevel"/>
    <w:lvl w:ilvl="0">
      <w:lvlJc w:val="left"/>
      <w:lvlText w:val="%1."/>
      <w:numFmt w:val="decimal"/>
      <w:start w:val="5"/>
    </w:lvl>
  </w:abstractNum>
  <w:abstractNum w:abstractNumId="118">
    <w:nsid w:val="2E22FBB7"/>
    <w:multiLevelType w:val="hybridMultilevel"/>
    <w:lvl w:ilvl="0">
      <w:lvlJc w:val="left"/>
      <w:lvlText w:val="(%1)"/>
      <w:numFmt w:val="lowerLetter"/>
      <w:start w:val="2"/>
    </w:lvl>
  </w:abstractNum>
  <w:abstractNum w:abstractNumId="119">
    <w:nsid w:val="29934699"/>
    <w:multiLevelType w:val="hybridMultilevel"/>
    <w:lvl w:ilvl="0">
      <w:lvlJc w:val="left"/>
      <w:lvlText w:val="(%1)"/>
      <w:numFmt w:val="lowerLetter"/>
      <w:start w:val="1"/>
    </w:lvl>
  </w:abstractNum>
  <w:abstractNum w:abstractNumId="120">
    <w:nsid w:val="77485850"/>
    <w:multiLevelType w:val="hybridMultilevel"/>
    <w:lvl w:ilvl="0">
      <w:lvlJc w:val="left"/>
      <w:lvlText w:val="(%1)"/>
      <w:numFmt w:val="lowerLetter"/>
      <w:start w:val="1"/>
    </w:lvl>
  </w:abstractNum>
  <w:abstractNum w:abstractNumId="121">
    <w:nsid w:val="744939A3"/>
    <w:multiLevelType w:val="hybridMultilevel"/>
    <w:lvl w:ilvl="0">
      <w:lvlJc w:val="left"/>
      <w:lvlText w:val="(%1)"/>
      <w:numFmt w:val="lowerLetter"/>
      <w:start w:val="2"/>
    </w:lvl>
  </w:abstractNum>
  <w:abstractNum w:abstractNumId="122">
    <w:nsid w:val="4FA0D2E3"/>
    <w:multiLevelType w:val="hybridMultilevel"/>
    <w:lvl w:ilvl="0">
      <w:lvlJc w:val="left"/>
      <w:lvlText w:val="(%1)"/>
      <w:numFmt w:val="lowerLetter"/>
      <w:start w:val="1"/>
    </w:lvl>
  </w:abstractNum>
  <w:abstractNum w:abstractNumId="123">
    <w:nsid w:val="6B1D2C14"/>
    <w:multiLevelType w:val="hybridMultilevel"/>
    <w:lvl w:ilvl="0">
      <w:lvlJc w:val="left"/>
      <w:lvlText w:val="(%1)"/>
      <w:numFmt w:val="lowerLetter"/>
      <w:start w:val="2"/>
    </w:lvl>
  </w:abstractNum>
  <w:abstractNum w:abstractNumId="124">
    <w:nsid w:val="68B867D3"/>
    <w:multiLevelType w:val="hybridMultilevel"/>
    <w:lvl w:ilvl="0">
      <w:lvlJc w:val="left"/>
      <w:lvlText w:val="(%1)"/>
      <w:numFmt w:val="lowerLetter"/>
      <w:start w:val="1"/>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decimal"/>
      <w:start w:val="6"/>
    </w:lvl>
  </w:abstractNum>
  <w:abstractNum w:abstractNumId="127">
    <w:nsid w:val="32794FF7"/>
    <w:multiLevelType w:val="hybridMultilevel"/>
    <w:lvl w:ilvl="0">
      <w:lvlJc w:val="left"/>
      <w:lvlText w:val="%1"/>
      <w:numFmt w:val="lowerLetter"/>
      <w:start w:val="1"/>
    </w:lvl>
    <w:lvl w:ilvl="1">
      <w:lvlJc w:val="left"/>
      <w:lvlText w:val="(%2)"/>
      <w:numFmt w:val="lowerLetter"/>
      <w:start w:val="1"/>
    </w:lvl>
  </w:abstractNum>
  <w:abstractNum w:abstractNumId="128">
    <w:nsid w:val="5454945E"/>
    <w:multiLevelType w:val="hybridMultilevel"/>
    <w:lvl w:ilvl="0">
      <w:lvlJc w:val="left"/>
      <w:lvlText w:val="(%1)"/>
      <w:numFmt w:val="lowerLetter"/>
      <w:start w:val="1"/>
    </w:lvl>
    <w:lvl w:ilvl="1">
      <w:lvlJc w:val="left"/>
      <w:lvlText w:val="(%2)"/>
      <w:numFmt w:val="lowerLetter"/>
      <w:start w:val="4"/>
    </w:lvl>
  </w:abstractNum>
  <w:abstractNum w:abstractNumId="129">
    <w:nsid w:val="4DEFDFA0"/>
    <w:multiLevelType w:val="hybridMultilevel"/>
    <w:lvl w:ilvl="0">
      <w:lvlJc w:val="left"/>
      <w:lvlText w:val="(%1)"/>
      <w:numFmt w:val="lowerLetter"/>
      <w:start w:val="1"/>
    </w:lvl>
    <w:lvl w:ilvl="1">
      <w:lvlJc w:val="left"/>
      <w:lvlText w:val="(%2)"/>
      <w:numFmt w:val="lowerLetter"/>
      <w:start w:val="9"/>
    </w:lvl>
  </w:abstractNum>
  <w:abstractNum w:abstractNumId="130">
    <w:nsid w:val="2123D5F2"/>
    <w:multiLevelType w:val="hybridMultilevel"/>
    <w:lvl w:ilvl="0">
      <w:lvlJc w:val="left"/>
      <w:lvlText w:val="%1"/>
      <w:numFmt w:val="lowerLetter"/>
      <w:start w:val="1"/>
    </w:lvl>
    <w:lvl w:ilvl="1">
      <w:lvlJc w:val="left"/>
      <w:lvlText w:val="(%2)"/>
      <w:numFmt w:val="lowerLetter"/>
      <w:start w:val="35"/>
    </w:lvl>
  </w:abstractNum>
  <w:abstractNum w:abstractNumId="131">
    <w:nsid w:val="135B8110"/>
    <w:multiLevelType w:val="hybridMultilevel"/>
    <w:lvl w:ilvl="0">
      <w:lvlJc w:val="left"/>
      <w:lvlText w:val="(%1)"/>
      <w:numFmt w:val="lowerLetter"/>
      <w:start w:val="2"/>
    </w:lvl>
    <w:lvl w:ilvl="1">
      <w:lvlJc w:val="left"/>
      <w:lvlText w:val="(%2)"/>
      <w:numFmt w:val="lowerLetter"/>
      <w:start w:val="9"/>
    </w:lvl>
  </w:abstractNum>
  <w:abstractNum w:abstractNumId="132">
    <w:nsid w:val="94927A8"/>
    <w:multiLevelType w:val="hybridMultilevel"/>
    <w:lvl w:ilvl="0">
      <w:lvlJc w:val="left"/>
      <w:lvlText w:val="(%1)"/>
      <w:numFmt w:val="lowerRoman"/>
      <w:start w:val="2"/>
    </w:lvl>
  </w:abstractNum>
  <w:abstractNum w:abstractNumId="133">
    <w:nsid w:val="DCDF8F6"/>
    <w:multiLevelType w:val="hybridMultilevel"/>
    <w:lvl w:ilvl="0">
      <w:lvlJc w:val="left"/>
      <w:lvlText w:val="(%1)"/>
      <w:numFmt w:val="lowerLetter"/>
      <w:start w:val="1"/>
    </w:lvl>
    <w:lvl w:ilvl="1">
      <w:lvlJc w:val="left"/>
      <w:lvlText w:val="(%2)"/>
      <w:numFmt w:val="lowerRoman"/>
      <w:start w:val="1"/>
    </w:lvl>
  </w:abstractNum>
  <w:abstractNum w:abstractNumId="134">
    <w:nsid w:val="52D7B105"/>
    <w:multiLevelType w:val="hybridMultilevel"/>
    <w:lvl w:ilvl="0">
      <w:lvlJc w:val="left"/>
      <w:lvlText w:val="%1"/>
      <w:numFmt w:val="lowerLetter"/>
      <w:start w:val="1"/>
    </w:lvl>
    <w:lvl w:ilvl="1">
      <w:lvlJc w:val="left"/>
      <w:lvlText w:val="(%2)"/>
      <w:numFmt w:val="lowerRoman"/>
      <w:start w:val="4"/>
    </w:lvl>
  </w:abstractNum>
  <w:abstractNum w:abstractNumId="135">
    <w:nsid w:val="2E8A6394"/>
    <w:multiLevelType w:val="hybridMultilevel"/>
    <w:lvl w:ilvl="0">
      <w:lvlJc w:val="left"/>
      <w:lvlText w:val="(%1)"/>
      <w:numFmt w:val="lowerLetter"/>
      <w:start w:val="3"/>
    </w:lvl>
    <w:lvl w:ilvl="1">
      <w:lvlJc w:val="left"/>
      <w:lvlText w:val="%2"/>
      <w:numFmt w:val="lowerRoman"/>
      <w:start w:val="1"/>
    </w:lvl>
  </w:abstractNum>
  <w:abstractNum w:abstractNumId="136">
    <w:nsid w:val="24E60401"/>
    <w:multiLevelType w:val="hybridMultilevel"/>
    <w:lvl w:ilvl="0">
      <w:lvlJc w:val="left"/>
      <w:lvlText w:val="(%1)"/>
      <w:numFmt w:val="lowerLetter"/>
      <w:start w:val="1"/>
    </w:lvl>
  </w:abstractNum>
  <w:abstractNum w:abstractNumId="137">
    <w:nsid w:val="2A6AD9BE"/>
    <w:multiLevelType w:val="hybridMultilevel"/>
    <w:lvl w:ilvl="0">
      <w:lvlJc w:val="left"/>
      <w:lvlText w:val="(%1)"/>
      <w:numFmt w:val="lowerLetter"/>
      <w:start w:val="5"/>
    </w:lvl>
  </w:abstractNum>
  <w:abstractNum w:abstractNumId="138">
    <w:nsid w:val="BAAC1B4"/>
    <w:multiLevelType w:val="hybridMultilevel"/>
    <w:lvl w:ilvl="0">
      <w:lvlJc w:val="left"/>
      <w:lvlText w:val="(%1)"/>
      <w:numFmt w:val="lowerLetter"/>
      <w:start w:val="1"/>
    </w:lvl>
  </w:abstractNum>
  <w:abstractNum w:abstractNumId="139">
    <w:nsid w:val="36B2ACBC"/>
    <w:multiLevelType w:val="hybridMultilevel"/>
    <w:lvl w:ilvl="0">
      <w:lvlJc w:val="left"/>
      <w:lvlText w:val="%1."/>
      <w:numFmt w:val="decimal"/>
      <w:start w:val="7"/>
    </w:lvl>
  </w:abstractNum>
  <w:abstractNum w:abstractNumId="140">
    <w:nsid w:val="779D8544"/>
    <w:multiLevelType w:val="hybridMultilevel"/>
    <w:lvl w:ilvl="0">
      <w:lvlJc w:val="left"/>
      <w:lvlText w:val="(%1)"/>
      <w:numFmt w:val="lowerLetter"/>
      <w:start w:val="1"/>
    </w:lvl>
  </w:abstractNum>
  <w:abstractNum w:abstractNumId="141">
    <w:nsid w:val="4AB26E78"/>
    <w:multiLevelType w:val="hybridMultilevel"/>
    <w:lvl w:ilvl="0">
      <w:lvlJc w:val="left"/>
      <w:lvlText w:val="%1"/>
      <w:numFmt w:val="decimal"/>
      <w:start w:val="1"/>
    </w:lvl>
    <w:lvl w:ilvl="1">
      <w:lvlJc w:val="left"/>
      <w:lvlText w:val="(%2)"/>
      <w:numFmt w:val="lowerLetter"/>
      <w:start w:val="2"/>
    </w:lvl>
  </w:abstractNum>
  <w:abstractNum w:abstractNumId="142">
    <w:nsid w:val="21FAA2FA"/>
    <w:multiLevelType w:val="hybridMultilevel"/>
    <w:lvl w:ilvl="0">
      <w:lvlJc w:val="left"/>
      <w:lvlText w:val="%1."/>
      <w:numFmt w:val="decimal"/>
      <w:start w:val="8"/>
    </w:lvl>
    <w:lvl w:ilvl="1">
      <w:lvlJc w:val="left"/>
      <w:lvlText w:val="%2"/>
      <w:numFmt w:val="lowerLetter"/>
      <w:start w:val="1"/>
    </w:lvl>
  </w:abstractNum>
  <w:abstractNum w:abstractNumId="143">
    <w:nsid w:val="5451CF49"/>
    <w:multiLevelType w:val="hybridMultilevel"/>
    <w:lvl w:ilvl="0">
      <w:lvlJc w:val="left"/>
      <w:lvlText w:val="(%1)"/>
      <w:numFmt w:val="lowerLetter"/>
      <w:start w:val="1"/>
    </w:lvl>
  </w:abstractNum>
  <w:abstractNum w:abstractNumId="144">
    <w:nsid w:val="6181EF69"/>
    <w:multiLevelType w:val="hybridMultilevel"/>
    <w:lvl w:ilvl="0">
      <w:lvlJc w:val="left"/>
      <w:lvlText w:val="%1"/>
      <w:numFmt w:val="lowerLetter"/>
      <w:start w:val="1"/>
    </w:lvl>
    <w:lvl w:ilvl="1">
      <w:lvlJc w:val="left"/>
      <w:lvlText w:val="(%2)"/>
      <w:numFmt w:val="lowerLetter"/>
      <w:start w:val="3"/>
    </w:lvl>
  </w:abstractNum>
  <w:abstractNum w:abstractNumId="145">
    <w:nsid w:val="3E6400E6"/>
    <w:multiLevelType w:val="hybridMultilevel"/>
    <w:lvl w:ilvl="0">
      <w:lvlJc w:val="left"/>
      <w:lvlText w:val="(%1)"/>
      <w:numFmt w:val="lowerLetter"/>
      <w:start w:val="9"/>
    </w:lvl>
    <w:lvl w:ilvl="1">
      <w:lvlJc w:val="left"/>
      <w:lvlText w:val="%2"/>
      <w:numFmt w:val="lowerLetter"/>
      <w:start w:val="1"/>
    </w:lvl>
  </w:abstractNum>
  <w:abstractNum w:abstractNumId="146">
    <w:nsid w:val="14217E23"/>
    <w:multiLevelType w:val="hybridMultilevel"/>
    <w:lvl w:ilvl="0">
      <w:lvlJc w:val="left"/>
      <w:lvlText w:val="%1."/>
      <w:numFmt w:val="decimal"/>
      <w:start w:val="9"/>
    </w:lvl>
  </w:abstractNum>
  <w:abstractNum w:abstractNumId="147">
    <w:nsid w:val="710757D0"/>
    <w:multiLevelType w:val="hybridMultilevel"/>
    <w:lvl w:ilvl="0">
      <w:lvlJc w:val="left"/>
      <w:lvlText w:val="(%1)"/>
      <w:numFmt w:val="lowerLetter"/>
      <w:start w:val="1"/>
    </w:lvl>
  </w:abstractNum>
  <w:abstractNum w:abstractNumId="148">
    <w:nsid w:val="5015CD1A"/>
    <w:multiLevelType w:val="hybridMultilevel"/>
    <w:lvl w:ilvl="0">
      <w:lvlJc w:val="left"/>
      <w:lvlText w:val="(%1)"/>
      <w:numFmt w:val="lowerLetter"/>
      <w:start w:val="2"/>
    </w:lvl>
  </w:abstractNum>
  <w:abstractNum w:abstractNumId="149">
    <w:nsid w:val="424479DA"/>
    <w:multiLevelType w:val="hybridMultilevel"/>
    <w:lvl w:ilvl="0">
      <w:lvlJc w:val="left"/>
      <w:lvlText w:val="%1."/>
      <w:numFmt w:val="decimal"/>
      <w:start w:val="10"/>
    </w:lvl>
  </w:abstractNum>
  <w:abstractNum w:abstractNumId="150">
    <w:nsid w:val="1A9A9E69"/>
    <w:multiLevelType w:val="hybridMultilevel"/>
    <w:lvl w:ilvl="0">
      <w:lvlJc w:val="left"/>
      <w:lvlText w:val="%1."/>
      <w:numFmt w:val="decimal"/>
      <w:start w:val="11"/>
    </w:lvl>
  </w:abstractNum>
  <w:abstractNum w:abstractNumId="151">
    <w:nsid w:val="475E256A"/>
    <w:multiLevelType w:val="hybridMultilevel"/>
    <w:lvl w:ilvl="0">
      <w:lvlJc w:val="left"/>
      <w:lvlText w:val="%1."/>
      <w:numFmt w:val="decimal"/>
      <w:start w:val="12"/>
    </w:lvl>
    <w:lvl w:ilvl="1">
      <w:lvlJc w:val="left"/>
      <w:lvlText w:val="(%2)"/>
      <w:numFmt w:val="lowerLetter"/>
      <w:start w:val="1"/>
    </w:lvl>
  </w:abstractNum>
  <w:abstractNum w:abstractNumId="152">
    <w:nsid w:val="368DB37E"/>
    <w:multiLevelType w:val="hybridMultilevel"/>
    <w:lvl w:ilvl="0">
      <w:lvlJc w:val="left"/>
      <w:lvlText w:val="(%1)"/>
      <w:numFmt w:val="lowerLetter"/>
      <w:start w:val="3"/>
    </w:lvl>
  </w:abstractNum>
  <w:abstractNum w:abstractNumId="153">
    <w:nsid w:val="6A3B714C"/>
    <w:multiLevelType w:val="hybridMultilevel"/>
    <w:lvl w:ilvl="0">
      <w:lvlJc w:val="left"/>
      <w:lvlText w:val="(%1)"/>
      <w:numFmt w:val="lowerRoman"/>
      <w:start w:val="1"/>
    </w:lvl>
  </w:abstractNum>
  <w:abstractNum w:abstractNumId="154">
    <w:nsid w:val="327B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55">
    <w:nsid w:val="1F461B5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56">
    <w:nsid w:val="29BACF2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57">
    <w:nsid w:val="5D5BABB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58">
    <w:nsid w:val="51BF6B4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59">
    <w:nsid w:val="7E0F6384"/>
    <w:multiLevelType w:val="hybridMultilevel"/>
    <w:lvl w:ilvl="0">
      <w:lvlJc w:val="left"/>
      <w:lvlText w:val="(%1)"/>
      <w:numFmt w:val="lowerLetter"/>
      <w:start w:val="3"/>
    </w:lvl>
  </w:abstractNum>
  <w:abstractNum w:abstractNumId="160">
    <w:nsid w:val="2B4B8B53"/>
    <w:multiLevelType w:val="hybridMultilevel"/>
    <w:lvl w:ilvl="0">
      <w:lvlJc w:val="left"/>
      <w:lvlText w:val="(%1)"/>
      <w:numFmt w:val="upperLetter"/>
      <w:start w:val="5"/>
    </w:lvl>
    <w:lvl w:ilvl="1">
      <w:lvlJc w:val="left"/>
      <w:lvlText w:val="(%2)"/>
      <w:numFmt w:val="lowerLetter"/>
      <w:start w:val="6"/>
    </w:lvl>
  </w:abstractNum>
  <w:abstractNum w:abstractNumId="161">
    <w:nsid w:val="72E3413A"/>
    <w:multiLevelType w:val="hybridMultilevel"/>
    <w:lvl w:ilvl="0">
      <w:lvlJc w:val="left"/>
      <w:lvlText w:val="(%1)"/>
      <w:numFmt w:val="lowerLetter"/>
      <w:start w:val="10"/>
    </w:lvl>
  </w:abstractNum>
  <w:abstractNum w:abstractNumId="162">
    <w:nsid w:val="116AE49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63">
    <w:nsid w:val="3494B2FB"/>
    <w:multiLevelType w:val="hybridMultilevel"/>
    <w:lvl w:ilvl="0">
      <w:lvlJc w:val="left"/>
      <w:lvlText w:val="%1"/>
      <w:numFmt w:val="lowerLetter"/>
      <w:start w:val="1"/>
    </w:lvl>
    <w:lvl w:ilvl="1">
      <w:lvlJc w:val="left"/>
      <w:lvlText w:val="(%2)"/>
      <w:numFmt w:val="lowerRoman"/>
      <w:start w:val="9"/>
    </w:lvl>
  </w:abstractNum>
  <w:abstractNum w:abstractNumId="164">
    <w:nsid w:val="B13A31"/>
    <w:multiLevelType w:val="hybridMultilevel"/>
    <w:lvl w:ilvl="0">
      <w:lvlJc w:val="left"/>
      <w:lvlText w:val="(%1)"/>
      <w:numFmt w:val="lowerLetter"/>
      <w:start w:val="2"/>
    </w:lvl>
    <w:lvl w:ilvl="1">
      <w:lvlJc w:val="left"/>
      <w:lvlText w:val="(%2)"/>
      <w:numFmt w:val="lowerRoman"/>
      <w:start w:val="1"/>
    </w:lvl>
  </w:abstractNum>
  <w:abstractNum w:abstractNumId="165">
    <w:nsid w:val="64429599"/>
    <w:multiLevelType w:val="hybridMultilevel"/>
    <w:lvl w:ilvl="0">
      <w:lvlJc w:val="left"/>
      <w:lvlText w:val="%1"/>
      <w:numFmt w:val="lowerLetter"/>
      <w:start w:val="1"/>
    </w:lvl>
    <w:lvl w:ilvl="1">
      <w:lvlJc w:val="left"/>
      <w:lvlText w:val="(%2)"/>
      <w:numFmt w:val="lowerLetter"/>
      <w:start w:val="5"/>
    </w:lvl>
  </w:abstractNum>
  <w:abstractNum w:abstractNumId="166">
    <w:nsid w:val="631F1690"/>
    <w:multiLevelType w:val="hybridMultilevel"/>
    <w:lvl w:ilvl="0">
      <w:lvlJc w:val="left"/>
      <w:lvlText w:val="(%1)"/>
      <w:numFmt w:val="lowerLetter"/>
      <w:start w:val="61"/>
    </w:lvl>
    <w:lvl w:ilvl="1">
      <w:lvlJc w:val="left"/>
      <w:lvlText w:val="%2"/>
      <w:numFmt w:val="lowerLetter"/>
      <w:start w:val="1"/>
    </w:lvl>
  </w:abstractNum>
  <w:abstractNum w:abstractNumId="167">
    <w:nsid w:val="25973E32"/>
    <w:multiLevelType w:val="hybridMultilevel"/>
    <w:lvl w:ilvl="0">
      <w:lvlJc w:val="left"/>
      <w:lvlText w:val="(%1)"/>
      <w:numFmt w:val="lowerLetter"/>
      <w:start w:val="1"/>
    </w:lvl>
  </w:abstractNum>
  <w:abstractNum w:abstractNumId="168">
    <w:nsid w:val="EAD6F57"/>
    <w:multiLevelType w:val="hybridMultilevel"/>
    <w:lvl w:ilvl="0">
      <w:lvlJc w:val="left"/>
      <w:lvlText w:val="%1."/>
      <w:numFmt w:val="decimal"/>
      <w:start w:val="15"/>
    </w:lvl>
  </w:abstractNum>
  <w:abstractNum w:abstractNumId="169">
    <w:nsid w:val="6EC9D844"/>
    <w:multiLevelType w:val="hybridMultilevel"/>
    <w:lvl w:ilvl="0">
      <w:lvlJc w:val="left"/>
      <w:lvlText w:val="(%1)"/>
      <w:numFmt w:val="lowerLetter"/>
      <w:start w:val="5"/>
    </w:lvl>
  </w:abstractNum>
  <w:abstractNum w:abstractNumId="170">
    <w:nsid w:val="5C49EAEE"/>
    <w:multiLevelType w:val="hybridMultilevel"/>
    <w:lvl w:ilvl="0">
      <w:lvlJc w:val="left"/>
      <w:lvlText w:val="(%1)"/>
      <w:numFmt w:val="lowerLetter"/>
      <w:start w:val="1"/>
    </w:lvl>
  </w:abstractNum>
  <w:abstractNum w:abstractNumId="171">
    <w:nsid w:val="64AF49B"/>
    <w:multiLevelType w:val="hybridMultilevel"/>
    <w:lvl w:ilvl="0">
      <w:lvlJc w:val="left"/>
      <w:lvlText w:val="(%1)"/>
      <w:numFmt w:val="lowerLetter"/>
      <w:start w:val="2"/>
    </w:lvl>
  </w:abstractNum>
  <w:abstractNum w:abstractNumId="172">
    <w:nsid w:val="397C46BC"/>
    <w:multiLevelType w:val="hybridMultilevel"/>
    <w:lvl w:ilvl="0">
      <w:lvlJc w:val="left"/>
      <w:lvlText w:val="(%1)"/>
      <w:numFmt w:val="lowerLetter"/>
      <w:start w:val="1"/>
    </w:lvl>
  </w:abstractNum>
  <w:abstractNum w:abstractNumId="173">
    <w:nsid w:val="7E448DE9"/>
    <w:multiLevelType w:val="hybridMultilevel"/>
    <w:lvl w:ilvl="0">
      <w:lvlJc w:val="left"/>
      <w:lvlText w:val="(%1)"/>
      <w:numFmt w:val="lowerLetter"/>
      <w:start w:val="1"/>
    </w:lvl>
  </w:abstractNum>
  <w:abstractNum w:abstractNumId="174">
    <w:nsid w:val="5A9CC3E5"/>
    <w:multiLevelType w:val="hybridMultilevel"/>
    <w:lvl w:ilvl="0">
      <w:lvlJc w:val="left"/>
      <w:lvlText w:val="(%1)"/>
      <w:numFmt w:val="lowerLetter"/>
      <w:start w:val="6"/>
    </w:lvl>
  </w:abstractNum>
  <w:abstractNum w:abstractNumId="175">
    <w:nsid w:val="1AFE3625"/>
    <w:multiLevelType w:val="hybridMultilevel"/>
    <w:lvl w:ilvl="0">
      <w:lvlJc w:val="left"/>
      <w:lvlText w:val="%1."/>
      <w:numFmt w:val="decimal"/>
      <w:start w:val="16"/>
    </w:lvl>
  </w:abstractNum>
  <w:abstractNum w:abstractNumId="176">
    <w:nsid w:val="3CA88EC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7">
    <w:nsid w:val="6EBE4208"/>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2"/>
    </w:lvl>
  </w:abstractNum>
  <w:abstractNum w:abstractNumId="178">
    <w:nsid w:val="C058DF5"/>
    <w:multiLevelType w:val="hybridMultilevel"/>
    <w:lvl w:ilvl="0">
      <w:lvlJc w:val="left"/>
      <w:lvlText w:val="%1"/>
      <w:numFmt w:val="lowerLetter"/>
      <w:start w:val="1"/>
    </w:lvl>
    <w:lvl w:ilvl="1">
      <w:lvlJc w:val="left"/>
      <w:lvlText w:val="(%2)"/>
      <w:numFmt w:val="lowerRoman"/>
      <w:start w:val="4"/>
    </w:lvl>
  </w:abstractNum>
  <w:abstractNum w:abstractNumId="179">
    <w:nsid w:val="CBE5BE9"/>
    <w:multiLevelType w:val="hybridMultilevel"/>
    <w:lvl w:ilvl="0">
      <w:lvlJc w:val="left"/>
      <w:lvlText w:val="(%1)"/>
      <w:numFmt w:val="lowerLetter"/>
      <w:start w:val="2"/>
    </w:lvl>
    <w:lvl w:ilvl="1">
      <w:lvlJc w:val="left"/>
      <w:lvlText w:val="%2"/>
      <w:numFmt w:val="lowerRoman"/>
      <w:start w:val="1"/>
    </w:lvl>
  </w:abstractNum>
  <w:abstractNum w:abstractNumId="180">
    <w:nsid w:val="3102BBE2"/>
    <w:multiLevelType w:val="hybridMultilevel"/>
    <w:lvl w:ilvl="0">
      <w:lvlJc w:val="left"/>
      <w:lvlText w:val="(%1)"/>
      <w:numFmt w:val="lowerLetter"/>
      <w:start w:val="5"/>
    </w:lvl>
  </w:abstractNum>
  <w:abstractNum w:abstractNumId="181">
    <w:nsid w:val="26A02C5E"/>
    <w:multiLevelType w:val="hybridMultilevel"/>
    <w:lvl w:ilvl="0">
      <w:lvlJc w:val="left"/>
      <w:lvlText w:val="(%1)"/>
      <w:numFmt w:val="lowerLetter"/>
      <w:start w:val="1"/>
    </w:lvl>
  </w:abstractNum>
  <w:abstractNum w:abstractNumId="182">
    <w:nsid w:val="541C8153"/>
    <w:multiLevelType w:val="hybridMultilevel"/>
    <w:lvl w:ilvl="0">
      <w:lvlJc w:val="left"/>
      <w:lvlText w:val="%1."/>
      <w:numFmt w:val="decimal"/>
      <w:start w:val="17"/>
    </w:lvl>
  </w:abstractNum>
  <w:abstractNum w:abstractNumId="183">
    <w:nsid w:val="67906F60"/>
    <w:multiLevelType w:val="hybridMultilevel"/>
    <w:lvl w:ilvl="0">
      <w:lvlJc w:val="left"/>
      <w:lvlText w:val="(%1)"/>
      <w:numFmt w:val="lowerLetter"/>
      <w:start w:val="1"/>
    </w:lvl>
  </w:abstractNum>
  <w:abstractNum w:abstractNumId="184">
    <w:nsid w:val="10DB9DAA"/>
    <w:multiLevelType w:val="hybridMultilevel"/>
    <w:lvl w:ilvl="0">
      <w:lvlJc w:val="left"/>
      <w:lvlText w:val="(%1)"/>
      <w:numFmt w:val="lowerLetter"/>
      <w:start w:val="1"/>
    </w:lvl>
  </w:abstractNum>
  <w:abstractNum w:abstractNumId="185">
    <w:nsid w:val="697D2D2"/>
    <w:multiLevelType w:val="hybridMultilevel"/>
    <w:lvl w:ilvl="0">
      <w:lvlJc w:val="left"/>
      <w:lvlText w:val="(%1)"/>
      <w:numFmt w:val="lowerLetter"/>
      <w:start w:val="2"/>
    </w:lvl>
  </w:abstractNum>
  <w:abstractNum w:abstractNumId="186">
    <w:nsid w:val="6D68AB2"/>
    <w:multiLevelType w:val="hybridMultilevel"/>
    <w:lvl w:ilvl="0">
      <w:lvlJc w:val="left"/>
      <w:lvlText w:val="(%1)"/>
      <w:numFmt w:val="lowerLetter"/>
      <w:start w:val="3"/>
    </w:lvl>
  </w:abstractNum>
  <w:abstractNum w:abstractNumId="187">
    <w:nsid w:val="3A966CD0"/>
    <w:multiLevelType w:val="hybridMultilevel"/>
    <w:lvl w:ilvl="0">
      <w:lvlJc w:val="left"/>
      <w:lvlText w:val="(%1)"/>
      <w:numFmt w:val="lowerLetter"/>
      <w:start w:val="3"/>
    </w:lvl>
  </w:abstractNum>
  <w:abstractNum w:abstractNumId="188">
    <w:nsid w:val="63F37E85"/>
    <w:multiLevelType w:val="hybridMultilevel"/>
    <w:lvl w:ilvl="0">
      <w:lvlJc w:val="left"/>
      <w:lvlText w:val="(%1)"/>
      <w:numFmt w:val="lowerLetter"/>
      <w:start w:val="1"/>
    </w:lvl>
    <w:lvl w:ilvl="1">
      <w:lvlJc w:val="left"/>
      <w:lvlText w:val="(%2)"/>
      <w:numFmt w:val="lowerRoman"/>
      <w:start w:val="1"/>
    </w:lvl>
  </w:abstractNum>
  <w:abstractNum w:abstractNumId="189">
    <w:nsid w:val="5895F5FA"/>
    <w:multiLevelType w:val="hybridMultilevel"/>
    <w:lvl w:ilvl="0">
      <w:lvlJc w:val="left"/>
      <w:lvlText w:val="(%1)"/>
      <w:numFmt w:val="lowerLetter"/>
      <w:start w:val="1"/>
    </w:lvl>
  </w:abstractNum>
  <w:abstractNum w:abstractNumId="190">
    <w:nsid w:val="38A5D054"/>
    <w:multiLevelType w:val="hybridMultilevel"/>
    <w:lvl w:ilvl="0">
      <w:lvlJc w:val="left"/>
      <w:lvlText w:val="%1"/>
      <w:numFmt w:val="lowerLetter"/>
      <w:start w:val="1"/>
    </w:lvl>
    <w:lvl w:ilvl="1">
      <w:lvlJc w:val="left"/>
      <w:lvlText w:val="(%2)"/>
      <w:numFmt w:val="lowerLetter"/>
      <w:start w:val="4"/>
    </w:lvl>
  </w:abstractNum>
  <w:abstractNum w:abstractNumId="191">
    <w:nsid w:val="F3F09D8"/>
    <w:multiLevelType w:val="hybridMultilevel"/>
    <w:lvl w:ilvl="0">
      <w:lvlJc w:val="left"/>
      <w:lvlText w:val="(%1)"/>
      <w:numFmt w:val="lowerLetter"/>
      <w:start w:val="25"/>
    </w:lvl>
    <w:lvl w:ilvl="1">
      <w:lvlJc w:val="left"/>
      <w:lvlText w:val="%2"/>
      <w:numFmt w:val="lowerLetter"/>
      <w:start w:val="1"/>
    </w:lvl>
  </w:abstractNum>
  <w:abstractNum w:abstractNumId="192">
    <w:nsid w:val="4B793735"/>
    <w:multiLevelType w:val="hybridMultilevel"/>
    <w:lvl w:ilvl="0">
      <w:lvlJc w:val="left"/>
      <w:lvlText w:val="(%1)"/>
      <w:numFmt w:val="lowerLetter"/>
      <w:start w:val="6"/>
    </w:lvl>
  </w:abstractNum>
  <w:abstractNum w:abstractNumId="193">
    <w:nsid w:val="4A10B4E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4">
    <w:nsid w:val="43D3BCD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95">
    <w:nsid w:val="4C2A7166"/>
    <w:multiLevelType w:val="hybridMultilevel"/>
    <w:lvl w:ilvl="0">
      <w:lvlJc w:val="left"/>
      <w:lvlText w:val="(%1)"/>
      <w:numFmt w:val="lowerLetter"/>
      <w:start w:val="6"/>
    </w:lvl>
  </w:abstractNum>
  <w:abstractNum w:abstractNumId="196">
    <w:nsid w:val="2E534A82"/>
    <w:multiLevelType w:val="hybridMultilevel"/>
    <w:lvl w:ilvl="0">
      <w:lvlJc w:val="left"/>
      <w:lvlText w:val="%1."/>
      <w:numFmt w:val="decimal"/>
      <w:start w:val="1"/>
    </w:lvl>
  </w:abstractNum>
  <w:abstractNum w:abstractNumId="197">
    <w:nsid w:val="26F2D364"/>
    <w:multiLevelType w:val="hybridMultilevel"/>
    <w:lvl w:ilvl="0">
      <w:lvlJc w:val="left"/>
      <w:lvlText w:val="(%1)"/>
      <w:numFmt w:val="lowerLetter"/>
      <w:start w:val="2"/>
    </w:lvl>
  </w:abstractNum>
  <w:abstractNum w:abstractNumId="198">
    <w:nsid w:val="71C1AF9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99">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00">
    <w:nsid w:val="15BCABA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201">
    <w:nsid w:val="4E0B9A87"/>
    <w:multiLevelType w:val="hybridMultilevel"/>
    <w:lvl w:ilvl="0">
      <w:lvlJc w:val="left"/>
      <w:lvlText w:val="%1."/>
      <w:numFmt w:val="decimal"/>
      <w:start w:val="5"/>
    </w:lvl>
  </w:abstractNum>
  <w:abstractNum w:abstractNumId="202">
    <w:nsid w:val="434BAE75"/>
    <w:multiLevelType w:val="hybridMultilevel"/>
    <w:lvl w:ilvl="0">
      <w:lvlJc w:val="left"/>
      <w:lvlText w:val="(%1)"/>
      <w:numFmt w:val="lowerLetter"/>
      <w:start w:val="1"/>
    </w:lvl>
    <w:lvl w:ilvl="1">
      <w:lvlJc w:val="left"/>
      <w:lvlText w:val="(%2)"/>
      <w:numFmt w:val="lowerLetter"/>
      <w:start w:val="2"/>
    </w:lvl>
  </w:abstractNum>
  <w:abstractNum w:abstractNumId="203">
    <w:nsid w:val="4F38F265"/>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4">
    <w:nsid w:val="4C502870"/>
    <w:multiLevelType w:val="hybridMultilevel"/>
    <w:lvl w:ilvl="0">
      <w:lvlJc w:val="left"/>
      <w:lvlText w:val="(%1)"/>
      <w:numFmt w:val="lowerLetter"/>
      <w:start w:val="3"/>
    </w:lvl>
    <w:lvl w:ilvl="1">
      <w:lvlJc w:val="left"/>
      <w:lvlText w:val="(%2)"/>
      <w:numFmt w:val="lowerLetter"/>
      <w:start w:val="4"/>
    </w:lvl>
  </w:abstractNum>
  <w:abstractNum w:abstractNumId="205">
    <w:nsid w:val="1DE8725A"/>
    <w:multiLevelType w:val="hybridMultilevel"/>
    <w:lvl w:ilvl="0">
      <w:lvlJc w:val="left"/>
      <w:lvlText w:val="%1."/>
      <w:numFmt w:val="decimal"/>
      <w:start w:val="5"/>
    </w:lvl>
  </w:abstractNum>
  <w:abstractNum w:abstractNumId="206">
    <w:nsid w:val="6A37288A"/>
    <w:multiLevelType w:val="hybridMultilevel"/>
    <w:lvl w:ilvl="0">
      <w:lvlJc w:val="left"/>
      <w:lvlText w:val="(%1)"/>
      <w:numFmt w:val="lowerLetter"/>
      <w:start w:val="1"/>
    </w:lvl>
    <w:lvl w:ilvl="1">
      <w:lvlJc w:val="left"/>
      <w:lvlText w:val="(%2)"/>
      <w:numFmt w:val="lowerLetter"/>
      <w:start w:val="2"/>
    </w:lvl>
  </w:abstractNum>
  <w:abstractNum w:abstractNumId="207">
    <w:nsid w:val="8F8B73F"/>
    <w:multiLevelType w:val="hybridMultilevel"/>
    <w:lvl w:ilvl="0">
      <w:lvlJc w:val="left"/>
      <w:lvlText w:val="(%1)"/>
      <w:numFmt w:val="decimal"/>
      <w:start w:val="1"/>
    </w:lvl>
  </w:abstractNum>
  <w:abstractNum w:abstractNumId="208">
    <w:nsid w:val="CA6B4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jpe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81" Type="http://schemas.openxmlformats.org/officeDocument/2006/relationships/hyperlink" Target="http://www.sec.gov/Archives/edgar/data/1048268/000119312516674386/d211495dex31.htm" TargetMode="External"/><Relationship Id="rId82" Type="http://schemas.openxmlformats.org/officeDocument/2006/relationships/hyperlink" Target="http://www.sec.gov/Archives/edgar/data/1048268/000104826821000065/amendedandrestatedbylawsof.htm" TargetMode="External"/><Relationship Id="rId84" Type="http://schemas.openxmlformats.org/officeDocument/2006/relationships/hyperlink" Target="http://www.sec.gov/Archives/edgar/data/1048268/000119312516789187/d31082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2022-04-29T07:48:04Z</dcterms:created>
  <dcterms:modified xsi:type="dcterms:W3CDTF">2022-04-29T07:48:04Z</dcterms:modified>
</cp:coreProperties>
</file>