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10-K</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(Mark One)</w:t>
      </w:r>
    </w:p>
    <w:tbl>
      <w:tblPr>
        <w:tblW w:w="10330" w:type="dxa"/>
        <w:jc w:val="left"/>
        <w:tblInd w:w="0" w:type="dxa"/>
        <w:tblCellMar>
          <w:top w:w="28" w:type="dxa"/>
          <w:left w:w="28" w:type="dxa"/>
          <w:bottom w:w="28" w:type="dxa"/>
          <w:right w:w="28" w:type="dxa"/>
        </w:tblCellMar>
      </w:tblPr>
      <w:tblGrid>
        <w:gridCol w:w="124"/>
        <w:gridCol w:w="109"/>
        <w:gridCol w:w="109"/>
        <w:gridCol w:w="1550"/>
        <w:gridCol w:w="1550"/>
        <w:gridCol w:w="1550"/>
        <w:gridCol w:w="1550"/>
        <w:gridCol w:w="1550"/>
        <w:gridCol w:w="22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4992"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fiscal year ended</w:t>
            </w:r>
          </w:p>
        </w:tc>
        <w:tc>
          <w:tcPr>
            <w:tcW w:w="5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10330" w:type="dxa"/>
            <w:gridSpan w:val="9"/>
            <w:tcBorders/>
            <w:shd w:fill="auto" w:val="clear"/>
            <w:tcMar>
              <w:top w:w="0" w:type="dxa"/>
              <w:left w:w="0" w:type="dxa"/>
              <w:bottom w:w="0" w:type="dxa"/>
              <w:right w:w="0" w:type="dxa"/>
            </w:tcMar>
            <w:vAlign w:val="center"/>
          </w:tcPr>
          <w:p>
            <w:pPr>
              <w:pStyle w:val="TableContents"/>
              <w:spacing w:lineRule="auto" w:line="240" w:before="220" w:after="283"/>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p>
        </w:tc>
      </w:tr>
    </w:tbl>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 xml:space="preserve">Commission file number 001-13783 </w:t>
      </w:r>
    </w:p>
    <w:p>
      <w:pPr>
        <w:pStyle w:val="TextBody"/>
        <w:spacing w:before="0" w:after="0"/>
        <w:jc w:val="center"/>
        <w:rPr/>
      </w:pPr>
      <w:r>
        <w:rPr/>
        <w:drawing>
          <wp:inline distT="0" distB="63500" distL="0" distR="0">
            <wp:extent cx="13335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5429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IES Holdings,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7304" w:type="dxa"/>
        <w:jc w:val="center"/>
        <w:tblInd w:w="0" w:type="dxa"/>
        <w:tblCellMar>
          <w:top w:w="28" w:type="dxa"/>
          <w:left w:w="28" w:type="dxa"/>
          <w:bottom w:w="28" w:type="dxa"/>
          <w:right w:w="28" w:type="dxa"/>
        </w:tblCellMar>
      </w:tblPr>
      <w:tblGrid>
        <w:gridCol w:w="1648"/>
        <w:gridCol w:w="1450"/>
        <w:gridCol w:w="1462"/>
        <w:gridCol w:w="799"/>
        <w:gridCol w:w="799"/>
        <w:gridCol w:w="1146"/>
      </w:tblGrid>
      <w:tr>
        <w:trPr/>
        <w:tc>
          <w:tcPr>
            <w:tcW w:w="1648"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76-0542208</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5433 Westheimer Road, Suite 500, Houston, Texas 77056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60" w:after="283"/>
        <w:jc w:val="center"/>
        <w:rPr/>
      </w:pPr>
      <w:r>
        <w:rPr>
          <w:rFonts w:ascii="Times New Roman;sans-serif" w:hAnsi="Times New Roman;sans-serif"/>
          <w:b/>
          <w:color w:val="000000"/>
          <w:sz w:val="18"/>
        </w:rPr>
        <w:t>Registrant’s telephone number, including area code:</w:t>
      </w:r>
      <w:r>
        <w:rPr>
          <w:color w:val="000000"/>
        </w:rPr>
        <w:t xml:space="preserve"> </w:t>
      </w:r>
      <w:r>
        <w:rPr>
          <w:rFonts w:ascii="Times New Roman;sans-serif" w:hAnsi="Times New Roman;sans-serif"/>
          <w:b/>
          <w:color w:val="000000"/>
          <w:sz w:val="18"/>
        </w:rPr>
        <w:t xml:space="preserve">(713) 860-1500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141" w:type="dxa"/>
        <w:jc w:val="center"/>
        <w:tblInd w:w="0" w:type="dxa"/>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Rights to Purchase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if the registrant is not required to file reports pursuant to Section 13 or 15(d) of the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60"/>
        <w:rPr/>
      </w:pPr>
      <w:r>
        <w:rPr>
          <w:color w:val="000000"/>
        </w:rPr>
        <w:t> </w:t>
      </w: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0" w:after="0"/>
        <w:rPr>
          <w:color w:val="000000"/>
        </w:rPr>
      </w:pPr>
      <w:r>
        <w:rPr>
          <w:color w:val="000000"/>
        </w:rPr>
        <w:t> </w:t>
      </w:r>
    </w:p>
    <w:tbl>
      <w:tblPr>
        <w:tblW w:w="5105"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spacing w:lineRule="auto" w:line="288" w:before="0" w:after="60"/>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stock of the registrant held by non-affiliates as of March 31, 2020, was approximately $148.1 million. On December 2, 2020, there were 20,745,974 shares of common stock outstanding.</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60"/>
        <w:rPr>
          <w:rFonts w:ascii="Times New Roman;sans-serif" w:hAnsi="Times New Roman;sans-serif"/>
          <w:b w:val="false"/>
          <w:color w:val="000000"/>
          <w:sz w:val="18"/>
        </w:rPr>
      </w:pPr>
      <w:r>
        <w:rPr>
          <w:rFonts w:ascii="Times New Roman;sans-serif" w:hAnsi="Times New Roman;sans-serif"/>
          <w:b w:val="false"/>
          <w:color w:val="000000"/>
          <w:sz w:val="18"/>
        </w:rPr>
        <w:t>Certain information contained in the Proxy Statement for the 2021 Annual Meeting of Stockholders of the Registrant to be held on February 25, 2021, is incorporated by reference into Part III of this Annual Report on Form 10-K.</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2"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539" w:type="dxa"/>
        <w:jc w:val="center"/>
        <w:tblInd w:w="0" w:type="dxa"/>
        <w:tblCellMar>
          <w:top w:w="28" w:type="dxa"/>
          <w:left w:w="28" w:type="dxa"/>
          <w:bottom w:w="28" w:type="dxa"/>
          <w:right w:w="28" w:type="dxa"/>
        </w:tblCellMar>
      </w:tblPr>
      <w:tblGrid>
        <w:gridCol w:w="765"/>
        <w:gridCol w:w="633"/>
        <w:gridCol w:w="633"/>
        <w:gridCol w:w="2912"/>
        <w:gridCol w:w="2484"/>
        <w:gridCol w:w="2539"/>
        <w:gridCol w:w="167"/>
        <w:gridCol w:w="167"/>
        <w:gridCol w:w="239"/>
      </w:tblGrid>
      <w:tr>
        <w:trPr/>
        <w:tc>
          <w:tcPr>
            <w:tcW w:w="765"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78317b1a96404023960d070219b1dc42_10">
              <w:r>
                <w:rPr>
                  <w:rStyle w:val="InternetLink"/>
                  <w:rFonts w:ascii="Times New Roman;sans-serif" w:hAnsi="Times New Roman;sans-serif"/>
                  <w:b/>
                  <w:color w:val="0000FF"/>
                  <w:sz w:val="20"/>
                  <w:u w:val="single"/>
                </w:rPr>
                <w:t>PART I</w:t>
              </w:r>
            </w:hyperlink>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0">
              <w:r>
                <w:rPr>
                  <w:rStyle w:val="InternetLink"/>
                  <w:rFonts w:ascii="Times New Roman;sans-serif" w:hAnsi="Times New Roman;sans-serif"/>
                  <w:b w:val="false"/>
                  <w:color w:val="0000FF"/>
                  <w:sz w:val="20"/>
                  <w:u w:val="single"/>
                </w:rPr>
                <w:t>DEFINITIONS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0">
              <w:r>
                <w:rPr>
                  <w:rStyle w:val="InternetLink"/>
                  <w:rFonts w:ascii="Times New Roman;sans-serif" w:hAnsi="Times New Roman;sans-serif"/>
                  <w:b w:val="false"/>
                  <w:color w:val="0000FF"/>
                  <w:sz w:val="20"/>
                  <w:u w:val="single"/>
                </w:rPr>
                <w:t>1</w:t>
              </w:r>
            </w:hyperlink>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0">
              <w:r>
                <w:rPr>
                  <w:rStyle w:val="InternetLink"/>
                  <w:rFonts w:ascii="Times New Roman;sans-serif" w:hAnsi="Times New Roman;sans-serif"/>
                  <w:b w:val="false"/>
                  <w:color w:val="0000FF"/>
                  <w:sz w:val="20"/>
                  <w:u w:val="single"/>
                </w:rPr>
                <w:t>DISCLOSURE REGARDING FORWARD LOOKING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0">
              <w:r>
                <w:rPr>
                  <w:rStyle w:val="InternetLink"/>
                  <w:rFonts w:ascii="Times New Roman;sans-serif" w:hAnsi="Times New Roman;sans-serif"/>
                  <w:b w:val="false"/>
                  <w:color w:val="0000FF"/>
                  <w:sz w:val="20"/>
                  <w:u w:val="single"/>
                </w:rPr>
                <w:t>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3">
              <w:r>
                <w:rPr>
                  <w:rStyle w:val="InternetLink"/>
                  <w:rFonts w:ascii="Times New Roman;sans-serif" w:hAnsi="Times New Roman;sans-serif"/>
                  <w:b w:val="false"/>
                  <w:color w:val="0000FF"/>
                  <w:sz w:val="20"/>
                  <w:u w:val="single"/>
                </w:rPr>
                <w:t xml:space="preserve">Item 1.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3">
              <w:r>
                <w:rPr>
                  <w:rStyle w:val="InternetLink"/>
                  <w:rFonts w:ascii="Times New Roman;sans-serif" w:hAnsi="Times New Roman;sans-serif"/>
                  <w:b w:val="false"/>
                  <w:color w:val="0000FF"/>
                  <w:sz w:val="20"/>
                  <w:u w:val="single"/>
                </w:rPr>
                <w:t>BUSINESS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3">
              <w:r>
                <w:rPr>
                  <w:rStyle w:val="InternetLink"/>
                  <w:rFonts w:ascii="Times New Roman;sans-serif" w:hAnsi="Times New Roman;sans-serif"/>
                  <w:b w:val="false"/>
                  <w:color w:val="0000FF"/>
                  <w:sz w:val="20"/>
                  <w:u w:val="single"/>
                </w:rPr>
                <w:t>3</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
              <w:r>
                <w:rPr>
                  <w:rStyle w:val="InternetLink"/>
                  <w:rFonts w:ascii="Times New Roman;sans-serif" w:hAnsi="Times New Roman;sans-serif"/>
                  <w:b w:val="false"/>
                  <w:color w:val="0000FF"/>
                  <w:sz w:val="20"/>
                  <w:u w:val="single"/>
                </w:rPr>
                <w:t xml:space="preserve">Item 1A.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
              <w:r>
                <w:rPr>
                  <w:rStyle w:val="InternetLink"/>
                  <w:rFonts w:ascii="Times New Roman;sans-serif" w:hAnsi="Times New Roman;sans-serif"/>
                  <w:b w:val="false"/>
                  <w:color w:val="0000FF"/>
                  <w:sz w:val="20"/>
                  <w:u w:val="single"/>
                </w:rPr>
                <w:t>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6">
              <w:r>
                <w:rPr>
                  <w:rStyle w:val="InternetLink"/>
                  <w:rFonts w:ascii="Times New Roman;sans-serif" w:hAnsi="Times New Roman;sans-serif"/>
                  <w:b w:val="false"/>
                  <w:color w:val="0000FF"/>
                  <w:sz w:val="20"/>
                  <w:u w:val="single"/>
                </w:rPr>
                <w:t>11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9">
              <w:r>
                <w:rPr>
                  <w:rStyle w:val="InternetLink"/>
                  <w:rFonts w:ascii="Times New Roman;sans-serif" w:hAnsi="Times New Roman;sans-serif"/>
                  <w:b w:val="false"/>
                  <w:color w:val="0000FF"/>
                  <w:sz w:val="20"/>
                  <w:u w:val="single"/>
                </w:rPr>
                <w:t xml:space="preserve">Item 1B.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317b1a96404023960d070219b1dc42_19">
              <w:r>
                <w:rPr>
                  <w:rStyle w:val="InternetLink"/>
                  <w:rFonts w:ascii="Times New Roman;sans-serif" w:hAnsi="Times New Roman;sans-serif"/>
                  <w:b w:val="false"/>
                  <w:color w:val="0000FF"/>
                  <w:sz w:val="20"/>
                  <w:u w:val="single"/>
                </w:rPr>
                <w:t>UNRESOLVED STAFF COMMENTS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9">
              <w:r>
                <w:rPr>
                  <w:rStyle w:val="InternetLink"/>
                  <w:rFonts w:ascii="Times New Roman;sans-serif" w:hAnsi="Times New Roman;sans-serif"/>
                  <w:b w:val="false"/>
                  <w:color w:val="0000FF"/>
                  <w:sz w:val="20"/>
                  <w:u w:val="single"/>
                </w:rPr>
                <w:t>19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22">
              <w:r>
                <w:rPr>
                  <w:rStyle w:val="InternetLink"/>
                  <w:rFonts w:ascii="Times New Roman;sans-serif" w:hAnsi="Times New Roman;sans-serif"/>
                  <w:b w:val="false"/>
                  <w:color w:val="0000FF"/>
                  <w:sz w:val="20"/>
                  <w:u w:val="single"/>
                </w:rPr>
                <w:t xml:space="preserve">Item 2.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22">
              <w:r>
                <w:rPr>
                  <w:rStyle w:val="InternetLink"/>
                  <w:rFonts w:ascii="Times New Roman;sans-serif" w:hAnsi="Times New Roman;sans-serif"/>
                  <w:b w:val="false"/>
                  <w:color w:val="0000FF"/>
                  <w:sz w:val="20"/>
                  <w:u w:val="single"/>
                </w:rPr>
                <w:t>PROPERTIES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22">
              <w:r>
                <w:rPr>
                  <w:rStyle w:val="InternetLink"/>
                  <w:rFonts w:ascii="Times New Roman;sans-serif" w:hAnsi="Times New Roman;sans-serif"/>
                  <w:b w:val="false"/>
                  <w:color w:val="0000FF"/>
                  <w:sz w:val="20"/>
                  <w:u w:val="single"/>
                </w:rPr>
                <w:t>19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25">
              <w:r>
                <w:rPr>
                  <w:rStyle w:val="InternetLink"/>
                  <w:rFonts w:ascii="Times New Roman;sans-serif" w:hAnsi="Times New Roman;sans-serif"/>
                  <w:b w:val="false"/>
                  <w:color w:val="0000FF"/>
                  <w:sz w:val="20"/>
                  <w:u w:val="single"/>
                </w:rPr>
                <w:t xml:space="preserve">Item 3.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25">
              <w:r>
                <w:rPr>
                  <w:rStyle w:val="InternetLink"/>
                  <w:rFonts w:ascii="Times New Roman;sans-serif" w:hAnsi="Times New Roman;sans-serif"/>
                  <w:b w:val="false"/>
                  <w:color w:val="0000FF"/>
                  <w:sz w:val="20"/>
                  <w:u w:val="single"/>
                </w:rPr>
                <w:t>LEGAL PROCEEDINGS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25">
              <w:r>
                <w:rPr>
                  <w:rStyle w:val="InternetLink"/>
                  <w:rFonts w:ascii="Times New Roman;sans-serif" w:hAnsi="Times New Roman;sans-serif"/>
                  <w:b w:val="false"/>
                  <w:color w:val="0000FF"/>
                  <w:sz w:val="20"/>
                  <w:u w:val="single"/>
                </w:rPr>
                <w:t>19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28">
              <w:r>
                <w:rPr>
                  <w:rStyle w:val="InternetLink"/>
                  <w:rFonts w:ascii="Times New Roman;sans-serif" w:hAnsi="Times New Roman;sans-serif"/>
                  <w:b w:val="false"/>
                  <w:color w:val="0000FF"/>
                  <w:sz w:val="20"/>
                  <w:u w:val="single"/>
                </w:rPr>
                <w:t xml:space="preserve">Item 4.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28">
              <w:r>
                <w:rPr>
                  <w:rStyle w:val="InternetLink"/>
                  <w:rFonts w:ascii="Times New Roman;sans-serif" w:hAnsi="Times New Roman;sans-serif"/>
                  <w:b w:val="false"/>
                  <w:color w:val="0000FF"/>
                  <w:sz w:val="20"/>
                  <w:u w:val="single"/>
                </w:rPr>
                <w:t>MINE SAFETY DISCLOSURES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28">
              <w:r>
                <w:rPr>
                  <w:rStyle w:val="InternetLink"/>
                  <w:rFonts w:ascii="Times New Roman;sans-serif" w:hAnsi="Times New Roman;sans-serif"/>
                  <w:b w:val="false"/>
                  <w:color w:val="0000FF"/>
                  <w:sz w:val="20"/>
                  <w:u w:val="single"/>
                </w:rPr>
                <w:t>19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78317b1a96404023960d070219b1dc42_31">
              <w:r>
                <w:rPr>
                  <w:rStyle w:val="InternetLink"/>
                  <w:rFonts w:ascii="Times New Roman;sans-serif" w:hAnsi="Times New Roman;sans-serif"/>
                  <w:b/>
                  <w:color w:val="0000FF"/>
                  <w:sz w:val="20"/>
                  <w:u w:val="single"/>
                </w:rPr>
                <w:t>PART 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34">
              <w:r>
                <w:rPr>
                  <w:rStyle w:val="InternetLink"/>
                  <w:rFonts w:ascii="Times New Roman;sans-serif" w:hAnsi="Times New Roman;sans-serif"/>
                  <w:b w:val="false"/>
                  <w:color w:val="0000FF"/>
                  <w:sz w:val="20"/>
                  <w:u w:val="single"/>
                </w:rPr>
                <w:t xml:space="preserve">Item 5.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34">
              <w:r>
                <w:rPr>
                  <w:rStyle w:val="InternetLink"/>
                  <w:rFonts w:ascii="Times New Roman;sans-serif" w:hAnsi="Times New Roman;sans-serif"/>
                  <w:b w:val="false"/>
                  <w:color w:val="0000FF"/>
                  <w:sz w:val="20"/>
                  <w:u w:val="single"/>
                </w:rPr>
                <w:t>20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37">
              <w:r>
                <w:rPr>
                  <w:rStyle w:val="InternetLink"/>
                  <w:rFonts w:ascii="Times New Roman;sans-serif" w:hAnsi="Times New Roman;sans-serif"/>
                  <w:b w:val="false"/>
                  <w:color w:val="0000FF"/>
                  <w:sz w:val="20"/>
                  <w:u w:val="single"/>
                </w:rPr>
                <w:t xml:space="preserve">Item 6.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37">
              <w:r>
                <w:rPr>
                  <w:rStyle w:val="InternetLink"/>
                  <w:rFonts w:ascii="Times New Roman;sans-serif" w:hAnsi="Times New Roman;sans-serif"/>
                  <w:b w:val="false"/>
                  <w:color w:val="0000FF"/>
                  <w:sz w:val="20"/>
                  <w:u w:val="single"/>
                </w:rPr>
                <w:t>SELECTED FINANCIAL DATA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37">
              <w:r>
                <w:rPr>
                  <w:rStyle w:val="InternetLink"/>
                  <w:rFonts w:ascii="Times New Roman;sans-serif" w:hAnsi="Times New Roman;sans-serif"/>
                  <w:b w:val="false"/>
                  <w:color w:val="0000FF"/>
                  <w:sz w:val="20"/>
                  <w:u w:val="single"/>
                </w:rPr>
                <w:t>21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40">
              <w:r>
                <w:rPr>
                  <w:rStyle w:val="InternetLink"/>
                  <w:rFonts w:ascii="Times New Roman;sans-serif" w:hAnsi="Times New Roman;sans-serif"/>
                  <w:b w:val="false"/>
                  <w:color w:val="0000FF"/>
                  <w:sz w:val="20"/>
                  <w:u w:val="single"/>
                </w:rPr>
                <w:t xml:space="preserve">Item 7.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40">
              <w:r>
                <w:rPr>
                  <w:rStyle w:val="InternetLink"/>
                  <w:rFonts w:ascii="Times New Roman;sans-serif" w:hAnsi="Times New Roman;sans-serif"/>
                  <w:b w:val="false"/>
                  <w:color w:val="0000FF"/>
                  <w:sz w:val="20"/>
                  <w:u w:val="single"/>
                </w:rPr>
                <w:t>22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67">
              <w:r>
                <w:rPr>
                  <w:rStyle w:val="InternetLink"/>
                  <w:rFonts w:ascii="Times New Roman;sans-serif" w:hAnsi="Times New Roman;sans-serif"/>
                  <w:b w:val="false"/>
                  <w:color w:val="0000FF"/>
                  <w:sz w:val="20"/>
                  <w:u w:val="single"/>
                </w:rPr>
                <w:t>Item 7A.</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67">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67">
              <w:r>
                <w:rPr>
                  <w:rStyle w:val="InternetLink"/>
                  <w:rFonts w:ascii="Times New Roman;sans-serif" w:hAnsi="Times New Roman;sans-serif"/>
                  <w:b w:val="false"/>
                  <w:color w:val="0000FF"/>
                  <w:sz w:val="20"/>
                  <w:u w:val="single"/>
                </w:rPr>
                <w:t>37</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70">
              <w:r>
                <w:rPr>
                  <w:rStyle w:val="InternetLink"/>
                  <w:rFonts w:ascii="Times New Roman;sans-serif" w:hAnsi="Times New Roman;sans-serif"/>
                  <w:b w:val="false"/>
                  <w:color w:val="0000FF"/>
                  <w:sz w:val="20"/>
                  <w:u w:val="single"/>
                </w:rPr>
                <w:t xml:space="preserve">Item 8.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70">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70">
              <w:r>
                <w:rPr>
                  <w:rStyle w:val="InternetLink"/>
                  <w:rFonts w:ascii="Times New Roman;sans-serif" w:hAnsi="Times New Roman;sans-serif"/>
                  <w:b w:val="false"/>
                  <w:color w:val="0000FF"/>
                  <w:sz w:val="20"/>
                  <w:u w:val="single"/>
                </w:rPr>
                <w:t>39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0">
              <w:r>
                <w:rPr>
                  <w:rStyle w:val="InternetLink"/>
                  <w:rFonts w:ascii="Times New Roman;sans-serif" w:hAnsi="Times New Roman;sans-serif"/>
                  <w:b w:val="false"/>
                  <w:color w:val="0000FF"/>
                  <w:sz w:val="20"/>
                  <w:u w:val="single"/>
                </w:rPr>
                <w:t xml:space="preserve">Item 9.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60">
              <w:r>
                <w:rPr>
                  <w:rStyle w:val="InternetLink"/>
                  <w:rFonts w:ascii="Times New Roman;sans-serif" w:hAnsi="Times New Roman;sans-serif"/>
                  <w:b w:val="false"/>
                  <w:color w:val="0000FF"/>
                  <w:sz w:val="20"/>
                  <w:u w:val="single"/>
                </w:rPr>
                <w:t>71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3">
              <w:r>
                <w:rPr>
                  <w:rStyle w:val="InternetLink"/>
                  <w:rFonts w:ascii="Times New Roman;sans-serif" w:hAnsi="Times New Roman;sans-serif"/>
                  <w:b w:val="false"/>
                  <w:color w:val="0000FF"/>
                  <w:sz w:val="20"/>
                  <w:u w:val="single"/>
                </w:rPr>
                <w:t>Item 9A.</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3">
              <w:r>
                <w:rPr>
                  <w:rStyle w:val="InternetLink"/>
                  <w:rFonts w:ascii="Times New Roman;sans-serif" w:hAnsi="Times New Roman;sans-serif"/>
                  <w:b w:val="false"/>
                  <w:color w:val="0000FF"/>
                  <w:sz w:val="20"/>
                  <w:u w:val="single"/>
                </w:rPr>
                <w:t>CONTROLS AND PROCEDURES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63">
              <w:r>
                <w:rPr>
                  <w:rStyle w:val="InternetLink"/>
                  <w:rFonts w:ascii="Times New Roman;sans-serif" w:hAnsi="Times New Roman;sans-serif"/>
                  <w:b w:val="false"/>
                  <w:color w:val="0000FF"/>
                  <w:sz w:val="20"/>
                  <w:u w:val="single"/>
                </w:rPr>
                <w:t>71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6">
              <w:r>
                <w:rPr>
                  <w:rStyle w:val="InternetLink"/>
                  <w:rFonts w:ascii="Times New Roman;sans-serif" w:hAnsi="Times New Roman;sans-serif"/>
                  <w:b w:val="false"/>
                  <w:color w:val="0000FF"/>
                  <w:sz w:val="20"/>
                  <w:u w:val="single"/>
                </w:rPr>
                <w:t xml:space="preserve">Item 9B.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66">
              <w:r>
                <w:rPr>
                  <w:rStyle w:val="InternetLink"/>
                  <w:rFonts w:ascii="Times New Roman;sans-serif" w:hAnsi="Times New Roman;sans-serif"/>
                  <w:b w:val="false"/>
                  <w:color w:val="0000FF"/>
                  <w:sz w:val="20"/>
                  <w:u w:val="single"/>
                </w:rPr>
                <w:t>OTHER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66">
              <w:r>
                <w:rPr>
                  <w:rStyle w:val="InternetLink"/>
                  <w:rFonts w:ascii="Times New Roman;sans-serif" w:hAnsi="Times New Roman;sans-serif"/>
                  <w:b w:val="false"/>
                  <w:color w:val="0000FF"/>
                  <w:sz w:val="20"/>
                  <w:u w:val="single"/>
                </w:rPr>
                <w:t>71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78317b1a96404023960d070219b1dc42_169">
              <w:r>
                <w:rPr>
                  <w:rStyle w:val="InternetLink"/>
                  <w:rFonts w:ascii="Times New Roman;sans-serif" w:hAnsi="Times New Roman;sans-serif"/>
                  <w:b/>
                  <w:color w:val="0000FF"/>
                  <w:sz w:val="20"/>
                  <w:u w:val="single"/>
                </w:rPr>
                <w:t>PART III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72">
              <w:r>
                <w:rPr>
                  <w:rStyle w:val="InternetLink"/>
                  <w:rFonts w:ascii="Times New Roman;sans-serif" w:hAnsi="Times New Roman;sans-serif"/>
                  <w:b w:val="false"/>
                  <w:color w:val="0000FF"/>
                  <w:sz w:val="20"/>
                  <w:u w:val="single"/>
                </w:rPr>
                <w:t xml:space="preserve">Item 10.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72">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72">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75">
              <w:r>
                <w:rPr>
                  <w:rStyle w:val="InternetLink"/>
                  <w:rFonts w:ascii="Times New Roman;sans-serif" w:hAnsi="Times New Roman;sans-serif"/>
                  <w:b w:val="false"/>
                  <w:color w:val="0000FF"/>
                  <w:sz w:val="20"/>
                  <w:u w:val="single"/>
                </w:rPr>
                <w:t xml:space="preserve">Item 11.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75">
              <w:r>
                <w:rPr>
                  <w:rStyle w:val="InternetLink"/>
                  <w:rFonts w:ascii="Times New Roman;sans-serif" w:hAnsi="Times New Roman;sans-serif"/>
                  <w:b w:val="false"/>
                  <w:color w:val="0000FF"/>
                  <w:sz w:val="20"/>
                  <w:u w:val="single"/>
                </w:rPr>
                <w:t>EXECUTIVE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75">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78">
              <w:r>
                <w:rPr>
                  <w:rStyle w:val="InternetLink"/>
                  <w:rFonts w:ascii="Times New Roman;sans-serif" w:hAnsi="Times New Roman;sans-serif"/>
                  <w:b w:val="false"/>
                  <w:color w:val="0000FF"/>
                  <w:sz w:val="20"/>
                  <w:u w:val="single"/>
                </w:rPr>
                <w:t xml:space="preserve">Item 12.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7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78">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81">
              <w:r>
                <w:rPr>
                  <w:rStyle w:val="InternetLink"/>
                  <w:rFonts w:ascii="Times New Roman;sans-serif" w:hAnsi="Times New Roman;sans-serif"/>
                  <w:b w:val="false"/>
                  <w:color w:val="0000FF"/>
                  <w:sz w:val="20"/>
                  <w:u w:val="single"/>
                </w:rPr>
                <w:t>Item 13.</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18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81">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84">
              <w:r>
                <w:rPr>
                  <w:rStyle w:val="InternetLink"/>
                  <w:rFonts w:ascii="Times New Roman;sans-serif" w:hAnsi="Times New Roman;sans-serif"/>
                  <w:b w:val="false"/>
                  <w:color w:val="0000FF"/>
                  <w:sz w:val="20"/>
                  <w:u w:val="single"/>
                </w:rPr>
                <w:t>Item 14.</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84">
              <w:r>
                <w:rPr>
                  <w:rStyle w:val="InternetLink"/>
                  <w:rFonts w:ascii="Times New Roman;sans-serif" w:hAnsi="Times New Roman;sans-serif"/>
                  <w:b w:val="false"/>
                  <w:color w:val="0000FF"/>
                  <w:sz w:val="20"/>
                  <w:u w:val="single"/>
                </w:rPr>
                <w:t>PRINCIPAL ACCOUNTANT FEES AND SERVICES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84">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78317b1a96404023960d070219b1dc42_187">
              <w:r>
                <w:rPr>
                  <w:rStyle w:val="InternetLink"/>
                  <w:rFonts w:ascii="Times New Roman;sans-serif" w:hAnsi="Times New Roman;sans-serif"/>
                  <w:b/>
                  <w:color w:val="0000FF"/>
                  <w:sz w:val="20"/>
                  <w:u w:val="single"/>
                </w:rPr>
                <w:t>PART IV</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90">
              <w:r>
                <w:rPr>
                  <w:rStyle w:val="InternetLink"/>
                  <w:rFonts w:ascii="Times New Roman;sans-serif" w:hAnsi="Times New Roman;sans-serif"/>
                  <w:b w:val="false"/>
                  <w:color w:val="0000FF"/>
                  <w:sz w:val="20"/>
                  <w:u w:val="single"/>
                </w:rPr>
                <w:t>Item 15.</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90">
              <w:r>
                <w:rPr>
                  <w:rStyle w:val="InternetLink"/>
                  <w:rFonts w:ascii="Times New Roman;sans-serif" w:hAnsi="Times New Roman;sans-serif"/>
                  <w:b w:val="false"/>
                  <w:color w:val="0000FF"/>
                  <w:sz w:val="20"/>
                  <w:u w:val="single"/>
                </w:rPr>
                <w:t>EXHIBITS, FINANCIAL STATEMENT SCHEDULES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90">
              <w:r>
                <w:rPr>
                  <w:rStyle w:val="InternetLink"/>
                  <w:rFonts w:ascii="Times New Roman;sans-serif" w:hAnsi="Times New Roman;sans-serif"/>
                  <w:b w:val="false"/>
                  <w:color w:val="0000FF"/>
                  <w:sz w:val="20"/>
                  <w:u w:val="single"/>
                </w:rPr>
                <w:t>73</w:t>
              </w:r>
            </w:hyperlink>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8317b1a96404023960d070219b1dc42_193">
              <w:r>
                <w:rPr>
                  <w:rStyle w:val="InternetLink"/>
                  <w:rFonts w:ascii="Times New Roman;sans-serif" w:hAnsi="Times New Roman;sans-serif"/>
                  <w:b w:val="false"/>
                  <w:color w:val="0000FF"/>
                  <w:sz w:val="20"/>
                  <w:u w:val="single"/>
                </w:rPr>
                <w:t>SIGNATURES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317b1a96404023960d070219b1dc42_193">
              <w:r>
                <w:rPr>
                  <w:rStyle w:val="InternetLink"/>
                  <w:rFonts w:ascii="Times New Roman;sans-serif" w:hAnsi="Times New Roman;sans-serif"/>
                  <w:b w:val="false"/>
                  <w:color w:val="0000FF"/>
                  <w:sz w:val="20"/>
                  <w:u w:val="single"/>
                </w:rPr>
                <w:t>77</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3"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the words “IES”, the “Company”, the “Registrant”, “we”, “our”, “ours” and “us” refer to IES Holdings, Inc. and, except as otherwise specified herein, to our subsidiaries.</w:t>
      </w:r>
    </w:p>
    <w:p>
      <w:pPr>
        <w:pStyle w:val="TextBody"/>
        <w:spacing w:before="0" w:after="0"/>
        <w:rPr/>
      </w:pPr>
      <w:r>
        <w:rPr/>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spacing w:before="0" w:after="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impact of the COVID-19 outbreak or future epidemics on our business, including the potential for job site closures or work stoppages, supply chain disruptions, delays in awarding new project bids, construction delays, reduced demand for our services, our ability to collect from our customers, or illness of management or other employees;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our ability to successfully manage projects, the cost and availability of qualified labor and the ability to maintain positive labor relations, and our ability to pass along increases in the cost of commodities used in our business, in particular, copper, aluminum, steel, fuel and certain plastics; potential supply chain disruptions due to credit or liquidity problems faced by our suppliers;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our ability to enter into, and the terms of, future contracts;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challenges integrating new businesses into the Company or new types of work, products or processes into our segments;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a general reduction in the demand for our services;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backlog that may not be realized or may not result in profits;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closures or sales of facilities resulting in significant future charges, including potential warranty losses or other unexpected liabilities, or a significant disruption of our operations;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an increased cost of surety bonds affecting margins on work and the potential for our surety providers to refuse bonding or require additional collateral at their discretion;</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fluctuations in operating activity due to downturns in levels of construction or the housing market, seasonality and differing regional economic conditions;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increases in bad debt expense and days sales outstanding due to liquidity problems faced by our customers;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accidents resulting from the physical hazards associated with our work and the potential for accidents;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possibility that our current insurance coverage may not be adequate or that we may not be able to obtain policies at acceptable rates;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4"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effect of litigation, claims and contingencies, including warranty losses, damages or other latent defect claims in excess of our existing reserves and accruals;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interruptions to our information systems and cyber security or data breaches;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liabilities under laws and regulations protecting the environment;</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loss of key personnel and effective transition of new management, or inability to transfer, renew and obtain electrical and other licenses;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possibility that certain tax benefits of our net operating losses may be restricted or reduced in a change in ownership or a change in the federal tax rate;</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recognition of tax benefits related to uncertain tax positions and the potential for disagreements with taxing authorities with regard to tax positions we have adopted;</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potential recognition of valuation allowances or write-downs on deferred tax assets;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limitations on the availability of sufficient credit or cash flow to fund our working capital needs and capital expenditures, complete acquisitions, and for debt service; </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difficulty in fulfilling the covenant terms of our credit facility, including liquidity, and other financial requirements, which could result in a default and acceleration of any indebtedness we may incur under our revolving credit facility;</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inaccurate estimates used when entering into fixed-priced contracts, the possibility of errors when estimating revenue and progress to date on percentage-of-completion contracts, and complications associated with the incorporation of new accounting, control and operating procedures;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uncertainties inherent in estimating future operating results, including revenues, operating income or cash flow;</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recognition of potential goodwill, long-lived assets and other investment impairments;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phase-out, replacement or unavailability of the London Interbank Offered Rate ("LIBOR");</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existence of a controlling shareholder, who has the ability to take action not aligned with other shareholders or could dispose of all or any portion of the shares of our common stock it holds, which could trigger change of control provisions in a number of our material agreements, including our financing and surety arrangements and our executive severance plan, as well as exercisability of the purchase rights under our tax benefit protection plan;</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relatively low trading volume of our common stock, as a result of which it could be more difficult for shareholders to sell a substantial number of shares for the same price at which shareholders could sell a smaller number of shares; </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possibility that we issue additional shares of common stock, preferred stock or convertible securities that will dilute the percentage ownership interest of existing stockholders and may dilute the value per share of our common stock; </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potential for substantial sales of our common stock, which could adversely affect our stock price; and</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possibility that our internal controls over financial reporting and our disclosure controls and procedures may not prevent all possible errors that could occur.</w:t>
      </w:r>
    </w:p>
    <w:p>
      <w:pPr>
        <w:pStyle w:val="TextBody"/>
        <w:spacing w:before="0" w:after="0"/>
        <w:ind w:left="0" w:right="0" w:hanging="180"/>
        <w:jc w:val="both"/>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5"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You should understand that the foregoing, as well as other risk factors discussed in this document, including those listed in Part I, Item 1A of this report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pStyle w:val="TextBody"/>
        <w:spacing w:before="0" w:after="0"/>
        <w:ind w:left="0" w:right="0" w:firstLine="72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 xml:space="preserve">Business </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IES Holdings, Inc. is a holding company that owns and manages operating subsidiaries that design and install integrated electrical and technology systems and provide infrastructure products and services to a variety of end markets. Our operations are currently organized into four principal business segments, based upon the nature of our current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services, including the design, build, and maintenance of the infrastructure within data centers for co-location and managed hosting customers, for both large corporations and independent businesses.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Regional provider of electrical installation services for single-family housing and multi-family apartment complexes.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IES Holdings, Inc. is a Delaware corporation established in 1997 and headquartered in Houston, Texas, with an executive office in Greenwich, Connecticut.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CORPORATE STRATEGY</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We seek to create shareholder value through improving operating margins and generating free cash flow by investing in our existing businesses and completing acquisitions. We seek to acquire businesses that strategically complement our existing business segments or to acquire or invest in stand-alone platform companies based in North America. In evaluating potential acquisition candidates, we seek to invest in businesses with, among other characteristics:</w:t>
      </w:r>
      <w:r>
        <w:rPr>
          <w:color w:val="00000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proven management with a willingness to continue post-acquisition;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low technological and/or product obsolescence risk;</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established market position and sustainable competitive advantages;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strong cash flow characteristics.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acquisitions provide an opportunity to expand into new or related services, products, end markets or geographic areas and diversify our revenue and profit streams, which we expect will allow us to maximize the value of our significant net operating loss tax carry forwards (“NOLs”). While we may use acquisitions to build our presence in the industries we serve, we will also consider potential acquisitions in other industries, which could result in changes in our operations from those historically conducted by us. </w: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6"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consist of the consolidated business segments identified above, which offer different services and are managed separately. The table below describes the percentage of our total revenues attributable to each of our four segments over each of the last three years (percentage columns may not add due to rounding):</w:t>
      </w:r>
    </w:p>
    <w:tbl>
      <w:tblPr>
        <w:tblW w:w="10536" w:type="dxa"/>
        <w:jc w:val="left"/>
        <w:tblInd w:w="0" w:type="dxa"/>
        <w:tblCellMar>
          <w:top w:w="28" w:type="dxa"/>
          <w:left w:w="28" w:type="dxa"/>
          <w:bottom w:w="28" w:type="dxa"/>
          <w:right w:w="28" w:type="dxa"/>
        </w:tblCellMar>
      </w:tblPr>
      <w:tblGrid>
        <w:gridCol w:w="771"/>
        <w:gridCol w:w="679"/>
        <w:gridCol w:w="680"/>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77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9"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9"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financial information by segment, see Note 11, “Operating Segments” in the notes to our Consolidated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Originally established in 1984, our Communications segment is a leading provider of network infrastructure solutions for data centers and other mission critical environments. Our services include the design, installation and maintenance of network infrastructure for leading and recognizable global technology, social networking and e-commerce brands, including many Fortune 100 and 500 corporations. We serve a variety of industries and end-markets,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16 offices, which includes the segment headquarters located in Tempe, Arizona, and also provide dedicated onsite teams at our customers’ sites.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Communications segment is driven by demand increases for computing and storage resources as a result of technology advancements and obsolescence and changes in data consumption patterns. Growth in the data center market remains strong, and the need for structured cabling services for applications such as data centers and distribution centers is growing rapidly. Additionally, we are continuing to expand our offerings in this market to broaden our customer base. Demand has also been strong for our audio-visual and other building technology offerings. Nevertheless, due to economic, technological and other factors, there can be no assurance that demand will continue to increase.</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long-term strategy is to improve our position as a preferred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pPr>
      <w:r>
        <w:rPr>
          <w:rFonts w:ascii="Times New Roman;sans-serif" w:hAnsi="Times New Roman;sans-serif"/>
          <w:b w:val="false"/>
          <w:color w:val="000000"/>
          <w:sz w:val="20"/>
        </w:rPr>
        <w:t xml:space="preserve">Our competition consists of both large national or regional competitors and small, privately owned contractors who generally have limited access to capital. </w:t>
      </w:r>
      <w:r>
        <w:rPr>
          <w:rFonts w:ascii="Times New Roman;sans-serif" w:hAnsi="Times New Roman;sans-serif"/>
          <w:b w:val="false"/>
          <w:color w:val="000000"/>
          <w:sz w:val="20"/>
          <w:highlight w:val="white"/>
        </w:rPr>
        <w:t>We compete on quality of service and/or price and seek to emphasize our financial capabilities and long history of delivering high quality solutions to our customers.</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7"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effects of seasonality on our Communications business are not 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pPr>
      <w:r>
        <w:rPr>
          <w:rFonts w:ascii="Times New Roman;sans-serif" w:hAnsi="Times New Roman;sans-serif"/>
          <w:b w:val="false"/>
          <w:color w:val="000000"/>
          <w:sz w:val="20"/>
        </w:rPr>
        <w:t>Originally established in 1973, our Residential segment is a leading provider of</w:t>
      </w:r>
      <w:r>
        <w:rPr>
          <w:color w:val="000000"/>
        </w:rPr>
        <w:t xml:space="preserve"> </w:t>
      </w:r>
      <w:r>
        <w:rPr>
          <w:rFonts w:ascii="Times New Roman;sans-serif" w:hAnsi="Times New Roman;sans-serif"/>
          <w:b w:val="false"/>
          <w:color w:val="000000"/>
          <w:sz w:val="20"/>
        </w:rPr>
        <w:t xml:space="preserve">electrical installation services for single-family housing and multi-family apartment complexes and cable television installations for residential and light commercial applications. In addition to our core electrical construction work, the Residential segment also provides services for the installation of residential solar power, both for new construction and existing residences. The Residential segment is made up of 29 total locations, which include the segment headquarters in Houston, Texas. These locations geographically cover the Sun-Belt, Western, Mid-Atlantic and Northeastern regions of the United States.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Residential business is closely correlated to the single and multi-family housing market. Although demand for both single-family and multi-family housing has increased in recent years, due to economic, technological or other factors, there can be no assurance that overall construction and demand will continue to increase in the future.</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Demand for our Residential services is highly dependent on the number of single-family and multi-family home starts in the markets we serve. Although we operate in multiple states throughout the Sun-Belt, Mid-Atlantic, Northeastern and Western regions of the United States, the majority of our single-family revenues are derived from services provided in Texas. The Texas market also remains an important part of our multi-family business; however, the majority of our multi-family revenue is earned across the Mid-Atlantic and Southeast. Our sales efforts include a variety of strategies, including a concentrated focus on national and regional homebuilders and multi-family developers and a local sales strategy for single and multi-family housing projects. Our cable and solar revenues are typically generated through third parties specializing in these industries who select us as a preferred provider of installation services. A significant portion of our Residential business volume is generated from long-term, repeat customers, some of whom use IES as a preferred provider for major projects.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long-term strategy is to continue to be a leading provider of electrical services to the residential market. The key elements of our long-term strategy include a continued focus on maintaining a low and variable cost structure and cash generation, allowing us to effectively scale according to the housing cycle, and to opportunistically increase our market share.</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competition primarily consists of small, privately owned contractors who generally have limited access to capital. We believe that we have a competitive advantage over these smaller competitors due to our key employees’ long-standing customer relationships, our financial capabilities, our strong employee training program, and our local market knowledge and competitive pricing. There are few barriers to entry for electrical contracting services in the residential markets.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Results of operations from our Residential segment can be seasonal, depending on weather trends, with typically higher revenues generated during spring and summer and lower revenues during fall and winter. Our service and maintenance business is generally not affected by seasonality. In addition, the construction industry has historically been highly cyclical. Our volume of business may be adversely affected by declines in multi-family occupancy rates as well as single-family housing starts within our operational footprint.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Infrastructure Solutions segment provides electro-mechanical solutions for industrial operations to domestic and international customers. Our solutions include the maintenance and repair of alternating current (AC) and direct current (DC) electric motors and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8"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generators, as well as power generating and distribution equipment; the manufacture of custom-engineered power distribution equipment, including metal enclosed bus duct solutions used in power distribution; the manufacture of custom commercial and industrial generator enclosures; the manufacture, re-manufacture, and repair of industrial lifting magnets; and maintenance and repair of railroad main and auxiliary generators, main alternators, and traction motors.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This segment serves the steel, railroad, marine, petrochemical, pipeline, pulp and paper, wind energy, mining, automotive, power generation, scrap yards, data center, and utility industries. Our Infrastructure Solutions segment is comprised of ten locations in Alabama, Georgia, Illinois, Indiana, Ohio, and West Virginia, and is headquartered in Massillon, Ohio.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pPr>
      <w:r>
        <w:rPr>
          <w:rFonts w:ascii="Times New Roman;sans-serif" w:hAnsi="Times New Roman;sans-serif"/>
          <w:b w:val="false"/>
          <w:color w:val="000000"/>
          <w:sz w:val="20"/>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the need for electrical or pipeline infrastructure improvements and the overall health of the economy</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sales efforts are primarily driven by personnel based at our operating locations, as well as independent sales representatives. Given that the majority of our apparatus repair customers are located within a 200-mile radius of our facilities, we believe that this structure allows us to rapidly address and respond to the needs of our customers. Our custom-engineered power distribution, bus system and generator enclosure products and services are principally sold in partnership with an original equipment manufacturer (“OEM”) or to an engineering, procurement and construction firm on behalf of the end-user. Our long term strategy is to be the preferred solutions provider of outsourced electro-mechanical services, repairs, and manufacturing to our select markets and a leader in custom-engineered metal enclosed bus systems and generator enclosures.</w:t>
      </w:r>
    </w:p>
    <w:p>
      <w:pPr>
        <w:pStyle w:val="TextBody"/>
        <w:spacing w:lineRule="auto" w:line="288" w:before="0" w:after="0"/>
        <w:rPr>
          <w:color w:val="000000"/>
        </w:rPr>
      </w:pPr>
      <w:r>
        <w:rPr>
          <w:color w:val="000000"/>
        </w:rPr>
        <w:t>    </w:t>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competition is comprised mainly of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 </w:t>
      </w:r>
    </w:p>
    <w:p>
      <w:pPr>
        <w:pStyle w:val="TextBody"/>
        <w:spacing w:before="0" w:after="0"/>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Infrastructure Solutions’ revenues from its custom-engineered bus systems and generator enclosures are affected by the timing of customers' capital spending projects. Revenues from industrial services may be affected by the timing of scheduled outages at its industrial customers’ facilities and by weather conditions with respect to projects conducted outdoors, but the effects of seasonality on revenues in its industrial services business are not significant. Infrastructure Solutions’ quarterly results may fluctuate, and the results of one fiscal quarter may not be representative of the results of any other quarter or of the full fiscal year.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Commercial &amp; Industrial segment provides electrical and mechanical design, service, and construction services to commercial and industrial markets. Our design services range from budget assistance to providing design-build and LEED (Leadership in Energy &amp; Environmental Design) solutions to our end customers. Our maintenance and emergency services include critical plant shutdown, troubleshooting, emergency testing, preventative maintenance, and constant presence. Our construction services range from the initial planning and procurement to installation and start-up and are offered to a variety of new and remodel construction projects, ranging from the construction of office buildings and industrial facilities to transmission and distribution projects. We also provide mechanical services such as maintenance agreements, installation, or replacement of mechanical equipment for commercial and industrial facilities.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segment provides services for a variety of project types, including office buildings, manufacturing facilities, data centers, chemical plants, refineries, wind farms, solar facilities, municipal infrastructure and health care facilities. The Commercial &amp; Industrial segment consists of 22 locations, which includes the segment headquarters in Houston, Texas. Geographically, these locations cover Texas, Nebraska, Oregon, Wisconsin, and the Southeast and Mid-Atlantic regions.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9"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diverse end-markets of our Commercial &amp; Industrial customers, which include both commercial buildings, such as offices, healthcare facilities and schools, and industrial projects, such as power, chemical, refinery and heavy manufacturing facilities, we are subject to many trends within the construction industry. In general, demand for our Commercial &amp; Industrial services is driven by construction and renovation activity levels, economic growth, and availability of bank or other financing. Currently, the construction industry is being impacted by the ongoing COVID-19 pandemic, which has caused some customers to delay the awarding of new projects. Due to economic, technological or other factors, there can be no assurance that construction and demand will increase.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tends to be either recurring or experience lower sensitivity to economic cycles, or both. A significant portion of our larger projects is awarded from long-term, repeat customers. From time to time, we are contracted on projects with completion times extending beyond one year or over several years, which are generally more complex and difficult to estimate.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a focus on quality service offerings, our long-term strategy is to continue to be one of the preferred providers of electrical and mechanical services in the markets where we have demonstrated expertise and/or are a local market leader. Key elements of our long-term strategy include leveraging our expertise in certain niche markets, expanding our service and maintenance business, attracting and retaining highly qualified employees, and maintaining our focus on returns on risk adjusted capital through an emphasis on reducing costs and managing working capital.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electrical and mechanical contracting services industry is generally highly competitive and includes a number of regional or small privately-held local firms. Traditionally, competitors in certain parts of this market have faced few barriers to entry. Therefore, we seek to pursue projects where our access to capital and expertise provide a competitive advantage.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Industry expertise, project size, location and past performance will determine our bidding strategy, the level of involvement from competitors and our level of success in winning awards.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effects of seasonality on our Commercial &amp; Industrial business are not significant, as most of our work generally is performed inside structures protected from the weather. However, we do perform some work outdoors, which can be affected by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SOURCES OF SUPPLY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raw materials and components we use within our segments include, but are not limited to, electrical fixtures and system components, copper, aluminum, and raw steel. These raw materials and components are generally available from a variety of domestic suppliers at competitive prices. Delivery times are typically short for most raw materials and standard components, but during periods of peak demand, may extend to one month or more. Our strategy to reduce commodity cost exposure includes early buying of commodities for particular projects or general inventory, as well as including escalation and escape provisions in project bids, quotes and contracts wherever possible. However, such protections may not be included in every contract or project, and in such cases, we may not be fully reimbursed for increases in commodity prices by our customers and may be exposed to commodity price volatility on longer-term projects where we have prepaid for commodities.</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 party health, bodily injury and property damage, as well as pollution coverage and workers’ compensation coverage, which we consider appropriate to insure against these risks. Our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0"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third-party insurance is subject to deductibles for which we establish reserves. In light of these risks, we are also committed to a strong safety and environmental compliance culture. We employ full-time and part-time regional safety managers, under the supervision of our full-time Senior Vice President of Safety, and seek to maintain standardized safety and environmental policies, programs, procedures and personal protection equipment relative to each segment, including programs to train new employees, which apply to employees new to the industry and those new to the Company.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have a diverse customer base. During each of the years ended September 30, 2020, 2019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0"/>
        </w:rPr>
        <w:t>2018, no single customer accounted for more than 10% of our consolidated revenues. We emphasize developing and maintaining relationships with our customers by providing superior, high-quality service.</w:t>
      </w:r>
      <w:r>
        <w:rPr>
          <w:color w:val="000000"/>
        </w:rPr>
        <w:t xml:space="preserve"> </w:t>
      </w:r>
      <w:r>
        <w:rPr>
          <w:rFonts w:ascii="Times New Roman;sans-serif" w:hAnsi="Times New Roman;sans-serif"/>
          <w:b w:val="false"/>
          <w:color w:val="000000"/>
          <w:sz w:val="20"/>
        </w:rPr>
        <w:t xml:space="preserve">Management at each of our segments is responsible for determining sales strategies and sales activities.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CONTROLLING SHAREHOLDER</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common stock is owned by Tontine Associates, L.L.C. ("Tontine Associates") and its affiliates (collectively, “Tontine”). Based on an amended Schedule 13D filed by Tontine with the United States Securities and Exchange Commission (the “SEC”) on October 9, 2020, Tontine owns approximately 56 percent of our outstanding common stock. As a result, Tontine can control most of our affairs, including most actions requiring the approval of shareholders, such as the approval of any potential merger or sale of all or substantially all of the Company's assets or business segments, or the Company itself. Most of Tontine’s shares are registered for resale on a shelf registration statement filed by the Company with the SEC.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 For more information, see Note 3, “Controlling Shareholder” in the notes to our Consolidated Financial Statements.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NET OPERATING LOSS TAX CARRYFORWARDS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certain of its subsidiaries have an estimated federal net operating loss (“NOL”) of approximately $217.3 million at September 30, 2020, including approximately $128.0 million resulting from net operating losses on which a deferred tax asset is not recorded.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2017, the Tax Cuts and Jobs Act (the “Act”) was enacted which, among other things, reduced the corporate income tax rate from 35% to 21%, effective January 1, 2018. As a result of this change, the Company’s statutory rate for fiscal 2018 was a blended rate of 24.53% and decreased to 21% in 2019. For the year ended September 30, 2018, our effective tax rate differed from the statutory tax rate as a result of a charge of $31.3 million to re-measure our deferred tax assets and liabilities to reflect the estimated impact of the new statutory tax rate. Any future change in the federal statutory tax rate could also impact the economic benefit of the NOL and other deferred tax assets available to us and result in an additional charge or benefit to adjust the book value of the deferred tax asset recorded on our Consolidated Balance Sheets.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ownership, as defined by Internal Revenue Code Section 382, could reduce the availability of NOLs for federal and state income tax purposes. Should Tontine sell or otherwise dispose of all or a portion of its position in IES, a change in ownership could occur. In addition, a change in ownership could result from the purchase of common stock by an existing or a new 5% shareholder as defined by Internal Revenue Code Section 382. Should a change in ownership occur, all NOLs incurred prior to the change in ownership would be subject to limitation imposed by Internal Revenue Code Section 382, which would substantially reduce the amount of NOL currently available to offset taxable income. For more information see Note 3, “Controlling Shareholder” in the notes to our Consolidated Financial Statements.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1"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tax benefit protection plan (the “NOL Rights Plan”) which is designed to deter an acquisition of the Company’s stock in excess of a threshold amount that could trigger a change in ownership within the meaning of Internal Revenue Code Section 382.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REMAINING PERFORMANCE OBLIGATIONS AND BACKLOG</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Remaining performance obligations represent the unrecognized revenue value of our contract commitments. While backlog is not a defined term under accounting principles generally accepted in the United States of America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w:t>
      </w:r>
      <w:r>
        <w:rPr>
          <w:color w:val="000000"/>
        </w:rPr>
        <w:t xml:space="preserve"> </w:t>
      </w:r>
      <w:r>
        <w:rPr>
          <w:rFonts w:ascii="Times New Roman;sans-serif" w:hAnsi="Times New Roman;sans-serif"/>
          <w:b w:val="false"/>
          <w:color w:val="000000"/>
          <w:sz w:val="20"/>
        </w:rPr>
        <w:t>The table below summarizes our remaining performance obligations and backlog by segment:</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605"/>
        <w:gridCol w:w="533"/>
        <w:gridCol w:w="534"/>
        <w:gridCol w:w="432"/>
        <w:gridCol w:w="954"/>
        <w:gridCol w:w="224"/>
        <w:gridCol w:w="569"/>
        <w:gridCol w:w="975"/>
        <w:gridCol w:w="294"/>
        <w:gridCol w:w="213"/>
        <w:gridCol w:w="471"/>
        <w:gridCol w:w="112"/>
        <w:gridCol w:w="109"/>
        <w:gridCol w:w="109"/>
        <w:gridCol w:w="109"/>
        <w:gridCol w:w="432"/>
        <w:gridCol w:w="954"/>
        <w:gridCol w:w="224"/>
        <w:gridCol w:w="569"/>
        <w:gridCol w:w="975"/>
        <w:gridCol w:w="294"/>
        <w:gridCol w:w="213"/>
        <w:gridCol w:w="471"/>
        <w:gridCol w:w="164"/>
      </w:tblGrid>
      <w:tr>
        <w:trPr/>
        <w:tc>
          <w:tcPr>
            <w:tcW w:w="605"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18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Agreements without an enforceable obligation </w:t>
            </w:r>
            <w:r>
              <w:rPr>
                <w:rFonts w:ascii="Times New Roman;sans-serif" w:hAnsi="Times New Roman;sans-serif"/>
                <w:b w:val="false"/>
                <w:color w:val="000000"/>
                <w:sz w:val="13"/>
              </w:rPr>
              <w:t>(1)</w:t>
            </w:r>
          </w:p>
        </w:tc>
        <w:tc>
          <w:tcPr>
            <w:tcW w:w="7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18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Agreements without an enforceable obligation </w:t>
            </w:r>
            <w:r>
              <w:rPr>
                <w:rFonts w:ascii="Times New Roman;sans-serif" w:hAnsi="Times New Roman;sans-serif"/>
                <w:b w:val="false"/>
                <w:color w:val="000000"/>
                <w:sz w:val="13"/>
              </w:rPr>
              <w:t>(1)</w:t>
            </w:r>
          </w:p>
        </w:tc>
        <w:tc>
          <w:tcPr>
            <w:tcW w:w="8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Backlog</w:t>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millions)</w:t>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4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Our backlog includes signed agreements and letters of intent that we do not have a legal right to enforce prior to beginning work. These agreements are excluded from remaining performance obligations until work begins.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expect that $438 million of our September 30, 2020 backlog will result in revenue during fiscal 2021, with the remaining $164 million expected to be realized in fiscal 2022; however, there can be no assurance that this backlog will be completed within expected time frames or at all. The increase in our backlog year over year was primarily driven by strong demand and increased market share within our Communications and Residential segments.</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federal, state and local laws and regulations,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licensing requirements applicable to electricians and mechanical service technicians;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building and electrical codes;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regulations relating to worker safety, labor relations and protection of the environment;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regulations relating to consumer protection, including those governing residential service agreements;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qualifications of our business legal structure in the jurisdictions where we do business.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Many state and local regulations governing electricians and mechanical services require permits and licenses to be held by individuals.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2"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within that area, given the large number of permits and licenses required, we are unable to ensure that multiple employees hold such required permits and licenses.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all licenses required to conduct our operations and are in material compliance with applicable regulatory requirements. Failure to comply with applicable regulations could result in substantial fines or revocation of our operating licenses or an inability to perform government work.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CAPITAL FACILITIES</w:t>
      </w:r>
    </w:p>
    <w:p>
      <w:pPr>
        <w:pStyle w:val="TextBody"/>
        <w:spacing w:lineRule="auto" w:line="288" w:before="0" w:after="0"/>
        <w:rPr/>
      </w:pPr>
      <w:r>
        <w:rPr>
          <w:rFonts w:ascii="Times New Roman;sans-serif" w:hAnsi="Times New Roman;sans-serif"/>
          <w:b w:val="false"/>
          <w:color w:val="000000"/>
          <w:sz w:val="20"/>
        </w:rPr>
        <w:t>During fiscal year 2020, the Company maintained a revolving credit facility, as further described in Item 7. “</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 xml:space="preserve">” </w:t>
      </w:r>
      <w:r>
        <w:rPr>
          <w:rFonts w:ascii="Times New Roman;sans-serif" w:hAnsi="Times New Roman;sans-serif"/>
          <w:b w:val="false"/>
          <w:color w:val="000000"/>
          <w:sz w:val="20"/>
        </w:rPr>
        <w:t xml:space="preserve">of this Annual Report on Form 10-K. For a discussion of the Company’s capital resources, see Item 7. </w:t>
      </w:r>
      <w:r>
        <w:rPr>
          <w:color w:val="000000"/>
        </w:rPr>
        <w:t>“</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20"/>
        </w:rPr>
        <w:t>For the Company’s financial information by segment, see Note 11, “Operating Segments</w:t>
      </w:r>
      <w:r>
        <w:rPr>
          <w:color w:val="000000"/>
        </w:rPr>
        <w:t xml:space="preserve">” </w:t>
      </w:r>
      <w:r>
        <w:rPr>
          <w:rFonts w:ascii="Times New Roman;sans-serif" w:hAnsi="Times New Roman;sans-serif"/>
          <w:b w:val="false"/>
          <w:color w:val="000000"/>
          <w:sz w:val="20"/>
        </w:rPr>
        <w:t>in the notes to our Consolidated Financial Statements.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2020, we had 5,243 employees, of whom 5,214 were full-time employees. We are party to two collective bargaining agreements within our Infrastructure Solutions segment. We have not experienced, and do not expect, any work stoppage, and we believe that our relationship with our employees is strong.</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2020, we have 79 domestic locations serving the United States. In addition to our two executive and corporate offices, as of September 30, 2020, we have 16 locations within our Communications business, 29 locations within our Residential business, ten locations within our Infrastructure Solutions business and 22 locations within our Commercial &amp; Industrial business. This geographic diversity helps to reduce our exposure to unfavorable economic developments in any given region.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OFFICERS OF THE REGISTRANT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information with respect to each executive officer is as follows: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Jeffrey, L. Gendell,</w:t>
      </w:r>
      <w:r>
        <w:rPr>
          <w:color w:val="000000"/>
        </w:rPr>
        <w:t xml:space="preserve"> </w:t>
      </w:r>
      <w:r>
        <w:rPr>
          <w:rFonts w:ascii="Times New Roman;sans-serif" w:hAnsi="Times New Roman;sans-serif"/>
          <w:b w:val="false"/>
          <w:color w:val="000000"/>
          <w:sz w:val="20"/>
        </w:rPr>
        <w:t xml:space="preserve">61, has served as the Company's Chief Executive Officer since October 1, 2020; he previously served as Interim Chief Executive Officer from July 31, 2020 to September 30, 2020. Mr. Gendell has also served as the Chairman of the Board since November 2016. Mr. Gendell is the founder and managing member of Tontine Associates, L.L.C., which together with its affiliates is the Company's majority shareholder. Mr. Gendell formed Tontine in 1995 and manages all of the investment decisions at the firm. Prior to forming Tontine, Mr. Gendell held senior investment management positions at several other private investment firms, including Odyssey Partners, L.P., and began his career in investment banking over 35 years ago at Smith Barney, Harris Upham &amp; Co., where he was involved in capital markets, corporate finance and M&amp;A activity.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Tracy A. McLauchlin</w:t>
      </w:r>
      <w:r>
        <w:rPr>
          <w:rFonts w:ascii="Times New Roman;sans-serif" w:hAnsi="Times New Roman;sans-serif"/>
          <w:b w:val="false"/>
          <w:color w:val="000000"/>
          <w:sz w:val="20"/>
        </w:rPr>
        <w:t>, 51, has served as Senior Vice President, Chief Financial Officer and Treasurer of the Company since May 2015. She previously served as Vice President and Chief Accounting Officer of the Company since February 2014. Prior to joining IES, Ms. McLauchlin served as Vice President and Chief Accounting Officer of Rockwater Energy Solutions, Inc. from June 2011 to November 2013. From June 2004 to June 2011, Ms. McLauchlin was with Dynegy Inc., where she served as Senior Vice President and Controller from March 2009 to June 2011 and from June 2004 to March 2009 served in various other capacities in finance and accounting. She began her career with PricewaterhouseCoopers LLP after receiving her Master of Accounting from Rice University. Ms. McLauchlin is a Certified Public Accountant.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We have adopted a Code of Ethics for Financial Executives that applies to our principal executive officer, principal financial officer and principal accounting officer. The Code of Ethics may be found on our website at</w:t>
      </w:r>
      <w:r>
        <w:rPr>
          <w:color w:val="000000"/>
        </w:rPr>
        <w:t xml:space="preserve"> </w:t>
      </w:r>
      <w:r>
        <w:rPr>
          <w:rFonts w:ascii="Times New Roman;sans-serif" w:hAnsi="Times New Roman;sans-serif"/>
          <w:b w:val="false"/>
          <w:i/>
          <w:color w:val="000000"/>
          <w:sz w:val="20"/>
        </w:rPr>
        <w:t>www.ies-corporate.com/corporate-governance</w:t>
      </w:r>
      <w:r>
        <w:rPr>
          <w:rFonts w:ascii="Times New Roman;sans-serif" w:hAnsi="Times New Roman;sans-serif"/>
          <w:b w:val="false"/>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3"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we make any substantive amendments to the Code of Ethics or grant any waiver, including any implicit waiver, from a provision of the Code of Ethics to our principal executive officer, principal financial officer or principal accounting officer, we will disclose the nature of such amendment or waiver on that website or in a report on Form 8-K. Paper copies of these documents are also available free of charge upon written request to us.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General information about us can be found on our website at</w:t>
      </w:r>
      <w:r>
        <w:rPr>
          <w:color w:val="000000"/>
        </w:rPr>
        <w:t xml:space="preserve"> </w:t>
      </w:r>
      <w:r>
        <w:rPr>
          <w:rFonts w:ascii="Times New Roman;sans-serif" w:hAnsi="Times New Roman;sans-serif"/>
          <w:b w:val="false"/>
          <w:i/>
          <w:color w:val="000000"/>
          <w:sz w:val="20"/>
        </w:rPr>
        <w:t>www.ies-co.com</w:t>
      </w:r>
      <w:r>
        <w:rPr>
          <w:color w:val="000000"/>
        </w:rPr>
        <w:t xml:space="preserve"> </w:t>
      </w:r>
      <w:r>
        <w:rPr>
          <w:rFonts w:ascii="Times New Roman;sans-serif" w:hAnsi="Times New Roman;sans-serif"/>
          <w:b w:val="false"/>
          <w:color w:val="000000"/>
          <w:sz w:val="20"/>
        </w:rPr>
        <w:t>under “Investor Relations.” We file our interim and annual financial reports, as well as other reports required by the Securities Exchange Act of 1934, as amended (the “Exchange Act”), with the SEC.</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and they will provide you with a copy of these reports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or you may find them at </w:t>
      </w:r>
      <w:r>
        <w:rPr>
          <w:rFonts w:ascii="Times New Roman;sans-serif" w:hAnsi="Times New Roman;sans-serif"/>
          <w:b w:val="false"/>
          <w:i/>
          <w:color w:val="000000"/>
          <w:sz w:val="20"/>
        </w:rPr>
        <w:t>www.ies-corporate.com/sec-filings</w:t>
      </w:r>
      <w:r>
        <w:rPr>
          <w:rFonts w:ascii="Times New Roman;sans-serif" w:hAnsi="Times New Roman;sans-serif"/>
          <w:b w:val="false"/>
          <w:color w:val="000000"/>
          <w:sz w:val="20"/>
        </w:rPr>
        <w:t>. The materials that we file with the SEC are also available free of charge through the SEC’s website at</w:t>
      </w:r>
      <w:r>
        <w:rPr>
          <w:color w:val="000000"/>
        </w:rPr>
        <w:t xml:space="preserve">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 Code of Ethics for Financial Executives, we have adopted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We have designated an “audit committee financial expert” as that term is defined by the SEC. Further information about this designee may be found in the Proxy Statement for the 2021 Annual Meeting of Stockholders of the Company.</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Relating to the Operations of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The Coronavirus Disease 2019 ("COVID-19") pandemic has adversely impacted and could have a materially adverse impact on our business, including our financial condition, cash flows and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related governmental responses have caused, and are likely to continue to cause, significant volatility in financial markets, and have raised the prospect of an extended global recession. Public health problems resulting from COVID-19 and precautionary measures instituted by governments and businesses to mitigate its spread, including travel restrictions, curfews and "stay at home" orders, have contributed to a prolonged slowdown in the global economy, have disrupted global supply chains, have adversely impacted the businesses of the Company’s customers and suppliers, and have disrupted the Company’s operations. There is no assurance that the outbreak will not have a material adverse impact on the future results of the Company. Potential risks associated with the COVID-19 pandemic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Government travel restrictions, curfews, “stay at home” orders, and other safety concerns related to COVID-19 have caused some of our customers to close job sites temporarily or delay the start dates of new projects and the awarding of new projects. Because much of our revenue is generated by our employees working at customer sites, our revenue will be reduced if a significant number of our customer sites close, or if customers reduce or eliminate the presence of third-party contractors and service providers, such as our employees. Further, a general economic downturn could reduce the demand for our services. Any cancellations, delays or losses of projects may significantly reduce our revenues and harm our operating performance.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COVID-19 pandemic could disrupt our operations due to absenteeism by infected or ill members of management or other employees, or absenteeism by members of management and other employees who elect not to come to work due to the illness affecting others on our job sites or in our facilities, or due to quarantines. The COVID-19 pandemic could also impact members of our Board, resulting in absenteeism from the meetings of the directors or committees of the directors, and make it difficult to convene the quorums of the full Board or its committees needed to conduct meetings for the management of our affairs.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Certain of our customers may experience financial difficulties, including bankruptcy or insolvency, as a result of a decline in the economy relating to COVID-19. If our customers suffer significant financial difficulty, they may be unable to pay amounts due to us in a timely manner or at all, which could have a material adverse effect on our ability to collect on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4"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receivables and our results of operations. It is possible that customers may contest their contractual obligations to us under bankruptcy laws or otherwise. Further, we may have to negotiate significant discounts and/or extended financing terms with such customers in such a situation. If we are unable to collect upon our accounts receivable as they come due in an efficient and timely manner, our business, results of operations and financial condition may be materially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highly competitive nature of our industries could affect our profitability by reducing our revenues or profit margins.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respect to contracting services, the industries in which we compete are highly fragmented and are generally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for mission critical infrastructure, have attractive growth and profitability characteristics. Some of our competitors offer a greater range of services, including mechanical construction, facilities management, plumbing and heating, ventilation and air conditioning services.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markets in which Infrastructure Solutions does business are highly competitive, and we do not expect the level of competition that we face to decrease in the future. An increase in competitive pressures in these markets or our failure to compete effectively (including efficiently managing future capital expenditures and refurbishment, repair and upgrade costs) may result in pricing reductions, reduced gross margins, and loss of market share. Some of our competitors have longer operating histories, greater name recognition, more customers, and significantly greater financial, marketing, technical, and other competitive resources than we have. These competitors may be able to adapt more quickly to new technologies and changes in customer needs or devote greater resources to the development, promotion, and sale of their services. While we believe Infrastructure Solutions’ overall product and service offerings distinguish it from its competitors, these competitors could develop new products or services that could directly compete with Infrastructure Solutions’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generate a significant portion of our revenues under fixed price contracts. The estimates we use in placing bids and changes in commodity and labor costs could have an adverse effect on our ability to maintain our profitability.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projects,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costs associated with labor and commodities, such as copper, aluminum, steel, fuel and certain plastics, increase due to low supply or other forces, losses may be incurred. Some of our materials have been and may continue to be subject to sudden and significant price increases. Depending on competitive pressures and customer resistance, we may not be able to pass on these cost increases to our customers, which would reduce our gross profit margins and, in turn, make it more difficult for us to maintain our profitability. We have a work force of over 5,000 employees, and our labor costs may fluctuate based on supply as well as other labor related risks, including risks related to collective bargaining agreements, benefits arrangements, wage and hour claims and other compensation arrangements.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 failure to secure new contracts may adversely affect our cash flows and financial results.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revenue is derived from projects that are awarded through a competitive bid process. Contract bidding and negotiations are affected by a number of factors, including our own cost structure and bidding policies.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 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5"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inability to carry out plans and strategies as expected, including our inability to identify and complete acquisitions that meet our investment criteria in furtherance of our corporate strategy or the subsequent underperformance of those acquisitions, may adversely impact our future growth and profitability.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corporate strategy involves creating shareholder value through acquiring businesses that we believe will strategically complement our existing business segments or acquiring or investing in stand-alone platform companies based in North America. While we believe that acquisitions will provide an opportunity to expand into new or related services, products, end-markets or geographic areas and diversify our revenue and profit streams, potential acquisitions could result in changes in our operations from those historically conducted by us and introduce the requirement for new controls. Alternatively, our failure to diversify from existing markets may limit our future growth. In addition, our investments may not perform as expected or may not generate a positive return on investment due to factors we could not predict prior to the acquisition or due to incorrect investment assumptions.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be unsuccessful at integrating other companies that we may acquire, or new types of work, products or processes into our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the market value of our common stock. 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difficulties of integrating a business, assets or operations potentially will include, among other things: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geographically separated organizations and possible differences in corporate cultures and management philosophies;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demands on management resources, which may distract management’s attention from day-to-day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differences in the disclosure systems, compliance requirements, accounting systems, and accounting controls and procedures of the acquired company, which may interfere with our ability to make timely and accurate public disclosure;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demands of managing new locations, new personnel and new lines of business acquired.</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Demand for our services is cyclical and vulnerable to economic downturns affecting the industries we 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services has been, and will likely continue to be, cyclical in nature and vulnerable to downturns in the general economy, as well as in the construction industry and the housing market. Many of our customers depend on the availability of credit to purchase our services or electrical and mechanical products. In the past, when the general level of economic activity has been reduced from historical levels, certain of our customers have delayed or cancelled projects or capital spending, thereby reducing our revenues and profitability. General concerns about the fundamental soundness of the economy may cause customers to defer projects, even if they have credit available to them. Prolonged uncertainties in, or the return of, constrained credit market conditions could have adverse effects on our customers, which would adversely affect our financial condition and results of operations.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Backlog may not be realized or may not result in profits.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incur significant charges or be adversely impacted by the closure or sale of facilities or assets.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or other unexpected liabilities from closed facilities beyond the closing date, which could adversely impact our financial returns.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availability and cost of surety bonds affect our ability to enter into new contracts and our margins on those engagements.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these providers to guarantee our ability to issue bonds for projects as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6"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they are required. Our ability to access this bonding capacity is at the sole discretion of our surety providers. Accordingly, if we were to experience an interruption or reduction in our availability of bonding capacity, we may be unable to compete for, or work on, certain projects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Due to seasonality and differing regional economic conditions, our results may fluctuate from period to period.</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seasonal variations in operations and demand that affect the construction business, particularly in the Residential and Commercial &amp; Industrial segments. Untimely weather delay from rain, heat, ice, cold or snow may not only delay our work but may negatively impact our schedules and profitability by delaying the work of other trades on a construction site. Our quarterly results may also be affected by regional economic conditions that affect the construction market. In particular, a prolonged period of weak demand in the oil and gas industry or increased regulatory restrictions on the industry could dampen the housing market in certain regions, resulting in reduced demand for the services provided by our Residential segment. Infrastructure Solutions’ revenues from industrial services may be affected by the timing of scheduled outages at its industrial customers’ facilities, by weather conditions with respect to projects conducted outdoors, by data center construction, and by changes in spending in public infrastructure, power and steel markets. Industrial and rail customers may also be affected by volatility in oil prices. Accordingly, our performance in any particular quarter may not be indicative of the results that can be expected for any other quarter or for the entire year.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experience difficulties in managing our billings and collections.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billings under fixed price contracts in our contracting business are generally based upon achieving certain milestones and will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operations are subject to numerous physical hazards. If an accident occurs, it could result in an adverse effect on our business.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Our insurance does not cover all types or amounts of liabilities. In addition, if our safety record were to substantially deteriorate over time, our customers could cancel our contracts or not award us future business.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current insurance coverage may not be adequate, and we may not be able to obtain insurance at acceptable rates, or at all.</w:t>
      </w:r>
    </w:p>
    <w:p>
      <w:pPr>
        <w:pStyle w:val="TextBody"/>
        <w:spacing w:before="0" w:after="0"/>
        <w:jc w:val="both"/>
        <w:rPr/>
      </w:pPr>
      <w:r>
        <w:rPr/>
      </w:r>
    </w:p>
    <w:p>
      <w:pPr>
        <w:pStyle w:val="TextBody"/>
        <w:spacing w:lineRule="auto" w:line="247" w:before="0" w:after="0"/>
        <w:rPr/>
      </w:pPr>
      <w:r>
        <w:rPr>
          <w:rFonts w:ascii="Times New Roman;sans-serif" w:hAnsi="Times New Roman;sans-serif"/>
          <w:b w:val="false"/>
          <w:color w:val="000000"/>
          <w:sz w:val="20"/>
        </w:rPr>
        <w:t>We maintain insurance coverage in part because some of our contracts require us to carry certain levels of insurance coverage, which is common in the industries in which we operate.</w:t>
      </w:r>
      <w:r>
        <w:rPr>
          <w:color w:val="000000"/>
        </w:rPr>
        <w:t xml:space="preserve"> </w:t>
      </w:r>
      <w:r>
        <w:rPr>
          <w:rFonts w:ascii="Times New Roman;sans-serif" w:hAnsi="Times New Roman;sans-serif"/>
          <w:b w:val="false"/>
          <w:color w:val="000000"/>
          <w:sz w:val="20"/>
        </w:rPr>
        <w:t xml:space="preserve">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 and claims can cause unexpected losses.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all of our businesses, we are subject to potential claims and litigation, including contractual disputes, warranty claims, and claims related to our compliance with legal and regulatory requirements.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Latent defect litigation is normal for residential home builders in some parts of the country, as well as in certain areas of the commercial market. Any increases in our latent defect claims and litigation could place pressure on the profitability of the Residential and Commercial &amp; Industrial segments of our business.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7"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Disruptions to the proper functioning of our information technology systems or security breaches of our critical data, sensitive information or information technology systems could disrupt operations and cause increases in costs, decreases in revenues and/or harm to our reputation.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Company continues to increase its dependence on information technology systems, networks, and infrastructure to conduct our day to day operations and manage the way we provide services to our customers. Disruptions to our information technology systems or our failure to adequately protect critical data, sensitive information, and information technology systems could materially affect our business or result in harm to our reputation. Our critical accounting, project management, estimating, and financial information systems, some of which are third-party platforms, all rely on the proper functioning and security of our information technology environment and are critical to the successful operation of our business. We also collect and retain information about our customers, stockholders, vendors, and employees, with the expectation by such third parties being that we will adequately protect such information. Although our information technology systems, networks and infrastructure are protected through physical and software safeguards, our information technology environment is still vulnerable to natural disasters, power losses, telecommunication failures, deliberate intrusions, inadvertent user misuse or error, computer viruses, malicious code, ransomware attacks, acts of terrorism and other cyber security risks, which could cause a loss of critical data, or release of sensitive information. If critical information systems fail or are otherwise unavailable, or if sensitive information is released, our business operations could be adversely affected.</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be required to conduct environmental remediation activities, which could be expensive and inhibit the growth of our business and our ability to maintain profitability, particularly in our Infrastructure Solutions business.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believe that our business is operating in compliance in all material respects with applicable environmental laws, many of which provide for substantial penalties for violations. There can be no assurance that future changes in such laws, interpretations of existing regulations or the discovery of currently unknown problems or conditions will not require substantial additional expenditures. In addition, if we do not comply with these laws and regulations, we could be subject to material administrative, civil or criminal penalties, or other liabilities. We may also be required to incur substantial costs to comply with current or future environmental and safety laws and regulations. Any such additional expenditures or costs that we may incur could hurt our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loss of a group or several key personnel, either at the corporate or operating level, or general labor constraints could adversely affect our business.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As a service organization, relationships with significant customers can be dependent on certain employees within our organization, and our ability to meet our contractual obligations to our customers and support our growth strategy may be limited by our ability to retain and train necessary personnel. We cannot guarantee that any member of management at the corporate or subsidiary level will continue in their capacity for any particular period of time, and there is significant competition in our industry for managerial personnel. We have a severance plan in place that covers certain of our senior leaders; however, this plan can neither guarantee that we will not lose key employees, nor prevent them from competing against us, which is often dependent on state and local employment laws.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 We also may be constrained in hiring and retaining qualified employees due to general labor shortages in our industries. Continued labor constraints may limit our ability to grow and may limit our profitability due to the impact of rising wages.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8"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Risks Relating to our Financial Results, Financing and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Availability of net operating losses may be reduced by a change in ownership.</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A change in ownership, as defined by Internal Revenue Code Section 382, could reduce the availability of NOLs for federal and state income tax purposes. Should Tontine sell or otherwise dispose of all or a portion of its position in IES, a change in ownership could occur. A change in ownership could also result from the purchase of common stock by an existing or a new 5% shareholder as defined by Internal Revenue Code Section 382. As of September 30, 2020</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we have approximately $217.3 million of federal NOLs that are available to use to offset taxable income, including approximately $128.0 million resulting from net operating losses on which a deferred tax asset is not recorded. Should a change in ownership occur, all NOLs incurred prior to the change in ownership would be subject to limitation imposed by Internal Revenue Code Section 382, which would substantially reduce the amount of NOL currently available to offset taxable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NOL Rights Plan, which is designed to deter an acquisition of the Company’s stock in excess of a threshold amount that could trigger a change in ownership within the meaning of Internal Revenue Code Section 382. The NOL Rights Plan is designed to dilute the ownership of such an acquirer through the offering of rights to the Company’s other stockholders that will become exercisable upon the acquirer’s purchase of the Company’s stock in excess of the threshold amount. We can make no assurances the NOL Rights Plan will be effective in deterring a change in ownership or protecting or realizing NOLs.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adopted tax positions that a taxing authority may view differently. If a taxing authority differs with our tax positions, our results may be adversely affected.</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effective tax rate, cash paid for taxes and the availability of our NOLs are impacted by the tax positions that we have adopted. Taxing authorities may not always agree with the positions we have taken. We have established reserves for tax positions that we have determined to be less likely than not to be sustained by taxing authorities. However, there can be no assurance that our results of operations will not be adversely affected in the event that disagreement over our tax positions does arise.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recognized deferred tax assets based upon our estimates of future taxable income, and we may recognize tax expense if there is a reduction in the statutory tax rate or if future taxable income is lower than our estimates.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2020, we have a net deferred tax asset of $33.8 million on our Consolidated Balance Sheets, of which $22.6 million is attributable to NOLs. To realize the full benefit of this deferred tax asset attributable to NOLs, we must generate sufficient taxable income within the applicable carry forward period to offset against NOLs. Under GAAP, we are required to assess whether we believe the benefit of the deferred tax asset is more likely than not to be realized based on our expectation of generating sufficient future taxable income, and we are required to record a valuation allowance, or offset, against our deferred tax asset based on the portion of the deferred tax asset that we believe is not more likely than not to be realized.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we are unable to generate sufficient taxable income in the future to utilize our NOLs, then we could be required to record valuation allowances, resulting in an increase in income tax expense and a reduction of our consolidated net income. Failure to generate sufficient taxable income in the future could also result in the expiration of certain NOLs.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addition, we recorded a charge of $31.3 million during fiscal 2018 to reflect the impact of the reduced statutory federal corporate tax rate as a result of the U.S. Tax Cuts and Jobs Act, which became effective on January 1, 2018, on the value of our net deferred tax asset on our Consolidated Balance Sheet. Any further decrease in the federal statutory tax rate or other changes in federal tax statutes could also cause a reduction in the economic benefit of the NOL currently available to us</w:t>
      </w:r>
      <w:r>
        <w:rPr>
          <w:color w:val="000000"/>
        </w:rPr>
        <w:t xml:space="preserve"> </w:t>
      </w:r>
      <w:r>
        <w:rPr>
          <w:rFonts w:ascii="Times New Roman;sans-serif" w:hAnsi="Times New Roman;sans-serif"/>
          <w:b w:val="false"/>
          <w:color w:val="000000"/>
          <w:sz w:val="20"/>
        </w:rPr>
        <w:t xml:space="preserve">and a corresponding reduction in the amount of our recorded deferred tax assets.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 fund our working capital requirements, complete acquisitions and service any debt we may incur, we may require a significant amount of cash. Our ability to generate cash depends on many factors that are beyond our control.</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grow our business, including through acquisitions and the funding of working capital requirements, as well as our ability to make payments on or refinance any indebtedness we may incur, will depend on our ability to generate cash in the future. This is subject to our operational performance, as well as general economic, financial, competitive, legislative, regulatory and other factors that are beyond our control.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provide assurance that our business will generate sufficient cash flow from operations or asset sales or that future borrowings will be available to us under our credit facility in an amount sufficient to enable us to complete acquisitions, to service any debt we may incur or to fund our other liquidity needs. We may need to refinance our credit facility on or before maturity. We cannot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19"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provide assurance that we will be able to refinance our credit facility on commercially reasonable terms or at all. Our inability to access capital on commercially reasonable terms could have a material adverse effect on our business.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Negative conditions in the credit and capital markets may adversely impact our ability to operate 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the level of demand from our customers for our services has been adversely impacted by slowdowns in our customers' industries as well as in the economy in general. A number of economic factors, including financing conditions for our customers' industries, have, in the past, adversely affected our customers and their ability or willingness to fund expenditures. Many of our customers depend on the availability of credit to help finance their capital and maintenance projects. At times, tightened availability of credit and changes in interest rates that affect the cost of construction financing and mortgages has negatively impacted the ability of existing and prospective customers to obtain sufficient financing and fund projects we might otherwise perform. As a result, our customers may defer such projects for an unknown, and perhaps lengthy, period. Any such deferrals would inhibit our growth and would adversely affect our results of operations.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 weak economic environment, particularly in a period of restrictive credit markets, we may experience greater difficulties in collecting payments from, and negotiating change orders and/or claims with, our customers due to, among other reasons, a diminution in our ultimate customers’ access to the credit markets. If clients delay in paying or fail to pay a significant amount of our outstanding receivables, or we fail to successfully negotiate a significant portion of our change orders and/or claims with customers, it could have an adverse effect on our liquidity, results of operations, and financial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restrictions and covenants under our credit agreement and the failure to meet these covenants, including liquidity and other financial requirements, could result in a default under our credit agreement.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may not be able to remain in compliance with the covenants in our credit agreement, including financial covenants which, among other things, require minimum levels of liquidity and require us to maintain a specified fixed charge coverage ratio as defined under our credit agreement. A failure to fulfill the terms and requirements of our credit agreement may result in a default under our credit agreement and acceleration of any indebtedness we may incur, as well as a default under one or more of our material agreements, any of which could have a material adverse effect on our ability to conduct our operations and our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use of percentage-of-completion accounting could result in a reduction or elimination of previously reported profits, and we may be adversely impacted by new accounting, control and operating procedures.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recognized using the percentage-of-completion method of accounting, utilizing the cost-to-cost method, which results in our recognizing contract revenues and earnings ratably over the contract term in proportion to contract costs incurred.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 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reported operating results could be adversely affected as a result of goodwill impairment charges.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GAAP accounting requires that goodwill attributable to each of our reporting units be tested at least annually, or when changes in circumstance indicate the carrying value of our reporting units may not be recoverable. At September 30, 2020, we had recorded $54 million of goodwill on our Consolidated Balance Sheets, net of a $7.0 million impairment recognized within our Commercial &amp; Industrial segment during the year ended September 30, 2020. Factors that could lead to impairment of current goodwill in the future include significant adverse changes in the business climate, declines in the financial condition of our business, and actual or projected operating results affecting the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0"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phase-out, replacement or unavailability of LIBOR could affect interest rates under our revolving credit facility, as well as our ability to obtain future debt financing on favorable terms.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on floating interest rate borrowings under our revolving credit facility. Borrowings under our revolving credit facility use LIBOR as a benchmark for establishing the interest rate. In July 2017, the Financial Conduct Authority (the regulatory authority over LIBOR) stated that it would phase out LIBOR as a benchmark after 2021 to allow for an orderly transition to an alternative reference rate. Our revolving credit facility provides for a mechanism to amend the facility to reflect the establishment of an alternative rate of interest upon the occurrence of certain events related to the phase-out of LIBOR. However, we have not yet pursued any technical amendment or other contractual alternative to address this matter and are currently evaluating the impact of the potential replacement of the LIBOR interest rate. In the United States, the Alternative Reference Rates Committee has proposed the Secured Overnight Financing Rate (“SOFR”) as an alternative to LIBOR for use in contracts that are currently indexed to U.S. dollar LIBOR and has proposed a market transition plan to SOFR. It is not presently known whether SOFR or any other alternative reference rates that have been proposed will attain market acceptance as replacements of LIBOR. In addition, the overall financial markets may be disrupted as a result of the phase-out or replacement of LIBOR. Uncertainty as to the nature of such phase out and selection of an alternative reference rate, together with disruption in the financial markets, could have a material adverse effect on our financial condition, results of operations and cash flows, and may adversely affect our ability to obtain future debt financing on favorable terms.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Relating to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Existence of a controlling shareholder.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common stock is owned by Tontine, and Jeffrey Gendell, founder and managing member of Tontine, serves as our Chief Executive Officer and as Chairman of our Board of Directors. Based on an amended Schedule 13D filed by Tontine with the SEC on October 9, 2020, Tontine owns approximately 56 percent of the Company’s outstanding common stock.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of the Company's assets or business segments or the Company itself. This control also gives Tontine the ability to bring matters to a shareholder vote that may not be in the best interest of our other shareholders or stakeholders. Additionally, Tontine is in the business of investing in companies and may, from time to time, acquire and hold interests in businesses that compete directly or indirectly with us or act as suppliers or customers of the Company. Pursuant to a resale shelf registration statement filed by the Company,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 as well as the exercisability of the purchase rights under our NOL Rights Plan.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Our common stock has less liquidity than many other stocks listed on the NASDAQ Global Market.</w:t>
      </w:r>
      <w:r>
        <w:rPr>
          <w:color w:val="000000"/>
        </w:rPr>
        <w:t xml:space="preserv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Historically, the trading volume of our common stock has been relatively low when compared to other companies listed on the NASDAQ Global Market or other stock exchanges. While we have experienced increased liquidity in our stock during recent years compared with historical levels,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We may issue additional shares of common stock, preferred stock or convertible securities that will dilute the percentage ownership interest of existing stockholders and may dilute the book value per share of our common stock.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includes 100,000,000 shares of common stock and 10,000,000 shares of preferred stock. As of September 30, 2020, we had 22,049,529 shares of common stock issued, 20,762,395 shares of common stock outstanding and no shares of preferred stock issued or outstanding. As of September 30, 2020, we had the ability to issue 928,669 shares of common stock, including upon the exercise of options, as future grants under our existing equity compensation plans.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currently do not have any intention of issuing additional common stock (other than pursuant to our equity compensation plans) or preferred stock, we may do so in the future in order to meet our capital needs. Subject to applicable NASDAQ Listing Rules, our Board of Directors generally has the authority, without action by or vote of the stockholders, to issue all or part of any authorized but unissued shares of common stock or preferred stock for any corporate purpose. We may seek additional equity capital in the future as we develop our business and expand our operations. Any issuance of additional shares of common stock, preferred stock, or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1"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securities will dilute the percentage ownership interest of our stockholders and may dilute the book value per share of our common stock.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Substantial sales of our common stock could adversely affect our stock price.</w:t>
      </w:r>
      <w:r>
        <w:rPr>
          <w:color w:val="000000"/>
        </w:rPr>
        <w:t xml:space="preserv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Most of Tontine's shares are registered for resale on a resale shelf registration statement filed by the Company with the SEC. Sales of a substantial number of shares of our common stock by holders of our common stock, including Tontine,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Risks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cost-effective control system, misstatements due to error could occur without being detected.</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At September 30, 2020, we maintained branch offices, warehouses, sales facilities and administrative offices at 79 locations. Substantially all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Times New Roman;sans-serif" w:hAnsi="Times New Roman;sans-serif"/>
          <w:b w:val="false"/>
          <w:i/>
          <w:color w:val="000000"/>
          <w:sz w:val="20"/>
        </w:rPr>
        <w:t>Business —Operating Segments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further information regarding legal proceedings, see Note 18, </w:t>
      </w:r>
      <w:r>
        <w:rPr>
          <w:color w:val="000000"/>
        </w:rPr>
        <w:t>“</w:t>
      </w:r>
      <w:r>
        <w:rPr>
          <w:rFonts w:ascii="Times New Roman;sans-serif" w:hAnsi="Times New Roman;sans-serif"/>
          <w:b w:val="false"/>
          <w:color w:val="000000"/>
          <w:sz w:val="20"/>
        </w:rPr>
        <w:t xml:space="preserve">Commitments and Contingencies — </w:t>
      </w: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in the notes to our Consolidated Financial Statements.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2"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Equity; Related Stockholder Matters and Issuer Purchases of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Global Market under the ticker symbol “IESC.”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 2020, the closing market price of our common stock was $37.67 per share and there were approximately 335 holders of record.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dividends on our common stock. We intend to retain any future earnings and do not expect to pay cash dividends in the foreseeable future. </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Repurchase Program</w:t>
      </w:r>
    </w:p>
    <w:p>
      <w:pPr>
        <w:pStyle w:val="TextBody"/>
        <w:spacing w:lineRule="auto" w:line="288" w:before="0" w:after="0"/>
        <w:rPr/>
      </w:pPr>
      <w:r>
        <w:rPr>
          <w:rFonts w:ascii="Times New Roman;sans-serif" w:hAnsi="Times New Roman;sans-serif"/>
          <w:b w:val="false"/>
          <w:color w:val="000000"/>
          <w:sz w:val="20"/>
          <w:highlight w:val="white"/>
        </w:rPr>
        <w:t xml:space="preserve">In 2015, our Board of Directors authorized a stock repurchase program for the purchase from time to time of up to </w:t>
      </w:r>
      <w:r>
        <w:rPr>
          <w:rFonts w:ascii="Times New Roman;sans-serif" w:hAnsi="Times New Roman;sans-serif"/>
          <w:b w:val="false"/>
          <w:color w:val="000000"/>
          <w:sz w:val="20"/>
        </w:rPr>
        <w:t>1.5</w:t>
      </w:r>
      <w:r>
        <w:rPr>
          <w:color w:val="000000"/>
          <w:highlight w:val="white"/>
        </w:rPr>
        <w:t xml:space="preserve"> </w:t>
      </w:r>
      <w:r>
        <w:rPr>
          <w:rFonts w:ascii="Times New Roman;sans-serif" w:hAnsi="Times New Roman;sans-serif"/>
          <w:b w:val="false"/>
          <w:color w:val="000000"/>
          <w:sz w:val="20"/>
          <w:highlight w:val="white"/>
        </w:rPr>
        <w:t xml:space="preserve">million shares of the Company’s common stock,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color w:val="000000"/>
          <w:sz w:val="20"/>
        </w:rPr>
        <w:t>on May 2, 2019, authorized the repurchase from time to time of up to an additional 1.0 million shares of the Company's common stock under the stock repurchase program. S</w:t>
      </w:r>
      <w:r>
        <w:rPr>
          <w:rFonts w:ascii="Times New Roman;sans-serif" w:hAnsi="Times New Roman;sans-serif"/>
          <w:b w:val="false"/>
          <w:color w:val="000000"/>
          <w:sz w:val="20"/>
          <w:highlight w:val="white"/>
        </w:rPr>
        <w:t xml:space="preserve">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During the year ended September 30, 2020, we repurchased </w:t>
      </w:r>
      <w:r>
        <w:rPr>
          <w:rFonts w:ascii="Times New Roman;sans-serif" w:hAnsi="Times New Roman;sans-serif"/>
          <w:b w:val="false"/>
          <w:color w:val="000000"/>
          <w:sz w:val="20"/>
        </w:rPr>
        <w:t>263,160</w:t>
      </w:r>
      <w:r>
        <w:rPr>
          <w:color w:val="000000"/>
          <w:highlight w:val="white"/>
        </w:rPr>
        <w:t xml:space="preserve"> </w:t>
      </w:r>
      <w:r>
        <w:rPr>
          <w:rFonts w:ascii="Times New Roman;sans-serif" w:hAnsi="Times New Roman;sans-serif"/>
          <w:b w:val="false"/>
          <w:color w:val="000000"/>
          <w:sz w:val="20"/>
          <w:highlight w:val="white"/>
        </w:rPr>
        <w:t>shares of common stock at an average price of $</w:t>
      </w:r>
      <w:r>
        <w:rPr>
          <w:rFonts w:ascii="Times New Roman;sans-serif" w:hAnsi="Times New Roman;sans-serif"/>
          <w:b w:val="false"/>
          <w:color w:val="000000"/>
          <w:sz w:val="20"/>
        </w:rPr>
        <w:t xml:space="preserve">23.29 </w:t>
      </w:r>
      <w:r>
        <w:rPr>
          <w:rFonts w:ascii="Times New Roman;sans-serif" w:hAnsi="Times New Roman;sans-serif"/>
          <w:b w:val="false"/>
          <w:color w:val="000000"/>
          <w:sz w:val="20"/>
          <w:highlight w:val="white"/>
        </w:rPr>
        <w:t>per share for a total aggregate purchase price of $6.1 million. The Company had 1.0 million shares remaining under its stock repurchase authorization at September 30, 2020.</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presents information with respect to purchases of common stock by the Company during the three months ended September 30, </w:t>
      </w:r>
      <w:r>
        <w:rPr>
          <w:rFonts w:ascii="Times New Roman;sans-serif" w:hAnsi="Times New Roman;sans-serif"/>
          <w:b w:val="false"/>
          <w:color w:val="000000"/>
          <w:sz w:val="20"/>
          <w:highlight w:val="white"/>
        </w:rPr>
        <w:t>2020:</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861"/>
        <w:gridCol w:w="450"/>
        <w:gridCol w:w="454"/>
        <w:gridCol w:w="488"/>
        <w:gridCol w:w="488"/>
        <w:gridCol w:w="490"/>
        <w:gridCol w:w="556"/>
        <w:gridCol w:w="411"/>
        <w:gridCol w:w="412"/>
        <w:gridCol w:w="801"/>
        <w:gridCol w:w="801"/>
        <w:gridCol w:w="804"/>
        <w:gridCol w:w="1029"/>
        <w:gridCol w:w="1029"/>
        <w:gridCol w:w="1465"/>
      </w:tblGrid>
      <w:tr>
        <w:trPr/>
        <w:tc>
          <w:tcPr>
            <w:tcW w:w="86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1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Purchased as Part of a Publicly Announced Plan </w:t>
            </w:r>
          </w:p>
        </w:tc>
        <w:tc>
          <w:tcPr>
            <w:tcW w:w="3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Number of Shares That May Yet Be Purchased Under the Publicly Announced Plan as of September 30, 2020 </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2020 – July 31, 2020</w:t>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5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1,032,026</w:t>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2020 – August 31, 2020</w:t>
            </w:r>
          </w:p>
        </w:tc>
        <w:tc>
          <w:tcPr>
            <w:tcW w:w="1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15,745</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15,745</w:t>
            </w:r>
          </w:p>
        </w:tc>
        <w:tc>
          <w:tcPr>
            <w:tcW w:w="35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1,016,281</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2020 – September 30, 2020</w:t>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w:t>
            </w:r>
          </w:p>
        </w:tc>
        <w:tc>
          <w:tcPr>
            <w:tcW w:w="35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993,825</w:t>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38,201</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38,201</w:t>
            </w:r>
          </w:p>
        </w:tc>
        <w:tc>
          <w:tcPr>
            <w:tcW w:w="35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993,825</w:t>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Five-Year Stock Performance Graph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The graph below compares the cumulative five year total return provided shareholders on IES Holdings, Inc.'s common stock relative to the cumulative total returns of the Russell 2000 index and a customized peer group of four companies that includes: Comfort Systems USA Inc., MYR Group Inc., Sterling Construction Company Inc. and Team Inc. An investment of $100 (with reinvestment of all dividends) is assumed to have been made in our common stock, in the Russell 2000 index, and in the peer group on September 30, 2015, and its relative performance is tracked through September 30, </w:t>
      </w:r>
      <w:r>
        <w:rPr>
          <w:rFonts w:ascii="Times New Roman;sans-serif" w:hAnsi="Times New Roman;sans-serif"/>
          <w:b w:val="false"/>
          <w:color w:val="000000"/>
          <w:sz w:val="20"/>
          <w:highlight w:val="white"/>
        </w:rPr>
        <w:t>2020</w:t>
      </w:r>
      <w:r>
        <w:rPr>
          <w:rFonts w:ascii="Times New Roman;sans-serif" w:hAnsi="Times New Roman;sans-serif"/>
          <w:b w:val="false"/>
          <w:color w:val="000000"/>
          <w:sz w:val="20"/>
        </w:rPr>
        <w:t xml:space="preser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3"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Comparison of Five Year Cumulative Total Return*</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IES Holdings, Inc., the Russell 2000 Index, and a Peer Group</w:t>
      </w:r>
    </w:p>
    <w:p>
      <w:pPr>
        <w:pStyle w:val="TextBody"/>
        <w:spacing w:before="0" w:after="0"/>
        <w:jc w:val="center"/>
        <w:rPr/>
      </w:pPr>
      <w:r>
        <w:rPr/>
        <w:drawing>
          <wp:inline distT="0" distB="63500" distL="0" distR="0">
            <wp:extent cx="6115050" cy="384810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6115050" cy="3848100"/>
                    </a:xfrm>
                    <a:prstGeom prst="rect">
                      <a:avLst/>
                    </a:prstGeom>
                  </pic:spPr>
                </pic:pic>
              </a:graphicData>
            </a:graphic>
          </wp:inline>
        </w:drawing>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invested on 9/30/15 in stock or index, including reinvestment of dividends.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Fiscal year ending September 30.</w:t>
      </w:r>
    </w:p>
    <w:p>
      <w:pPr>
        <w:pStyle w:val="TextBody"/>
        <w:spacing w:before="0" w:after="0"/>
        <w:jc w:val="center"/>
        <w:rPr/>
      </w:pPr>
      <w:r>
        <w:rPr/>
      </w:r>
    </w:p>
    <w:tbl>
      <w:tblPr>
        <w:tblW w:w="8811" w:type="dxa"/>
        <w:jc w:val="center"/>
        <w:tblInd w:w="0" w:type="dxa"/>
        <w:tblCellMar>
          <w:top w:w="28" w:type="dxa"/>
          <w:left w:w="28" w:type="dxa"/>
          <w:bottom w:w="28" w:type="dxa"/>
          <w:right w:w="28" w:type="dxa"/>
        </w:tblCellMar>
      </w:tblPr>
      <w:tblGrid>
        <w:gridCol w:w="576"/>
        <w:gridCol w:w="505"/>
        <w:gridCol w:w="508"/>
        <w:gridCol w:w="211"/>
        <w:gridCol w:w="721"/>
        <w:gridCol w:w="109"/>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237"/>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2"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Holdings,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2000</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175.17 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6. </w:t>
      </w:r>
      <w:r>
        <w:rPr>
          <w:rFonts w:ascii="Times New Roman;sans-serif" w:hAnsi="Times New Roman;sans-serif"/>
          <w:b/>
          <w:i/>
          <w:color w:val="000000"/>
          <w:sz w:val="20"/>
        </w:rPr>
        <w:t>Selected Financial Data</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The following selected consolidated historical financial information for IES should be read in conjunction with the audited historical Consolidated Financial Statements of IES Holdings, Inc. and subsidiaries, and the notes thereto, set forth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w:t>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124"/>
        <w:gridCol w:w="109"/>
        <w:gridCol w:w="109"/>
        <w:gridCol w:w="125"/>
        <w:gridCol w:w="125"/>
        <w:gridCol w:w="125"/>
        <w:gridCol w:w="238"/>
        <w:gridCol w:w="220"/>
        <w:gridCol w:w="139"/>
        <w:gridCol w:w="556"/>
        <w:gridCol w:w="556"/>
        <w:gridCol w:w="594"/>
        <w:gridCol w:w="211"/>
        <w:gridCol w:w="976"/>
        <w:gridCol w:w="109"/>
        <w:gridCol w:w="109"/>
        <w:gridCol w:w="109"/>
        <w:gridCol w:w="109"/>
        <w:gridCol w:w="211"/>
        <w:gridCol w:w="976"/>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9"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Information)</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569,013 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566"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IES Holdings,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attributable to common shareholders of IES Holdings, Inc.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566"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566"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 attributable to common shareholders of IES Holdings, Inc.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9"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1566"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calculate earnings (loss) per share:</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21,082,012 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21,280,549 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21,279,342 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21,533,254 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21,492,339 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9"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Data:</w:t>
            </w:r>
          </w:p>
        </w:tc>
        <w:tc>
          <w:tcPr>
            <w:tcW w:w="7519" w:type="dxa"/>
            <w:gridSpan w:val="27"/>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exclusive of cash</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394,340 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ind w:left="0" w:right="0" w:hanging="1260"/>
        <w:jc w:val="both"/>
        <w:rPr/>
      </w:pPr>
      <w:r>
        <w:rPr/>
      </w:r>
    </w:p>
    <w:p>
      <w:pPr>
        <w:pStyle w:val="TextBody"/>
        <w:spacing w:before="0" w:after="0"/>
        <w:ind w:left="0" w:right="0" w:hanging="1260"/>
        <w:jc w:val="both"/>
        <w:rPr/>
      </w:pPr>
      <w:r>
        <w:rPr/>
      </w:r>
    </w:p>
    <w:p>
      <w:pPr>
        <w:pStyle w:val="TextBody"/>
        <w:spacing w:before="0" w:after="0"/>
        <w:ind w:left="0" w:right="0" w:hanging="126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ind w:left="0" w:right="0" w:hanging="1260"/>
        <w:jc w:val="both"/>
        <w:rPr/>
      </w:pPr>
      <w:r>
        <w:rPr>
          <w:rFonts w:ascii="Times New Roman;sans-serif" w:hAnsi="Times New Roman;sans-serif"/>
          <w:b/>
          <w:color w:val="000000"/>
          <w:sz w:val="20"/>
        </w:rPr>
        <w:t xml:space="preserve">Item 7. </w:t>
      </w:r>
      <w:r>
        <w:rPr>
          <w:rFonts w:ascii="Times New Roman;sans-serif" w:hAnsi="Times New Roman;sans-serif"/>
          <w:b/>
          <w:i/>
          <w:color w:val="000000"/>
          <w:sz w:val="20"/>
        </w:rPr>
        <w:t>Management’s Discussion and Analysis of Financial Condition and Results of Operations</w:t>
      </w:r>
    </w:p>
    <w:p>
      <w:pPr>
        <w:pStyle w:val="TextBody"/>
        <w:spacing w:before="0" w:after="0"/>
        <w:ind w:left="0" w:right="0" w:hanging="126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discussion and analysis should be read in conjunction with our Consolidated Financial Statements and the notes thereto, set forth in Item 8.</w:t>
      </w:r>
      <w:r>
        <w:rPr>
          <w:color w:val="000000"/>
        </w:rPr>
        <w:t>“</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For additional information, see </w:t>
      </w:r>
      <w:r>
        <w:rPr>
          <w:color w:val="000000"/>
        </w:rPr>
        <w:t>“</w:t>
      </w:r>
      <w:r>
        <w:rPr>
          <w:rFonts w:ascii="Times New Roman;sans-serif" w:hAnsi="Times New Roman;sans-serif"/>
          <w:b w:val="false"/>
          <w:i/>
          <w:color w:val="000000"/>
          <w:sz w:val="20"/>
        </w:rPr>
        <w:t>Disclosure Regarding Forward Looking Statements”</w:t>
      </w:r>
      <w:r>
        <w:rPr>
          <w:color w:val="000000"/>
        </w:rPr>
        <w:t xml:space="preserve"> </w:t>
      </w:r>
      <w:r>
        <w:rPr>
          <w:rFonts w:ascii="Times New Roman;sans-serif" w:hAnsi="Times New Roman;sans-serif"/>
          <w:b w:val="false"/>
          <w:color w:val="000000"/>
          <w:sz w:val="20"/>
        </w:rPr>
        <w:t>in Part I 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Please refer to Item 1.</w:t>
      </w:r>
      <w:r>
        <w:rPr>
          <w:color w:val="000000"/>
        </w:rPr>
        <w:t xml:space="preserve">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 xml:space="preserve">of this Annual Report on Form 10-K for a discussion of the Company’s services and corporate strategy. IES Holdings, Inc., a Delaware corporation, is a holding company that owns and manages operating subsidiaries that design and install integrated electrical and technology systems and provide infrastructure products and services to a variety of end markets, including data centers, residential housing, and commercial and industrial facilities. Our operations are currently organized into four principal business segments: Communications, Residential, Infrastructure Solutions and Commercial &amp; Industrial.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Trends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Our performance is affected by a number of trends that drive the demand for our services. In particular, the markets in which we operate are exposed to many regional and national trends such as the demand for single and multi-family housing, the need for mission critical facilities as a result of technology-driven advancements, the degree to which in-house maintenance departments outsource maintenance and repair work,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 (ii) aging public infrastructure, which must be replaced or repaired, (iii) an increasing demand for data storage, (iv) increased emphasis on environmental and energy efficiency, which may lead to both increased public and private spending, and (v) demand for natural gas which is expected to spur the construction of and modifications to heavy industrial facilities. However, there can be no assurance that we will not experience a decrease in demand for our services due to economic, technological or other factors beyond our control, including weakness in the oil and gas sector, interest rate changes, increases in steel and commodity prices and other economic factors, which may reduce the demand for housing including in the Texas region, where our Residential division operates, and may impact levels of construction. For a further discussion of the industries in which we operate, please see Item 1. “</w:t>
      </w:r>
      <w:r>
        <w:rPr>
          <w:rFonts w:ascii="Times New Roman;sans-serif" w:hAnsi="Times New Roman;sans-serif"/>
          <w:b w:val="false"/>
          <w:i/>
          <w:color w:val="000000"/>
          <w:sz w:val="20"/>
        </w:rPr>
        <w:t>Business - Operating Segments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Outlook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2020 as compared to fiscal 2019. Revenue growth rates during fiscal 2020 at our Communications and Residential segments were driven primarily by organic growth.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Provided that no significant deterioration in general economic conditions occurs, the Company expects total revenues from existing businesses to increase on a year-over-year basis during fiscal 2021 due to an increase in overall demand for the services we provide, efforts to increase our market share, and current backlog levels. We remain focused on controlled growth within many of our markets which continue to experience highly competitive margins and increasing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continue to grow our business, including through acquisitions and the funding of working capital, we may require a significant amount of cash. Our ability to generate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twelve months. We expect that our fixed asset requirements will range from $7.0 million to $10.0 million for the fiscal year ending on September 30, 2021, and we may acquire these assets either through capital expenditures or through lease agreements. </w:t>
      </w:r>
    </w:p>
    <w:p>
      <w:pPr>
        <w:pStyle w:val="TextBody"/>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 on Our Business</w:t>
      </w:r>
    </w:p>
    <w:p>
      <w:pPr>
        <w:pStyle w:val="TextBody"/>
        <w:spacing w:before="0" w:after="0"/>
        <w:rPr/>
      </w:pPr>
      <w:r>
        <w:rPr/>
      </w:r>
    </w:p>
    <w:p>
      <w:pPr>
        <w:pStyle w:val="TextBody"/>
        <w:spacing w:lineRule="auto" w:line="276" w:before="0" w:after="0"/>
        <w:rPr>
          <w:rFonts w:ascii="Times New Roman;sans-serif" w:hAnsi="Times New Roman;sans-serif"/>
          <w:b w:val="false"/>
          <w:color w:val="212529"/>
          <w:sz w:val="20"/>
        </w:rPr>
      </w:pPr>
      <w:r>
        <w:rPr>
          <w:rFonts w:ascii="Times New Roman;sans-serif" w:hAnsi="Times New Roman;sans-serif"/>
          <w:b w:val="false"/>
          <w:color w:val="212529"/>
          <w:sz w:val="20"/>
        </w:rPr>
        <w:t xml:space="preserve">The COVID-19 pandemic and related governmental responses have caused, and are likely to continue to cause, significant disruption to the economy, the operations of our customers and vendors, and the health of millions of individuals, including our employees and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val="false"/>
          <w:color w:val="212529"/>
          <w:sz w:val="20"/>
        </w:rPr>
      </w:pPr>
      <w:r>
        <w:rPr>
          <w:rFonts w:ascii="Times New Roman;sans-serif" w:hAnsi="Times New Roman;sans-serif"/>
          <w:b w:val="false"/>
          <w:color w:val="212529"/>
          <w:sz w:val="20"/>
        </w:rPr>
        <w:t>customers, across the markets in which we operate and beyond. As such, COVID-19 has adversely affected, and is expected to continue to adversely affect, our business. State and local governments in most of the localities where we operate have deemed most of our business activities to be essential or critical, and therefore we are generally permitted to continue operating in those localities while “stay at home” orders are in effect during this pandemic. As a result, we are focused on protecting the health and safety of our employees while maintaining the continuity of our operations. We have implemented operational and protective measures to protect our employees and customers, including screening for COVID-19 symptoms, providing personal protective equipment, increased cleaning and sanitizing, and physical distancing measures to the extent possible. While most of our facilities and job sites continue to operate, certain state and local governments have recently re-imposed certain orders that could cause more shutdowns. We have seen COVID-19 affect demand in some areas of our business, where construction or maintenance projects have been delayed; however, there are other areas in which we have seen an increase in demand, particularly as it relates to critical infrastructure for data centers and communications.</w:t>
      </w:r>
    </w:p>
    <w:p>
      <w:pPr>
        <w:pStyle w:val="TextBody"/>
        <w:spacing w:before="0" w:after="0"/>
        <w:rPr/>
      </w:pPr>
      <w:r>
        <w:rPr/>
      </w:r>
    </w:p>
    <w:p>
      <w:pPr>
        <w:pStyle w:val="TextBody"/>
        <w:spacing w:lineRule="auto" w:line="276" w:before="0" w:after="0"/>
        <w:rPr/>
      </w:pPr>
      <w:r>
        <w:rPr>
          <w:rFonts w:ascii="Times New Roman;sans-serif" w:hAnsi="Times New Roman;sans-serif"/>
          <w:b w:val="false"/>
          <w:color w:val="212529"/>
          <w:sz w:val="20"/>
        </w:rPr>
        <w:t>COVID-19 presents potential new risks to our business. There have been some adverse COVID-19 impacts on our results of operations during fiscal 2020. We have experienced some challenges to date, including the implementation of new health and safety protocols and responding to changing federal, state and local orders. We have also seen some delays in the awarding of new projects, as well as the progress of existing projects. Factors that we expect will affect our results in the future include, but are not limited to, the potential impacts on our workforce of either illness or government orders forcing job sites to shut down and requiring employees to remain at home, a reduced demand for our services, increases in operating costs due to disruptions and personal protective equipment requirements, and limitations on the ability of our customers to pay us on a timely basis. We are continuing to monitor conditions affecting our business, and will take actions as may be necessary to ensure the health and safety of our employees and to serve our customers. Please refer to Part I. Item 1A. "</w:t>
      </w:r>
      <w:r>
        <w:rPr>
          <w:rFonts w:ascii="Times New Roman;sans-serif" w:hAnsi="Times New Roman;sans-serif"/>
          <w:b w:val="false"/>
          <w:i/>
          <w:color w:val="212529"/>
          <w:sz w:val="20"/>
        </w:rPr>
        <w:t>Risk Factors</w:t>
      </w:r>
      <w:r>
        <w:rPr>
          <w:rFonts w:ascii="Times New Roman;sans-serif" w:hAnsi="Times New Roman;sans-serif"/>
          <w:b w:val="false"/>
          <w:color w:val="212529"/>
          <w:sz w:val="20"/>
        </w:rPr>
        <w:t>" of this Annual Report on Form 10-K for further information.</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as well as the results of acquired businesses from the dates acquired. </w:t>
      </w:r>
    </w:p>
    <w:tbl>
      <w:tblPr>
        <w:tblW w:w="10539" w:type="dxa"/>
        <w:jc w:val="left"/>
        <w:tblInd w:w="0" w:type="dxa"/>
        <w:tblCellMar>
          <w:top w:w="28" w:type="dxa"/>
          <w:left w:w="28" w:type="dxa"/>
          <w:bottom w:w="28" w:type="dxa"/>
          <w:right w:w="28" w:type="dxa"/>
        </w:tblCellMar>
      </w:tblPr>
      <w:tblGrid>
        <w:gridCol w:w="124"/>
        <w:gridCol w:w="109"/>
        <w:gridCol w:w="109"/>
        <w:gridCol w:w="152"/>
        <w:gridCol w:w="152"/>
        <w:gridCol w:w="152"/>
        <w:gridCol w:w="580"/>
        <w:gridCol w:w="580"/>
        <w:gridCol w:w="501"/>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0"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Provision for income taxes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IES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 The year ended September 30, 2018 includes a charge of $31.3 million to re-measure our net deferred taxes in connection with the Tax Cuts and Jobs Act.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Compared to 2019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revenues for the year ended September 30, 2020, were $113.9 million higher than for the year ended September 30, 2019, an increase of 10.6% with increases at our Communications and Residential segments, driven by strong demand.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overall gross profit percentage increased to 19.1% during the year ended September 30, 2020, as compared to 16.9% during the year ended September 30, 2019. Gross profit as a percentage of revenue increased at our Communications, Infrastructure Solutions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and Residential segments but decreased at our Commercial &amp; Industrial segment, as discussed in further detail with respect to each segment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include costs not directly associated with performing work for our customers. These costs consist primarily of compensation and benefits related to corporate, business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2020, our selling, general and administrative expenses were $170.9 million, an increase of $30.3 million, or 21.6% over the year ended September 30, 2019, driven by increased personnel costs at our operating segments in connection with their growth, as well as an increase in certain selling, general and administrative expenses at our Commercial &amp; Industrial segment as described below. This increase also includes a $1.8 million increase in expenses at the corporate level, primarily related to a severance payment to our former CEO, who stepped down in July 2020. As a percentage of revenue, selling, general and administrative expenses increased to 14.4% for the year ended September 30, 2020 from 13.1% for the year ended September 30, 2019.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described below, for the year ended September 30, 2020, we recognized a non-cash goodwill impairment charge of $7.0 million relating to our Commercial &amp; Industrial segment.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2019 Compared to 2018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revenues for the year ended September 30, 2019, were $200.2 million higher than for the year ended September 30, 2018, an increase of 22.8%, with increases at all of our operating segments, driven by strong demand.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overall gross profit percentage decreased slightly to 16.9% during the year ended September 30, 2019, as compared to 17.1% during the year ended September 30, 2018. Gross profit as a percentage of revenue increased at our Infrastructure Solutions and Residential segments, but decreased at our Commercial &amp; Industrial and Communications segments, as discussed in further detail with respect to each segment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2019, our selling, general and administrative expenses were $140.6 million, an increase of $16.7 million, or 13.4%, over the year ended September 30, 2018, driven by increased personnel costs at our operating segments in connection with their growth. This increase also includes a $4.2 million increase in expenses at the corporate level, primarily related to an increase in stock-based compensation expense, as well as a severance payment to our former President, who stepped down in March 2019. However, selling, general and administrative expense as a percentage of revenue decreased from 14.1% for the year ended September 30, 2018, to 13.1% for the year ended September 30, 2019, as we benefited from the increased scale of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Compared to 2019</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Our Communications segment’s revenues increased by $73.9 million, or 23.0%, during the year ended September 30, 2020, compared to the year ended September 30, 2019. This increase primarily resulted from increased demand from our data center and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center customers. Revenues in our Communications segment can vary from period to period based on the capital spending cycles of our customers.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Our Communications segment’s gross profit during the year ended September 30, 2020, increased $21.6 million, or 38.3%, as compared to the year ended September 30, 2019. Gross profit as a percentage of revenue increased to 19.8% for the year ended September 30, 2020, as we took on a larger proportion of fixed-cost arrangements and we benefited from efficiency gains from strong project execution.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Communications segment’s selling, general and administrative expenses increased $5.8 million, or 18.3% during the year ended September 30, 2019, as compared to the year ended September 30, 2018. The increase is a result of higher personnel cost, particularly related to continuing investment to support the growth of the business, along with higher incentive compensation in connection with improved profitability and cash flows. Selling, general and administrative expenses as a percentage of revenues in the Communications segment decreased from 9.9% for the year ended September 30, 2019 to 9.5% of segment revenue during the year ended September 30, 2020, as we benefited from the increased scale of our operations, as well as a temporary reduction in travel expense.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2019 Compared to 2018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Our Communications segment’s revenues increased by $101.6 million, or 46.3%, during the year ended September 30, 2019, compared to the year ended September 30, 2018. This increase primarily resulted from increased demand from several of our data center customers. Revenues in our Communications segment can vary from period to period based on the capital spending cycles of our customers.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Our Communications segment’s gross profit during the year ended September 30, 2019, increased $16.4 million, or 40.8%, as compared to the year ended September 30, 2018. While total gross profits increased in connection with higher volumes, gross profit as a percentage of revenue decreased from 18.3% for the year ended September 30, 2018 to 17.6% for the year ended September 30, 2019, as we took on a larger proportion of cost-plus arrangements. These arrangements provide us with a reimbursement for our costs plus a markup, and are typically lower margin, but also lower risk, as compared with our fixed-cost arrangements.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Communications segment’s selling, general and administrative expenses increased $5.8 million, or 22.5% during the year ended September 30, 2019, as compared to the year ended September 30, 2018. The increase is a result of higher personnel cost, particularly related to continuing investment to support the growth of the business, along with higher incentive compensation in connection with improved profitability and cash flows. Selling, general and administrative expenses as a percentage of revenues in the Communications segment decreased from 11.8% for the year ended September 30, 2018 to 9.9% of segment revenue during the year ended September 30, 2019, compared to the year ended September 30, 2018, as we benefited from the increased scale of our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Compared to 2019</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Our Residential segment’s revenues increased by $98.5 million, or 31.4%, during the year ended September 30, 2020, as compared to the year ended September 30, 2019. The increase was driven by increases in our single-family business, where revenues increased by $26.8 million, and our multi-family businesses, where revenues excluding those provided by current year business acquisitions, increased by $61.0 million for the year ended September 30, 2020, compared with the year ended September 30, 2019. In February 2020, we acquired Aerial Lighting &amp; Electric, Inc., ("Aerial"), a Naugatuck, Connecticut-based electrical contractor specializing in the design and installation of electrical systems for multi-family developments. Aerial contributed $9.3 million in revenue during the year ended September 30, 2020 subsequent to our acquisition of the business.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During the year ended September 30, 2020, our Residential segment experienced a $29.0 million, or 44.7%, increase in gross profit as compared to the year ended September 30, 2019. The increase in gross profit was driven primarily by higher volumes and improved commodity prices. Gross margin as a percentage of revenue increased from 20.7% to 22.8% during the year ended September 30, 2020, as compared with the year ended September 30, 2019, as we benefited from improved commodity prices and the increased scale of our operations. </w:t>
      </w:r>
      <w:r>
        <w:rPr>
          <w:rFonts w:ascii="Times New Roman;sans-serif" w:hAnsi="Times New Roman;sans-serif"/>
          <w:b w:val="false"/>
          <w:color w:val="000000"/>
          <w:sz w:val="20"/>
          <w:highlight w:val="white"/>
        </w:rPr>
        <w:t>Our newly acquired Aerial business contributed $1.7 million in gross profit during the year ended September 30, 2020 subsequent to our acquisition of the business</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 xml:space="preserve">Our Residential segment experienced a $16.8 million, or 35.9%, increase in selling, general and administrative expenses during the year ended September 30, 2020, compared to the year ended September 30, 2019. This increase was driven by increased compensation expense in connection with a growing business, including both incentive profit sharing for division management and increased headcount, as well as $2.3 million in </w:t>
      </w:r>
      <w:r>
        <w:rPr>
          <w:rFonts w:ascii="Times New Roman;sans-serif" w:hAnsi="Times New Roman;sans-serif"/>
          <w:b w:val="false"/>
          <w:color w:val="000000"/>
          <w:sz w:val="20"/>
          <w:highlight w:val="white"/>
        </w:rPr>
        <w:t>selling, general and administrative expenses incurred at Aerial during the year ended September 30, 2020 subsequent to our acquisition of the business, including amortization of intangible assets</w:t>
      </w:r>
      <w:r>
        <w:rPr>
          <w:rFonts w:ascii="Times New Roman;sans-serif" w:hAnsi="Times New Roman;sans-serif"/>
          <w:b w:val="false"/>
          <w:color w:val="000000"/>
          <w:sz w:val="20"/>
        </w:rPr>
        <w:t>. Selling, general and administrative expenses as a percentage of revenues in the Residential segment increased from 15.0% to 15.5% of segment revenue during the year ended September 30, 2020.</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2019 Compared to 2018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Our Residential segment’s revenues increased by $27.6 million, or 9.7%, during the year ended September 30, 2019, as compared to the year ended September 30, 2018. The increase was driven by increases in our single-family business, where revenues increased by $22.0 million, and our multi-family businesses, where revenues increased by $8.9 million for the year ended September 30, 2019, compared with the year ended September 30, 2018. This increase was partly offset by a $3.2 million decrease in our solar and service revenues for the year ended September 30, 2019, compared with the prior year.</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During the year ended September 30, 2019, our Residential segment experienced a $6.4 million, or 11.0%, increase in gross profit as compared to the year ended September 30, 2018. The increase in gross profit was driven primarily by higher volumes. Gross margin as a percentage of revenue increased from 20.4% to 20.7% during the year ended September 30, 2019, as compared with the year ended September 30, 2018, as we benefited from improved commodity prices and the increased scale of our operations.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Residential segment experienced a $5.5 million, or 13.2%, increase in selling, general and administrative expenses during the year ended September 30, 2019, compared to the year ended September 30, 2018. This increase was driven by increased compensation expense in connection with a growing business, including both incentive profit sharing for division management and increased headcount. Selling, general and administrative expenses as a percentage of revenues in the Residential segment increased from 14.5% to 15.0% of segment revenue during the year ended September 30, 2019.</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Compared to 2019</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Revenues in our Infrastructure Solutions segment decreased by $8.4 million during the year ended September 30, 2020, a decrease of 6.1% compared to the year ended September 30, 2019. </w:t>
      </w:r>
      <w:r>
        <w:rPr>
          <w:rFonts w:ascii="Times New Roman;sans-serif" w:hAnsi="Times New Roman;sans-serif"/>
          <w:b w:val="false"/>
          <w:color w:val="000000"/>
          <w:sz w:val="20"/>
          <w:highlight w:val="white"/>
        </w:rPr>
        <w:t>The decrease in revenue was driven primarily by the timing of project schedules at certain of our large customers, compared to unusually strong demand in the prior year. We also experienced a decrease in demand for our motor repair services, as several of our large customers temporarily shut down facilities in response to the COVID-19 pandemic. Plant Power and Control Systems, L.L.C. ("PPCS"), a Birmingham, Alabama-based manufacturer and installer of custom engineered power distribution equipment, which we acquired in February 2020, contributed $12.6 million in revenue during the year ended September 30, 2020 subsequent to our acquisition of the business.</w:t>
      </w:r>
    </w:p>
    <w:p>
      <w:pPr>
        <w:pStyle w:val="TextBody"/>
        <w:spacing w:before="0" w:after="0"/>
        <w:rPr/>
      </w:pPr>
      <w:r>
        <w:rPr/>
      </w:r>
    </w:p>
    <w:p>
      <w:pPr>
        <w:pStyle w:val="TextBody"/>
        <w:spacing w:lineRule="auto" w:line="247"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Infrastructure Solutions segment’s gross profit during the year ended September 30, 2020, increased by $4.1 million, as compared to the year ended September 30, 2019, primarily as a result of successful project execution. Gross profit as a percent of revenue increased to 27.3% for the year ended September 30, 2020, </w:t>
      </w:r>
      <w:r>
        <w:rPr>
          <w:rFonts w:ascii="Times New Roman;sans-serif" w:hAnsi="Times New Roman;sans-serif"/>
          <w:b w:val="false"/>
          <w:color w:val="000000"/>
          <w:sz w:val="20"/>
          <w:highlight w:val="white"/>
        </w:rPr>
        <w:t>as our continued focus on procurement, engineering, and quality has resulted in a decrease in operating costs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Our newly acquired PPCS business contributed $3.4 million in gross profit during the year ended September 30, 2020 subsequent to our acquisition of the business</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year ended September 30, 2020, increased by $1.8 million compared to the year ended September 30, 2019,</w:t>
      </w:r>
      <w:r>
        <w:rPr>
          <w:color w:val="000000"/>
        </w:rPr>
        <w:t xml:space="preserve"> </w:t>
      </w:r>
      <w:r>
        <w:rPr>
          <w:rFonts w:ascii="Times New Roman;sans-serif" w:hAnsi="Times New Roman;sans-serif"/>
          <w:b w:val="false"/>
          <w:color w:val="000000"/>
          <w:sz w:val="20"/>
        </w:rPr>
        <w:t>driven by $2.0 million of expense, including amortization of intangible assets, incurred at our newly acquired PPCS business. Expenses incurred at PPCS were partly offset by a decrease in travel and healthcare costs. The selling, general and administrative expenses as a percentage of revenue increased from 13.6% for the year ended September 30, 2019, to 15.9% for the year ended September 30, 2020.</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2019 Compared to 2018 </w:t>
      </w:r>
    </w:p>
    <w:tbl>
      <w:tblPr>
        <w:tblW w:w="8722"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Revenue. R</w:t>
      </w:r>
      <w:r>
        <w:rPr>
          <w:rFonts w:ascii="Times New Roman;sans-serif" w:hAnsi="Times New Roman;sans-serif"/>
          <w:b w:val="false"/>
          <w:color w:val="000000"/>
          <w:sz w:val="20"/>
        </w:rPr>
        <w:t>evenues in our Infrastructure Solutions segment increased by $39.6 million during the year ended September 30, 2019, an increase of 40.8% compared to the year ended September 30, 2018. The increase in revenue relates primarily to our generator enclosure business, driven by increased demand for enclosures to be used at data centers. We also experienced an increase in demand for our motor repair services.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Our Infrastructure Solutions segment’s gross profit during the year ended September 30, 2019, increased by $9.1 million, as compared to the year ended September 30, 2018, primarily as a result of increased volumes. Gross profit as a percent of revenue slightly increased to 22.6% for the year ended September 30, 2019.</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year ended September 30, 2019, increased by $0.4 million compared to the year ended September 30, 2018. However, the selling, general and administrative expenses as a percentage of revenue decreased from 18.8% for the year ended September 30, 2018, to 13.6% for the year ended September 30, 2019. Through a focus on controlling costs, we were able to scale our business effectively without adding significant selling, general and administrative expense.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Compared to 2019    </w:t>
      </w:r>
    </w:p>
    <w:tbl>
      <w:tblPr>
        <w:tblW w:w="8826" w:type="dxa"/>
        <w:jc w:val="center"/>
        <w:tblInd w:w="0" w:type="dxa"/>
        <w:tblCellMar>
          <w:top w:w="28" w:type="dxa"/>
          <w:left w:w="28" w:type="dxa"/>
          <w:bottom w:w="28" w:type="dxa"/>
          <w:right w:w="28" w:type="dxa"/>
        </w:tblCellMar>
      </w:tblPr>
      <w:tblGrid>
        <w:gridCol w:w="1350"/>
        <w:gridCol w:w="1189"/>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0"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Revenues in our Commercial &amp; Industrial segment decreased $50.1 million, or 16.4%, during the year ended September 30, 2020, compared to the year ended September 30, 2019. </w:t>
      </w:r>
      <w:r>
        <w:rPr>
          <w:rFonts w:ascii="Times New Roman;sans-serif" w:hAnsi="Times New Roman;sans-serif"/>
          <w:b w:val="false"/>
          <w:color w:val="000000"/>
          <w:sz w:val="20"/>
          <w:highlight w:val="white"/>
        </w:rPr>
        <w:t>The decrease was largely driven by lower demand for large, industrial projects, particularly in the agricultural and food processing sectors. We also experienced a reduction in demand for time-and-material work. The market for this segment’s services remains highly competitive, and disruptions caused by the COVID-19 pandemic have resulted in some delays in the awarding of new projects, as well as the progress of certain existing projects.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Commercial &amp; Industrial segment’s gross profit during the year ended September 30, 2020 decreased by $8.8 million, or 29.6%, as compared to the year ended September 30, 2019. This was driven primarily by a decrease in volume as discussed above, and certain project inefficiencies. As a percentage of revenue, gross profit decreased from 9.8% for the year ended September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30, 2019, to 8.2% for the year ended September 30, 2020, as a result of certain project inefficiencies, as well as a less efficient absorption of branch level overheads in connection with lower volumes. </w:t>
      </w:r>
    </w:p>
    <w:p>
      <w:pPr>
        <w:pStyle w:val="TextBody"/>
        <w:spacing w:before="0" w:after="0"/>
        <w:jc w:val="both"/>
        <w:rPr/>
      </w:pPr>
      <w:r>
        <w:rPr/>
      </w:r>
    </w:p>
    <w:p>
      <w:pPr>
        <w:pStyle w:val="TextBody"/>
        <w:spacing w:lineRule="auto" w:line="276"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Commercial &amp; Industrial segment’s selling, general and administrative expenses during the year ended September 30, 2020, increased $4.3 million, or 15.5%, compared to the year ended September 30,</w:t>
      </w:r>
      <w:r>
        <w:rPr>
          <w:color w:val="000000"/>
        </w:rPr>
        <w:t xml:space="preserve"> </w:t>
      </w:r>
      <w:r>
        <w:rPr>
          <w:rFonts w:ascii="Times New Roman;sans-serif" w:hAnsi="Times New Roman;sans-serif"/>
          <w:b w:val="false"/>
          <w:color w:val="000000"/>
          <w:sz w:val="20"/>
        </w:rPr>
        <w:t xml:space="preserve">2019. </w:t>
      </w:r>
      <w:r>
        <w:rPr>
          <w:rFonts w:ascii="Times New Roman;sans-serif" w:hAnsi="Times New Roman;sans-serif"/>
          <w:b w:val="false"/>
          <w:color w:val="000000"/>
          <w:sz w:val="20"/>
          <w:highlight w:val="white"/>
        </w:rPr>
        <w:t xml:space="preserve">The increased expense for the year ended September 30, 2020 includes a reserve for doubtful accounts related to a commercial dispute, as well as an increase in legal fees. Additionally, we have invested in our procurement process and incurred costs in connection with changes to our organization structure, with the goal of improving gross margins in the future. Selling, general and administrative expenses as a percentage of revenue </w:t>
      </w:r>
      <w:r>
        <w:rPr>
          <w:rFonts w:ascii="Times New Roman;sans-serif" w:hAnsi="Times New Roman;sans-serif"/>
          <w:b w:val="false"/>
          <w:color w:val="000000"/>
          <w:sz w:val="20"/>
        </w:rPr>
        <w:t>increased to 12.6% from 9.1%, reflecting the impact of the decreased scale of our operations.</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Goodwill Impairment Expense</w:t>
      </w:r>
      <w:r>
        <w:rPr>
          <w:rFonts w:ascii="Times New Roman;sans-serif" w:hAnsi="Times New Roman;sans-serif"/>
          <w:b w:val="false"/>
          <w:color w:val="000000"/>
          <w:sz w:val="20"/>
        </w:rPr>
        <w:t>. Throughout 2020, our Commercial &amp; Industrial segment continued to experience operating losses. Although the business has maintained a focus on operational improvements and cost reductions, its performance continued to be affected by the ongoing COVID-19 pandemic and other market factors. During the third and fourth fiscal quarter, we had expected to see operational and market improvements, as government restrictions and “stay at home” orders began to expire. However, the continuing impact of COVID-19 and the resulting increase in economic uncertainty has continued to impact customer decisions on awarding of new work. In this increasingly competitive and uncertain environment, demand for new construction in market sectors such as retail, office, and hospitality has declined, and our backlog has decreased. As a result of these developments, and continuing operational difficulties we experienced in the fourth fiscal quarter, we concluded in performing our annual goodwill impairment assessment that the fair value of our Commercial &amp; Industrial reporting unit was less than its carrying amount, which resulted in the recognition of a non-cash goodwill impairment charge of $7.0 million for the year ended September 30, 2020.</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2019 Compared to 2018 </w:t>
      </w:r>
    </w:p>
    <w:p>
      <w:pPr>
        <w:pStyle w:val="TextBody"/>
        <w:spacing w:before="0" w:after="0"/>
        <w:rPr/>
      </w:pPr>
      <w:r>
        <w:rPr/>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Revenues in our Commercial &amp; Industrial segment increased $31.3 million, or 11.4%, during the year ended September 30, 2019, compared to the year ended September 30, 2018. The increase in revenue over this period was driven by an increase in large agricultural and other projects in the Midwest.</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Our Commercial &amp; Industrial segment’s gross profit during the year ended September 30, 2019 increased by $0.3 million, or 0.9%, as compared to the year ended September 30, 2018. We benefited from higher volumes; however, these benefits were offset by certain project inefficiencies during the second half of the year. As a percentage of revenue, gross profit decreased from 10.8% for the year ended September 30, 2018, to 9.8% for the year ended September 30, 2019, as a result of these project inefficiencies.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Commercial &amp; Industrial segment’s selling, general and administrative expenses during the year ended September 30, 2019, increased $0.8 million, or 2.9%, compared to the year ended September 30, 2018, but decreased from 9.9% as a percentage of revenue for the year ended September 30, 2018 to 9.1% for the year ended September 30, 2019, as we benefited from the increased scale of our operations and a focus on controlling costs.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AND OTHER EXPENSE, NET</w:t>
      </w:r>
    </w:p>
    <w:p>
      <w:pPr>
        <w:pStyle w:val="TextBody"/>
        <w:spacing w:before="0" w:after="0"/>
        <w:rPr/>
      </w:pPr>
      <w:r>
        <w:rPr/>
      </w:r>
    </w:p>
    <w:tbl>
      <w:tblPr>
        <w:tblW w:w="6416" w:type="dxa"/>
        <w:jc w:val="left"/>
        <w:tblInd w:w="0" w:type="dxa"/>
        <w:tblCellMar>
          <w:top w:w="28" w:type="dxa"/>
          <w:left w:w="28" w:type="dxa"/>
          <w:bottom w:w="28" w:type="dxa"/>
          <w:right w:w="28" w:type="dxa"/>
        </w:tblCellMar>
      </w:tblPr>
      <w:tblGrid>
        <w:gridCol w:w="1108"/>
        <w:gridCol w:w="971"/>
        <w:gridCol w:w="980"/>
        <w:gridCol w:w="211"/>
        <w:gridCol w:w="466"/>
        <w:gridCol w:w="109"/>
        <w:gridCol w:w="109"/>
        <w:gridCol w:w="109"/>
        <w:gridCol w:w="109"/>
        <w:gridCol w:w="211"/>
        <w:gridCol w:w="616"/>
        <w:gridCol w:w="109"/>
        <w:gridCol w:w="109"/>
        <w:gridCol w:w="109"/>
        <w:gridCol w:w="109"/>
        <w:gridCol w:w="211"/>
        <w:gridCol w:w="616"/>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charges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2020, we incurred interest expense of $0.8 million primarily comprised of interest expense from our revolving credit facility with Wells Fargo Bank, N.A. (“Wells Fargo”) and fees on an average letter of credit balance of $6.9 million under our revolving credit facility and an average unused line of credit balance of $89.6 million. This compares to interest expense of $1.9 million for the year ended September 30, 2019, primarily comprised of interest expense from our revolving credit facility with Wells Fargo and fees on an average letter of credit balance of $6.6 million under our revolving credit facility and an average unused line of credit balance of $73.7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September 30, 2018, we incurred interest expense of $1.9 million on a debt balance primarily comprised of our revolving credit facility with Wells Fargo and fees on an average letter of credit balance of $6.6 million under our revolving credit facility, and an average unused line of credit balance of $63.2 million.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2020, we recorded income tax expense of $8.7 million. Income tax expense was partly offset by a $3.2 million benefit related to the recognition of previously unrecognized tax benefits as well as a $3.3 million benefit related to the release of valuation allowance on certain state net operating loss carryforwards.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September 30, 2019, we recorded income tax expense of $6.7 million. Income tax expense was partly offset by a $4.0 million benefit related to the recognition of previously unrecognized tax benefits.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2018, we recorded income tax expense of $38.2 million. Income tax expense was partly offset by a $1.9 million benefit related to the recognition of previously unrecognized tax benefits. Our income tax expense included a charge of $31.3 million to re-measure our deferred tax assets and liabilities to reflect the impact from the enactment of the Tax Cuts and Jobs Act on December 22, 2017.</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2020, working capital exclusive of cash decreased by $8.6 million from September 30, 2019, reflecting a $40.4 million increase in current assets excluding cash and a $49.0 million increase in current liabilities during the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2020, our current assets exclusive of cash increased to $317.9 million, as compared to $277.5 million as of September 30, 2019. The increase primarily relates to a $26.7 million increase in accounts receivable and an $11.7 million increase in retainage, in connection with growth in our business. Days sales outstanding decreased to 61 as of September 30, 2020, from 62 as of September 30, 2019. While the rate of collections may vary, our typically secured position, resulting from our ability in general to secure liens against our customers’ overdue receivables, offers some protection that collection will occur eventually to the extent that our security retains value.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2020, our total current liabilities increased by $49.0 million to $242.4 million, compared to $193.5 million as of September 30, 2019, primarily related to an increase in accounts payable and accrued liabilities, and a $15.2 million increase in billings in excess of costs and estimated earnings in connection with the growth of our business.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Many customers, particularly in connection with new construction, require us to post performance and payment bonds issued by a surety. These bonds provide a guarantee to the customer that we will perform under the terms of our contract and that we will pay our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2020, the estimated cost to complete our bonded projects was approximately $92.9 million. We believe the bonding capacity currently provided by our sureties is adequate for our current operations and will be adequate for our operations for the foreseeable future.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2020, we had cash and cash equivalents of $53.6 million and $94.3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$100 million revolving credit facility that matures on September 30, 2024 pursuant to an agreement with Wells Fargo (as amended, the “Amended Credit Agreement”). </w:t>
      </w:r>
    </w:p>
    <w:p>
      <w:pPr>
        <w:pStyle w:val="TextBody"/>
        <w:spacing w:lineRule="auto" w:line="288" w:before="260" w:after="283"/>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may not exceed a “borrowing base” that is determined monthly by Wells Fargo based on available collateral, primarily certain accounts receivables, inventories, and equipment. Under the terms of the Amended Credit Agreement, amounts outstanding bear interest at a per annum rate equal to a Daily Three Month LIBOR (as defined in the Amended Credit Agreement and subject to replacement with a new benchmark as set forth therein), plus an interest rate margin, which is determined quarterly, based on the following thresholds:</w:t>
      </w:r>
    </w:p>
    <w:tbl>
      <w:tblPr>
        <w:tblW w:w="10539" w:type="dxa"/>
        <w:jc w:val="left"/>
        <w:tblInd w:w="0" w:type="dxa"/>
        <w:tblCellMar>
          <w:top w:w="28" w:type="dxa"/>
          <w:left w:w="28" w:type="dxa"/>
          <w:bottom w:w="28" w:type="dxa"/>
          <w:right w:w="28" w:type="dxa"/>
        </w:tblCellMar>
      </w:tblPr>
      <w:tblGrid>
        <w:gridCol w:w="185"/>
        <w:gridCol w:w="162"/>
        <w:gridCol w:w="164"/>
        <w:gridCol w:w="109"/>
        <w:gridCol w:w="109"/>
        <w:gridCol w:w="109"/>
        <w:gridCol w:w="2448"/>
        <w:gridCol w:w="2448"/>
        <w:gridCol w:w="2480"/>
        <w:gridCol w:w="109"/>
        <w:gridCol w:w="109"/>
        <w:gridCol w:w="109"/>
        <w:gridCol w:w="584"/>
        <w:gridCol w:w="584"/>
        <w:gridCol w:w="830"/>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8" w:type="dxa"/>
            <w:tcBorders/>
            <w:shd w:fill="auto" w:val="clear"/>
            <w:vAlign w:val="center"/>
          </w:tcPr>
          <w:p>
            <w:pPr>
              <w:pStyle w:val="TableContents"/>
              <w:spacing w:before="0" w:after="283"/>
              <w:rPr>
                <w:sz w:val="4"/>
                <w:szCs w:val="4"/>
              </w:rPr>
            </w:pPr>
            <w:r>
              <w:rPr>
                <w:sz w:val="4"/>
                <w:szCs w:val="4"/>
              </w:rPr>
            </w:r>
          </w:p>
        </w:tc>
        <w:tc>
          <w:tcPr>
            <w:tcW w:w="2448"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Thresholds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Interest Rate Margin</w:t>
            </w:r>
          </w:p>
        </w:tc>
      </w:tr>
      <w:tr>
        <w:trPr/>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less than 35%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35% of the Maximum Revolver Amount at all times during the period and less than 50%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50% of the Maximum Revolver Amount at all times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 percentage points</w:t>
            </w:r>
          </w:p>
        </w:tc>
      </w:tr>
    </w:tbl>
    <w:p>
      <w:pPr>
        <w:pStyle w:val="TextBody"/>
        <w:spacing w:lineRule="auto" w:line="288" w:before="260" w:after="283"/>
        <w:rPr>
          <w:rFonts w:ascii="Times New Roman;sans-serif" w:hAnsi="Times New Roman;sans-serif"/>
          <w:b w:val="false"/>
          <w:color w:val="000000"/>
          <w:sz w:val="20"/>
        </w:rPr>
      </w:pPr>
      <w:r>
        <w:rPr>
          <w:rFonts w:ascii="Times New Roman;sans-serif" w:hAnsi="Times New Roman;sans-serif"/>
          <w:b w:val="false"/>
          <w:color w:val="000000"/>
          <w:sz w:val="20"/>
        </w:rPr>
        <w:t>In addition, we are charged monthly in arrears for (1) an unused commitment fee of 0.25% per annum, (2) a collateral monitoring fee of $5 thousand per quarter, (3) a letter of credit fee based on the then-applicable interest rate margin (4) appraisal fees, costs and expenses and (5) certain other fees and charges as specified in the Amended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Credit Agreement contains customary affirmative, negative and financial covenants, as well as customary events of default.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2020, we were in compliance with the financial covenants under the Amended Credit Agreement, requiring that we maintain:</w:t>
      </w:r>
    </w:p>
    <w:p>
      <w:pPr>
        <w:pStyle w:val="TextBody"/>
        <w:spacing w:before="0" w:after="0"/>
        <w:jc w:val="both"/>
        <w:rPr/>
      </w:pPr>
      <w:r>
        <w:rPr/>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 xml:space="preserve">a Fixed Charge Coverage Ratio (as defined in the Amended Credit Agreement), measured quarterly on a trailing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four-quarter basis at the end of each quarter, of at least 1.1 to 1.0; and</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minimum Liquidity (as defined in the Amended Credit Agreement) of at least twenty percent (20%) of the Maximum Revolver Amount (as defined in the Amended Credit Agreement), or $20 million; with, for purposes of this covenant, at least fifty percent (50%) of our Liquidity comprised of Excess Availability (as defined in the Amended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2020, our Liquidity was $147.9 million and our Excess Availability was $94.3 million (or greater than 50% of minimum Liquidity), and our Fixed Charge Coverage Ratio was 8.3:1.0.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(as defined in the Amended Credit Agreement) consisting of certain Pass-Through Tax Liabilities (as defined in the Amended Credit Agreement),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we make an acquisition consented to by Wells Fargo, the components of the Fixed Charge Coverage Ratio will be calculated for such fiscal period after giving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 xml:space="preserve">effect to the acquisition assuming that such transaction has occurred on the first day of such period (including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adjustments arising out of events which are directly attributable to such acquisition, are factually supportable, and are expected to have a continuing impact, in each case to be reasonably agreed to by Wells Fargo).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and increases in any change in LIFO reserves for such period, determined on a consolidated basis in accordance with GAAP.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in the future our Liquidity falls below $20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any indebtedness we may take on becoming immediately due and payable.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2020, we had $5.7 million in outstanding letters of credit with Wells Fargo and $12 thousand of outstanding borrowings.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invest in non-controlling positions in the debt or equity securities of other businesses. Our Board of Directors has approved an investment policy that permits the Company to invest our cash in liquid and marketable securities that include equities and fixed income securities, subject to size limits on investments individually and in the aggregate. Equity securities may include unrestricted, publicly traded stock that is listed on a major exchange or a national, over-the-counter market and that is appropriate for our portfolio objectives, and fixed income securities are required to have an investment grade credit quality at the time of purchase.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activities provided net cash of $76.7 million during the year ended September 30, 2020, as compared to $38.7 million of net cash provided in the year ended September 30, 2019. The increase in operating cash flow resulted primarily from an increase in earnings, as well as a $9.0 million benefit from the deferral of payroll taxes as permitted by the Coronavirus Aid, Relief, and Economic Security (CARES) Act, and a decrease in working capital.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activities provided net cash of $38.7 million during the year ended September 30, 2019, as compared to $12.2 million of net cash provided in the year ended September 30, 2018. The increase in operating cash flow resulted primarily from an increase in earnings, partly offset by an increase in working capital in support of our growth. In particular, increased accounts receivable resulted in cash outflows of $35.3 million, offset by cash inflows of $22.5 million driven by increased accounts payable and accrued liabilities.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 the year ended September 30, 2020, net cash used in investing activities was $33.6 million, as compared to $5.7 million of net cash used in investing activities in the year ended September 30, 2019. Investing activities for the year ended September 30, 2020 include $4.7 million of capital expenditures and $29.0 million for the acquisition of businesses.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 ended September 30, 2019, net cash used in investing activities was $5.7 million, as compared to $11.9 million of net cash used in investing activities in the year ended September 30, 2018. Investing activities for the year ended September 30, 2019, include $6.3 million of capital expenditures.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$8.5 million in the year ended September 30, 2020, compared to $40.3 million used in the year ended September 30, 2019. For the year ended September 30, 2020, we used $7.7 million to repurchase our shares under our stock repurchase program, as well as to satisfy statutory withholding requirements upon the vesting of employee stock compensation.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$40.3 million in the year ended September 30, 2019, compared to $2.4 million used in the year ended September 30, 2018. For the year ended September 30, 2019, we used $119.5 million to repay a portion of our revolving credit facility, partly offset by $89.3 million of additional borrowings. We also used $9.8 million to repurchase our shares under our stock repurchase program, as well as to satisfy statutory withholding requirements upon the vesting of employee stock compensation.</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CONTROLLING SHAREHOLDER</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Tontine is the Company’s controlling shareholder, owning approximately 56 percent of the Company’s outstanding common stock, based on an amended Schedule 13D filed by Tontine with the SEC on October 9, 2020. Accordingly, Tontine has the ability to exercise significant control over our affairs, including the election of directors and most actions requiring the approval of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 party to a sublease agreement with Tontine Associates for corporate office space in Greenwich, Connecticut. The sublease extends through February 27, 2023, with monthly payments due in the amount of approximately $8 thousand. The lease has terms at market rates, and payments by the Company are at a rate consistent with that paid by Tontine Associates to its landlord.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directors.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Jeffrey L. Gendell was appointed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 AND CONTRACTUAL OBLIGATIONS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common in our industry, we have entered into certain off-balance sheet arrangements that expose us to increased risk. Our significant off-balance sheet transactions include letter of credit obligations, firm commitments for materials and surety guarantees.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customers and vendors require us to post letters of credit as a means of guaranteeing performance under our contracts and ensuring payment by us to subcontractors and vendors. If our customer has reasonable cause to effect payment under a letter of credit,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would be required to reimburse our creditor for the letter of credit. At September 30, 2020, $0.2 million of our outstanding letters of credit were to collateralize our customers and vendors.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2020, $5.5 million of our outstanding letters of credit were to collateralize our insurance programs.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enter into firm purchase commitments for materials such as copper wire and aluminum wire, among others, which we expect to use in the ordinary course of business. These commitments are typically for terms less than one year and require us to buy minimum quantities of materials at specified intervals at a fixed price over the term. As of September 30, 2020, we did not have any significant open purchase commitments.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pStyle w:val="TextBody"/>
        <w:spacing w:before="0" w:after="0"/>
        <w:ind w:left="0" w:right="0" w:firstLine="72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the assessment of goodwill and asset impairment, our allowance for doubtful accounts receivable, the recording of our insurance liabilities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 </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We enter into contracts principally on the basis of competitive bids. We frequently negotiate the final terms and prices of those contracts with the customer. Although the terms of our contracts vary considerably, approximately 91% of our revenues are based on either a fixed price or unit price basis in which we agree to do the work for a fixed amount for the entire project (fixed price) or for units of work performed (unit price). Approximately 9% of our revenues are earned from contracts where we are paid on a time and materials basis. Our most significant cost drivers are the cost of labor, the cost of materials and the cost of casualty and health insurance.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63% of our total revenue for the year ended September 30, 2020.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generally do not incur significant costs related to obtaining or fulfilling a contract prior to the start of a project. When significant pre</w:t>
        <w:noBreakHyphen/>
        <w:t>contract costs are incurred, they will be capitalized and amortized on a percentage of completion basis over the life of the contract.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In accounting for business combinations, certain assumptions and estimates are employed in determining the fair value of assets acquired, 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Valuation of Intangibles and Long-Lived Assets.</w:t>
      </w:r>
      <w:r>
        <w:rPr>
          <w:color w:val="000000"/>
        </w:rPr>
        <w:t> </w:t>
      </w:r>
      <w:r>
        <w:rPr>
          <w:rFonts w:ascii="Times New Roman;sans-serif" w:hAnsi="Times New Roman;sans-serif"/>
          <w:b w:val="false"/>
          <w:color w:val="000000"/>
          <w:sz w:val="20"/>
        </w:rPr>
        <w:t>We evaluate goodwill for potential impairment at least annually at year end; however, if impairment indicators exist, we will evaluate as needed.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 We estimate the fair value of the reporting unit based on the market approach and income approach. Included in this evaluation are certain assumptions and estimates to determine the fair values of reporting units such as estimates of future cash flows and discount rates, as well as assumptions and estimates related to the valuation of other identified intangible assets. Changes in these assumptions and estimates or significant changes to the market value of our common stock could materially impact our results of operations or financial position. We recorded a goodwill impairment of $7.0 million during the year ended September 30, 2020. We did not record goodwill impairment during the years ended September 30, 2019 or 2018.</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Each reporting period, we assess impairment indicators related to long-lived assets and intangible assets. If we determine impairment indicators exist, we conduct an evaluation to determine whether any impairment has occurred. This evaluation includes certain assumptions and estimates to determine fair value of asset groups, including estimates about future cash flows and discount rates, among others. Changes in these assumptions and estimates could materially impact our results of operations or financial projections. No impairment charges related to amortizable assets were recorded in the years ended September 30, 2020, 2019 or 2018.</w:t>
      </w:r>
    </w:p>
    <w:p>
      <w:pPr>
        <w:pStyle w:val="TextBody"/>
        <w:spacing w:lineRule="auto" w:line="288" w:before="180" w:after="283"/>
        <w:rPr/>
      </w:pPr>
      <w:r>
        <w:rPr>
          <w:rFonts w:ascii="Times New Roman;sans-serif" w:hAnsi="Times New Roman;sans-serif"/>
          <w:b w:val="false"/>
          <w:i/>
          <w:color w:val="000000"/>
          <w:sz w:val="20"/>
        </w:rPr>
        <w:t>Current and Non-Current Accounts Receivable and Provision for Doubtful Accounts.</w:t>
      </w:r>
      <w:r>
        <w:rPr>
          <w:color w:val="000000"/>
        </w:rPr>
        <w:t> </w:t>
      </w:r>
      <w:r>
        <w:rPr>
          <w:rFonts w:ascii="Times New Roman;sans-serif" w:hAnsi="Times New Roman;sans-serif"/>
          <w:b w:val="false"/>
          <w:color w:val="000000"/>
          <w:sz w:val="20"/>
        </w:rPr>
        <w:t xml:space="preserve">We provide an allowance for doubtful accounts for unknown collection issues, in addition to reserves for specific accounts receivable where collection is considered doubtful. Inherent in the assessment of the allowance for doubtful accounts are certain judgments and estimates including, among others, our customers’ access to capital, our customers’ willingness to pay, general economic conditions, and the ongoing relationships with our customers. In addition to these factors, the method of accounting for construction contracts requires the review and analysis of not only the net receivables, but also the amount of billings in excess of costs and costs in excess of billings. The analysis management utilizes to assess collectability of our receivables includes detailed review of older balances, analysis of days sales outstanding where we include in the calculation, in addition to accounts receivable balances net of any allowance for doubtful accounts, the level of costs in excess of billings netted against billings in excess of costs and the ratio of accounts receivable, net of any allowance for doubtful accounts plus the level of costs in excess of billings, to revenues. These analyses provide an indication of those amounts billed ahead of or behind the recognition of revenue on our construction contracts and are important to consider in understanding the operational cash flows related to our revenue cycle. </w:t>
      </w:r>
    </w:p>
    <w:p>
      <w:pPr>
        <w:pStyle w:val="TextBody"/>
        <w:spacing w:lineRule="auto" w:line="288" w:before="180" w:after="283"/>
        <w:rPr/>
      </w:pPr>
      <w:r>
        <w:rPr>
          <w:rFonts w:ascii="Times New Roman;sans-serif" w:hAnsi="Times New Roman;sans-serif"/>
          <w:b w:val="false"/>
          <w:i/>
          <w:color w:val="000000"/>
          <w:sz w:val="20"/>
        </w:rPr>
        <w:t>Risk Management.</w:t>
      </w:r>
      <w:r>
        <w:rPr>
          <w:color w:val="000000"/>
        </w:rPr>
        <w:t> </w:t>
      </w:r>
      <w:r>
        <w:rPr>
          <w:rFonts w:ascii="Times New Roman;sans-serif" w:hAnsi="Times New Roman;sans-serif"/>
          <w:b w:val="false"/>
          <w:color w:val="000000"/>
          <w:sz w:val="20"/>
        </w:rPr>
        <w:t xml:space="preserve">We are insured for workers’ compensation, automobile liability, general liability, construction defects, pollution, employment practices and employee-related health care claims, subject to deductibles. Our general liability program provides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for bodily injury and property damage. Losses up to the deductible amounts are accrued based upon our estimates of the liability for claims incurred and an estimate of claims incurred but not reported. The accruals are derived from actuarial studies, known facts, historical trends and industry averages utilizing the assistance of an actuary to determine the best estimate of the ultimate expected loss. We believe such accruals to be adequate; however, insurance liabilities are difficult to assess and estimate due to unknown factors, including the severity of an injury, the determination of our liability in proportion to other parties, the number of incidents incurred but not reported and the effectiveness of our safety program. Therefore, if actual experience differs from the assumptions used in the actuarial valuation, adjustments to the reserve may be required and would be recorded in the period that the experience becomes known. </w:t>
      </w:r>
    </w:p>
    <w:p>
      <w:pPr>
        <w:pStyle w:val="TextBody"/>
        <w:spacing w:lineRule="auto" w:line="288" w:before="180" w:after="283"/>
        <w:rPr/>
      </w:pPr>
      <w:r>
        <w:rPr>
          <w:rFonts w:ascii="Times New Roman;sans-serif" w:hAnsi="Times New Roman;sans-serif"/>
          <w:b w:val="false"/>
          <w:i/>
          <w:color w:val="000000"/>
          <w:sz w:val="20"/>
        </w:rPr>
        <w:t>Valuation Allowance for Deferred Tax Assets.</w:t>
      </w:r>
      <w:r>
        <w:rPr>
          <w:color w:val="000000"/>
        </w:rPr>
        <w:t> </w:t>
      </w:r>
      <w:r>
        <w:rPr>
          <w:rFonts w:ascii="Times New Roman;sans-serif" w:hAnsi="Times New Roman;sans-serif"/>
          <w:b w:val="false"/>
          <w:color w:val="000000"/>
          <w:sz w:val="20"/>
        </w:rPr>
        <w:t>We regularly evaluate valuation allowances established for deferred tax assets for which future realization is uncertain. We perform this evaluation quarterly. The estimation of required valuation allowances includes estimates of future taxable income. In assessing the realizability of deferred tax assets at September 30, 2020, we concluded, based upon the assessment of positive and negative evidence, that it is more likely than not that the Company will generate sufficient taxable income within the applicable NOL carryforward periods to realize $33.8 million of its deferred tax assets. We considered the scheduled reversal of deferred tax liabilities, projected future taxable income and tax planning strategies in making this assessment.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An inability to generate sufficient taxable income in future periods to realize our deferred tax assets may lead to a future need for a valuation allowance and a corresponding reduction in GAAP net income. In addition, any further reduction in the federal statutory tax rate in the future could also cause a reduction in the economic benefit of the NOL available to us and a corresponding charge to reduce the book value of the deferred tax asset recorded on our Consolidated Balance Sheets.</w:t>
      </w:r>
    </w:p>
    <w:p>
      <w:pPr>
        <w:pStyle w:val="TextBody"/>
        <w:spacing w:lineRule="auto" w:line="288" w:before="180" w:after="283"/>
        <w:rPr/>
      </w:pP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GAAP specifies the methodology by which a company must identify, recognize, measure and disclose in its financial statements the effects of any 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years ended September 30, 2017 and forward are subject to federal audit as are prior tax years, to the extent of unutilized net operating losses generated in those years.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approximately $3.1 million in liabilities for unrecognized tax benefits, including accrued interest, may be reversed in the next twelve months. This reversal is predominantly due to the expiration of the statutes of limitation for unrecognized tax benefits. </w:t>
      </w:r>
    </w:p>
    <w:p>
      <w:pPr>
        <w:pStyle w:val="TextBody"/>
        <w:spacing w:lineRule="auto" w:line="288" w:before="180" w:after="283"/>
        <w:rPr/>
      </w:pPr>
      <w:r>
        <w:rPr>
          <w:rFonts w:ascii="Times New Roman;sans-serif" w:hAnsi="Times New Roman;sans-serif"/>
          <w:b w:val="false"/>
          <w:i/>
          <w:color w:val="000000"/>
          <w:sz w:val="20"/>
        </w:rPr>
        <w:t>New Accounting Pronouncements.</w:t>
      </w:r>
      <w:r>
        <w:rPr>
          <w:color w:val="000000"/>
        </w:rPr>
        <w:t> </w:t>
      </w:r>
      <w:r>
        <w:rPr>
          <w:rFonts w:ascii="Times New Roman;sans-serif" w:hAnsi="Times New Roman;sans-serif"/>
          <w:b w:val="false"/>
          <w:color w:val="000000"/>
          <w:sz w:val="20"/>
        </w:rPr>
        <w:t xml:space="preserve">Recent accounting pronouncements are described in Note 2, “Summary of Significant Accounting Policies — </w:t>
      </w:r>
      <w:r>
        <w:rPr>
          <w:rFonts w:ascii="Times New Roman;sans-serif" w:hAnsi="Times New Roman;sans-serif"/>
          <w:b w:val="false"/>
          <w:i/>
          <w:color w:val="000000"/>
          <w:sz w:val="20"/>
        </w:rPr>
        <w:t>New Accounting Pronouncements</w:t>
      </w:r>
      <w:r>
        <w:rPr>
          <w:color w:val="000000"/>
        </w:rPr>
        <w:t xml:space="preserve">” </w:t>
      </w:r>
      <w:r>
        <w:rPr>
          <w:rFonts w:ascii="Times New Roman;sans-serif" w:hAnsi="Times New Roman;sans-serif"/>
          <w:b w:val="false"/>
          <w:color w:val="000000"/>
          <w:sz w:val="20"/>
        </w:rPr>
        <w:t xml:space="preserve">in the notes to our Consolidated Financial Statements and at relevant sections in this discussion and analysis.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our credit facility. For additional information see</w:t>
      </w:r>
      <w:r>
        <w:rPr>
          <w:color w:val="000000"/>
        </w:rPr>
        <w:t xml:space="preserv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Item 1A of this Annual Report on Form 10-K.</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Risk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on floating interest rate borrowings under our revolving credit facility. If LIBOR or its replacement benchmark were to increase, our interest payment obligations on outstanding borrowings would increase, having a negative effect on our cash flow and financial condition. In July 2017, the Financial Conduct Authority (the regulatory authority over LIBOR) stated that it would phase out LIBOR as a benchmark after 2021 to allow for an orderly transition to an alternative reference rate. Our revolving credit facility provides for a mechanism to amend the facility to reflect the establishment of an alternative rate of interest upon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occurrence of certain events related to the phase-out of LIBOR. However, we have not yet pursued any technical amendment or other contractual alternative to address this matter and are currently evaluating the impact of the potential replacement of the LIBOR interest rate. As we have $12 thousand of borrowings outstanding at September 30, 2020, our exposure to interest rate risk as of that date is minimal. We currently do not maintain any hedging contracts that would limit our exposure to variable rates of interest when we have outstanding borrowings. Floating rate debt, where the interest rate fluctuates periodically, exposes us to short-term changes in market interest rates. </w:t>
      </w:r>
    </w:p>
    <w:p>
      <w:pPr>
        <w:pStyle w:val="TextBody"/>
        <w:spacing w:before="0" w:after="0"/>
        <w:jc w:val="both"/>
        <w:rPr/>
      </w:pPr>
      <w:r>
        <w:rPr/>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Item 8. Financial Statements and Supplementary Data</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before="0" w:after="0"/>
        <w:rPr/>
      </w:pPr>
      <w:r>
        <w:rPr/>
      </w:r>
    </w:p>
    <w:tbl>
      <w:tblPr>
        <w:tblW w:w="5506" w:type="dxa"/>
        <w:jc w:val="center"/>
        <w:tblInd w:w="0" w:type="dxa"/>
        <w:tblCellMar>
          <w:top w:w="28" w:type="dxa"/>
          <w:left w:w="28" w:type="dxa"/>
          <w:bottom w:w="28" w:type="dxa"/>
          <w:right w:w="28" w:type="dxa"/>
        </w:tblCellMar>
      </w:tblPr>
      <w:tblGrid>
        <w:gridCol w:w="1786"/>
        <w:gridCol w:w="1570"/>
        <w:gridCol w:w="1579"/>
        <w:gridCol w:w="167"/>
        <w:gridCol w:w="167"/>
        <w:gridCol w:w="237"/>
      </w:tblGrid>
      <w:tr>
        <w:trPr/>
        <w:tc>
          <w:tcPr>
            <w:tcW w:w="1786"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73">
              <w:r>
                <w:rPr>
                  <w:rStyle w:val="InternetLink"/>
                  <w:rFonts w:ascii="Times New Roman;sans-serif" w:hAnsi="Times New Roman;sans-serif"/>
                  <w:b w:val="false"/>
                  <w:color w:val="0000FF"/>
                  <w:sz w:val="20"/>
                  <w:u w:val="single"/>
                </w:rPr>
                <w:t>Reports of Independent Registered Public Accounting Firm</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78317b1a96404023960d070219b1dc42_73">
              <w:r>
                <w:rPr>
                  <w:rStyle w:val="InternetLink"/>
                  <w:rFonts w:ascii="Times New Roman;sans-serif" w:hAnsi="Times New Roman;sans-serif"/>
                  <w:b w:val="false"/>
                  <w:color w:val="0000FF"/>
                  <w:sz w:val="20"/>
                  <w:u w:val="single"/>
                </w:rPr>
                <w:t>40</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76">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8317b1a96404023960d070219b1dc42_76">
              <w:r>
                <w:rPr>
                  <w:rStyle w:val="InternetLink"/>
                  <w:rFonts w:ascii="Times New Roman;sans-serif" w:hAnsi="Times New Roman;sans-serif"/>
                  <w:b w:val="false"/>
                  <w:color w:val="0000FF"/>
                  <w:sz w:val="20"/>
                  <w:u w:val="single"/>
                </w:rPr>
                <w:t>42</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82">
              <w:r>
                <w:rPr>
                  <w:rStyle w:val="InternetLink"/>
                  <w:rFonts w:ascii="Times New Roman;sans-serif" w:hAnsi="Times New Roman;sans-serif"/>
                  <w:b w:val="false"/>
                  <w:color w:val="0000FF"/>
                  <w:sz w:val="20"/>
                  <w:u w:val="single"/>
                </w:rPr>
                <w:t>Consolidated Statements of Comprehensive Income (Loss)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8317b1a96404023960d070219b1dc42_82">
              <w:r>
                <w:rPr>
                  <w:rStyle w:val="InternetLink"/>
                  <w:rFonts w:ascii="Times New Roman;sans-serif" w:hAnsi="Times New Roman;sans-serif"/>
                  <w:b w:val="false"/>
                  <w:color w:val="0000FF"/>
                  <w:sz w:val="20"/>
                  <w:u w:val="single"/>
                </w:rPr>
                <w:t>43</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85">
              <w:r>
                <w:rPr>
                  <w:rStyle w:val="InternetLink"/>
                  <w:rFonts w:ascii="Times New Roman;sans-serif" w:hAnsi="Times New Roman;sans-serif"/>
                  <w:b w:val="false"/>
                  <w:color w:val="0000FF"/>
                  <w:sz w:val="20"/>
                  <w:u w:val="single"/>
                </w:rPr>
                <w:t>Consolidated Statements of Stockholders'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8317b1a96404023960d070219b1dc42_85">
              <w:r>
                <w:rPr>
                  <w:rStyle w:val="InternetLink"/>
                  <w:rFonts w:ascii="Times New Roman;sans-serif" w:hAnsi="Times New Roman;sans-serif"/>
                  <w:b w:val="false"/>
                  <w:color w:val="0000FF"/>
                  <w:sz w:val="20"/>
                  <w:u w:val="single"/>
                </w:rPr>
                <w:t>44</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88">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8317b1a96404023960d070219b1dc42_88">
              <w:r>
                <w:rPr>
                  <w:rStyle w:val="InternetLink"/>
                  <w:rFonts w:ascii="Times New Roman;sans-serif" w:hAnsi="Times New Roman;sans-serif"/>
                  <w:b w:val="false"/>
                  <w:color w:val="0000FF"/>
                  <w:sz w:val="20"/>
                  <w:u w:val="single"/>
                </w:rPr>
                <w:t>45</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317b1a96404023960d070219b1dc42_9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8317b1a96404023960d070219b1dc42_91">
              <w:r>
                <w:rPr>
                  <w:rStyle w:val="InternetLink"/>
                  <w:rFonts w:ascii="Times New Roman;sans-serif" w:hAnsi="Times New Roman;sans-serif"/>
                  <w:b w:val="false"/>
                  <w:color w:val="0000FF"/>
                  <w:sz w:val="20"/>
                  <w:u w:val="single"/>
                </w:rPr>
                <w:t>46</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IES Holdings, Inc. and subsidiaries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IES Holdings, Inc. and subsidiaries (the Company) as of September 30, 2020 and 2019, the related consolidated statements of comprehensive income (loss), stockholders’ equity and cash flows for each of the three years in the period ended September 30, 2020, and the related notes (collectively referred to as the “consolidated financial statements”). In our opinion, the consolidated financial statements present fairly, in all material respects, the financial position of the Company at September 30, 2020 and 2019, and the results of its operations and its cash flows for each of the three years in the period ended September 30, 2020, in conformity with U.S. generally accepted accounting principles.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September 30, 2020, based on criteria established in Internal Control-Integrated Framework issued by the Committee of Sponsoring Organizations of the Treadway Commission (2013 framework) and our report dated December 7, 2020 expressed an unqualified opinion thereon.</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Adoption of Accounting Standards Update (ASU) No. 2016-02 Leases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As discussed in Notes 2 and 9 to the consolidated financial statements, the Company changed its method of accounting for leases in 2020 due to the adoption of ASU No. 2016-02, Leases.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276" w:before="0" w:after="0"/>
        <w:ind w:left="0" w:right="0" w:firstLine="576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2002</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IES Holdings, Inc. and subsidiaries </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IES Holdings, Inc. and subsidiaries’ internal control over financial reporting as of September 30, 2020, based on criteria established in Internal Control—Integrated Framework issued by the Committee of Sponsoring Organizations of the Treadway Commission (2013 framework), (the COSO criteria). In our opinion, IES Holdings, Inc. and subsidiaries (the Company) maintained, in all material respects, effective internal control over ﬁnancial reporting as of September 30, 2020, based on the COSO criteria.</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September 30, 2020 and 2019, the related consolidated statements of comprehensive income (loss), stockholders’ equity and cash flows for each of the three years in the period ended September 30, 2020, and the related notes and our report dated December 7, 2020 expressed an unqualified opinion thereon.</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before="0" w:after="0"/>
        <w:jc w:val="both"/>
        <w:rPr/>
      </w:pPr>
      <w:r>
        <w:rPr/>
      </w:r>
    </w:p>
    <w:p>
      <w:pPr>
        <w:pStyle w:val="TextBody"/>
        <w:spacing w:lineRule="auto" w:line="276" w:before="0" w:after="0"/>
        <w:ind w:left="0" w:right="0" w:firstLine="576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4"/>
        <w:gridCol w:w="109"/>
        <w:gridCol w:w="109"/>
        <w:gridCol w:w="190"/>
        <w:gridCol w:w="190"/>
        <w:gridCol w:w="190"/>
        <w:gridCol w:w="691"/>
        <w:gridCol w:w="691"/>
        <w:gridCol w:w="691"/>
        <w:gridCol w:w="1629"/>
        <w:gridCol w:w="1608"/>
        <w:gridCol w:w="1648"/>
        <w:gridCol w:w="211"/>
        <w:gridCol w:w="826"/>
        <w:gridCol w:w="109"/>
        <w:gridCol w:w="109"/>
        <w:gridCol w:w="109"/>
        <w:gridCol w:w="109"/>
        <w:gridCol w:w="211"/>
        <w:gridCol w:w="826"/>
        <w:gridCol w:w="1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7870"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net of allowance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186,279 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0"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0"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0"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0"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10,000,000 shares authorized, none issued</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outstanding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100,000,000 shares authorized; 22,049,529</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20,762,395 and 21,165,011 outstanding,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1,287,134 and 884,518 shares,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192,911 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0"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0"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445,258 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rPr/>
      </w:pPr>
      <w:r>
        <w:rPr/>
      </w:r>
    </w:p>
    <w:tbl>
      <w:tblPr>
        <w:tblW w:w="9714" w:type="dxa"/>
        <w:jc w:val="center"/>
        <w:tblInd w:w="0" w:type="dxa"/>
        <w:tblCellMar>
          <w:top w:w="28" w:type="dxa"/>
          <w:left w:w="28" w:type="dxa"/>
          <w:bottom w:w="28" w:type="dxa"/>
          <w:right w:w="28" w:type="dxa"/>
        </w:tblCellMar>
      </w:tblPr>
      <w:tblGrid>
        <w:gridCol w:w="593"/>
        <w:gridCol w:w="520"/>
        <w:gridCol w:w="520"/>
        <w:gridCol w:w="600"/>
        <w:gridCol w:w="600"/>
        <w:gridCol w:w="600"/>
        <w:gridCol w:w="600"/>
        <w:gridCol w:w="600"/>
        <w:gridCol w:w="600"/>
        <w:gridCol w:w="211"/>
        <w:gridCol w:w="976"/>
        <w:gridCol w:w="109"/>
        <w:gridCol w:w="109"/>
        <w:gridCol w:w="109"/>
        <w:gridCol w:w="109"/>
        <w:gridCol w:w="211"/>
        <w:gridCol w:w="976"/>
        <w:gridCol w:w="109"/>
        <w:gridCol w:w="109"/>
        <w:gridCol w:w="109"/>
        <w:gridCol w:w="109"/>
        <w:gridCol w:w="219"/>
        <w:gridCol w:w="862"/>
        <w:gridCol w:w="154"/>
      </w:tblGrid>
      <w:tr>
        <w:trPr/>
        <w:tc>
          <w:tcPr>
            <w:tcW w:w="593"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523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IES Holdings,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IES Holdings, Inc.:</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3"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(loss) per share: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21,082,012 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21,196,388 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rPr/>
      </w:pPr>
      <w:r>
        <w:rPr/>
      </w:r>
    </w:p>
    <w:tbl>
      <w:tblPr>
        <w:tblW w:w="10695" w:type="dxa"/>
        <w:jc w:val="center"/>
        <w:tblInd w:w="0" w:type="dxa"/>
        <w:tblCellMar>
          <w:top w:w="28" w:type="dxa"/>
          <w:left w:w="28" w:type="dxa"/>
          <w:bottom w:w="28" w:type="dxa"/>
          <w:right w:w="28" w:type="dxa"/>
        </w:tblCellMar>
      </w:tblPr>
      <w:tblGrid>
        <w:gridCol w:w="175"/>
        <w:gridCol w:w="154"/>
        <w:gridCol w:w="154"/>
        <w:gridCol w:w="390"/>
        <w:gridCol w:w="390"/>
        <w:gridCol w:w="391"/>
        <w:gridCol w:w="480"/>
        <w:gridCol w:w="481"/>
        <w:gridCol w:w="186"/>
        <w:gridCol w:w="109"/>
        <w:gridCol w:w="109"/>
        <w:gridCol w:w="109"/>
        <w:gridCol w:w="196"/>
        <w:gridCol w:w="421"/>
        <w:gridCol w:w="109"/>
        <w:gridCol w:w="109"/>
        <w:gridCol w:w="109"/>
        <w:gridCol w:w="109"/>
        <w:gridCol w:w="442"/>
        <w:gridCol w:w="444"/>
        <w:gridCol w:w="18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5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2017</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(712,554)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&amp; performance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(133,459)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2018</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(843,993)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&amp; performance stock</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501,797 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(564,822)</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new accounting standard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2019</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(884,518)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&amp; performance stock</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120,197 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(528,563)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2020</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(1,287,134)</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2433"/>
        <w:gridCol w:w="2101"/>
        <w:gridCol w:w="2112"/>
        <w:gridCol w:w="211"/>
        <w:gridCol w:w="721"/>
        <w:gridCol w:w="109"/>
        <w:gridCol w:w="109"/>
        <w:gridCol w:w="109"/>
        <w:gridCol w:w="109"/>
        <w:gridCol w:w="211"/>
        <w:gridCol w:w="721"/>
        <w:gridCol w:w="109"/>
        <w:gridCol w:w="109"/>
        <w:gridCol w:w="109"/>
        <w:gridCol w:w="109"/>
        <w:gridCol w:w="211"/>
        <w:gridCol w:w="790"/>
        <w:gridCol w:w="156"/>
      </w:tblGrid>
      <w:tr>
        <w:trPr/>
        <w:tc>
          <w:tcPr>
            <w:tcW w:w="2433"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(paid) in conjunction with business combinations or dispositions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Thousands Except Share Amounts)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IES Holdings, Inc</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is a holding company that owns and manages operating subsidiaries that design and install integrated electrical and technology systems and provide infrastructure products and services across a variety of end-markets, including data centers, residential housing and commercial and industrial facilities. Our operations are currently organized into four principal business segments, based upon the nature of our current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 xml:space="preserve">Regional provider of electrical installation services for single-family housing and multi-family apartment complexes.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to be used in data centers and other industrial applications.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words “IES”, the “Company”, “we”, “our”, and “us” refer to IES Holdings, Inc. and, except as otherwise specified herein, to our consolidated subsidiaries.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IES Holdings, Inc. and its consolidated subsidiaries. All significant intercompany accounts and transactions have been eliminated in consolidation.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2020, we recorded an impairment charge of $6,976 to Goodwill related to our Commercial &amp; industrial segment. Please refer to Note 17, “Goodwill and Intangible Assets” for further discussion. During the fiscal years ended September 30, 2019 and 2018, the Company recorded no asset impairment charges.</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46685"/>
                <wp:effectExtent l="0" t="0" r="0" b="0"/>
                <wp:wrapNone/>
                <wp:docPr id="50"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Inventories consist of raw materials, work in process, finished goods, and parts and supplies held for use in the ordinary course of business. Inventory is valued at the lower of cost or net realizable value generally using the historical average cost or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definite lives are amortized over their estimated useful lives based on expected economic benefit with no residual value.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spacing w:lineRule="auto" w:line="288" w:before="0" w:after="0"/>
        <w:rPr/>
      </w:pPr>
      <w:r>
        <w:rPr>
          <w:rFonts w:ascii="Times New Roman;sans-serif" w:hAnsi="Times New Roman;sans-serif"/>
          <w:b w:val="false"/>
          <w:color w:val="000000"/>
          <w:sz w:val="20"/>
        </w:rPr>
        <w:t>Debt issuance costs are included as a reduction of our debt outstanding, or alternately classified within other non-current assets if we have no borrowings drawn on our credit facility at the balance sheet date, and are amortized to interest expense over the scheduled maturity of the debt. Amortization expense of debt issuance costs was $152, $318 and $288, respectively, for the years ended 2020, 2019 and 2018. Remaining unamortized capitalized debt issuance costs were $</w:t>
      </w:r>
      <w:r>
        <w:rPr>
          <w:rFonts w:ascii="Times New Roman;sans-serif" w:hAnsi="Times New Roman;sans-serif"/>
          <w:b w:val="false"/>
          <w:color w:val="000000"/>
          <w:sz w:val="18"/>
        </w:rPr>
        <w:t>736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18"/>
        </w:rPr>
        <w:t>$782</w:t>
      </w:r>
      <w:r>
        <w:rPr>
          <w:color w:val="000000"/>
        </w:rPr>
        <w:t xml:space="preserve"> </w:t>
      </w:r>
      <w:r>
        <w:rPr>
          <w:rFonts w:ascii="Times New Roman;sans-serif" w:hAnsi="Times New Roman;sans-serif"/>
          <w:b w:val="false"/>
          <w:color w:val="000000"/>
          <w:sz w:val="20"/>
        </w:rPr>
        <w:t>at September 30, 2020, and 2019, respectively.</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is generally recognized from a contract with a customer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project contracts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conditions, estimated contract costs and profitability and final contract settlements can result in change orders under which the customer agrees to pay additional contract price. Revisions can also result in claims we might make against the customer to recover additional costs that have not been resolved through change orders with the customer. Except in certain circumstances, we do not recognize revenue or margin based on change orders or claims until they have been agreed upon with the customer. The amount of revenue associated with unapproved change orders and claims was immaterial for the years ended September 30, 2020, 2019 and 2018. Provisions for total estimated losses on uncompleted contracts are made in the period in which such losses are determined. The balances billed but not paid by customers pursuant to retainage provisions in project contracts are typically due upon completion of the contracts and acceptance by the customer. Based on our experience, the retention balance at each balance sheet date will be collected within the subsequent fiscal year.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divisions in the Residential and Infrastructure Solutions segments use the completed contract method of accounting because the duration of their contracts is short in nature. We recognize revenue on completed contracts when the project is complete and billable to the customer. Provisions for estimated losses on these contracts are recorded in the period such losses are determined.</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Allowance for Doubtful Accounts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record accounts receivable for all amounts billed and not collected. Generally, we do not charge interest on outstanding accounts receivable; however, from time to time we may believe it necessary to charge interest on a case by case basis. Additionally, we provide an allowance for doubtful accounts for specific accounts receivable where collection is considered doubtful as well as for general unknown collection issues based on historical trends. Accounts receivable not determined to be collectible are written off as deemed necessary in the period such determination is made. As is common in our industry, some of these receivables are in litigation or require us to exercise our contractual lien rights in order to collect. Our allowance for doubtful accounts at September 30, 2020 and 2019 was $2,613 and $1,184, respectively. We believe that our allowance for doubtful accounts is sufficient to cover uncollectible receivables as of September 30, 2020.</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Comprehensive Income (Loss)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includes all changes in equity during a period except those resulting from investments by and distributions to stockholders.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follow the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pStyle w:val="TextBody"/>
        <w:spacing w:lineRule="auto" w:line="288" w:before="0" w:after="0"/>
        <w:rPr>
          <w:color w:val="000000"/>
        </w:rPr>
      </w:pPr>
      <w:r>
        <w:rPr>
          <w:color w:val="000000"/>
        </w:rPr>
        <w:t>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evaluate valuation allowances established for deferred tax assets for which future realization is uncertain. We perform this evaluation on a quarterly basis. The estimation of required valuation allowances includes estimates of future taxable income. In assessing the realizability of deferred tax assets, we must consider whether it is more likely than not some portion, or all, of the deferred tax assets will not be realized. We consider all available evidence, both positive and negative, in determining whether a valuation allowance is required. At September 30, 2020, we concluded, based upon the assessment of positive and negative evidence, that it is more likely than not that the Company will generate sufficient taxable income within the applicable net operating loss ("NOL") carryforward periods to realize its net deferred tax assets of $33,803. We considered the scheduled reversal of deferred tax liabilities, projected future taxable income and tax planning strategies in making this assessment. If actual future taxable income is different from these estimates, our results could be affected.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Management</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Each year, we compile our historical data pertaining to the insurance experiences and actuarially develop the ultimate loss associated with our insurance programs other than pollution coverage for our Infrastructure Solutions segment. We believe that the actuarial valuation provides the best estimate of the ultimate losses to be expected under these programs.</w:t>
      </w:r>
    </w:p>
    <w:p>
      <w:pPr>
        <w:pStyle w:val="TextBody"/>
        <w:spacing w:lineRule="auto" w:line="288" w:before="140" w:after="283"/>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46685"/>
                <wp:effectExtent l="0" t="0" r="0" b="0"/>
                <wp:wrapNone/>
                <wp:docPr id="52"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undiscounted ultimate losses of our workers’ compensation, auto and general liability insurance reserves at September 30, 2020, and 2019, was $3,886 and $4,975, respectively. Based on historical payment patterns, we expect payments of undiscounted ultimate losses to be made as follows:</w:t>
      </w:r>
    </w:p>
    <w:tbl>
      <w:tblPr>
        <w:tblW w:w="3547" w:type="dxa"/>
        <w:jc w:val="center"/>
        <w:tblInd w:w="0" w:type="dxa"/>
        <w:tblCellMar>
          <w:top w:w="28" w:type="dxa"/>
          <w:left w:w="28" w:type="dxa"/>
          <w:bottom w:w="28" w:type="dxa"/>
          <w:right w:w="28" w:type="dxa"/>
        </w:tblCellMar>
      </w:tblPr>
      <w:tblGrid>
        <w:gridCol w:w="420"/>
        <w:gridCol w:w="371"/>
        <w:gridCol w:w="371"/>
        <w:gridCol w:w="371"/>
        <w:gridCol w:w="371"/>
        <w:gridCol w:w="373"/>
        <w:gridCol w:w="109"/>
        <w:gridCol w:w="109"/>
        <w:gridCol w:w="109"/>
        <w:gridCol w:w="109"/>
        <w:gridCol w:w="109"/>
        <w:gridCol w:w="109"/>
        <w:gridCol w:w="180"/>
        <w:gridCol w:w="180"/>
        <w:gridCol w:w="256"/>
      </w:tblGrid>
      <w:tr>
        <w:trPr/>
        <w:tc>
          <w:tcPr>
            <w:tcW w:w="42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27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r>
      <w:tr>
        <w:trPr/>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r>
      <w:tr>
        <w:trPr/>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r>
      <w:tr>
        <w:trPr/>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r>
      <w:tr>
        <w:trPr/>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r>
      <w:tr>
        <w:trPr/>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r>
      <w:tr>
        <w:trPr/>
        <w:tc>
          <w:tcPr>
            <w:tcW w:w="227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elect to discount the ultimate losses above to present value using an approximate risk-free rate over the average life of our insurance claims. For the years ended September 30, 2020 and 2019, the discount rate used was 0.3 percent and 1.6 percent, respectively. The present value of all insurance reserves for the workers’ compensation, auto and general liability recorded at September 30, 2020, and 2019 was $3,832 and $4,702, respectively. Our undiscounted reserves for employee group health claims at September 30, 2020, and 2019 were $2,422 and $1,981, respectively, and are anticipated to be resolved within the year ended September 30, 2021.</w:t>
      </w:r>
    </w:p>
    <w:p>
      <w:pPr>
        <w:pStyle w:val="TextBody"/>
        <w:spacing w:lineRule="auto" w:line="288" w:before="140" w:after="283"/>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had letters of credit totaling $5,464 outstanding at September 30, 2020 to collateralize certain of our high deductible insurance obligations.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Realization of Long-Lived Assets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evaluate the recoverability of property and equipment and other long-lived assets as facts and circumstances indicate that any of those assets might be impaired. If an evaluation is required for our assets we plan to hold and use, the estimated future undiscounted cash flows associated with the asset are compared to the asset’s carrying amount to determine if an impairment of such property has occurred. The effect of any impairment would be to expense the difference between the fair value of such property and its carrying value. Estimated fair values are determined based on expected future cash flows discounted at a rate we believe incorporates the time value of money, the expectations about future cash flows and an appropriate risk premium.</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2020, we performed an asset impairment test for all long-lived assets within our Commercial &amp; Industrial segment and determined no impairment charge was necessary. For the years ended September 30, 2019 and 2018, no indicators of impairments were identified, and no impairment charges were recorded.</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Concentration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us to concentrations of credit risk, consist principally of cash deposits and accounts receivable. Through delayed payment terms, we at times grant credit, usually without collateral, to our customers, who are generally large public companies, contractors and homebuilders throughout the United States. Consequently, we are subject to potential credit risk related to changes in business and economic factors throughout the United States, specifically, within the construction, homebuilding and mission critical facility markets. However, we are entitled to payment for work performed and generally have certain lien rights in that work. Further, management believes that its contract acceptance, billing and collection policies are adequate to manage potential credit risk. We routinely maintain cash balances in financial institutions in excess of federally insured limits. We periodically assess the financial condition of these institutions where these funds are held and believe the credit risk is minimal. We maintain the majority of our cash and cash equivalents in money market mutual funds. There can be no assurance, however, that we will not be adversely affected by credit risks we face.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 single customer accounted for more than 10% of our consolidated revenues for the years ended September 30, 2020, 2019 and 2018.</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accounts receivable, accounts payable, and a loan agreement. We believe that the carrying value of financial instruments approximates their fair value due to their short-term nature. The carrying value of our debt approximates fair value, as debt incurs interest at a variable rate.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46685"/>
                <wp:effectExtent l="0" t="0" r="0" b="0"/>
                <wp:wrapNone/>
                <wp:docPr id="53"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is recognized on a straight-line basis over the requisite service period, which is generally the vesting period.</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Compensation Plans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rabbi trust to fund certain deferred compensation plans. The securities held by the trust are classified as trading securities. The investments are recorded at fair value and are classified as other non-current assets in the accompanying Consolidated Balance Sheets as of September 30, 2020, and 2019. The changes in fair values are recorded as a component of other income (expense) in the Consolidated Statements of Comprehensive Income (Loss).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corresponding deferred compensation liability is included in other non-current liabilities on the Consolidated Balance Sheets and changes in this obligation are recognized as adjustments to compensation expense in the period in which they are determined.</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acquisitions of STR Mechanical, LLC (“STR Mechanical”) in fiscal 2016 and NEXT Electric, LLC (“NEXT Electric”) in fiscal 2017, we acquired 80 percent interests in these entities, and the remaining 20 percent was retained by the third party sellers. The interests retained by those third party sellers are identified on our Consolidated Balance Sheets as noncontrolling interest, classified outside of permanent equity. Under the terms of the operating agreements governing these entities, after five years from the dates of the acquisitions, we may elect to purchase, or the third party sellers may require us to purchase, part or all of the remaining 20 percent interests in these entities. The purchase price is variable, based on a multiple of earnings as defined in the operating agreements. Therefore, this noncontrolling interest is carried at the greater of the balance determined under Accounting Standards Codification Topic 810 ("ASC 810") and the redemption amounts assuming the noncontrolling interests were redeemable at the balance sheet date. If all of these interests had been redeemable at September 30, 2020, the redemption amount would have been $1,582. For the year ended September 30, 2020, we recorded a decrease to retained earnings of $194 to increase the carrying amount of noncontrolling interest in NEXT Electric to its redemption amount had it been redeemable at September 30, 2020. For the year ended September 30, 2018, we recorded an increase to retained earnings of $44 to offset an increase to noncontrolling interest recorded in fiscal 2017, decreasing the carrying amount of the noncontrolling interest in STR to the balance determined under ASC 810, as if it had been redeemable at September 30, 2018, as the redemption amount would have been less than the carrying amount.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commencement of the lease, we recognize a lease liability and corresponding right-of 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We have elected to combine the lease and nonlease components in the recognition of our lease liabilities across all classes of underlying assets. ROU assets represent our right to control the use of the leased asset during the lease and are recognized in an amount equal to the lease liability with adjustments for prepaid or accrued rent, lease incentives or unamortized initial direct costs. Costs associated with operating lease assets are recognized on a straight-line basis over the term of the lease. Our lease assets are tested for impairment in the same manner as long-lived assets used in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46685"/>
                <wp:effectExtent l="0" t="0" r="0" b="0"/>
                <wp:wrapNone/>
                <wp:docPr id="54"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although early adoption is permitted. We plan to adopt this standard on October 1, 2020, and do not expect the adoption to have a material effect on our Consolidated Financial Statements.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gains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 We plan to adopt this standard on October 1, 2020, and do not expect the adoption to have a material effect on our Consolidated Financial Statements.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Recently Adopted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Accounting Standard Update No. 2016-02, Leases (“ASU 2016-02”). Under ASU 2016-02, lessees need to recognize a ROU asset and a lease liability on their balance sheets for all leases, other than those that meet the definition of a short-term lease. For income statement purposes, leases must be classified as either operating or finance. Operating leases result in straight-line expense, while finance leases are accounted for similar to capital leases under the previous lease accounting standard. We adopted ASU 2016-02 on October 1, 2019 using a modified retrospective transition approach. Using the optional transition method allowed under Accounting Standard Update No. 2018-11, prior period amounts were not adjusted retrospectively and continue to be reported using the previous accounting standards in effect for the period presented. We elected to utilize all of the available practical expedients with the exception of the practical expedient permitting the use of hindsight when determining the lease term and assessing impairment of ROU assets. Therefore, we did not reassess whether any of our existing or expired contracts contained leases or the classification of or initial direct costs included in our existing or expired leases.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adoption of ASU 2016-02 resulted in the recognition of ROU assets of approximately $32,434 and operating lease liabilities of approximately $32,237 on our Consolidated Balance Sheets at the adoption date. The difference between the ROU assets and lease liabilities was primarily due to previously accrued rent expense relating to periods prior to October 1, 2019. The adoption did not have a significant impact on our Consolidated Statements of Comprehensive Income or Cash Flows. See Note 9, “Leases” for additional discussion of our lease accounting policies and expanded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GAAP because the measurement generally will occur earlier and will be fixed at the grant date. This update was adopted as of October 1, 2019 with no impact to our financial statements.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CONTROLLING SHAREHOLDER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Tontine Associates, L.L.C. ("Tontine Associates"), together with its affiliates (collectively, "Tontine") is the Company's controlling shareholder, owning approximately 56 percent of the Company’s outstanding common stock based on an amended Schedule 13D filed with the SEC by Tontine on October 9, 2020. Accordingly, Tontine has the ability to exercise significant control over our affairs, including the election of directors and most actions requiring the approval of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Should Tontine sell or otherwise dispose of all or a portion of its position in IES, a change in ownership of IES could occur. A change in ownership, as defined by Internal Revenue Code Section 382, could reduce the availability of the Company’s NOLs for federal and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46685"/>
                <wp:effectExtent l="0" t="0" r="0" b="0"/>
                <wp:wrapNone/>
                <wp:docPr id="55"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state income tax purposes. On November 8, 2016, the Company implemented a tax benefit protection plan (the “NOL Rights Plan”). The NOL Rights Plan is designed to deter an acquisition of the Company's stock in excess of a threshold amount that could trigger a change in ownership within the meaning of Internal Revenue Code Section 382. There can be no assurance that the NOL Rights Plan will be effective in deterring a change in ownership or protecting the NOLs. Furthermore, a change of control would trigger the change of control provisions in a number of our material agreements, including our credit agreement, bonding agreements with our sureties and our executive severance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46685"/>
                <wp:effectExtent l="0" t="0" r="0" b="0"/>
                <wp:wrapNone/>
                <wp:docPr id="56"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pStyle w:val="TextBody"/>
        <w:spacing w:lineRule="auto" w:line="288" w:before="0" w:after="0"/>
        <w:ind w:left="0" w:right="0" w:firstLine="720"/>
        <w:rPr>
          <w:color w:val="FF0000"/>
        </w:rPr>
      </w:pPr>
      <w:r>
        <w:rPr>
          <w:color w:val="FF0000"/>
        </w:rPr>
        <w:t> </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of Obtaining a Contract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certain of our operations, we incur commission costs related to entering into a contract that we only incurred because of that contract. When this occurs, we capitalize that cost and amortize it over the expected term of the contract. At September 30, 2020, we had capitalized commission costs of $94.</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generally do not incur significant incremental costs related to obtaining or fulfilling a contract prior to the start of a project. When significant pre</w:t>
        <w:noBreakHyphen/>
        <w:t xml:space="preserve">contract costs are incurred, they will be capitalized and amortized on a percentage of completion basis over the life of the contract. </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activity and contract type, as these categories reflect how the nature, amount, timing and uncertainty of our revenue and cash flows are affected by economic factors. Our consolidated 2020, 2019, and 2018 revenue was derived from the following activities. See details in the following tables:</w:t>
      </w:r>
    </w:p>
    <w:p>
      <w:pPr>
        <w:pStyle w:val="TextBody"/>
        <w:spacing w:before="0" w:after="0"/>
        <w:rPr/>
      </w:pPr>
      <w:r>
        <w:rPr/>
      </w:r>
    </w:p>
    <w:tbl>
      <w:tblPr>
        <w:tblW w:w="6941" w:type="dxa"/>
        <w:jc w:val="center"/>
        <w:tblInd w:w="0" w:type="dxa"/>
        <w:tblCellMar>
          <w:top w:w="28" w:type="dxa"/>
          <w:left w:w="28" w:type="dxa"/>
          <w:bottom w:w="28" w:type="dxa"/>
          <w:right w:w="28" w:type="dxa"/>
        </w:tblCellMar>
      </w:tblPr>
      <w:tblGrid>
        <w:gridCol w:w="906"/>
        <w:gridCol w:w="797"/>
        <w:gridCol w:w="801"/>
        <w:gridCol w:w="211"/>
        <w:gridCol w:w="976"/>
        <w:gridCol w:w="109"/>
        <w:gridCol w:w="109"/>
        <w:gridCol w:w="109"/>
        <w:gridCol w:w="109"/>
        <w:gridCol w:w="211"/>
        <w:gridCol w:w="976"/>
        <w:gridCol w:w="109"/>
        <w:gridCol w:w="109"/>
        <w:gridCol w:w="109"/>
        <w:gridCol w:w="109"/>
        <w:gridCol w:w="211"/>
        <w:gridCol w:w="826"/>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Single-family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and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Services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 Power Solutions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Infrastructure Solutions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46685"/>
                <wp:effectExtent l="0" t="0" r="0" b="0"/>
                <wp:wrapNone/>
                <wp:docPr id="57"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299"/>
        <w:gridCol w:w="263"/>
        <w:gridCol w:w="263"/>
        <w:gridCol w:w="263"/>
        <w:gridCol w:w="263"/>
        <w:gridCol w:w="270"/>
        <w:gridCol w:w="109"/>
        <w:gridCol w:w="109"/>
        <w:gridCol w:w="109"/>
        <w:gridCol w:w="276"/>
        <w:gridCol w:w="1081"/>
        <w:gridCol w:w="144"/>
        <w:gridCol w:w="109"/>
        <w:gridCol w:w="109"/>
        <w:gridCol w:w="109"/>
        <w:gridCol w:w="211"/>
        <w:gridCol w:w="826"/>
        <w:gridCol w:w="109"/>
        <w:gridCol w:w="109"/>
        <w:gridCol w:w="109"/>
        <w:gridCol w:w="109"/>
        <w:gridCol w:w="299"/>
        <w:gridCol w:w="1173"/>
        <w:gridCol w:w="156"/>
        <w:gridCol w:w="109"/>
        <w:gridCol w:w="109"/>
        <w:gridCol w:w="109"/>
        <w:gridCol w:w="306"/>
        <w:gridCol w:w="1201"/>
        <w:gridCol w:w="158"/>
        <w:gridCol w:w="109"/>
        <w:gridCol w:w="109"/>
        <w:gridCol w:w="109"/>
        <w:gridCol w:w="211"/>
        <w:gridCol w:w="976"/>
        <w:gridCol w:w="156"/>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2020</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309,567 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16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2019</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229,143 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2018</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 amounts which we have billed or have an unconditional right to bill our customers. As of September 30, 2020, Accounts receivable included $10,710 of unbilled receivables for which we have an unconditional right to bill.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Consolidated Balance Sheets under the caption “Billings in excess of costs and estimated earnings”.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years ended September 30, 2020, and 2019, we recognized revenue of $34,035 and $31,831 related to our contract liabilities at October 1, 2019 and 2018, respectively.</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did not have any impairment losses recognized on our receivables or contract assets for the years ended September 30, 2020, 2019, or 2018.</w:t>
      </w:r>
    </w:p>
    <w:p>
      <w:pPr>
        <w:pStyle w:val="TextBody"/>
        <w:spacing w:lineRule="auto" w:line="288" w:before="0" w:after="0"/>
        <w:rPr/>
      </w:pPr>
      <w:r>
        <w:rPr>
          <w:rFonts w:ascii="Times New Roman;sans-serif" w:hAnsi="Times New Roman;sans-serif"/>
          <w:b w:val="false"/>
          <w:i/>
          <w:color w:val="000000"/>
          <w:sz w:val="20"/>
        </w:rPr>
        <w:t>Remaining Performance Obligations</w:t>
      </w:r>
      <w:r>
        <w:rPr>
          <w:color w:val="000000"/>
        </w:rPr>
        <w:t xml:space="preserv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September 30, 2020, we had remaining performance obligations of $505,352. The Company expects to recognize revenue on approximately $438,253 of the remaining performance obligations over the next 12 months, with the remaining recognized thereafter.</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2020, net revenue recognized from our performance obligations satisfied in previous periods was not material.</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46685"/>
                <wp:effectExtent l="0" t="0" r="0" b="0"/>
                <wp:wrapNone/>
                <wp:docPr id="58"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7820" w:type="dxa"/>
        <w:jc w:val="center"/>
        <w:tblInd w:w="0" w:type="dxa"/>
        <w:tblCellMar>
          <w:top w:w="28" w:type="dxa"/>
          <w:left w:w="28" w:type="dxa"/>
          <w:bottom w:w="28" w:type="dxa"/>
          <w:right w:w="28" w:type="dxa"/>
        </w:tblCellMar>
      </w:tblPr>
      <w:tblGrid>
        <w:gridCol w:w="972"/>
        <w:gridCol w:w="852"/>
        <w:gridCol w:w="860"/>
        <w:gridCol w:w="298"/>
        <w:gridCol w:w="298"/>
        <w:gridCol w:w="298"/>
        <w:gridCol w:w="298"/>
        <w:gridCol w:w="298"/>
        <w:gridCol w:w="298"/>
        <w:gridCol w:w="298"/>
        <w:gridCol w:w="298"/>
        <w:gridCol w:w="298"/>
        <w:gridCol w:w="211"/>
        <w:gridCol w:w="721"/>
        <w:gridCol w:w="109"/>
        <w:gridCol w:w="109"/>
        <w:gridCol w:w="109"/>
        <w:gridCol w:w="109"/>
        <w:gridCol w:w="211"/>
        <w:gridCol w:w="721"/>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9"/>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9"/>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682"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systems</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Less-Accumulated depreciation</w:t>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$6,084, $5,607 and $4,759, respectively, for the years ended September 30, 2020, 2019 and 2018.</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PER SHARE INFORMATION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components of the basic and diluted earnings (loss) per share for the years ended September 30, 2020, 2019 and 2018: </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278"/>
        <w:gridCol w:w="1987"/>
        <w:gridCol w:w="2003"/>
        <w:gridCol w:w="244"/>
        <w:gridCol w:w="837"/>
        <w:gridCol w:w="109"/>
        <w:gridCol w:w="109"/>
        <w:gridCol w:w="109"/>
        <w:gridCol w:w="109"/>
        <w:gridCol w:w="244"/>
        <w:gridCol w:w="837"/>
        <w:gridCol w:w="109"/>
        <w:gridCol w:w="109"/>
        <w:gridCol w:w="109"/>
        <w:gridCol w:w="109"/>
        <w:gridCol w:w="240"/>
        <w:gridCol w:w="841"/>
        <w:gridCol w:w="156"/>
      </w:tblGrid>
      <w:tr>
        <w:trPr/>
        <w:tc>
          <w:tcPr>
            <w:tcW w:w="2278"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62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 of IES Holdings, Inc.</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noncontrolling interest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restricted shareholders of IES Holdings, Inc.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IES Holdings,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21,082,012 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21,196,388 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non-vested securities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21,196,388 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common shareholders of IES Holdings, Inc.:</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years ended September 30, 2020 and September 30, 2019, the average price of our common shares exceeded the exercise price of outstanding options; therefore, outstanding stock options were included in the computation of diluted earnings per share.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entity has a net loss, it is prohibited from including potential common shares in the computation of diluted per share amounts. Accordingly, we have utilized basic shares outstanding to calculate both basic and diluted loss per share for the year ended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46685"/>
                <wp:effectExtent l="0" t="0" r="0" b="0"/>
                <wp:wrapNone/>
                <wp:docPr id="59"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September 30, 2018. The number of potential anti-dilutive shares excluded from the calculation was 301,879 shares for the year ended September 30, 2018.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DETAIL OF CERTAIN BALANCE SHEET ACCOUNTS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Activity in our allowance for doubtful accounts on accounts receivable consists of the following:</w:t>
      </w:r>
    </w:p>
    <w:tbl>
      <w:tblPr>
        <w:tblW w:w="8006" w:type="dxa"/>
        <w:jc w:val="center"/>
        <w:tblInd w:w="0" w:type="dxa"/>
        <w:tblCellMar>
          <w:top w:w="28" w:type="dxa"/>
          <w:left w:w="28" w:type="dxa"/>
          <w:bottom w:w="28" w:type="dxa"/>
          <w:right w:w="28" w:type="dxa"/>
        </w:tblCellMar>
      </w:tblPr>
      <w:tblGrid>
        <w:gridCol w:w="2070"/>
        <w:gridCol w:w="1819"/>
        <w:gridCol w:w="1826"/>
        <w:gridCol w:w="215"/>
        <w:gridCol w:w="630"/>
        <w:gridCol w:w="111"/>
        <w:gridCol w:w="111"/>
        <w:gridCol w:w="111"/>
        <w:gridCol w:w="111"/>
        <w:gridCol w:w="215"/>
        <w:gridCol w:w="630"/>
        <w:gridCol w:w="157"/>
      </w:tblGrid>
      <w:tr>
        <w:trPr/>
        <w:tc>
          <w:tcPr>
            <w:tcW w:w="2070"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82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costs and expenses</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for uncollectible receivables written off, net of recoveries</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and accrued expenses consist of the following:</w:t>
      </w:r>
    </w:p>
    <w:tbl>
      <w:tblPr>
        <w:tblW w:w="5679" w:type="dxa"/>
        <w:jc w:val="center"/>
        <w:tblInd w:w="0" w:type="dxa"/>
        <w:tblCellMar>
          <w:top w:w="28" w:type="dxa"/>
          <w:left w:w="28" w:type="dxa"/>
          <w:bottom w:w="28" w:type="dxa"/>
          <w:right w:w="28" w:type="dxa"/>
        </w:tblCellMar>
      </w:tblPr>
      <w:tblGrid>
        <w:gridCol w:w="1092"/>
        <w:gridCol w:w="960"/>
        <w:gridCol w:w="963"/>
        <w:gridCol w:w="211"/>
        <w:gridCol w:w="826"/>
        <w:gridCol w:w="109"/>
        <w:gridCol w:w="109"/>
        <w:gridCol w:w="109"/>
        <w:gridCol w:w="109"/>
        <w:gridCol w:w="211"/>
        <w:gridCol w:w="826"/>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42,828</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w:t>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18,122</w:t>
            </w:r>
          </w:p>
        </w:tc>
      </w:tr>
      <w:tr>
        <w:trPr/>
        <w:tc>
          <w:tcPr>
            <w:tcW w:w="3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non-current assets are comprised of the following:</w:t>
      </w:r>
    </w:p>
    <w:tbl>
      <w:tblPr>
        <w:tblW w:w="5140" w:type="dxa"/>
        <w:jc w:val="center"/>
        <w:tblInd w:w="0" w:type="dxa"/>
        <w:tblCellMar>
          <w:top w:w="28" w:type="dxa"/>
          <w:left w:w="28" w:type="dxa"/>
          <w:bottom w:w="28" w:type="dxa"/>
          <w:right w:w="28" w:type="dxa"/>
        </w:tblCellMar>
      </w:tblPr>
      <w:tblGrid>
        <w:gridCol w:w="1030"/>
        <w:gridCol w:w="906"/>
        <w:gridCol w:w="913"/>
        <w:gridCol w:w="215"/>
        <w:gridCol w:w="630"/>
        <w:gridCol w:w="111"/>
        <w:gridCol w:w="111"/>
        <w:gridCol w:w="111"/>
        <w:gridCol w:w="111"/>
        <w:gridCol w:w="215"/>
        <w:gridCol w:w="630"/>
        <w:gridCol w:w="157"/>
      </w:tblGrid>
      <w:tr>
        <w:trPr/>
        <w:tc>
          <w:tcPr>
            <w:tcW w:w="103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equity investments</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consists of the following:</w:t>
      </w:r>
    </w:p>
    <w:tbl>
      <w:tblPr>
        <w:tblW w:w="5051" w:type="dxa"/>
        <w:jc w:val="left"/>
        <w:tblInd w:w="0" w:type="dxa"/>
        <w:tblCellMar>
          <w:top w:w="28" w:type="dxa"/>
          <w:left w:w="28" w:type="dxa"/>
          <w:bottom w:w="28" w:type="dxa"/>
          <w:right w:w="28" w:type="dxa"/>
        </w:tblCellMar>
      </w:tblPr>
      <w:tblGrid>
        <w:gridCol w:w="1000"/>
        <w:gridCol w:w="877"/>
        <w:gridCol w:w="883"/>
        <w:gridCol w:w="249"/>
        <w:gridCol w:w="550"/>
        <w:gridCol w:w="128"/>
        <w:gridCol w:w="128"/>
        <w:gridCol w:w="128"/>
        <w:gridCol w:w="128"/>
        <w:gridCol w:w="249"/>
        <w:gridCol w:w="550"/>
        <w:gridCol w:w="181"/>
      </w:tblGrid>
      <w:tr>
        <w:trPr/>
        <w:tc>
          <w:tcPr>
            <w:tcW w:w="10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(long-term debt)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Debt issuance costs </w:t>
            </w:r>
            <w:r>
              <w:rPr>
                <w:rFonts w:ascii="Times New Roman;sans-serif" w:hAnsi="Times New Roman;sans-serif"/>
                <w:b w:val="false"/>
                <w:color w:val="000000"/>
                <w:sz w:val="13"/>
              </w:rPr>
              <w:t>(1)</w:t>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At September 30, 2020 and 2019, the remaining unamortized debt issuance costs of $736 and $782, respectively, were reclassified to Other non-current assets on the Consolidated Balance Sheets.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2020, we had outstanding borrowings of $12, $5,664 in outstanding letters of credit and $94,324 of availability under our revolving credit facility with Wells Fargo Bank, N.A. ("Wells Fargo"). All amounts outstanding under our revolving credit facility are due and payable in September 2024, upon expiration of our revolving credit facility, and all amounts described as available are available without triggering our financial covenant under the Amended Credit Agreement (as defined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interest rate on our outstanding borrowings under our revolving credit facility was 1.48% at September 30, 2020. For the years ended September 30, 2020, 2019 and 2018, we incurred interest expense of $777, $1,857 and $1,946, respectively.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46685"/>
                <wp:effectExtent l="0" t="0" r="0" b="0"/>
                <wp:wrapNone/>
                <wp:docPr id="60"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$100,000 revolving credit facility that matures on September 30, 2024 pursuant to a credit agreement with Wells Fargo (as amended, the “Amended Credit Agreement”).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Terms of the Amended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Credit Agreement contains customary affirmative, negative and financial covenants, as well as customary events of default.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2020, we were in compliance with the financial covenants under the Amended Credit Agreement, requiring that we maintain:</w:t>
      </w:r>
    </w:p>
    <w:p>
      <w:pPr>
        <w:pStyle w:val="TextBody"/>
        <w:spacing w:before="0" w:after="0"/>
        <w:jc w:val="both"/>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a Fixed Charge Coverage Ratio (as defined in the Amended Credit Agreement), measured quarterly on a trailing four-quarter basis at the end of each quarter, of at least 1.1 to 1.0; and</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minimum Liquidity (as defined in the Amended Credit Agreement) of at least twenty percent (20%) of the Maximum Revolver Amount (as defined in the Amended Credit Agreement), or $20,000; with, for purposes of this covenant, at least fifty percent (50%) of our Liquidity comprised of Excess Availability (as defined in the Amended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2020, our Liquidity was $147,902 and our Excess Availability was $94,324 (or greater than 50% of minimum Liquidity), our Fixed Charge Coverage Ratio was 8.3:1.0.</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(as defined in the Amended Credit Agreement) consisting of certain Pass-Through Tax Liabilities (as defined in the Amended Credit Agreement),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we make an acquisition consented to by Wells Fargo, the components of the Fixed Charge Coverage Ratio will be calculated for such fiscal period after giving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 xml:space="preserve">effect to the acquisition assuming that such transaction has occurred on the first day of such period (including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adjustments arising out of events which are directly attributable to such acquisition, are factually supportable, and are expected to have a continuing impact, in each case to be reasonably agreed to by Wells Fargo).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and increases in any change in LIFO reserves for such period, determined on a consolidated basis in accordance with GAAP.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in the future our Liquidity falls below $20,000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any indebtedness we may take on becoming immediately due and payable.</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Current operating and finance liabilities of $11,056 and $418, respectively, were included in "Accounts payable and accrued expenses" in the Consolidated Balance Sheets as of September 30, 2020. Non-current finance lease liabilities and finance lease right-of-use assets were included in the "Other non-current liabilities" and "Other non-current assets", respectively, in the Consolidated Balance Sheets.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46685"/>
                <wp:effectExtent l="0" t="0" r="0" b="0"/>
                <wp:wrapNone/>
                <wp:docPr id="61" name="Frame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maturities of our lease liabilities as of September 30, 2020, are as follows:</w:t>
      </w:r>
    </w:p>
    <w:tbl>
      <w:tblPr>
        <w:tblW w:w="7560" w:type="dxa"/>
        <w:jc w:val="center"/>
        <w:tblInd w:w="0" w:type="dxa"/>
        <w:tblCellMar>
          <w:top w:w="28" w:type="dxa"/>
          <w:left w:w="28" w:type="dxa"/>
          <w:bottom w:w="28" w:type="dxa"/>
          <w:right w:w="28" w:type="dxa"/>
        </w:tblCellMar>
      </w:tblPr>
      <w:tblGrid>
        <w:gridCol w:w="1079"/>
        <w:gridCol w:w="946"/>
        <w:gridCol w:w="960"/>
        <w:gridCol w:w="304"/>
        <w:gridCol w:w="1039"/>
        <w:gridCol w:w="157"/>
        <w:gridCol w:w="109"/>
        <w:gridCol w:w="109"/>
        <w:gridCol w:w="109"/>
        <w:gridCol w:w="301"/>
        <w:gridCol w:w="879"/>
        <w:gridCol w:w="155"/>
        <w:gridCol w:w="109"/>
        <w:gridCol w:w="109"/>
        <w:gridCol w:w="109"/>
        <w:gridCol w:w="211"/>
        <w:gridCol w:w="721"/>
        <w:gridCol w:w="154"/>
      </w:tblGrid>
      <w:tr>
        <w:trPr/>
        <w:tc>
          <w:tcPr>
            <w:tcW w:w="107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future undiscounted cash flows related to lease agreements committed to but not yet commenced as of September 30, 2020, is $3,946.</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cost recognized in our Consolidated Statements of Comprehensive Income is summarized as follows:</w:t>
      </w:r>
    </w:p>
    <w:tbl>
      <w:tblPr>
        <w:tblW w:w="4356" w:type="dxa"/>
        <w:jc w:val="center"/>
        <w:tblInd w:w="0" w:type="dxa"/>
        <w:tblCellMar>
          <w:top w:w="28" w:type="dxa"/>
          <w:left w:w="28" w:type="dxa"/>
          <w:bottom w:w="28" w:type="dxa"/>
          <w:right w:w="28" w:type="dxa"/>
        </w:tblCellMar>
      </w:tblPr>
      <w:tblGrid>
        <w:gridCol w:w="857"/>
        <w:gridCol w:w="753"/>
        <w:gridCol w:w="759"/>
        <w:gridCol w:w="109"/>
        <w:gridCol w:w="109"/>
        <w:gridCol w:w="343"/>
        <w:gridCol w:w="1176"/>
        <w:gridCol w:w="250"/>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information about lease amounts recognized in our Consolidated Financial Statements is summarized as follows:</w:t>
      </w:r>
    </w:p>
    <w:p>
      <w:pPr>
        <w:pStyle w:val="TextBody"/>
        <w:spacing w:before="0" w:after="0"/>
        <w:rPr/>
      </w:pPr>
      <w:r>
        <w:rPr/>
      </w:r>
    </w:p>
    <w:tbl>
      <w:tblPr>
        <w:tblW w:w="8181" w:type="dxa"/>
        <w:jc w:val="center"/>
        <w:tblInd w:w="0" w:type="dxa"/>
        <w:tblCellMar>
          <w:top w:w="28" w:type="dxa"/>
          <w:left w:w="28" w:type="dxa"/>
          <w:bottom w:w="28" w:type="dxa"/>
          <w:right w:w="28" w:type="dxa"/>
        </w:tblCellMar>
      </w:tblPr>
      <w:tblGrid>
        <w:gridCol w:w="2242"/>
        <w:gridCol w:w="1969"/>
        <w:gridCol w:w="1983"/>
        <w:gridCol w:w="109"/>
        <w:gridCol w:w="109"/>
        <w:gridCol w:w="343"/>
        <w:gridCol w:w="1176"/>
        <w:gridCol w:w="250"/>
      </w:tblGrid>
      <w:tr>
        <w:trPr/>
        <w:tc>
          <w:tcPr>
            <w:tcW w:w="2242"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6553" w:type="dxa"/>
        <w:jc w:val="center"/>
        <w:tblInd w:w="0" w:type="dxa"/>
        <w:tblCellMar>
          <w:top w:w="28" w:type="dxa"/>
          <w:left w:w="28" w:type="dxa"/>
          <w:bottom w:w="28" w:type="dxa"/>
          <w:right w:w="28" w:type="dxa"/>
        </w:tblCellMar>
      </w:tblPr>
      <w:tblGrid>
        <w:gridCol w:w="1734"/>
        <w:gridCol w:w="1522"/>
        <w:gridCol w:w="1528"/>
        <w:gridCol w:w="360"/>
        <w:gridCol w:w="360"/>
        <w:gridCol w:w="1049"/>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leases with certain related parties which are included below, see Note 13, “Related-Party Transactions.”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expense was $14,073, $10,553 and $7,680 for the years ended September 30, 2020, 2019 and 2018, respectively. </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46685"/>
                <wp:effectExtent l="0" t="0" r="0" b="0"/>
                <wp:wrapNone/>
                <wp:docPr id="62" name="Frame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Federal and state income tax provisions are as follows:</w:t>
      </w:r>
    </w:p>
    <w:tbl>
      <w:tblPr>
        <w:tblW w:w="6446" w:type="dxa"/>
        <w:jc w:val="left"/>
        <w:tblInd w:w="0" w:type="dxa"/>
        <w:tblCellMar>
          <w:top w:w="28" w:type="dxa"/>
          <w:left w:w="28" w:type="dxa"/>
          <w:bottom w:w="28" w:type="dxa"/>
          <w:right w:w="28" w:type="dxa"/>
        </w:tblCellMar>
      </w:tblPr>
      <w:tblGrid>
        <w:gridCol w:w="1032"/>
        <w:gridCol w:w="854"/>
        <w:gridCol w:w="873"/>
        <w:gridCol w:w="211"/>
        <w:gridCol w:w="616"/>
        <w:gridCol w:w="109"/>
        <w:gridCol w:w="109"/>
        <w:gridCol w:w="109"/>
        <w:gridCol w:w="109"/>
        <w:gridCol w:w="211"/>
        <w:gridCol w:w="691"/>
        <w:gridCol w:w="109"/>
        <w:gridCol w:w="109"/>
        <w:gridCol w:w="109"/>
        <w:gridCol w:w="109"/>
        <w:gridCol w:w="211"/>
        <w:gridCol w:w="721"/>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Actual income tax expense differs from income tax expense computed by applying the U.S. federal statutory corporate rate to income (loss) before income taxes as follows:</w:t>
      </w:r>
    </w:p>
    <w:tbl>
      <w:tblPr>
        <w:tblW w:w="7377" w:type="dxa"/>
        <w:jc w:val="left"/>
        <w:tblInd w:w="0" w:type="dxa"/>
        <w:tblCellMar>
          <w:top w:w="28" w:type="dxa"/>
          <w:left w:w="28" w:type="dxa"/>
          <w:bottom w:w="28" w:type="dxa"/>
          <w:right w:w="28" w:type="dxa"/>
        </w:tblCellMar>
      </w:tblPr>
      <w:tblGrid>
        <w:gridCol w:w="1324"/>
        <w:gridCol w:w="1166"/>
        <w:gridCol w:w="1170"/>
        <w:gridCol w:w="211"/>
        <w:gridCol w:w="721"/>
        <w:gridCol w:w="109"/>
        <w:gridCol w:w="109"/>
        <w:gridCol w:w="109"/>
        <w:gridCol w:w="109"/>
        <w:gridCol w:w="211"/>
        <w:gridCol w:w="616"/>
        <w:gridCol w:w="109"/>
        <w:gridCol w:w="109"/>
        <w:gridCol w:w="109"/>
        <w:gridCol w:w="109"/>
        <w:gridCol w:w="211"/>
        <w:gridCol w:w="721"/>
        <w:gridCol w:w="154"/>
      </w:tblGrid>
      <w:tr>
        <w:trPr/>
        <w:tc>
          <w:tcPr>
            <w:tcW w:w="132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Provision at the statutory rate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resulting from:</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deduction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change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resulting from:</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tax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 2 goodwill utilization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deferred true up</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6"/>
        </w:rPr>
        <w:t>(1) A statutory rate of 21% was used in 2020,</w:t>
      </w:r>
      <w:r>
        <w:rPr>
          <w:color w:val="000000"/>
        </w:rPr>
        <w:t xml:space="preserve"> </w:t>
      </w:r>
      <w:r>
        <w:rPr>
          <w:rFonts w:ascii="Times New Roman;sans-serif" w:hAnsi="Times New Roman;sans-serif"/>
          <w:b w:val="false"/>
          <w:color w:val="000000"/>
          <w:sz w:val="16"/>
        </w:rPr>
        <w:t>21% in 2019 and 24.53% in 2018. The lower effective tax rate used in 2020 and 2019 is related to the Tax Cuts and Jobs Act enacted on December 22, 2017.</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46685"/>
                <wp:effectExtent l="0" t="0" r="0" b="0"/>
                <wp:wrapNone/>
                <wp:docPr id="63" name="Frame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tbl>
      <w:tblPr>
        <w:tblW w:w="5484" w:type="dxa"/>
        <w:jc w:val="center"/>
        <w:tblInd w:w="0" w:type="dxa"/>
        <w:tblCellMar>
          <w:top w:w="28" w:type="dxa"/>
          <w:left w:w="28" w:type="dxa"/>
          <w:bottom w:w="28" w:type="dxa"/>
          <w:right w:w="28" w:type="dxa"/>
        </w:tblCellMar>
      </w:tblPr>
      <w:tblGrid>
        <w:gridCol w:w="1099"/>
        <w:gridCol w:w="963"/>
        <w:gridCol w:w="968"/>
        <w:gridCol w:w="211"/>
        <w:gridCol w:w="721"/>
        <w:gridCol w:w="109"/>
        <w:gridCol w:w="109"/>
        <w:gridCol w:w="109"/>
        <w:gridCol w:w="109"/>
        <w:gridCol w:w="211"/>
        <w:gridCol w:w="721"/>
        <w:gridCol w:w="154"/>
      </w:tblGrid>
      <w:tr>
        <w:trPr/>
        <w:tc>
          <w:tcPr>
            <w:tcW w:w="109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reserves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losses in affiliate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 carryforward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2020 and 2019, the valuation allowance on our deferred tax assets decreased by $3,334 and $83, respectively, which is included in “Provision (benefit) for income taxes” in our Consolidated Comprehensive Income Statement.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2020, we had available approximately $217,328 of federal net tax operating loss carry forward for federal income tax purposes, including $128,044 from net operating losses on which no tax benefit has been recognized and has not been recorded as a deferred tax asset. This carry forward, which may provide future tax benefits, will begin to expire in 2027. As of September 30, 2020, we had available approximately $76,055 state net tax operating loss carry forwards, including $6,696 from net operating losses on which no tax benefit has been recognized and has not been recorded as a deferred tax asset. The carry forwards, which may provide future tax benefits, will begin to expire in 2021. We have provided valuation allowances on all net operating losses where it is determined it is more likely than not that they will expire without being utilized.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at September 30, 2020,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As a result, we have recorded a net deferred tax asset of $33,803 on our Consolidated Balance Sheets. We will continue to evaluate the appropriateness of our remaining deferred tax assets and need for valuation allowances on a quarterly basis. Further, any future reduction in the federal statutory tax rate could result in a charge to reduce the book value of the net deferred tax assets recorded on our Consolidated Balance Sheets.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result of a 2006 reorganization and related adjustment to the book basis in goodwill, we have tax basis in excess of book basis in amortizable goodwill of approximately $14,539. The tax basis in amortizable goodwill in excess of book basis is not reflected as a deferred tax asset. To the extent the amortization of the excess tax basis results in a cash tax benefit, the benefit will first go to reduce goodwill, then other long-term intangible assets, and then tax expense.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46685"/>
                <wp:effectExtent l="0" t="0" r="0" b="0"/>
                <wp:wrapNone/>
                <wp:docPr id="64" name="Frame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unrecognized tax benefit is as follows:</w:t>
      </w:r>
    </w:p>
    <w:tbl>
      <w:tblPr>
        <w:tblW w:w="8588" w:type="dxa"/>
        <w:jc w:val="left"/>
        <w:tblInd w:w="0" w:type="dxa"/>
        <w:tblCellMar>
          <w:top w:w="28" w:type="dxa"/>
          <w:left w:w="28" w:type="dxa"/>
          <w:bottom w:w="28" w:type="dxa"/>
          <w:right w:w="28" w:type="dxa"/>
        </w:tblCellMar>
      </w:tblPr>
      <w:tblGrid>
        <w:gridCol w:w="2222"/>
        <w:gridCol w:w="1953"/>
        <w:gridCol w:w="1959"/>
        <w:gridCol w:w="211"/>
        <w:gridCol w:w="721"/>
        <w:gridCol w:w="109"/>
        <w:gridCol w:w="109"/>
        <w:gridCol w:w="109"/>
        <w:gridCol w:w="109"/>
        <w:gridCol w:w="211"/>
        <w:gridCol w:w="721"/>
        <w:gridCol w:w="154"/>
      </w:tblGrid>
      <w:tr>
        <w:trPr/>
        <w:tc>
          <w:tcPr>
            <w:tcW w:w="2222"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position related to current year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positions of prior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resulting from the lapse of the applicable statutes of limitations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2020, and 2019, $24,861 and $26,294, respectively, of unrecognized tax benefits would result in a decrease in the provision for income tax expense. We anticipate that approximately $3,061 in liabilities for unrecognized tax benefits, including accrued interest, primarily from net operating losses on which no tax benefit has been recognized, may be reversed in the next twelve months. The reversal is predominately due to the expiration of the statutes of limitation for unrecognized tax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approximately $55 and $43 accrued for the payment of interest and penalties at September 30, 2020, and 2019, respectively. We recognize interest and penalties related to unrecognized tax benefits as part of the provision for income taxes.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 years ended September 30, 2017, and forward are subject to federal audit as are tax years prior to September 30, 2017, to the extent of unutilized net operating losses generated in those years. The tax years ended September 30, 2017, and forward are subject to state audits as are tax years prior to September 30, 2017, to the extent of unutilized net operating losses generated in those years.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OPERATING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purposes of allocating resources and assessing performance. The Company’s CODM is its Chief Executive Officer.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between segments, if any, are eliminated in consolidation. Our corporate office provides general and administrative services, as well as support services, to our four operating segments. Management allocates certain shared costs between segments for selling, general and administrative expenses and depreciation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years ended September 30, 2020, 2019 and 2018 is as follows: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34"/>
        <w:gridCol w:w="206"/>
        <w:gridCol w:w="206"/>
        <w:gridCol w:w="418"/>
        <w:gridCol w:w="418"/>
        <w:gridCol w:w="180"/>
        <w:gridCol w:w="240"/>
        <w:gridCol w:w="941"/>
        <w:gridCol w:w="125"/>
        <w:gridCol w:w="109"/>
        <w:gridCol w:w="109"/>
        <w:gridCol w:w="109"/>
        <w:gridCol w:w="211"/>
        <w:gridCol w:w="826"/>
        <w:gridCol w:w="109"/>
        <w:gridCol w:w="109"/>
        <w:gridCol w:w="109"/>
        <w:gridCol w:w="109"/>
        <w:gridCol w:w="211"/>
        <w:gridCol w:w="828"/>
        <w:gridCol w:w="109"/>
        <w:gridCol w:w="109"/>
        <w:gridCol w:w="109"/>
        <w:gridCol w:w="109"/>
        <w:gridCol w:w="211"/>
        <w:gridCol w:w="829"/>
        <w:gridCol w:w="109"/>
        <w:gridCol w:w="109"/>
        <w:gridCol w:w="109"/>
        <w:gridCol w:w="109"/>
        <w:gridCol w:w="211"/>
        <w:gridCol w:w="826"/>
        <w:gridCol w:w="109"/>
        <w:gridCol w:w="109"/>
        <w:gridCol w:w="109"/>
        <w:gridCol w:w="109"/>
        <w:gridCol w:w="211"/>
        <w:gridCol w:w="976"/>
        <w:gridCol w:w="160"/>
      </w:tblGrid>
      <w:tr>
        <w:trPr/>
        <w:tc>
          <w:tcPr>
            <w:tcW w:w="23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2020</w:t>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expense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46685"/>
                <wp:effectExtent l="0" t="0" r="0" b="0"/>
                <wp:wrapNone/>
                <wp:docPr id="65" name="Frame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39"/>
        <w:gridCol w:w="211"/>
        <w:gridCol w:w="211"/>
        <w:gridCol w:w="430"/>
        <w:gridCol w:w="430"/>
        <w:gridCol w:w="198"/>
        <w:gridCol w:w="240"/>
        <w:gridCol w:w="941"/>
        <w:gridCol w:w="125"/>
        <w:gridCol w:w="109"/>
        <w:gridCol w:w="109"/>
        <w:gridCol w:w="109"/>
        <w:gridCol w:w="211"/>
        <w:gridCol w:w="826"/>
        <w:gridCol w:w="109"/>
        <w:gridCol w:w="109"/>
        <w:gridCol w:w="109"/>
        <w:gridCol w:w="109"/>
        <w:gridCol w:w="214"/>
        <w:gridCol w:w="839"/>
        <w:gridCol w:w="110"/>
        <w:gridCol w:w="109"/>
        <w:gridCol w:w="109"/>
        <w:gridCol w:w="109"/>
        <w:gridCol w:w="214"/>
        <w:gridCol w:w="841"/>
        <w:gridCol w:w="110"/>
        <w:gridCol w:w="109"/>
        <w:gridCol w:w="109"/>
        <w:gridCol w:w="109"/>
        <w:gridCol w:w="211"/>
        <w:gridCol w:w="737"/>
        <w:gridCol w:w="109"/>
        <w:gridCol w:w="109"/>
        <w:gridCol w:w="109"/>
        <w:gridCol w:w="109"/>
        <w:gridCol w:w="211"/>
        <w:gridCol w:w="976"/>
        <w:gridCol w:w="161"/>
      </w:tblGrid>
      <w:tr>
        <w:trPr/>
        <w:tc>
          <w:tcPr>
            <w:tcW w:w="2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0"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2019</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264,746 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894,893 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445,258 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49"/>
        <w:gridCol w:w="219"/>
        <w:gridCol w:w="219"/>
        <w:gridCol w:w="450"/>
        <w:gridCol w:w="450"/>
        <w:gridCol w:w="228"/>
        <w:gridCol w:w="240"/>
        <w:gridCol w:w="941"/>
        <w:gridCol w:w="125"/>
        <w:gridCol w:w="109"/>
        <w:gridCol w:w="109"/>
        <w:gridCol w:w="109"/>
        <w:gridCol w:w="211"/>
        <w:gridCol w:w="826"/>
        <w:gridCol w:w="109"/>
        <w:gridCol w:w="109"/>
        <w:gridCol w:w="109"/>
        <w:gridCol w:w="109"/>
        <w:gridCol w:w="218"/>
        <w:gridCol w:w="857"/>
        <w:gridCol w:w="113"/>
        <w:gridCol w:w="109"/>
        <w:gridCol w:w="109"/>
        <w:gridCol w:w="109"/>
        <w:gridCol w:w="219"/>
        <w:gridCol w:w="860"/>
        <w:gridCol w:w="113"/>
        <w:gridCol w:w="109"/>
        <w:gridCol w:w="109"/>
        <w:gridCol w:w="109"/>
        <w:gridCol w:w="211"/>
        <w:gridCol w:w="740"/>
        <w:gridCol w:w="109"/>
        <w:gridCol w:w="109"/>
        <w:gridCol w:w="109"/>
        <w:gridCol w:w="109"/>
        <w:gridCol w:w="211"/>
        <w:gridCol w:w="826"/>
        <w:gridCol w:w="160"/>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4"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2018</w:t>
            </w:r>
          </w:p>
        </w:tc>
      </w:tr>
      <w:tr>
        <w:trPr/>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81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244,656 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726,866 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421,994 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Incentive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928,669 shares were available for issuance at September 30, 2020.</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2015, our Board of Directors authorized a stock repurchase program for the purchase from time to time of up to 1.5 million shares of the Company’s common stock, and on May 2, 2019,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repurchased 263,160 shares of our common stock during the year ended September 30, 2020, in open market transactions at an average price of $23.29 per share.</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46685"/>
                <wp:effectExtent l="0" t="0" r="0" b="0"/>
                <wp:wrapNone/>
                <wp:docPr id="66" name="Frame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repurchased 467,819 shares of our common stock during the year ended September 30, 2019, in open market transactions at an average price of $17.34 per share.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2020, we issued 113,408 shares of common stock from treasury and repurchased 56,806 shares of common stock from our employees to satisfy statutory tax withholding requirements upon the vesting of certain performance phantom stock units under the Equity Incentive Plan. We also repurchased 263,160 shares of common stock on the open market pursuant to our stock repurchase program, and 208,597 shares were forfeited by former employees and returned to treasury stock. During the year ended September 30, 2020, we issued 6,789 unrestricted shares of common stock from treasury to members of our Board of Directors as part of their overall compensation and 5,750 unrestricted shares to satisfy the exercise of outstanding options.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2019, we issued 216,679 shares of common stock from treasury and repurchased 97,003 shares of common stock from our employees to satisfy statutory tax withholding requirements upon the vesting of certain performance phantom stock units under the Equity Incentive Plan. We also repurchased 467,819 shares of common stock on the open market pursuant to our stock repurchase program. During the year ended September 30, 2019, we issued 1,923 unrestricted shares of common stock from treasury to members of our Board of Directors as part of their overall compensation and 22,500 unrestricted shares to satisfy the exercise of outstanding options. We also issued 283,195 shares out of treasury for restricted shares granted upon the appointment of the Company’s former Chief Executive Officer in March 2019.</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years ended September 30, 2020, 2019, and 2018, we recognized $2,441, $776, and $256, respectively, in compensation expense related to our restricted stock awards. During the year ended September 30, 2020, $1,100 of the compensation expense was settled with cash. At September 30, 2020, the unamortized compensation cost related to outstanding unvested restricted stock was $312. A summary of restricted stock awards for the years ended September 30, 2020, 2019, and 2018 is provided in the table below:</w:t>
      </w:r>
    </w:p>
    <w:tbl>
      <w:tblPr>
        <w:tblW w:w="6668" w:type="dxa"/>
        <w:jc w:val="left"/>
        <w:tblInd w:w="0" w:type="dxa"/>
        <w:tblCellMar>
          <w:top w:w="28" w:type="dxa"/>
          <w:left w:w="28" w:type="dxa"/>
          <w:bottom w:w="28" w:type="dxa"/>
          <w:right w:w="28" w:type="dxa"/>
        </w:tblCellMar>
      </w:tblPr>
      <w:tblGrid>
        <w:gridCol w:w="929"/>
        <w:gridCol w:w="817"/>
        <w:gridCol w:w="819"/>
        <w:gridCol w:w="449"/>
        <w:gridCol w:w="451"/>
        <w:gridCol w:w="176"/>
        <w:gridCol w:w="148"/>
        <w:gridCol w:w="148"/>
        <w:gridCol w:w="148"/>
        <w:gridCol w:w="413"/>
        <w:gridCol w:w="413"/>
        <w:gridCol w:w="176"/>
        <w:gridCol w:w="148"/>
        <w:gridCol w:w="148"/>
        <w:gridCol w:w="148"/>
        <w:gridCol w:w="449"/>
        <w:gridCol w:w="451"/>
        <w:gridCol w:w="237"/>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year</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(140,668)</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(208,597)</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year</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shares vesting during the years ended September 30, 2020, 2019, and 2018 was $2,984, zero and $2,201, respectively. Fair value was calculated as the number of shares vested times the market price of shares on the date of vesting. The weighted average grant date fair value of unvested restricted stock at September 30, 2020 was $23.57.</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restricted shares granted under the Equity Incentive Plan (vested or unvested) participate in dividends issued to common shareholders, if any.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Phantom Stock Units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We record compensation expense for the full value of the grant on the date of grant. For the years ended September 30, 2020, 2019, and 2018, we recognized $390, $300, and $189, respectively, in compensation expense related to these grants.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Phantom Stock Units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2019, the Company had outstanding Employee PSUs, which, subject to the achievement of certain performance metrics, could have resulted in the issuance of 162,840 shares of common stock. During the year ended September 30, 2020, 3,435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46685"/>
                <wp:effectExtent l="0" t="0" r="0" b="0"/>
                <wp:wrapNone/>
                <wp:docPr id="67" name="Frame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PSUs were forfeited and 45,686 vested, and the Company granted additional Employee PSUs, which, subject to the achievement of certain performance metrics, could result in the issuance of 90,782 shares of common stock. As of September 30, 2020, a maximum of 204,501 shares of common stock may be issued under outstanding Employee PSUs.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2020 and 2019, we recognized compensation expense of $1,443 and $1,151, respectively, related to Employee PSUs. The vesting of these awards is subject to either the achievement of specified levels of cumulative net income before taxes or specified stock price levels and continued performance of services through mid-December 2021 and 2022, or based on continued performance through the vesting date alone. At September 30, 2020, it is deemed probable that of a portion of the awards which vest based on performance conditions will vest.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issue stock options during the years ended September 30, 2020, 2019 and 2018.</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relating to options granted in the years ended September 30, 2013 and 2015.</w:t>
      </w:r>
    </w:p>
    <w:tbl>
      <w:tblPr>
        <w:tblW w:w="6943" w:type="dxa"/>
        <w:jc w:val="left"/>
        <w:tblInd w:w="0" w:type="dxa"/>
        <w:tblCellMar>
          <w:top w:w="28" w:type="dxa"/>
          <w:left w:w="28" w:type="dxa"/>
          <w:bottom w:w="28" w:type="dxa"/>
          <w:right w:w="28" w:type="dxa"/>
        </w:tblCellMar>
      </w:tblPr>
      <w:tblGrid>
        <w:gridCol w:w="1026"/>
        <w:gridCol w:w="903"/>
        <w:gridCol w:w="905"/>
        <w:gridCol w:w="360"/>
        <w:gridCol w:w="361"/>
        <w:gridCol w:w="211"/>
        <w:gridCol w:w="109"/>
        <w:gridCol w:w="109"/>
        <w:gridCol w:w="109"/>
        <w:gridCol w:w="684"/>
        <w:gridCol w:w="1660"/>
        <w:gridCol w:w="506"/>
      </w:tblGrid>
      <w:tr>
        <w:trPr/>
        <w:tc>
          <w:tcPr>
            <w:tcW w:w="102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2017</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5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2018</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5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2019</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5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2020</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5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options outstanding and exercisable at September 30, 2020:</w:t>
      </w:r>
    </w:p>
    <w:tbl>
      <w:tblPr>
        <w:tblW w:w="10539" w:type="dxa"/>
        <w:jc w:val="center"/>
        <w:tblInd w:w="0" w:type="dxa"/>
        <w:tblCellMar>
          <w:top w:w="28" w:type="dxa"/>
          <w:left w:w="28" w:type="dxa"/>
          <w:bottom w:w="28" w:type="dxa"/>
          <w:right w:w="28" w:type="dxa"/>
        </w:tblCellMar>
      </w:tblPr>
      <w:tblGrid>
        <w:gridCol w:w="124"/>
        <w:gridCol w:w="109"/>
        <w:gridCol w:w="1369"/>
        <w:gridCol w:w="1369"/>
        <w:gridCol w:w="1371"/>
        <w:gridCol w:w="109"/>
        <w:gridCol w:w="109"/>
        <w:gridCol w:w="109"/>
        <w:gridCol w:w="942"/>
        <w:gridCol w:w="942"/>
        <w:gridCol w:w="945"/>
        <w:gridCol w:w="109"/>
        <w:gridCol w:w="109"/>
        <w:gridCol w:w="109"/>
        <w:gridCol w:w="793"/>
        <w:gridCol w:w="793"/>
        <w:gridCol w:w="112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as of September 30,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Contractual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Exercise Price</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$5.76</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$7.27</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$6.49</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1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2013 and 2015 options cliff vested at the end of a two year period ending at the anniversary date of the grant. All options expire ten years from the grant date if they are not exercised. Upon exercise of stock options, it is our policy to first issue shares from treasury, then issue new shares. Unexercised stock options expire May 2023, January 2025 and February 2025.</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years ended September 30, 2020, 2019, and 2018, we recognized zero in compensation expense related to our stock option awards.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intrinsic value of stock options outstanding and exercisable was $405 and $254 at September 30, 2020, and 2019, respectively. The intrinsic value is calculated as the difference between the fair value as of the end of the period and the exercise price of the stock options.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46685"/>
                <wp:effectExtent l="0" t="0" r="0" b="0"/>
                <wp:wrapNone/>
                <wp:docPr id="68" name="Frame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highlight w:val="white"/>
        </w:rPr>
        <w:t xml:space="preserve">The Company is a party to a sublease agreement with Tontine Associates, for corporate office space in Greenwich, </w:t>
      </w:r>
      <w:r>
        <w:rPr>
          <w:rFonts w:ascii="Times New Roman;sans-serif" w:hAnsi="Times New Roman;sans-serif"/>
          <w:b w:val="false"/>
          <w:color w:val="000000"/>
          <w:sz w:val="20"/>
        </w:rPr>
        <w:t>Connecticut. The lease was renewed in November 2019, with monthly rent of approximately $8. Payments by the Company are at a rate consistent with that paid by Tontine Associates to its landlord. See Note 3, “Con</w:t>
      </w:r>
      <w:r>
        <w:rPr>
          <w:rFonts w:ascii="Times New Roman;sans-serif" w:hAnsi="Times New Roman;sans-serif"/>
          <w:b w:val="false"/>
          <w:color w:val="000000"/>
          <w:sz w:val="20"/>
          <w:highlight w:val="white"/>
        </w:rPr>
        <w:t>trolling Shareholder” for additional information regarding Tontine.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EMPLOYEE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401(k)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$2,326, $2,144, and $1,895 in matching expenses in fiscal years 2020, 2019, and 2018, respectively.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Savings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2020, 2019, or 2018 was deferred under this plan.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Post Retirement Benefit Plans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individuals at one of the Company’s locations are entitled to receive fixed annual payments that reach a maximum amount, as specified in the related agreements, for a ten year period following retirement or, in some cases, the attainment of 62 years of age. We recognize the unfunded status of the plan in accrued expenses and other non-current liabilities in our Consolidated Balance Sheets. Benefits vest 50% after ten years of service, which increases by 10% per annum until benefits are fully vested after 15 years of service. We had an unfunded benefit liability of $719 and $738 recorded as of September 30, 2020 and 2019, respectively. We recognized compensation expense included in "Selling, general and administrative expenses" in the Consolidated Statement of Comprehensive Income related to these agreements of $41, $42, and zero during the years ended September 30, 2020, 2019, and 2018, respectively.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Multiemployer Pension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Infrastructure Solutions segment participates in a multiemployer direct benefit pension plan for employees covered under one of our collective bargaining agreements. We do not administer the plan. We do not significantly participate in this plan. As of December 31, 2019, this plan was funded at 83.32%.</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FAIR VALUE MEASUREMENTS</w:t>
      </w:r>
    </w:p>
    <w:p>
      <w:pPr>
        <w:pStyle w:val="TextBody"/>
        <w:spacing w:before="0" w:after="0"/>
        <w:jc w:val="both"/>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2020, financial assets and liabilities measured at fair value on a recurring basis were limited to our Executive Deferred Compensation Plan, under which certain employees are permitted to defer a portion of their base salary and/or bonus for a Plan Year (as defined in the plan).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46685"/>
                <wp:effectExtent l="0" t="0" r="0" b="0"/>
                <wp:wrapNone/>
                <wp:docPr id="69" name="Frame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basis as of September 30, 2020 and 2019, are summarized in the following tables by the type of inputs applicable to the fair value measurements:</w:t>
      </w:r>
    </w:p>
    <w:tbl>
      <w:tblPr>
        <w:tblW w:w="9922" w:type="dxa"/>
        <w:jc w:val="left"/>
        <w:tblInd w:w="0" w:type="dxa"/>
        <w:tblCellMar>
          <w:top w:w="28" w:type="dxa"/>
          <w:left w:w="28" w:type="dxa"/>
          <w:bottom w:w="28" w:type="dxa"/>
          <w:right w:w="28" w:type="dxa"/>
        </w:tblCellMar>
      </w:tblPr>
      <w:tblGrid>
        <w:gridCol w:w="1025"/>
        <w:gridCol w:w="902"/>
        <w:gridCol w:w="908"/>
        <w:gridCol w:w="382"/>
        <w:gridCol w:w="845"/>
        <w:gridCol w:w="197"/>
        <w:gridCol w:w="109"/>
        <w:gridCol w:w="109"/>
        <w:gridCol w:w="109"/>
        <w:gridCol w:w="539"/>
        <w:gridCol w:w="1192"/>
        <w:gridCol w:w="278"/>
        <w:gridCol w:w="109"/>
        <w:gridCol w:w="109"/>
        <w:gridCol w:w="109"/>
        <w:gridCol w:w="820"/>
        <w:gridCol w:w="1578"/>
        <w:gridCol w:w="602"/>
      </w:tblGrid>
      <w:tr>
        <w:trPr/>
        <w:tc>
          <w:tcPr>
            <w:tcW w:w="102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(Level 3)</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00"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997" w:type="dxa"/>
        <w:jc w:val="center"/>
        <w:tblInd w:w="0" w:type="dxa"/>
        <w:tblCellMar>
          <w:top w:w="28" w:type="dxa"/>
          <w:left w:w="28" w:type="dxa"/>
          <w:bottom w:w="28" w:type="dxa"/>
          <w:right w:w="28" w:type="dxa"/>
        </w:tblCellMar>
      </w:tblPr>
      <w:tblGrid>
        <w:gridCol w:w="1052"/>
        <w:gridCol w:w="926"/>
        <w:gridCol w:w="932"/>
        <w:gridCol w:w="382"/>
        <w:gridCol w:w="845"/>
        <w:gridCol w:w="197"/>
        <w:gridCol w:w="109"/>
        <w:gridCol w:w="109"/>
        <w:gridCol w:w="109"/>
        <w:gridCol w:w="539"/>
        <w:gridCol w:w="1192"/>
        <w:gridCol w:w="278"/>
        <w:gridCol w:w="109"/>
        <w:gridCol w:w="109"/>
        <w:gridCol w:w="109"/>
        <w:gridCol w:w="820"/>
        <w:gridCol w:w="1578"/>
        <w:gridCol w:w="602"/>
      </w:tblGrid>
      <w:tr>
        <w:trPr/>
        <w:tc>
          <w:tcPr>
            <w:tcW w:w="1052"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2019</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(Level 3)</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fiscal years 2016, 2017, and 2018, we entered into contingent consideration arrangements related to certain acquisitions. Please see Note 19, “Business Combinations” for further discussion. At September 30, 2020, we estimated the fair value of these contingent consideration liabilities at zero. The table below presents a reconciliation of the fair value of these obligations, which used significant unobservable inputs (Level 3).</w:t>
      </w:r>
    </w:p>
    <w:tbl>
      <w:tblPr>
        <w:tblW w:w="6029" w:type="dxa"/>
        <w:jc w:val="center"/>
        <w:tblInd w:w="0" w:type="dxa"/>
        <w:tblCellMar>
          <w:top w:w="28" w:type="dxa"/>
          <w:left w:w="28" w:type="dxa"/>
          <w:bottom w:w="28" w:type="dxa"/>
          <w:right w:w="28" w:type="dxa"/>
        </w:tblCellMar>
      </w:tblPr>
      <w:tblGrid>
        <w:gridCol w:w="1020"/>
        <w:gridCol w:w="898"/>
        <w:gridCol w:w="901"/>
        <w:gridCol w:w="877"/>
        <w:gridCol w:w="1689"/>
        <w:gridCol w:w="644"/>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Agreement</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2019</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2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2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adjustments to fair value</w:t>
            </w:r>
          </w:p>
        </w:tc>
        <w:tc>
          <w:tcPr>
            <w:tcW w:w="2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2020</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vAlign w:val="center"/>
          </w:tcPr>
          <w:p>
            <w:pPr>
              <w:pStyle w:val="TableContents"/>
              <w:spacing w:before="0" w:after="283"/>
              <w:rPr>
                <w:sz w:val="4"/>
                <w:szCs w:val="4"/>
              </w:rPr>
            </w:pPr>
            <w:r>
              <w:rPr>
                <w:sz w:val="4"/>
                <w:szCs w:val="4"/>
              </w:rPr>
            </w:r>
          </w:p>
        </w:tc>
        <w:tc>
          <w:tcPr>
            <w:tcW w:w="3210" w:type="dxa"/>
            <w:gridSpan w:val="3"/>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vAlign w:val="center"/>
          </w:tcPr>
          <w:p>
            <w:pPr>
              <w:pStyle w:val="TableContents"/>
              <w:spacing w:before="0" w:after="283"/>
              <w:rPr>
                <w:sz w:val="4"/>
                <w:szCs w:val="4"/>
              </w:rPr>
            </w:pPr>
            <w:r>
              <w:rPr>
                <w:sz w:val="4"/>
                <w:szCs w:val="4"/>
              </w:rPr>
            </w:r>
          </w:p>
        </w:tc>
        <w:tc>
          <w:tcPr>
            <w:tcW w:w="321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the inputs used to value the assets summarized in the preceding tables: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1</w:t>
      </w:r>
      <w:r>
        <w:rPr>
          <w:color w:val="000000"/>
        </w:rPr>
        <w:t xml:space="preserve"> — </w:t>
      </w:r>
      <w:r>
        <w:rPr>
          <w:rFonts w:ascii="Times New Roman;sans-serif" w:hAnsi="Times New Roman;sans-serif"/>
          <w:b w:val="false"/>
          <w:color w:val="000000"/>
          <w:sz w:val="20"/>
        </w:rPr>
        <w:t>Inputs represent unadjusted quoted prices for identical assets exchanged in active markets.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2</w:t>
      </w:r>
      <w:r>
        <w:rPr>
          <w:color w:val="000000"/>
        </w:rPr>
        <w:t xml:space="preserve"> — </w:t>
      </w:r>
      <w:r>
        <w:rPr>
          <w:rFonts w:ascii="Times New Roman;sans-serif" w:hAnsi="Times New Roman;sans-serif"/>
          <w:b w:val="false"/>
          <w:color w:val="000000"/>
          <w:sz w:val="20"/>
        </w:rPr>
        <w:t>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3</w:t>
      </w:r>
      <w:r>
        <w:rPr>
          <w:color w:val="000000"/>
        </w:rPr>
        <w:t xml:space="preserve"> — </w:t>
      </w:r>
      <w:r>
        <w:rPr>
          <w:rFonts w:ascii="Times New Roman;sans-serif" w:hAnsi="Times New Roman;sans-serif"/>
          <w:b w:val="false"/>
          <w:color w:val="000000"/>
          <w:sz w:val="20"/>
        </w:rPr>
        <w:t>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INVENTORY</w:t>
      </w:r>
    </w:p>
    <w:p>
      <w:pPr>
        <w:pStyle w:val="TextBody"/>
        <w:spacing w:lineRule="auto" w:line="288" w:before="140" w:after="283"/>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components:</w:t>
      </w:r>
    </w:p>
    <w:tbl>
      <w:tblPr>
        <w:tblW w:w="4029" w:type="dxa"/>
        <w:jc w:val="center"/>
        <w:tblInd w:w="0" w:type="dxa"/>
        <w:tblCellMar>
          <w:top w:w="28" w:type="dxa"/>
          <w:left w:w="28" w:type="dxa"/>
          <w:bottom w:w="28" w:type="dxa"/>
          <w:right w:w="28" w:type="dxa"/>
        </w:tblCellMar>
      </w:tblPr>
      <w:tblGrid>
        <w:gridCol w:w="570"/>
        <w:gridCol w:w="501"/>
        <w:gridCol w:w="504"/>
        <w:gridCol w:w="211"/>
        <w:gridCol w:w="721"/>
        <w:gridCol w:w="109"/>
        <w:gridCol w:w="109"/>
        <w:gridCol w:w="109"/>
        <w:gridCol w:w="109"/>
        <w:gridCol w:w="211"/>
        <w:gridCol w:w="721"/>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supplies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46685"/>
                <wp:effectExtent l="0" t="0" r="0" b="0"/>
                <wp:wrapNone/>
                <wp:docPr id="70" name="Frame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GOODWILL AND INTANGIBLE ASSETS</w:t>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changes in the carrying value of goodwill by segment for the years ended September 30, 2020 and 2019:</w:t>
      </w:r>
    </w:p>
    <w:tbl>
      <w:tblPr>
        <w:tblW w:w="10539" w:type="dxa"/>
        <w:jc w:val="left"/>
        <w:tblInd w:w="0" w:type="dxa"/>
        <w:tblCellMar>
          <w:top w:w="28" w:type="dxa"/>
          <w:left w:w="28" w:type="dxa"/>
          <w:bottom w:w="28" w:type="dxa"/>
          <w:right w:w="28" w:type="dxa"/>
        </w:tblCellMar>
      </w:tblPr>
      <w:tblGrid>
        <w:gridCol w:w="799"/>
        <w:gridCol w:w="702"/>
        <w:gridCol w:w="705"/>
        <w:gridCol w:w="338"/>
        <w:gridCol w:w="987"/>
        <w:gridCol w:w="176"/>
        <w:gridCol w:w="109"/>
        <w:gridCol w:w="109"/>
        <w:gridCol w:w="109"/>
        <w:gridCol w:w="211"/>
        <w:gridCol w:w="721"/>
        <w:gridCol w:w="109"/>
        <w:gridCol w:w="109"/>
        <w:gridCol w:w="109"/>
        <w:gridCol w:w="109"/>
        <w:gridCol w:w="340"/>
        <w:gridCol w:w="1165"/>
        <w:gridCol w:w="176"/>
        <w:gridCol w:w="109"/>
        <w:gridCol w:w="109"/>
        <w:gridCol w:w="109"/>
        <w:gridCol w:w="385"/>
        <w:gridCol w:w="1126"/>
        <w:gridCol w:w="199"/>
        <w:gridCol w:w="109"/>
        <w:gridCol w:w="109"/>
        <w:gridCol w:w="109"/>
        <w:gridCol w:w="211"/>
        <w:gridCol w:w="721"/>
        <w:gridCol w:w="160"/>
      </w:tblGrid>
      <w:tr>
        <w:trPr/>
        <w:tc>
          <w:tcPr>
            <w:tcW w:w="79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2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2018</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2019</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(Note 19)</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2020</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06"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Throughout 2020, our Commercial &amp; Industrial reporting unit continued to experience operating losses. Although we have maintained a focus on operational improvements and cost reductions, our performance continued to be affected by the ongoing COVID-19 pandemic and other market factors which delayed the awarding of new projects, decreased demand for new construction in market sectors such as retail, office, and hospitality, and negatively impacted our revenue, profitability and backlog. As a result of this increasingly competitive and uncertain environment, and the financial performance of this reporting unit, we concluded in performing our annual goodwill impairment assessment that the fair value of our Commercial &amp; Industrial reporting unit was less than its carrying amount, which resulted in the recognition of a non-cash goodwill impairment charge of $6,976 for the year ended September 30,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performing the goodwill impairment test, we compare each reporting unit’s carrying amount, including goodwill, to the fair value of the reporting unit. The fair value of the reporting unit is estimated using a combination of (i) an analysis of trading multiples of comparable companies (market method) and (ii) discounted projected cash flows (income method). The market method utilizes comparable publicly traded companies’ enterprise values, as compared to their recent and forecasted earnings. The income method measures the present value of the reporting unit’s projected future annual cash flows over the next five years with a terminal value assumption. We use a variety of underlying assumptions to estimate these future cash flows, including assumptions relating to future economic market conditions, costs and expenses and capital expenditures.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the combination of these approaches and our judgment regarding underlying assumptions and estimates provides us with the best estimate of fair value for each of our reporting units, and that these valuation methods are widely used by market participants in our industry. The fair value of our reporting units is affected by assumptions regarding future market conditions and the demand for our services, our ability to execute future projects successfully, and the cost of capital. Our estimate of fair value requires us to use significant unobservable inputs, representative of Level 3 fair value measurements.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tbl>
      <w:tblPr>
        <w:tblW w:w="10539" w:type="dxa"/>
        <w:jc w:val="left"/>
        <w:tblInd w:w="0" w:type="dxa"/>
        <w:tblCellMar>
          <w:top w:w="28" w:type="dxa"/>
          <w:left w:w="28" w:type="dxa"/>
          <w:bottom w:w="28" w:type="dxa"/>
          <w:right w:w="28" w:type="dxa"/>
        </w:tblCellMar>
      </w:tblPr>
      <w:tblGrid>
        <w:gridCol w:w="984"/>
        <w:gridCol w:w="784"/>
        <w:gridCol w:w="775"/>
        <w:gridCol w:w="248"/>
        <w:gridCol w:w="248"/>
        <w:gridCol w:w="248"/>
        <w:gridCol w:w="248"/>
        <w:gridCol w:w="248"/>
        <w:gridCol w:w="248"/>
        <w:gridCol w:w="248"/>
        <w:gridCol w:w="248"/>
        <w:gridCol w:w="248"/>
        <w:gridCol w:w="109"/>
        <w:gridCol w:w="109"/>
        <w:gridCol w:w="109"/>
        <w:gridCol w:w="348"/>
        <w:gridCol w:w="1193"/>
        <w:gridCol w:w="180"/>
        <w:gridCol w:w="109"/>
        <w:gridCol w:w="109"/>
        <w:gridCol w:w="109"/>
        <w:gridCol w:w="390"/>
        <w:gridCol w:w="1368"/>
        <w:gridCol w:w="205"/>
        <w:gridCol w:w="109"/>
        <w:gridCol w:w="109"/>
        <w:gridCol w:w="109"/>
        <w:gridCol w:w="211"/>
        <w:gridCol w:w="721"/>
        <w:gridCol w:w="167"/>
      </w:tblGrid>
      <w:tr>
        <w:trPr/>
        <w:tc>
          <w:tcPr>
            <w:tcW w:w="9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223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223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223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2"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46685"/>
                <wp:effectExtent l="0" t="0" r="0" b="0"/>
                <wp:wrapNone/>
                <wp:docPr id="71" name="Frame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984"/>
        <w:gridCol w:w="784"/>
        <w:gridCol w:w="775"/>
        <w:gridCol w:w="248"/>
        <w:gridCol w:w="248"/>
        <w:gridCol w:w="248"/>
        <w:gridCol w:w="248"/>
        <w:gridCol w:w="248"/>
        <w:gridCol w:w="248"/>
        <w:gridCol w:w="248"/>
        <w:gridCol w:w="248"/>
        <w:gridCol w:w="248"/>
        <w:gridCol w:w="109"/>
        <w:gridCol w:w="109"/>
        <w:gridCol w:w="109"/>
        <w:gridCol w:w="348"/>
        <w:gridCol w:w="1193"/>
        <w:gridCol w:w="180"/>
        <w:gridCol w:w="109"/>
        <w:gridCol w:w="109"/>
        <w:gridCol w:w="109"/>
        <w:gridCol w:w="390"/>
        <w:gridCol w:w="1368"/>
        <w:gridCol w:w="205"/>
        <w:gridCol w:w="109"/>
        <w:gridCol w:w="109"/>
        <w:gridCol w:w="109"/>
        <w:gridCol w:w="211"/>
        <w:gridCol w:w="721"/>
        <w:gridCol w:w="167"/>
      </w:tblGrid>
      <w:tr>
        <w:trPr/>
        <w:tc>
          <w:tcPr>
            <w:tcW w:w="9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2019</w:t>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223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(11,051)</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223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223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2"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September 30, 2020, 2019, and 2018, amortization expense of intangible assets was $6,424, $3,950 and $4,101, respectively. Our estimated future amortization expense for years ending September 30 is as follows:</w:t>
      </w:r>
    </w:p>
    <w:p>
      <w:pPr>
        <w:pStyle w:val="TextBody"/>
        <w:spacing w:before="0" w:after="0"/>
        <w:jc w:val="both"/>
        <w:rPr/>
      </w:pPr>
      <w:r>
        <w:rPr/>
      </w:r>
    </w:p>
    <w:tbl>
      <w:tblPr>
        <w:tblW w:w="2759" w:type="dxa"/>
        <w:jc w:val="center"/>
        <w:tblInd w:w="0" w:type="dxa"/>
        <w:tblCellMar>
          <w:top w:w="28" w:type="dxa"/>
          <w:left w:w="28" w:type="dxa"/>
          <w:bottom w:w="28" w:type="dxa"/>
          <w:right w:w="28" w:type="dxa"/>
        </w:tblCellMar>
      </w:tblPr>
      <w:tblGrid>
        <w:gridCol w:w="361"/>
        <w:gridCol w:w="318"/>
        <w:gridCol w:w="267"/>
        <w:gridCol w:w="352"/>
        <w:gridCol w:w="1204"/>
        <w:gridCol w:w="257"/>
      </w:tblGrid>
      <w:tr>
        <w:trPr/>
        <w:tc>
          <w:tcPr>
            <w:tcW w:w="36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275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Ending September 30,</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16,796 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As of September 30, 2020, we did not have any material pending legal proceedings.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Risk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2020 and 2019, we had $6,254 and $6,683, respectively, accrued for self-insurance liabilities. We are also subject to construction defect liabilities, primarily within our Residential segment. As of September 30, 2020 and 2019, we had $36 and $90,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2020, $5,464 of our outstanding letters of credit was utilized to collateralize our insurance program.</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46685"/>
                <wp:effectExtent l="0" t="0" r="0" b="0"/>
                <wp:wrapNone/>
                <wp:docPr id="72" name="Frame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2020, the estimated cost to complete our bonded projects was approximately $92,856.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Commitments and Contingencies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September 30, 2020, $200 of our outstanding letters of credit were to collateralize our vendors.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September 30, 2020, we had no such significant commitments.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BUSINESS COMBINATIONS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completed two acquisitions during the year ended September 30, 2020 for a total aggregate cash consideration of $28,952.</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Aerial Lighting &amp; Electric, Inc. (“Aerial”) – On February 18, 2020, we acquired 100% of the equity interests in Aerial, a Naugatuck, Connecticut-based electrical contractor specializing in the design and installation of electrical systems for multi-family developments. The acquisition of Aerial furthers our Residential segment's growth strategy by providing a foothold in the Northeast market.</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 xml:space="preserve">Plant Power &amp; Control Systems, LLC (“PPCS”) – On February 21, 2020, we acquired 100% of the membership interests in PPCS, a Birmingham, Alabama-based manufacturer and installer of custom engineered power distribution equipment. The acquisition of PPCS furthers our Infrastructure Solutions segment's growth strategy by accelerating their expansion in the Southeast market.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transactions under the acquisition method of accounting, which requires recording assets and liabilities at fair value (Level 3). The valuation of the assets and liabilities assumed is as follows:</w:t>
      </w:r>
    </w:p>
    <w:p>
      <w:pPr>
        <w:pStyle w:val="TextBody"/>
        <w:spacing w:before="0" w:after="0"/>
        <w:rPr/>
      </w:pPr>
      <w:r>
        <w:rPr/>
      </w:r>
    </w:p>
    <w:tbl>
      <w:tblPr>
        <w:tblW w:w="4130" w:type="dxa"/>
        <w:jc w:val="center"/>
        <w:tblInd w:w="0" w:type="dxa"/>
        <w:tblCellMar>
          <w:top w:w="28" w:type="dxa"/>
          <w:left w:w="28" w:type="dxa"/>
          <w:bottom w:w="28" w:type="dxa"/>
          <w:right w:w="28" w:type="dxa"/>
        </w:tblCellMar>
      </w:tblPr>
      <w:tblGrid>
        <w:gridCol w:w="1100"/>
        <w:gridCol w:w="968"/>
        <w:gridCol w:w="976"/>
        <w:gridCol w:w="211"/>
        <w:gridCol w:w="721"/>
        <w:gridCol w:w="154"/>
      </w:tblGrid>
      <w:tr>
        <w:trPr/>
        <w:tc>
          <w:tcPr>
            <w:tcW w:w="1100"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regard to goodwill, the balance is attributable to the workforce of the acquired business and other intangibles that do not qualify for separate recognition. In connection with these acquisitions, we acquired goodwill of $10,117 of which $3,916 is tax deductible.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primarily consisted of customer relationships with a total weighted-average amortization period of 8.8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conjunction with these acquisitions, we acquired receivables totaling $3,190, of which we estimated none to be uncollectible at the date of acquisition. These acquisitions contributed $21,836 in revenue and $812 in operating income during the year ended September 30, 2020.</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46685"/>
                <wp:effectExtent l="0" t="0" r="0" b="0"/>
                <wp:wrapNone/>
                <wp:docPr id="73" name="Frame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results of operations for the year ended September 30, 2020 are calculated as if each acquisition occurred as of October 1 of the fiscal year prior to consummation.</w:t>
      </w:r>
    </w:p>
    <w:p>
      <w:pPr>
        <w:pStyle w:val="TextBody"/>
        <w:spacing w:before="0" w:after="0"/>
        <w:rPr/>
      </w:pPr>
      <w:r>
        <w:rPr/>
      </w:r>
    </w:p>
    <w:tbl>
      <w:tblPr>
        <w:tblW w:w="8080" w:type="dxa"/>
        <w:jc w:val="left"/>
        <w:tblInd w:w="0" w:type="dxa"/>
        <w:tblCellMar>
          <w:top w:w="28" w:type="dxa"/>
          <w:left w:w="28" w:type="dxa"/>
          <w:bottom w:w="28" w:type="dxa"/>
          <w:right w:w="28" w:type="dxa"/>
        </w:tblCellMar>
      </w:tblPr>
      <w:tblGrid>
        <w:gridCol w:w="1005"/>
        <w:gridCol w:w="881"/>
        <w:gridCol w:w="887"/>
        <w:gridCol w:w="330"/>
        <w:gridCol w:w="330"/>
        <w:gridCol w:w="330"/>
        <w:gridCol w:w="109"/>
        <w:gridCol w:w="109"/>
        <w:gridCol w:w="109"/>
        <w:gridCol w:w="720"/>
        <w:gridCol w:w="344"/>
        <w:gridCol w:w="344"/>
        <w:gridCol w:w="344"/>
        <w:gridCol w:w="344"/>
        <w:gridCol w:w="344"/>
        <w:gridCol w:w="720"/>
        <w:gridCol w:w="344"/>
        <w:gridCol w:w="486"/>
      </w:tblGrid>
      <w:tr>
        <w:trPr/>
        <w:tc>
          <w:tcPr>
            <w:tcW w:w="1005"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Twelve Months Ended September 30, </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1,208,020 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1,118,460 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43,285 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34,967 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20. SUBSEQUENT EVENTS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5, 2020, we acquired all of the stock in K.E.P. Electric, Inc., a Batavia, Ohio-based electrical contractor specializing in the design and installation of electrical systems for single-family housing and multi-family developments. This business will operate as a subsidiary in our Residential segment. On November 19, 2020, we acquired all of the stock of Wedlake Fabricating, Inc., a Tulsa, Oklahoma-based manufacturer of custom generator enclosures. This business will operate as a subsidiary in our Infrastructure Solutions segment. The acquisitions were financed using cash on hand, and do not have a material impact on our overall liquidity.</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21. QUARTERLY RESULTS OF OPERATIONS (UNAUDITED)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Quarterly financial information for the years ended September 30, 2020 and 2019 is summarized as follows:</w:t>
      </w:r>
    </w:p>
    <w:tbl>
      <w:tblPr>
        <w:tblW w:w="10539" w:type="dxa"/>
        <w:jc w:val="left"/>
        <w:tblInd w:w="0" w:type="dxa"/>
        <w:tblCellMar>
          <w:top w:w="28" w:type="dxa"/>
          <w:left w:w="28" w:type="dxa"/>
          <w:bottom w:w="28" w:type="dxa"/>
          <w:right w:w="28" w:type="dxa"/>
        </w:tblCellMar>
      </w:tblPr>
      <w:tblGrid>
        <w:gridCol w:w="1749"/>
        <w:gridCol w:w="1530"/>
        <w:gridCol w:w="154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5"/>
      </w:tblGrid>
      <w:tr>
        <w:trPr/>
        <w:tc>
          <w:tcPr>
            <w:tcW w:w="1749"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2020</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IES Holdings, Inc.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IES Holdings, Inc.:</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1749"/>
        <w:gridCol w:w="1530"/>
        <w:gridCol w:w="154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5"/>
      </w:tblGrid>
      <w:tr>
        <w:trPr/>
        <w:tc>
          <w:tcPr>
            <w:tcW w:w="1749"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2019</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IES Holdings, Inc.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IES Holdings, Inc.:</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 of the individual quarterly earnings per share amounts may not agree with year-to-date earnings per share as each period’s computation is based on the weighted average number of shares outstanding during the period.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goodwill impairment charge of $6,976 in the fourth quarter 2020.</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46685"/>
                <wp:effectExtent l="0" t="0" r="0" b="0"/>
                <wp:wrapNone/>
                <wp:docPr id="74" name="Frame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9.</w:t>
      </w:r>
      <w:r>
        <w:rPr>
          <w:color w:val="000000"/>
        </w:rPr>
        <w:t xml:space="preserve"> </w:t>
      </w:r>
      <w:r>
        <w:rPr>
          <w:rFonts w:ascii="Times New Roman;sans-serif" w:hAnsi="Times New Roman;sans-serif"/>
          <w:b/>
          <w:i/>
          <w:color w:val="000000"/>
          <w:sz w:val="20"/>
        </w:rPr>
        <w:t>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i/>
          <w:color w:val="000000"/>
          <w:sz w:val="20"/>
        </w:rPr>
        <w:t>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not been any changes in the Company’s internal control over financial reporting (as such term is defined in Rules 13a-15 and 15d-15 under the Exchange Act) during the fiscal quarter ended September 30, 2020 that have materially affected, or are reasonably likely to materially affect, the Company’s internal control over financial reporting.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 and 15d-15 under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2020,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2020.</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Ernst &amp; Young LLP, an independent registered public accounting firm that has audited the Company’s financial statements as of and for the three-year period ended September 30, </w:t>
      </w:r>
      <w:r>
        <w:rPr>
          <w:rFonts w:ascii="Times New Roman;sans-serif" w:hAnsi="Times New Roman;sans-serif"/>
          <w:b w:val="false"/>
          <w:color w:val="000000"/>
          <w:sz w:val="20"/>
        </w:rPr>
        <w:t>2020</w:t>
      </w:r>
      <w:r>
        <w:rPr>
          <w:rFonts w:ascii="Times New Roman;sans-serif" w:hAnsi="Times New Roman;sans-serif"/>
          <w:b w:val="false"/>
          <w:color w:val="000000"/>
          <w:sz w:val="20"/>
          <w:highlight w:val="white"/>
        </w:rPr>
        <w:t>, has issued a report on their audit of management’s internal control over financial reporting, which is included herein.</w:t>
      </w:r>
      <w:r>
        <w:rPr>
          <w:color w:val="000000"/>
        </w:rPr>
        <w:t xml:space="preserve">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9B.</w:t>
      </w:r>
      <w:r>
        <w:rPr>
          <w:color w:val="000000"/>
        </w:rPr>
        <w:t xml:space="preserve"> </w:t>
      </w:r>
      <w:r>
        <w:rPr>
          <w:rFonts w:ascii="Times New Roman;sans-serif" w:hAnsi="Times New Roman;sans-serif"/>
          <w:b/>
          <w:i/>
          <w:color w:val="000000"/>
          <w:sz w:val="20"/>
        </w:rPr>
        <w:t>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46685"/>
                <wp:effectExtent l="0" t="0" r="0" b="0"/>
                <wp:wrapNone/>
                <wp:docPr id="75" name="Frame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Item 10 of Part III of this Annual Report on Form 10-K is incorporated by reference from the section entitled "Executive Officers of the Registrant" in Part I of this Annual Report on Form 10-K and the sections entitled “Security Ownership of Certain Beneficial Owners and Management,” “Report of the Audit Committee” and “Election of Directors” in the Company’s definitive Proxy Statement for its 2021 Annual Meeting of Stockholders (the “Proxy Statement”) to be filed with the SEC no later than January 28, 2021.</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11 of Part III of this Annual Report on Form 10-K is incorporated by reference from the section entitled “Executive Compensation” in the Proxy Statement.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Stockholders Matters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to be included in Item 12 of Part III of this Annual Report on Form 10-K is incorporated by reference from the section entitled “Security Ownership of Certain Beneficial Owners and Management” in the Proxy Statement.</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Securities Authorized for Issuance Under Equity Plans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provides information as of September 30, 2020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12, “Stockholders’ Equity” in the notes to our Consolidated Financial Statements set forth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Equity Compensation Plan Information </w:t>
      </w:r>
    </w:p>
    <w:tbl>
      <w:tblPr>
        <w:tblW w:w="10539" w:type="dxa"/>
        <w:jc w:val="left"/>
        <w:tblInd w:w="0" w:type="dxa"/>
        <w:tblCellMar>
          <w:top w:w="28" w:type="dxa"/>
          <w:left w:w="28" w:type="dxa"/>
          <w:bottom w:w="28" w:type="dxa"/>
          <w:right w:w="28" w:type="dxa"/>
        </w:tblCellMar>
      </w:tblPr>
      <w:tblGrid>
        <w:gridCol w:w="696"/>
        <w:gridCol w:w="611"/>
        <w:gridCol w:w="605"/>
        <w:gridCol w:w="109"/>
        <w:gridCol w:w="109"/>
        <w:gridCol w:w="109"/>
        <w:gridCol w:w="834"/>
        <w:gridCol w:w="763"/>
        <w:gridCol w:w="765"/>
        <w:gridCol w:w="109"/>
        <w:gridCol w:w="109"/>
        <w:gridCol w:w="109"/>
        <w:gridCol w:w="529"/>
        <w:gridCol w:w="1281"/>
        <w:gridCol w:w="274"/>
        <w:gridCol w:w="109"/>
        <w:gridCol w:w="109"/>
        <w:gridCol w:w="109"/>
        <w:gridCol w:w="935"/>
        <w:gridCol w:w="935"/>
        <w:gridCol w:w="1330"/>
      </w:tblGrid>
      <w:tr>
        <w:trPr/>
        <w:tc>
          <w:tcPr>
            <w:tcW w:w="69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1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 Number of Securities to be Issued Upon Exercise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 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 Number of Securities Remaining Available for Future Issuance Under Equity Compensation Plans (Excluding Securities Reflected in Column (a))</w:t>
            </w:r>
          </w:p>
        </w:tc>
      </w:tr>
      <w:tr>
        <w:trPr/>
        <w:tc>
          <w:tcPr>
            <w:tcW w:w="19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204,501 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 xml:space="preserve">928,669 </w:t>
            </w:r>
            <w:r>
              <w:rPr>
                <w:rFonts w:ascii="Times New Roman;sans-serif" w:hAnsi="Times New Roman;sans-serif"/>
                <w:b w:val="false"/>
                <w:color w:val="000000"/>
                <w:sz w:val="13"/>
              </w:rPr>
              <w:t>(1)</w:t>
            </w:r>
          </w:p>
        </w:tc>
      </w:tr>
      <w:tr>
        <w:trPr/>
        <w:tc>
          <w:tcPr>
            <w:tcW w:w="1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7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(1) Represents shares available for issuance under the Company's 2006 Equity Incentive Plan, as amended and restated effective February 9, 2016 (the "Amended Plan"). This plan provides for the granting or awarding of stock options, stock, restricted stock and other forms of equity to employees (including officers), consultants and directors of the Company. This includes 204,501 shares that may be issued pursuant to outstanding performance based phantom stock units ("PPSUs") based on achievement of performance metrics, where applicable, and otherwise assuming the target award is met.</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(2) Represents shares issuable upon exercise of outstanding options granted under the Company’s 2006 Equity Incentive Plan (as amended and restated as of October 2007), which was in place prior to the Amended Plan. This includes 16,000 options with a weighted-average term of 3.46 years.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13 of Part III of this Annual Report on Form 10-K is incorporated by reference from the section entitled “Certain Relationships and Related Person Transactions” in the Proxy Statement.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46685"/>
                <wp:effectExtent l="0" t="0" r="0" b="0"/>
                <wp:wrapNone/>
                <wp:docPr id="76" name="Frame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14 of Part III of this Form 10-K is incorporated by reference from the section entitled “Audit Fees” in the Proxy Statement.</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Financial Statement Schedules</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(a)    Financial Statements and Supplementary Data, Financial Statement Schedules and Exhibits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See Index to Financial Statements under Item 8. “ </w:t>
      </w:r>
      <w:r>
        <w:rPr>
          <w:rFonts w:ascii="Times New Roman;sans-serif" w:hAnsi="Times New Roman;sans-serif"/>
          <w:b w:val="false"/>
          <w:i/>
          <w:color w:val="000000"/>
          <w:sz w:val="20"/>
        </w:rPr>
        <w:t xml:space="preserve">Financial Statements and Supplementary Data” </w:t>
      </w:r>
      <w:r>
        <w:rPr>
          <w:rFonts w:ascii="Times New Roman;sans-serif" w:hAnsi="Times New Roman;sans-serif"/>
          <w:b w:val="false"/>
          <w:color w:val="000000"/>
          <w:sz w:val="20"/>
        </w:rPr>
        <w:t>of this Form 10-K.</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(b)    Exhibits</w:t>
      </w:r>
    </w:p>
    <w:tbl>
      <w:tblPr>
        <w:tblW w:w="10539" w:type="dxa"/>
        <w:jc w:val="left"/>
        <w:tblInd w:w="0" w:type="dxa"/>
        <w:tblCellMar>
          <w:top w:w="28" w:type="dxa"/>
          <w:left w:w="28" w:type="dxa"/>
          <w:bottom w:w="28" w:type="dxa"/>
          <w:right w:w="28" w:type="dxa"/>
        </w:tblCellMar>
      </w:tblPr>
      <w:tblGrid>
        <w:gridCol w:w="252"/>
        <w:gridCol w:w="222"/>
        <w:gridCol w:w="223"/>
        <w:gridCol w:w="2889"/>
        <w:gridCol w:w="2863"/>
        <w:gridCol w:w="4090"/>
      </w:tblGrid>
      <w:tr>
        <w:trPr/>
        <w:tc>
          <w:tcPr>
            <w:tcW w:w="25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4090" w:type="dxa"/>
            <w:tcBorders/>
            <w:shd w:fill="auto" w:val="clear"/>
            <w:vAlign w:val="center"/>
          </w:tcPr>
          <w:p>
            <w:pPr>
              <w:pStyle w:val="TableContents"/>
              <w:spacing w:before="0" w:after="283"/>
              <w:rPr>
                <w:sz w:val="4"/>
                <w:szCs w:val="4"/>
              </w:rPr>
            </w:pPr>
            <w:r>
              <w:rPr>
                <w:sz w:val="4"/>
                <w:szCs w:val="4"/>
              </w:rPr>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Exhibit</w:t>
            </w:r>
            <w:r>
              <w:rPr>
                <w:color w:val="000000"/>
              </w:rPr>
              <w:t xml:space="preserve"> </w:t>
            </w:r>
          </w:p>
          <w:p>
            <w:pPr>
              <w:pStyle w:val="TableContents"/>
              <w:spacing w:lineRule="auto" w:line="240"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No.</w:t>
            </w:r>
          </w:p>
        </w:tc>
        <w:tc>
          <w:tcPr>
            <w:tcW w:w="9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Second Amended and Restated Certificate of Incorporation of IES Holdings, Inc., as amended by the Certificate of Amendment thereto, effective May 24, 2016 (composite). (Incorporated by reference to Exhibit 3.1 to the Company’s Quarterly Report on Form 10-Q filed August 8,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Certificate of Designations of Series A Junior Participating Preferred Stock (Incorporated by reference to Exhibit 3.1 to the Company’s Current Report on Form 8-K filed January 28, 2013)</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Amended and Restated Bylaws of IES Holdings, Inc., effective November 6, 2019 (Incorporated by reference to Exhibit 3.1 to the Company's Current Report on Form 8-K filed on November 8, 2019)</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Specimen common stock certificate. (Incorporated by reference to Exhibit 4.1 to the Company's Annual Report on Form 10-K filed December 9, 2016)</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Tax Benefit Protection Plan Agreement by and between IES Holdings, Inc. and American Stock Transfer &amp; Trust Company, LLC, as Rights Agent, dated as of November 8, 2016, including the form of Rights Certificate and Summary of Stockholder Rights Plan attached thereto as Exhibits A and B, respectively (Incorporated by reference to Exhibit 4.1 to the Company’s Current Report on Form 8-K filed November 9,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Registration Rights Agreement, dated May 12, 2006, by and among Integrated Electrical Services, Inc. (n/k/a IES Holdings, Inc.), Tontine Capital Partners, L.P. and certain of its affiliates and Southpoint Master Fund, L.P. (Incorporated by reference to Exhibit 10.5 to the Company’s Current Report on Form 8-K filed May 17, 2006)</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u w:val="single"/>
                </w:rPr>
                <w:t>First Amendment to Registration Rights Agreement, dated September 11, 2007, by and among Integrated Electrical Services, Inc. (n/k/a IES Holdings, Inc.), Tontine Capital Partners, L.P. and certain of its affiliates (Incorporated by reference to Exhibit 10.24 to the Company’s Annual Report on Form 10-K filed December 14, 2012)</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42020ex45.htm">
              <w:r>
                <w:rPr>
                  <w:rStyle w:val="InternetLink"/>
                  <w:rFonts w:ascii="Times New Roman;sans-serif" w:hAnsi="Times New Roman;sans-serif"/>
                  <w:b w:val="false"/>
                  <w:color w:val="0000FF"/>
                  <w:sz w:val="20"/>
                  <w:u w:val="single"/>
                </w:rPr>
                <w:t>Description of Registrant's Securities</w:t>
              </w:r>
            </w:hyperlink>
            <w:r>
              <w:rPr>
                <w:color w:val="000000"/>
              </w:rPr>
              <w:t xml:space="preserve"> </w:t>
            </w:r>
            <w:r>
              <w:rPr>
                <w:rFonts w:ascii="Times New Roman;sans-serif" w:hAnsi="Times New Roman;sans-serif"/>
                <w:b w:val="false"/>
                <w:color w:val="000000"/>
                <w:sz w:val="13"/>
              </w:rPr>
              <w:t>(1)</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FF"/>
                  <w:sz w:val="20"/>
                  <w:u w:val="single"/>
                </w:rPr>
                <w:t>Agreement of Indemnity, dated May 7, 2010, by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May 13, 2010)</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Amendment No. 1 to Agreement of Indemnity, dated August 16, 2012, between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August 17, 2012)</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Agreement of Indemnity, September 9, 2016, by IES Holdings, Inc. and certain of its present and future subsidiaries and affiliates and Everest Reinsurance Company and Everest National Insurance Company, and their affiliated, associated and subsidiary companies, successors and assigns. (Incorporated by reference to Exhibit 10.1 to the Company’s Current Report on Form 8-K filed September 13, 2016)</w:t>
              </w:r>
            </w:hyperlink>
          </w:p>
        </w:tc>
      </w:tr>
    </w:tbl>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46685"/>
                <wp:effectExtent l="0" t="0" r="0" b="0"/>
                <wp:wrapNone/>
                <wp:docPr id="77" name="Frame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77"/>
        <w:gridCol w:w="194"/>
        <w:gridCol w:w="189"/>
        <w:gridCol w:w="3153"/>
        <w:gridCol w:w="2785"/>
        <w:gridCol w:w="3941"/>
      </w:tblGrid>
      <w:tr>
        <w:trPr/>
        <w:tc>
          <w:tcPr>
            <w:tcW w:w="27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153"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41" w:type="dxa"/>
            <w:tcBorders/>
            <w:shd w:fill="auto" w:val="clear"/>
            <w:vAlign w:val="center"/>
          </w:tcPr>
          <w:p>
            <w:pPr>
              <w:pStyle w:val="TableContents"/>
              <w:spacing w:before="0" w:after="283"/>
              <w:rPr>
                <w:sz w:val="4"/>
                <w:szCs w:val="4"/>
              </w:rPr>
            </w:pPr>
            <w:r>
              <w:rPr>
                <w:sz w:val="4"/>
                <w:szCs w:val="4"/>
              </w:rPr>
            </w:r>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General Agreement of Indemnity, July 14, 2017, by IES Holdings, Inc. and certain of its present and future subsidiaries and affiliates and Travelers Casualty and Surety Company of America, St. Paul Fire and Marine Insurance Company, and their affiliated, associated and subsidiary companies, successors and assigns. (Incorporated by reference to Exhibit 10.1 to the Company’s Current Report on Form 8-K filed July 14, 2017)</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Pr>
                <w:t>Agreement of Indemnity, dated August 17, 2020, by IES Holdings, Inc. and certain of its</w:t>
              </w:r>
            </w:hyperlink>
            <w:hyperlink r:id="rId16">
              <w:r>
                <w:rPr>
                  <w:rStyle w:val="InternetLink"/>
                </w:rPr>
                <w:t xml:space="preserve"> </w:t>
              </w:r>
            </w:hyperlink>
            <w:hyperlink r:id="rId17">
              <w:r>
                <w:rPr>
                  <w:rStyle w:val="InternetLink"/>
                </w:rPr>
                <w:t>current and future subsidiaries and affiliates and United States Fire Insurance Company and</w:t>
              </w:r>
            </w:hyperlink>
            <w:hyperlink r:id="rId18">
              <w:r>
                <w:rPr>
                  <w:rStyle w:val="InternetLink"/>
                </w:rPr>
                <w:t xml:space="preserve"> </w:t>
              </w:r>
            </w:hyperlink>
            <w:hyperlink r:id="rId19">
              <w:r>
                <w:rPr>
                  <w:rStyle w:val="InternetLink"/>
                </w:rPr>
                <w:t>its affiliated, associated and subsidiary companies, successors and assigns (Incorporated by</w:t>
              </w:r>
            </w:hyperlink>
            <w:hyperlink r:id="rId20">
              <w:r>
                <w:rPr>
                  <w:rStyle w:val="InternetLink"/>
                </w:rPr>
                <w:t xml:space="preserve"> </w:t>
              </w:r>
            </w:hyperlink>
            <w:hyperlink r:id="rId21">
              <w:r>
                <w:rPr>
                  <w:rStyle w:val="InternetLink"/>
                </w:rPr>
                <w:t>reference to Exhibit 10.1 to the Company’s Current Report on Form 8-K filed August 20, 2020)</w:t>
              </w:r>
            </w:hyperlink>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FF"/>
                  <w:sz w:val="20"/>
                  <w:u w:val="single"/>
                </w:rPr>
                <w:t>Second Amended and Restated Credit and Security Agreement, dated as of April 10, 2017, by and among IES Holdings, Inc., each of the other Borrowers and Guarantors named therein and Wells Fargo Bank, National Association. (Incorporated by reference to Exhibit 10.1 to the Company’s Current Report on Form 8-K filed April 10, 2017)</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FF"/>
                  <w:sz w:val="20"/>
                  <w:u w:val="single"/>
                </w:rPr>
                <w:t>Joinder, Limited Consent and First Amendment to Second Amended and Restated Credit and Security Agreement, dated as of July 14, 2017, by and among IES Holdings, Inc., each of the other Borrowers and Guarantors named therein and Wells Fargo Bank, National Association. (Incorporated by reference to Exhibit 10.2 to the Company’s Quarterly Report on Form 10-Q filed on August 4, 2017)</w:t>
              </w:r>
            </w:hyperlink>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u w:val="single"/>
                </w:rPr>
                <w:t>Second Amendment to the Amended Credit Agreement, dated as of August 2, 2017, to Second Amended and Restated Credit and Security Agreement, dated as of April 10, 2017, by and among IES Holdings, Inc., each of the other Borrowers and Guarantors named therein and Wells Fargo Bank, National Association. (Incorporated by reference to Exhibit 10.4 to the Company’s Quarterly Report on Form 10-Q filed on August 4, 2017)</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FF"/>
                  <w:sz w:val="20"/>
                  <w:u w:val="single"/>
                </w:rPr>
                <w:t>Third Amendment to Second Amended and Restated Credit and Security Agreement, dated as of July 23, 2018, by and among IES Holdings, Inc., each of the other Borrowers and Guarantors named therein and Wells Fargo Bank, National Association. (Incorporated by reference to Exhibit 10.1 to the Company’s Current Report on Form 8-K filed on July 23, 2018)</w:t>
              </w:r>
            </w:hyperlink>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Fourth Amendment, dated as of May 17, 2019, to Second Amended and Restated Credit and Security Agreement, dated as of April 10, 2017, by and among IES Holdings, Inc., each of the other Borrowers and Guarantors named therein and Wells Fargo Bank, National Association (Incorporated by reference to Exhibit 10.2 to the Company's Quarterly Report on Form 10-Q filed August 2, 2019)</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Fifth Amendment to Second Amended and Restated Credit and Security Agreement, dated as of September 6, 2019, by and among IES Holdings, Inc., each of the other Borrowers and Guarantors named therein and Wells Fargo Bank, National Association (Incorporated by reference to Exhibit 10.1 to the Company's Current Report on Form 8-K filed September 9, 2019)</w:t>
              </w:r>
            </w:hyperlink>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Sublease Agreement between Tontine Associates, L.L.C. and IES Shared Services, Inc., dated March 29, 2012 (Incorporated by reference to Exhibit 10.1 to the Company’s Quarterly Report on Form 10-Q filed May 15, 2012)</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First Amendment between Tontine Associates, L.L.C., IES Shared Services, Inc. and IES Management ROO, LP, dated as of March 31, 2016, to Sublease Agreement between Tontine Associates, L.L.C., and IES Shared Services, Inc., dated March 29, 2012. (Incorporated by reference to Exhibit 10.5 to the Company’s Quarterly Report on Form 10-Q filed May 9, 2016)</w:t>
              </w:r>
            </w:hyperlink>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Second Amendment, dated as of May 1, 2019, to Sublease Agreement, dated as of March 29, 2012 and amended as of March 31, 2016, between Tontine Associates, L.L.C. and IES Management ROO, LP (Incorporated by reference to Exhibit 10.12 to the Company's Quarterly Report on Form 10-Q filed May 6, 2019)</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Third Amendment, dated as of November 5, 2019, to Sublease Agreement, dated as of March 29, 2012 and amended as of March 31, 2016 and May 1, 2019, between Tontine Associates, L.L.C. and IES Management ROO, LP (an exhibit to this agreement has been omitted pursuant to Item 601(a)(5) of Regulation S-K. A copy of the omitted exhibit will be furnished to the SEC upon request.) (Incorporated by reference to Exhibit 10.20 to the Company's Annual Report on Form 10-K filed December 6, 2019)</w:t>
              </w:r>
            </w:hyperlink>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Board Observer Letter Agreement between Tontine Associates, L.L.C. and IES Holdings, Inc., dated December 6, 2018 (Incorporated by reference to Exhibit 10.17 to the Company's Annual Report on Form 10-K filed December 7, 2018)</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u w:val="single"/>
                </w:rPr>
                <w:t>Term Life Insurance Plan (Incorporated by reference to Exhibit 10.3 to the Company’s Current Report on Form 8-K filed October 17, 2007)</w:t>
              </w:r>
            </w:hyperlink>
          </w:p>
        </w:tc>
      </w:tr>
      <w:tr>
        <w:trPr/>
        <w:tc>
          <w:tcPr>
            <w:tcW w:w="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987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Integrated Electrical Services, Inc. (n/k/a IES Holdings, Inc.) 2006 Equity Incentive Plan, as amended and restated through 2007 (Incorporated by reference to Exhibit 10.1 to the Company's Current Report on Form 8-K filed October 17, 2007)</w:t>
              </w:r>
            </w:hyperlink>
          </w:p>
        </w:tc>
      </w:tr>
      <w:tr>
        <w:trPr/>
        <w:tc>
          <w:tcPr>
            <w:tcW w:w="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987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Fonts w:ascii="Times New Roman;sans-serif" w:hAnsi="Times New Roman;sans-serif"/>
                  <w:b w:val="false"/>
                  <w:color w:val="0000FF"/>
                  <w:sz w:val="20"/>
                  <w:u w:val="single"/>
                </w:rPr>
                <w:t>Form of Performance-Based Phantom Stock Unit Award Agreement under the Company’s 2006 Equity Incentive Plan, as amended and restated through 2007 (Incorporated by reference to Exhibit 10.1 to the Company's Quarterly Report on Form 10-Q filed February 8, 2016)</w:t>
              </w:r>
            </w:hyperlink>
          </w:p>
        </w:tc>
      </w:tr>
    </w:tbl>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46685"/>
                <wp:effectExtent l="0" t="0" r="0" b="0"/>
                <wp:wrapNone/>
                <wp:docPr id="78" name="Frame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48"/>
        <w:gridCol w:w="218"/>
        <w:gridCol w:w="219"/>
        <w:gridCol w:w="3185"/>
        <w:gridCol w:w="2753"/>
        <w:gridCol w:w="3916"/>
      </w:tblGrid>
      <w:tr>
        <w:trPr/>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85"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c>
          <w:tcPr>
            <w:tcW w:w="3916" w:type="dxa"/>
            <w:tcBorders/>
            <w:shd w:fill="auto" w:val="clear"/>
            <w:vAlign w:val="center"/>
          </w:tcPr>
          <w:p>
            <w:pPr>
              <w:pStyle w:val="TableContents"/>
              <w:spacing w:before="0" w:after="283"/>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u w:val="single"/>
                </w:rPr>
                <w:t>Integrated Electrical Services, Inc. (n/k/a IES Holdings, Inc.) Amended and Restated 2006 Equity Incentive Plan (as of February 9, 2016) (Incorporated by reference to Exhibit A to the Company’s Definitive Proxy Statement filed December 28, 2015)</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7">
              <w:r>
                <w:rPr>
                  <w:rStyle w:val="InternetLink"/>
                  <w:rFonts w:ascii="Times New Roman;sans-serif" w:hAnsi="Times New Roman;sans-serif"/>
                  <w:b w:val="false"/>
                  <w:color w:val="0000FF"/>
                  <w:sz w:val="20"/>
                  <w:u w:val="single"/>
                </w:rPr>
                <w:t>Form of Phantom Stock Unit Award under the Company’s Amended and Restated 2006 Equity Incentive Plan (as of February 9, 2016) (Incorporated by reference to Exhibit 10.4 to the Company’s Quarterly Report on Form 10-Q filed May 9, 2016)</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u w:val="single"/>
                </w:rPr>
                <w:t>Form of Stock Option Award Agreement under the Company’s Amended and Restated 2006 Equity Incentive Plan (as of February 9, 2016) (Incorporated by reference to Exhibit 10.3 to the Company’s Quarterly Report on Form 10-Q filed May 9, 2016)</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u w:val="single"/>
                </w:rPr>
                <w:t>Form of Restricted Stock Award Agreement under the Company’s Amended and Restated 2006 Equity Incentive Plan (as of February 9, 2016) (Incorporated by reference to Exhibit 10.2 to the Company’s Quarterly Report on Form 10-Q filed May 9, 2016)</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Performance-Based Phantom Stock Unit Award Agreement, dated as of June 6, 2016, by and between the Company and Mr. Santoni, under the Company’s Amended and Restated 2006 Equity Incentive Plan (as of February 9, 2016) (Incorporated by reference to Exhibit 10.1 to the Company’s Current Report on Form 8-K filed June 7, 2016)</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1">
              <w:r>
                <w:rPr>
                  <w:rStyle w:val="InternetLink"/>
                  <w:rFonts w:ascii="Times New Roman;sans-serif" w:hAnsi="Times New Roman;sans-serif"/>
                  <w:b w:val="false"/>
                  <w:color w:val="0000FF"/>
                  <w:sz w:val="20"/>
                  <w:u w:val="single"/>
                </w:rPr>
                <w:t>Performance-Based Phantom Cash Unit Award Agreement, dated as of June 6, 2016, by and between the Company and Mr. Santoni, under the Company’s Amended and Restated 2006 Equity Incentive Plan (as of February 9, 2016) (Incorporated by reference to Exhibit 10.2 to the Company’s Current Report on Form 8-K filed June 7, 2016)</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2">
              <w:r>
                <w:rPr>
                  <w:rStyle w:val="InternetLink"/>
                  <w:rFonts w:ascii="Times New Roman;sans-serif" w:hAnsi="Times New Roman;sans-serif"/>
                  <w:b w:val="false"/>
                  <w:color w:val="0000FF"/>
                  <w:sz w:val="20"/>
                  <w:u w:val="single"/>
                </w:rPr>
                <w:t>Amended and Restated 2009 Deferred Compensation Plan (Incorporated by reference to Exhibit 10.34 to the Company’s Annual Report on Form 10-K filed December 15, 2008)</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3">
              <w:r>
                <w:rPr>
                  <w:rStyle w:val="InternetLink"/>
                  <w:rFonts w:ascii="Times New Roman;sans-serif" w:hAnsi="Times New Roman;sans-serif"/>
                  <w:b w:val="false"/>
                  <w:color w:val="0000FF"/>
                  <w:sz w:val="20"/>
                  <w:u w:val="single"/>
                </w:rPr>
                <w:t>Integrated Electrical Services, Inc. (n/k/a IES Holdings, Inc.) Long Term Incentive Plan, as amended and restated. (Incorporated by reference to Exhibit 10.2 to the Company’s Current Report on Form 8-K filed September 23, 2009)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Fonts w:ascii="Times New Roman;sans-serif" w:hAnsi="Times New Roman;sans-serif"/>
                  <w:b w:val="false"/>
                  <w:color w:val="0000FF"/>
                  <w:sz w:val="20"/>
                  <w:u w:val="single"/>
                </w:rPr>
                <w:t>Amended and Restated Integrated Electrical Services, Inc. (n/k/a IES Holdings, Inc.) Executive Severance Benefit Plan, effective January 12, 2016 (Incorporated by reference to Exhibit 10.30 to the Company's Annual Report on Form 10-K filed December 9, 2016)</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5">
              <w:r>
                <w:rPr>
                  <w:rStyle w:val="InternetLink"/>
                  <w:rFonts w:ascii="Times New Roman;sans-serif" w:hAnsi="Times New Roman;sans-serif"/>
                  <w:b w:val="false"/>
                  <w:color w:val="0000FF"/>
                  <w:sz w:val="20"/>
                  <w:u w:val="single"/>
                </w:rPr>
                <w:t>Form of Phantom Stock Unit Award under the Company’s Amended and Restated 2006 Equity Incentive Plan (as of February 9, 2016), dated February 6, 2019 (Incorporated by reference to Exhibit 10.2 to the Company’s Quarterly Report on Form 10-Q filed May 6, 2019)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6">
              <w:r>
                <w:rPr>
                  <w:rStyle w:val="InternetLink"/>
                  <w:rFonts w:ascii="Times New Roman;sans-serif" w:hAnsi="Times New Roman;sans-serif"/>
                  <w:b w:val="false"/>
                  <w:color w:val="0000FF"/>
                  <w:sz w:val="20"/>
                  <w:u w:val="single"/>
                </w:rPr>
                <w:t>IES Holdings, Inc. Short-Term Incentive Plan (Incorporated by reference to Exhibit 10.1 to the Company’s Current Report on Form 8-K filed March, 5, 2019)</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7">
              <w:r>
                <w:rPr>
                  <w:rStyle w:val="InternetLink"/>
                  <w:rFonts w:ascii="Times New Roman;sans-serif" w:hAnsi="Times New Roman;sans-serif"/>
                  <w:b w:val="false"/>
                  <w:color w:val="0000FF"/>
                  <w:sz w:val="20"/>
                  <w:u w:val="single"/>
                </w:rPr>
                <w:t>IES Holdings, Inc. Long-Term Incentive Plan Annual Grant Program (Incorporated by reference to Exhibit 10.2 to the Company’s Current Report on Form 8-K filed March, 5, 2019)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8">
              <w:r>
                <w:rPr>
                  <w:rStyle w:val="InternetLink"/>
                  <w:rFonts w:ascii="Times New Roman;sans-serif" w:hAnsi="Times New Roman;sans-serif"/>
                  <w:b w:val="false"/>
                  <w:color w:val="0000FF"/>
                  <w:sz w:val="20"/>
                  <w:u w:val="single"/>
                </w:rPr>
                <w:t>Form of IES Holdings, Inc. Amended and Restated 2006 Equity Incentive Plan Restricted Stock Award Agreement (Incorporated by reference to Exhibit 10.2 to the Company’s Quarterly Report on Form 10-Q filed February 4, 2020)</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9">
              <w:r>
                <w:rPr>
                  <w:rStyle w:val="InternetLink"/>
                </w:rPr>
                <w:t xml:space="preserve">Form of </w:t>
              </w:r>
            </w:hyperlink>
            <w:hyperlink r:id="rId50">
              <w:r>
                <w:rPr>
                  <w:rStyle w:val="InternetLink"/>
                </w:rPr>
                <w:t xml:space="preserve">IES Holdings, Inc. </w:t>
              </w:r>
            </w:hyperlink>
            <w:hyperlink r:id="rId51">
              <w:r>
                <w:rPr>
                  <w:rStyle w:val="InternetLink"/>
                </w:rPr>
                <w:t xml:space="preserve">Amended and Restated 2006 Equity Incentive Plan </w:t>
              </w:r>
            </w:hyperlink>
            <w:hyperlink r:id="rId52">
              <w:r>
                <w:rPr>
                  <w:rStyle w:val="InternetLink"/>
                </w:rPr>
                <w:t>Phantom Stock Unit Award Agreement</w:t>
              </w:r>
            </w:hyperlink>
            <w:hyperlink r:id="rId53">
              <w:r>
                <w:rPr>
                  <w:rStyle w:val="InternetLink"/>
                </w:rPr>
                <w:t xml:space="preserve"> (Incorporated by reference to Exhibit 10.</w:t>
              </w:r>
            </w:hyperlink>
            <w:hyperlink r:id="rId54">
              <w:r>
                <w:rPr>
                  <w:rStyle w:val="InternetLink"/>
                </w:rPr>
                <w:t>3</w:t>
              </w:r>
            </w:hyperlink>
            <w:hyperlink r:id="rId55">
              <w:r>
                <w:rPr>
                  <w:rStyle w:val="InternetLink"/>
                </w:rPr>
                <w:t xml:space="preserve"> to the Company’s Quarterly Report on Form 10-Q filed </w:t>
              </w:r>
            </w:hyperlink>
            <w:hyperlink r:id="rId56">
              <w:r>
                <w:rPr>
                  <w:rStyle w:val="InternetLink"/>
                </w:rPr>
                <w:t>February 4, 2020</w:t>
              </w:r>
            </w:hyperlink>
            <w:hyperlink r:id="rId57">
              <w:r>
                <w:rPr>
                  <w:rStyle w:val="InternetLink"/>
                </w:rPr>
                <w:t>)</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8">
              <w:r>
                <w:rPr>
                  <w:rStyle w:val="InternetLink"/>
                </w:rPr>
                <w:t xml:space="preserve">Form of Cumulative Income </w:t>
              </w:r>
            </w:hyperlink>
            <w:hyperlink r:id="rId59">
              <w:r>
                <w:rPr>
                  <w:rStyle w:val="InternetLink"/>
                </w:rPr>
                <w:t>Restricted Stock Award Agreement</w:t>
              </w:r>
            </w:hyperlink>
            <w:hyperlink r:id="rId60">
              <w:r>
                <w:rPr>
                  <w:rStyle w:val="InternetLink"/>
                </w:rPr>
                <w:t xml:space="preserve"> </w:t>
              </w:r>
            </w:hyperlink>
            <w:hyperlink r:id="rId61">
              <w:r>
                <w:rPr>
                  <w:rStyle w:val="InternetLink"/>
                </w:rPr>
                <w:t xml:space="preserve">under the Company’s </w:t>
              </w:r>
            </w:hyperlink>
            <w:hyperlink r:id="rId62">
              <w:r>
                <w:rPr>
                  <w:rStyle w:val="InternetLink"/>
                </w:rPr>
                <w:t>2006 Equity Incentive Plan (as of February 9, 2016)</w:t>
              </w:r>
            </w:hyperlink>
            <w:hyperlink r:id="rId63">
              <w:r>
                <w:rPr>
                  <w:rStyle w:val="InternetLink"/>
                </w:rPr>
                <w:t>, dated March 4, 2019</w:t>
              </w:r>
            </w:hyperlink>
            <w:hyperlink r:id="rId64">
              <w:r>
                <w:rPr>
                  <w:rStyle w:val="InternetLink"/>
                </w:rPr>
                <w:t xml:space="preserve"> (Incorporated by reference to Exhibit 10.</w:t>
              </w:r>
            </w:hyperlink>
            <w:hyperlink r:id="rId65">
              <w:r>
                <w:rPr>
                  <w:rStyle w:val="InternetLink"/>
                </w:rPr>
                <w:t>5</w:t>
              </w:r>
            </w:hyperlink>
            <w:hyperlink r:id="rId66">
              <w:r>
                <w:rPr>
                  <w:rStyle w:val="InternetLink"/>
                </w:rPr>
                <w:t xml:space="preserve"> to the Company’s Quarterly Report on Form 10-Q filed May 6, 2019)</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7">
              <w:r>
                <w:rPr>
                  <w:rStyle w:val="InternetLink"/>
                  <w:rFonts w:ascii="Times New Roman;sans-serif" w:hAnsi="Times New Roman;sans-serif"/>
                  <w:b w:val="false"/>
                  <w:color w:val="0000FF"/>
                  <w:sz w:val="20"/>
                  <w:u w:val="single"/>
                </w:rPr>
                <w:t>Long-Term Incentive Plan Annual Grant Program (Incorporated by reference to Exhibit 10.1 to the Company's Current Report on Form 8-K filed December 6, 2019)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8">
              <w:r>
                <w:rPr>
                  <w:rStyle w:val="InternetLink"/>
                  <w:rFonts w:ascii="Times New Roman;sans-serif" w:hAnsi="Times New Roman;sans-serif"/>
                  <w:b w:val="false"/>
                  <w:color w:val="0000FF"/>
                  <w:sz w:val="20"/>
                  <w:u w:val="single"/>
                </w:rPr>
                <w:t>Severance Agreement and General Release between IES Holdings Inc. and Gary S. Matthews (Incorporated by reference to Exhibit 10.1 to the Company's Current Report on Form 8-K filed August 14, 2020)</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9">
              <w:r>
                <w:rPr>
                  <w:rStyle w:val="InternetLink"/>
                </w:rPr>
                <w:t xml:space="preserve">Compensation Letter between IES Holdings, Inc. and Mr. Jeffrey L. Gendell as </w:t>
              </w:r>
            </w:hyperlink>
            <w:hyperlink r:id="rId70">
              <w:r>
                <w:rPr>
                  <w:rStyle w:val="InternetLink"/>
                </w:rPr>
                <w:t>Chief Executive Officer (Incorporated by reference to Exhibit 10.1 to the Company's Current Report on Form 8-K</w:t>
              </w:r>
            </w:hyperlink>
            <w:hyperlink r:id="rId71">
              <w:r>
                <w:rPr>
                  <w:rStyle w:val="InternetLink"/>
                </w:rPr>
                <w:t xml:space="preserve"> filed </w:t>
              </w:r>
            </w:hyperlink>
            <w:hyperlink r:id="rId72">
              <w:r>
                <w:rPr>
                  <w:rStyle w:val="InternetLink"/>
                </w:rPr>
                <w:t>October 5</w:t>
              </w:r>
            </w:hyperlink>
            <w:hyperlink r:id="rId73">
              <w:r>
                <w:rPr>
                  <w:rStyle w:val="InternetLink"/>
                </w:rPr>
                <w:t>, 2020)</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0ex211.htm">
              <w:r>
                <w:rPr>
                  <w:rStyle w:val="InternetLink"/>
                  <w:rFonts w:ascii="Times New Roman;sans-serif" w:hAnsi="Times New Roman;sans-serif"/>
                  <w:b w:val="false"/>
                  <w:color w:val="0000FF"/>
                  <w:sz w:val="20"/>
                  <w:u w:val="single"/>
                </w:rPr>
                <w:t>Subsidiaries of the Registrant</w:t>
              </w:r>
            </w:hyperlink>
            <w:r>
              <w:rPr>
                <w:color w:val="000000"/>
              </w:rPr>
              <w:t xml:space="preserve"> </w:t>
            </w:r>
            <w:r>
              <w:rPr>
                <w:rFonts w:ascii="Times New Roman;sans-serif" w:hAnsi="Times New Roman;sans-serif"/>
                <w:b w:val="false"/>
                <w:color w:val="000000"/>
                <w:sz w:val="13"/>
              </w:rPr>
              <w:t>(1)</w:t>
            </w:r>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0ex231.htm">
              <w:r>
                <w:rPr>
                  <w:rStyle w:val="InternetLink"/>
                  <w:rFonts w:ascii="Times New Roman;sans-serif" w:hAnsi="Times New Roman;sans-serif"/>
                  <w:b w:val="false"/>
                  <w:color w:val="0000FF"/>
                  <w:sz w:val="20"/>
                  <w:u w:val="single"/>
                </w:rPr>
                <w:t>Consent of Ernst &amp; Young LLP</w:t>
              </w:r>
            </w:hyperlink>
            <w:r>
              <w:rPr>
                <w:color w:val="000000"/>
              </w:rPr>
              <w:t xml:space="preserve"> </w:t>
            </w:r>
            <w:r>
              <w:rPr>
                <w:rFonts w:ascii="Times New Roman;sans-serif" w:hAnsi="Times New Roman;sans-serif"/>
                <w:b w:val="false"/>
                <w:color w:val="000000"/>
                <w:sz w:val="13"/>
              </w:rPr>
              <w:t>(1)</w:t>
            </w:r>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0ex311.htm">
              <w:r>
                <w:rPr>
                  <w:rStyle w:val="InternetLink"/>
                  <w:rFonts w:ascii="Times New Roman;sans-serif" w:hAnsi="Times New Roman;sans-serif"/>
                  <w:b w:val="false"/>
                  <w:color w:val="0000FF"/>
                  <w:sz w:val="20"/>
                  <w:u w:val="single"/>
                </w:rPr>
                <w:t>Rule 13a-14(a)/15d-14(a) Certification of Jeffrey L. Gendell, Chief Executive Officer</w:t>
              </w:r>
            </w:hyperlink>
            <w:r>
              <w:rPr>
                <w:color w:val="000000"/>
              </w:rPr>
              <w:t xml:space="preserve"> </w:t>
            </w:r>
            <w:r>
              <w:rPr>
                <w:rFonts w:ascii="Times New Roman;sans-serif" w:hAnsi="Times New Roman;sans-serif"/>
                <w:b w:val="false"/>
                <w:color w:val="000000"/>
                <w:sz w:val="13"/>
              </w:rPr>
              <w:t>(1)</w:t>
            </w:r>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0ex312.htm">
              <w:r>
                <w:rPr>
                  <w:rStyle w:val="InternetLink"/>
                  <w:rFonts w:ascii="Times New Roman;sans-serif" w:hAnsi="Times New Roman;sans-serif"/>
                  <w:b w:val="false"/>
                  <w:color w:val="0000FF"/>
                  <w:sz w:val="20"/>
                  <w:u w:val="single"/>
                </w:rPr>
                <w:t>Rule 13a-14(a)/15d-14(a) Certification of Tracy A. McLauchlin, Chief Financial Officer</w:t>
              </w:r>
            </w:hyperlink>
            <w:r>
              <w:rPr>
                <w:color w:val="000000"/>
              </w:rPr>
              <w:t xml:space="preserve"> </w:t>
            </w:r>
            <w:r>
              <w:rPr>
                <w:rFonts w:ascii="Times New Roman;sans-serif" w:hAnsi="Times New Roman;sans-serif"/>
                <w:b w:val="false"/>
                <w:color w:val="000000"/>
                <w:sz w:val="13"/>
              </w:rPr>
              <w:t>(1)</w:t>
            </w:r>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0ex321.htm">
              <w:r>
                <w:rPr>
                  <w:rStyle w:val="InternetLink"/>
                  <w:rFonts w:ascii="Times New Roman;sans-serif" w:hAnsi="Times New Roman;sans-serif"/>
                  <w:b w:val="false"/>
                  <w:color w:val="0000FF"/>
                  <w:sz w:val="20"/>
                  <w:u w:val="single"/>
                </w:rPr>
                <w:t>Section 1350 Certification of Jeffrey L. Gendell, Chief Executive Officer</w:t>
              </w:r>
            </w:hyperlink>
            <w:r>
              <w:rPr>
                <w:color w:val="000000"/>
              </w:rPr>
              <w:t xml:space="preserve"> </w:t>
            </w:r>
            <w:r>
              <w:rPr>
                <w:rFonts w:ascii="Times New Roman;sans-serif" w:hAnsi="Times New Roman;sans-serif"/>
                <w:b w:val="false"/>
                <w:color w:val="000000"/>
                <w:sz w:val="13"/>
              </w:rPr>
              <w:t>(2)</w:t>
            </w:r>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0ex322.htm">
              <w:r>
                <w:rPr>
                  <w:rStyle w:val="InternetLink"/>
                  <w:rFonts w:ascii="Times New Roman;sans-serif" w:hAnsi="Times New Roman;sans-serif"/>
                  <w:b w:val="false"/>
                  <w:color w:val="0000FF"/>
                  <w:sz w:val="20"/>
                  <w:u w:val="single"/>
                </w:rPr>
                <w:t>Section 1350 Certification of Tracy A. McLauchlin, Chief Financial Officer</w:t>
              </w:r>
            </w:hyperlink>
            <w:r>
              <w:rPr>
                <w:color w:val="000000"/>
              </w:rPr>
              <w:t xml:space="preserve"> </w:t>
            </w:r>
            <w:r>
              <w:rPr>
                <w:rFonts w:ascii="Times New Roman;sans-serif" w:hAnsi="Times New Roman;sans-serif"/>
                <w:b w:val="false"/>
                <w:color w:val="000000"/>
                <w:sz w:val="13"/>
              </w:rPr>
              <w:t>(2)</w:t>
            </w:r>
          </w:p>
        </w:tc>
      </w:tr>
    </w:tbl>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46685"/>
                <wp:effectExtent l="0" t="0" r="0" b="0"/>
                <wp:wrapNone/>
                <wp:docPr id="79" name="Frame7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83"/>
        <w:gridCol w:w="222"/>
        <w:gridCol w:w="225"/>
        <w:gridCol w:w="2945"/>
        <w:gridCol w:w="2841"/>
        <w:gridCol w:w="4023"/>
      </w:tblGrid>
      <w:tr>
        <w:trPr/>
        <w:tc>
          <w:tcPr>
            <w:tcW w:w="28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945" w:type="dxa"/>
            <w:tcBorders/>
            <w:shd w:fill="auto" w:val="clear"/>
            <w:vAlign w:val="center"/>
          </w:tcPr>
          <w:p>
            <w:pPr>
              <w:pStyle w:val="TableContents"/>
              <w:spacing w:before="0" w:after="283"/>
              <w:rPr>
                <w:sz w:val="4"/>
                <w:szCs w:val="4"/>
              </w:rPr>
            </w:pPr>
            <w:r>
              <w:rPr>
                <w:sz w:val="4"/>
                <w:szCs w:val="4"/>
              </w:rPr>
            </w:r>
          </w:p>
        </w:tc>
        <w:tc>
          <w:tcPr>
            <w:tcW w:w="2841" w:type="dxa"/>
            <w:tcBorders/>
            <w:shd w:fill="auto" w:val="clear"/>
            <w:vAlign w:val="center"/>
          </w:tcPr>
          <w:p>
            <w:pPr>
              <w:pStyle w:val="TableContents"/>
              <w:spacing w:before="0" w:after="283"/>
              <w:rPr>
                <w:sz w:val="4"/>
                <w:szCs w:val="4"/>
              </w:rPr>
            </w:pPr>
            <w:r>
              <w:rPr>
                <w:sz w:val="4"/>
                <w:szCs w:val="4"/>
              </w:rPr>
            </w:r>
          </w:p>
        </w:tc>
        <w:tc>
          <w:tcPr>
            <w:tcW w:w="4023" w:type="dxa"/>
            <w:tcBorders/>
            <w:shd w:fill="auto" w:val="clear"/>
            <w:vAlign w:val="center"/>
          </w:tcPr>
          <w:p>
            <w:pPr>
              <w:pStyle w:val="TableContents"/>
              <w:spacing w:before="0" w:after="283"/>
              <w:rPr>
                <w:sz w:val="4"/>
                <w:szCs w:val="4"/>
              </w:rPr>
            </w:pPr>
            <w:r>
              <w:rPr>
                <w:sz w:val="4"/>
                <w:szCs w:val="4"/>
              </w:rPr>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ans-serif" w:hAnsi="Times New Roman;sans-serif"/>
                <w:b w:val="false"/>
                <w:color w:val="000000"/>
                <w:sz w:val="13"/>
              </w:rPr>
              <w:t xml:space="preserve">(1) </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Schema Document </w:t>
            </w:r>
            <w:r>
              <w:rPr>
                <w:rFonts w:ascii="Times New Roman;sans-serif" w:hAnsi="Times New Roman;sans-serif"/>
                <w:b w:val="false"/>
                <w:color w:val="000000"/>
                <w:sz w:val="13"/>
              </w:rPr>
              <w:t>(1)</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Label Linkbase Document </w:t>
            </w:r>
            <w:r>
              <w:rPr>
                <w:rFonts w:ascii="Times New Roman;sans-serif" w:hAnsi="Times New Roman;sans-serif"/>
                <w:b w:val="false"/>
                <w:color w:val="000000"/>
                <w:sz w:val="13"/>
              </w:rPr>
              <w:t>(1)</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Presentation Linkbase Document </w:t>
            </w:r>
            <w:r>
              <w:rPr>
                <w:rFonts w:ascii="Times New Roman;sans-serif" w:hAnsi="Times New Roman;sans-serif"/>
                <w:b w:val="false"/>
                <w:color w:val="000000"/>
                <w:sz w:val="13"/>
              </w:rPr>
              <w:t>(1)</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Definition Linkbase Document </w:t>
            </w:r>
            <w:r>
              <w:rPr>
                <w:rFonts w:ascii="Times New Roman;sans-serif" w:hAnsi="Times New Roman;sans-serif"/>
                <w:b w:val="false"/>
                <w:color w:val="000000"/>
                <w:sz w:val="13"/>
              </w:rPr>
              <w:t>(1)</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Calculation Linkbase Document </w:t>
            </w:r>
            <w:r>
              <w:rPr>
                <w:rFonts w:ascii="Times New Roman;sans-serif" w:hAnsi="Times New Roman;sans-serif"/>
                <w:b w:val="false"/>
                <w:color w:val="000000"/>
                <w:sz w:val="13"/>
              </w:rPr>
              <w:t>(1)</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or compensatory plans or arrangements required to be filed herewith pursuant to Item 15(a)(3) of this Annual Report on Form 10-K.</w:t>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46685"/>
                <wp:effectExtent l="0" t="0" r="0" b="0"/>
                <wp:wrapNone/>
                <wp:docPr id="80" name="Frame7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December 7, 2020.</w:t>
      </w:r>
    </w:p>
    <w:p>
      <w:pPr>
        <w:pStyle w:val="TextBody"/>
        <w:spacing w:before="0" w:after="0"/>
        <w:rPr/>
      </w:pPr>
      <w:r>
        <w:rPr/>
      </w:r>
    </w:p>
    <w:p>
      <w:pPr>
        <w:pStyle w:val="TextBody"/>
        <w:spacing w:lineRule="auto" w:line="288" w:before="0" w:after="0"/>
        <w:ind w:left="0" w:right="0" w:firstLine="3240"/>
        <w:rPr>
          <w:rFonts w:ascii="Times New Roman;sans-serif" w:hAnsi="Times New Roman;sans-serif"/>
          <w:b/>
          <w:color w:val="000000"/>
          <w:sz w:val="20"/>
        </w:rPr>
      </w:pPr>
      <w:r>
        <w:rPr>
          <w:rFonts w:ascii="Times New Roman;sans-serif" w:hAnsi="Times New Roman;sans-serif"/>
          <w:b/>
          <w:color w:val="000000"/>
          <w:sz w:val="20"/>
        </w:rPr>
        <w:t>IES HOLDINGS, INC.</w:t>
      </w:r>
    </w:p>
    <w:tbl>
      <w:tblPr>
        <w:tblW w:w="2575" w:type="dxa"/>
        <w:jc w:val="left"/>
        <w:tblInd w:w="0" w:type="dxa"/>
        <w:tblCellMar>
          <w:top w:w="28" w:type="dxa"/>
          <w:left w:w="28" w:type="dxa"/>
          <w:bottom w:w="28" w:type="dxa"/>
          <w:right w:w="28" w:type="dxa"/>
        </w:tblCellMar>
      </w:tblPr>
      <w:tblGrid>
        <w:gridCol w:w="124"/>
        <w:gridCol w:w="109"/>
        <w:gridCol w:w="109"/>
        <w:gridCol w:w="134"/>
        <w:gridCol w:w="134"/>
        <w:gridCol w:w="136"/>
        <w:gridCol w:w="535"/>
        <w:gridCol w:w="535"/>
        <w:gridCol w:w="7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bl>
    <w:p>
      <w:pPr>
        <w:pStyle w:val="TextBody"/>
        <w:spacing w:lineRule="auto" w:line="288" w:before="0" w:after="0"/>
        <w:ind w:left="0" w:right="0" w:firstLine="3600"/>
        <w:rPr>
          <w:rFonts w:ascii="Times New Roman;sans-serif" w:hAnsi="Times New Roman;sans-serif"/>
          <w:b w:val="false"/>
          <w:i/>
          <w:color w:val="000000"/>
          <w:sz w:val="20"/>
        </w:rPr>
      </w:pPr>
      <w:r>
        <w:rPr>
          <w:rFonts w:ascii="Times New Roman;sans-serif" w:hAnsi="Times New Roman;sans-serif"/>
          <w:b w:val="false"/>
          <w:i/>
          <w:color w:val="000000"/>
          <w:sz w:val="20"/>
        </w:rPr>
        <w:t xml:space="preserve">Jeffrey L. Gendell </w:t>
      </w:r>
    </w:p>
    <w:p>
      <w:pPr>
        <w:pStyle w:val="TextBody"/>
        <w:spacing w:lineRule="auto" w:line="288" w:before="0" w:after="0"/>
        <w:ind w:left="0" w:right="0" w:firstLine="3600"/>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Chairman of the Board</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180" w:after="283"/>
        <w:jc w:val="both"/>
        <w:rPr/>
      </w:pPr>
      <w:r>
        <w:rPr>
          <w:rFonts w:ascii="Times New Roman;sans-serif" w:hAnsi="Times New Roman;sans-serif"/>
          <w:b w:val="false"/>
          <w:color w:val="000000"/>
          <w:sz w:val="20"/>
        </w:rPr>
        <w:t>KNOW ALL MEN BY THESE PRESENTS, that each of the undersigned officers and directors of IES HOLDINGS, INC. hereby constitutes and appoints Jeffrey L. Gendell and Tracy A. McLauchlin,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w:t>
      </w:r>
      <w:r>
        <w:rPr>
          <w:color w:val="000000"/>
        </w:rPr>
        <w:t xml:space="preserve"> </w:t>
      </w:r>
      <w:r>
        <w:rPr>
          <w:rFonts w:ascii="Times New Roman;sans-serif" w:hAnsi="Times New Roman;sans-serif"/>
          <w:b w:val="false"/>
          <w:color w:val="000000"/>
          <w:sz w:val="20"/>
        </w:rPr>
        <w:t>agents, or either of them, or their or his substitutes or substitute, may lawfully do or cause to be done by virtue hereof.</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spacing w:lineRule="auto" w:line="288" w:before="0" w:after="0"/>
        <w:jc w:val="both"/>
        <w:rPr>
          <w:color w:val="000000"/>
        </w:rPr>
      </w:pPr>
      <w:r>
        <w:rPr>
          <w:color w:val="000000"/>
        </w:rPr>
        <w:t> </w:t>
      </w:r>
    </w:p>
    <w:tbl>
      <w:tblPr>
        <w:tblW w:w="8306" w:type="dxa"/>
        <w:jc w:val="left"/>
        <w:tblInd w:w="0" w:type="dxa"/>
        <w:tblCellMar>
          <w:top w:w="28" w:type="dxa"/>
          <w:left w:w="28" w:type="dxa"/>
          <w:bottom w:w="28" w:type="dxa"/>
          <w:right w:w="28" w:type="dxa"/>
        </w:tblCellMar>
      </w:tblPr>
      <w:tblGrid>
        <w:gridCol w:w="759"/>
        <w:gridCol w:w="668"/>
        <w:gridCol w:w="672"/>
        <w:gridCol w:w="109"/>
        <w:gridCol w:w="109"/>
        <w:gridCol w:w="109"/>
        <w:gridCol w:w="1414"/>
        <w:gridCol w:w="1414"/>
        <w:gridCol w:w="1432"/>
        <w:gridCol w:w="472"/>
        <w:gridCol w:w="472"/>
        <w:gridCol w:w="676"/>
      </w:tblGrid>
      <w:tr>
        <w:trPr/>
        <w:tc>
          <w:tcPr>
            <w:tcW w:w="75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br/>
              <w:t>and Treasurer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w:t>
              <w:br/>
              <w:t>(Principal Accounting Officer)</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Todd M. Cleveland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Todd M. Cleveland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Joseph L. Dowling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L. Dowling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David B.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B.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Joe D. Koshkin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Joe D. Koshkin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Donald L. Luke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Donald L. Luke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46685"/>
                <wp:effectExtent l="0" t="0" r="0" b="0"/>
                <wp:wrapNone/>
                <wp:docPr id="81" name="Frame7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76" w:before="0" w:after="0"/>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4.5</w:t>
      </w:r>
    </w:p>
    <w:p>
      <w:pPr>
        <w:pStyle w:val="TextBody"/>
        <w:spacing w:before="0" w:after="0"/>
        <w:jc w:val="center"/>
        <w:rPr/>
      </w:pPr>
      <w:r>
        <w:rPr/>
      </w:r>
    </w:p>
    <w:p>
      <w:pPr>
        <w:pStyle w:val="TextBody"/>
        <w:spacing w:lineRule="auto" w:line="27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DESCRIPTION OF CAPITAL STOCK</w:t>
      </w:r>
    </w:p>
    <w:p>
      <w:pPr>
        <w:pStyle w:val="TextBody"/>
        <w:spacing w:before="0" w:after="0"/>
        <w:jc w:val="center"/>
        <w:rPr/>
      </w:pPr>
      <w:r>
        <w:rPr/>
      </w:r>
    </w:p>
    <w:p>
      <w:pPr>
        <w:pStyle w:val="TextBody"/>
        <w:spacing w:lineRule="auto" w:line="276" w:before="0" w:after="0"/>
        <w:ind w:left="0" w:right="0" w:firstLine="720"/>
        <w:rPr/>
      </w:pPr>
      <w:r>
        <w:rPr>
          <w:rFonts w:ascii="Times New Roman;sans-serif" w:hAnsi="Times New Roman;sans-serif"/>
          <w:b w:val="false"/>
          <w:i/>
          <w:color w:val="000000"/>
          <w:sz w:val="20"/>
          <w:highlight w:val="white"/>
        </w:rPr>
        <w:t>The following is a description of the capital stock of IES Holdings, Inc. (the “Company”). The Common Stock and Rights of the Company (each as defined below) are registered under Section 12(b) of the Securities Exchange Act of 1934, as amended (the “Exchange Act”). This description does not describe every aspect of the Company’s capital stock and is subject to, and qualified in its entirety by reference to, the provisions of (i) the Company’s Second Amended and Restated Certificate of Incorporation, as amended by the Certificate of Amendment thereto, and the Certificate of Designations of Series A Junior Participating Preferred Stock,</w:t>
      </w:r>
      <w:r>
        <w:rPr>
          <w:color w:val="000000"/>
        </w:rPr>
        <w:t xml:space="preserve"> </w:t>
      </w:r>
      <w:r>
        <w:rPr>
          <w:rFonts w:ascii="Times New Roman;sans-serif" w:hAnsi="Times New Roman;sans-serif"/>
          <w:b w:val="false"/>
          <w:i/>
          <w:color w:val="000000"/>
          <w:sz w:val="20"/>
          <w:highlight w:val="white"/>
        </w:rPr>
        <w:t>(ii) the Company’s Amended and Restated Bylaws, and (iii) the Company’s Tax Benefit Protection Plan Agreement, each as currently in effect, each of which is incorporated by reference as an exhibit to the Annual Report on Form 10-K for the fiscal year ended September 30, 2020, of the Company, as well as applicable provisions of Delaware law.</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Authorized Capital Stock</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 xml:space="preserve">The Company’s authorized capital stock consists of 100,000,000 shares of </w:t>
      </w:r>
      <w:r>
        <w:rPr>
          <w:rFonts w:ascii="Times New Roman;sans-serif" w:hAnsi="Times New Roman;sans-serif"/>
          <w:b w:val="false"/>
          <w:color w:val="000000"/>
          <w:sz w:val="24"/>
          <w:highlight w:val="white"/>
        </w:rPr>
        <w:t>common stock, par value $0.01 per share (the “Common Stock”)</w:t>
      </w:r>
      <w:r>
        <w:rPr>
          <w:rFonts w:ascii="Times New Roman;sans-serif" w:hAnsi="Times New Roman;sans-serif"/>
          <w:b w:val="false"/>
          <w:color w:val="000000"/>
          <w:sz w:val="20"/>
        </w:rPr>
        <w:t>, and 10,000,000 shares of preferred stock, par value $0.01 per share.</w:t>
      </w:r>
    </w:p>
    <w:p>
      <w:pPr>
        <w:pStyle w:val="TextBody"/>
        <w:spacing w:before="0" w:after="0"/>
        <w:ind w:left="0" w:right="0" w:firstLine="72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Common Stock and Restricted Common Stock</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The holders of Common Stock are entitled to one vote for each share on all matters voted upon by stockholders, including the election of directors.</w:t>
      </w:r>
      <w:r>
        <w:rPr>
          <w:color w:val="000000"/>
        </w:rPr>
        <w:t xml:space="preserve"> </w:t>
      </w:r>
      <w:r>
        <w:rPr>
          <w:rFonts w:ascii="Times New Roman;sans-serif" w:hAnsi="Times New Roman;sans-serif"/>
          <w:b w:val="false"/>
          <w:color w:val="000000"/>
          <w:sz w:val="20"/>
        </w:rPr>
        <w:t>Our common stockholders are not entitled to vote cumulatively for the election of directors.</w:t>
      </w:r>
      <w:r>
        <w:rPr>
          <w:color w:val="000000"/>
        </w:rPr>
        <w:t xml:space="preserve"> </w:t>
      </w:r>
      <w:r>
        <w:rPr>
          <w:rFonts w:ascii="Times New Roman;sans-serif" w:hAnsi="Times New Roman;sans-serif"/>
          <w:b w:val="false"/>
          <w:color w:val="000000"/>
          <w:sz w:val="20"/>
        </w:rPr>
        <w:t>Holders of a majority of the shares of Common Stock entitled to vote in any election of directors may elect all of the directors standing for election.</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Subject to the rights of any then-outstanding shares of preferred stock, holders of Common Stock are entitled to participate in dividends declared in the discretion of the Board of Directors out of funds legally available therefor.</w:t>
      </w:r>
      <w:r>
        <w:rPr>
          <w:color w:val="000000"/>
        </w:rPr>
        <w:t xml:space="preserve"> </w:t>
      </w:r>
      <w:r>
        <w:rPr>
          <w:rFonts w:ascii="Times New Roman;sans-serif" w:hAnsi="Times New Roman;sans-serif"/>
          <w:b w:val="false"/>
          <w:color w:val="000000"/>
          <w:sz w:val="20"/>
        </w:rPr>
        <w:t>We have never paid cash dividends on our Common Stock, and we do not anticipate paying cash dividends on our Common Stock in the foreseeable future.</w:t>
      </w:r>
      <w:r>
        <w:rPr>
          <w:color w:val="000000"/>
        </w:rPr>
        <w:t xml:space="preserve"> </w:t>
      </w:r>
      <w:r>
        <w:rPr>
          <w:rFonts w:ascii="Times New Roman;sans-serif" w:hAnsi="Times New Roman;sans-serif"/>
          <w:b w:val="false"/>
          <w:color w:val="000000"/>
          <w:sz w:val="20"/>
        </w:rPr>
        <w:t>Any future determination as to the payment of dividends will be made at the discretion of the Board of Directors and will depend upon our operating results, financial condition, capital requirements, general business conditions and other factors that the Board of Directors deems relevant.</w:t>
      </w:r>
      <w:r>
        <w:rPr>
          <w:color w:val="000000"/>
        </w:rPr>
        <w:t xml:space="preserve"> </w:t>
      </w:r>
      <w:r>
        <w:rPr>
          <w:rFonts w:ascii="Times New Roman;sans-serif" w:hAnsi="Times New Roman;sans-serif"/>
          <w:b w:val="false"/>
          <w:color w:val="000000"/>
          <w:sz w:val="20"/>
        </w:rPr>
        <w:t>We are also restricted under our revolving credit facility from paying cash dividends.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Holders of Common Stock are entitled to share ratably in the net assets of the Company upon liquidation after payment or provision for all liabilities and any preferential liquidation rights of any preferred stock then outstanding.</w:t>
      </w:r>
      <w:r>
        <w:rPr>
          <w:color w:val="000000"/>
        </w:rPr>
        <w:t xml:space="preserve"> </w:t>
      </w:r>
      <w:r>
        <w:rPr>
          <w:rFonts w:ascii="Times New Roman;sans-serif" w:hAnsi="Times New Roman;sans-serif"/>
          <w:b w:val="false"/>
          <w:color w:val="000000"/>
          <w:sz w:val="20"/>
        </w:rPr>
        <w:t>Holders of Common Stock have no preemptive rights to purchase shares of the Company’s stock.</w:t>
      </w:r>
      <w:r>
        <w:rPr>
          <w:color w:val="000000"/>
        </w:rPr>
        <w:t xml:space="preserve"> </w:t>
      </w:r>
      <w:r>
        <w:rPr>
          <w:rFonts w:ascii="Times New Roman;sans-serif" w:hAnsi="Times New Roman;sans-serif"/>
          <w:b w:val="false"/>
          <w:color w:val="000000"/>
          <w:sz w:val="20"/>
        </w:rPr>
        <w:t>Shares of Common Stock are not subject to any redemption provisions and are not convertible into any other securities of the Company.</w:t>
      </w:r>
      <w:r>
        <w:rPr>
          <w:color w:val="000000"/>
        </w:rPr>
        <w:t xml:space="preserve"> </w:t>
      </w:r>
      <w:r>
        <w:rPr>
          <w:rFonts w:ascii="Times New Roman;sans-serif" w:hAnsi="Times New Roman;sans-serif"/>
          <w:b w:val="false"/>
          <w:color w:val="000000"/>
          <w:sz w:val="20"/>
        </w:rPr>
        <w:t>All outstanding shares of Common Stock are fully paid and non-assessable.</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 respect to stockholders of record as of the close of business on the Record Date (as defined below), each outstanding share of Common Stock includes one preferred stock purchase right issued under our Tax Benefit Protection Plan Agreement, as described below.</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Common Stock is listed on the NASDAQ under the symbol “IESC.” </w:t>
      </w:r>
    </w:p>
    <w:p>
      <w:pPr>
        <w:pStyle w:val="TextBody"/>
        <w:spacing w:before="0" w:after="0"/>
        <w:ind w:left="0" w:right="0" w:firstLine="72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rPr/>
      </w:pPr>
      <w:r>
        <w:rPr/>
      </w:r>
    </w:p>
    <w:p>
      <w:pPr>
        <w:pStyle w:val="TextBody"/>
        <w:spacing w:lineRule="auto" w:line="276"/>
        <w:ind w:left="0" w:right="0" w:firstLine="720"/>
        <w:rPr/>
      </w:pPr>
      <w:r>
        <w:rPr>
          <w:rFonts w:ascii="Times New Roman;sans-serif" w:hAnsi="Times New Roman;sans-serif"/>
          <w:b w:val="false"/>
          <w:color w:val="000000"/>
          <w:sz w:val="20"/>
        </w:rPr>
        <w:t>The preferred stock may be issued from time to time by the Board of Directors as shares of one or more classes or series.</w:t>
      </w:r>
      <w:r>
        <w:rPr>
          <w:color w:val="000000"/>
        </w:rPr>
        <w:t xml:space="preserve"> </w:t>
      </w:r>
      <w:r>
        <w:rPr>
          <w:rFonts w:ascii="Times New Roman;sans-serif" w:hAnsi="Times New Roman;sans-serif"/>
          <w:b w:val="false"/>
          <w:color w:val="000000"/>
          <w:sz w:val="20"/>
        </w:rPr>
        <w:t xml:space="preserve">Subject to the provisions of our Second Amended and Restated Certificate of Incorporation, as amended, and limitations prescribed by law, the Board of Directors is expressly authorized to adopt resolutions to issue the shares, to fix the number of shares and to change the number of shares constituting any series, and to provide for or change the voting powers, designations, preferences and relative, participating, optional or other </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75260"/>
                <wp:effectExtent l="0" t="0" r="0" b="0"/>
                <wp:wrapNone/>
                <wp:docPr id="82" name="Frame8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special rights, qualifications, limitations or restrictions thereof, including dividend rights (including whether dividends are cumulative), dividend rates, terms of redemption (including sinking fund provisions), redemption prices, conversion rights and liquidation preferences of the shares constituting any class or series of the preferred stock, in each case without any further action or vote by the stockholders.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One of the effects of undesignated preferred stock may be to enable the Board of Directors to render more difficult or to discourage an attempt to obtain control of the Company by means of a tender offer, proxy contest, merger or otherwise, and thereby to protect the continuity of our management.</w:t>
      </w:r>
      <w:r>
        <w:rPr>
          <w:color w:val="000000"/>
        </w:rPr>
        <w:t xml:space="preserve"> </w:t>
      </w:r>
      <w:r>
        <w:rPr>
          <w:rFonts w:ascii="Times New Roman;sans-serif" w:hAnsi="Times New Roman;sans-serif"/>
          <w:b w:val="false"/>
          <w:color w:val="000000"/>
          <w:sz w:val="20"/>
        </w:rPr>
        <w:t>The issuance of shares of preferred stock pursuant to the Board of Directors’ authority described above may adversely affect the rights of the holders of Common Stock.</w:t>
      </w:r>
      <w:r>
        <w:rPr>
          <w:color w:val="000000"/>
        </w:rPr>
        <w:t xml:space="preserve"> </w:t>
      </w:r>
      <w:r>
        <w:rPr>
          <w:rFonts w:ascii="Times New Roman;sans-serif" w:hAnsi="Times New Roman;sans-serif"/>
          <w:b w:val="false"/>
          <w:color w:val="000000"/>
          <w:sz w:val="20"/>
        </w:rPr>
        <w:t>For example, preferred stock we issue may rank prior to the Common Stock as to dividend rights, liquidation preference or both, may have full or limited voting rights and may be convertible into shares of Common Stock.</w:t>
      </w:r>
      <w:r>
        <w:rPr>
          <w:color w:val="000000"/>
        </w:rPr>
        <w:t xml:space="preserve"> </w:t>
      </w:r>
      <w:r>
        <w:rPr>
          <w:rFonts w:ascii="Times New Roman;sans-serif" w:hAnsi="Times New Roman;sans-serif"/>
          <w:b w:val="false"/>
          <w:color w:val="000000"/>
          <w:sz w:val="20"/>
        </w:rPr>
        <w:t>Accordingly, the issuance of shares of preferred stock may discourage bids for the Common Stock at a premium or may otherwise adversely affect the market price of the Common Stock.</w:t>
      </w:r>
    </w:p>
    <w:p>
      <w:pPr>
        <w:pStyle w:val="TextBody"/>
        <w:spacing w:before="0" w:after="0"/>
        <w:ind w:left="0" w:right="0" w:firstLine="72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Series A Junior Participating Preferred Stock</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On November 8, 2016, the Board of Directors declared a dividend of one preferred share purchase right (a “Right”) for each outstanding share of our Common Stock.</w:t>
      </w:r>
      <w:r>
        <w:rPr>
          <w:color w:val="000000"/>
        </w:rPr>
        <w:t xml:space="preserve"> </w:t>
      </w:r>
      <w:r>
        <w:rPr>
          <w:rFonts w:ascii="Times New Roman;sans-serif" w:hAnsi="Times New Roman;sans-serif"/>
          <w:b w:val="false"/>
          <w:color w:val="000000"/>
          <w:sz w:val="20"/>
        </w:rPr>
        <w:t>The dividend was payable to the stockholders of record as of the close of business on November 18, 2016 (the “Record Date”).</w:t>
      </w:r>
      <w:r>
        <w:rPr>
          <w:color w:val="000000"/>
        </w:rPr>
        <w:t xml:space="preserve"> </w:t>
      </w:r>
      <w:r>
        <w:rPr>
          <w:rFonts w:ascii="Times New Roman;sans-serif" w:hAnsi="Times New Roman;sans-serif"/>
          <w:b w:val="false"/>
          <w:color w:val="000000"/>
          <w:sz w:val="20"/>
        </w:rPr>
        <w:t>The following summary of the Rights does not purport to be complete and is qualified in its entirety by reference to that certain Tax Benefit Protection Plan Agreement, dated as of November 8, 2016 (the “Rights Agreement”), between the Company and American Stock Transfer &amp; Trust Company, LLC, as Rights Agent.</w:t>
      </w:r>
      <w:r>
        <w:rPr>
          <w:color w:val="000000"/>
        </w:rPr>
        <w:t xml:space="preserve"> </w:t>
      </w:r>
      <w:r>
        <w:rPr>
          <w:rFonts w:ascii="Times New Roman;sans-serif" w:hAnsi="Times New Roman;sans-serif"/>
          <w:b w:val="false"/>
          <w:color w:val="000000"/>
          <w:sz w:val="20"/>
        </w:rPr>
        <w:t>The Board of Directors adopted the Rights Agreement in an effort to protect stockholder value by attempting to protect against a possible limitation on the Company’s ability to use its net operating loss carryforwards (the “NOLs”) to reduce potential future federal income tax obligations.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The Rights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Subject to the terms, provisions and conditions of the Rights Agreement, each Right represents a right to purchase one one-thousandth of a share of the Company’s Series A Junior Participating Preferred Stock, par value $0.01 per share (“Preferred Stock”), at a price of $79.30 (as the same may be adjusted, the “Purchase Price”).</w:t>
      </w:r>
      <w:r>
        <w:rPr>
          <w:color w:val="000000"/>
        </w:rPr>
        <w:t xml:space="preserve"> </w:t>
      </w:r>
      <w:r>
        <w:rPr>
          <w:rFonts w:ascii="Times New Roman;sans-serif" w:hAnsi="Times New Roman;sans-serif"/>
          <w:b w:val="false"/>
          <w:color w:val="000000"/>
          <w:sz w:val="20"/>
        </w:rPr>
        <w:t>The Preferred Stock may be issued in fractions of a share which, upon exercise of the Rights, would entitle the holder, in proportion to such holder’s fractional shares, to exercise voting rights, receive dividends, participate in distributions and to have the benefit of all other rights of holders of Preferred Stock.</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Until a Right is exercised, the holder thereof, in their capacity as a Rights holder, will have no rights as a stockholder of the Company, including, without limitation, the right to vote or to receive dividends.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Distribution Date; Acquiring Persons, Transfer of Rights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Initially, the Rights will be attached to all Common Stock certificates (or book entry shares) representing the shares outstanding on the Record Date, and no separate right certificates will be distributed.</w:t>
      </w:r>
      <w:r>
        <w:rPr>
          <w:color w:val="000000"/>
        </w:rPr>
        <w:t xml:space="preserve"> </w:t>
      </w:r>
      <w:r>
        <w:rPr>
          <w:rFonts w:ascii="Times New Roman;sans-serif" w:hAnsi="Times New Roman;sans-serif"/>
          <w:b w:val="false"/>
          <w:color w:val="000000"/>
          <w:sz w:val="20"/>
        </w:rPr>
        <w:t>Subject to certain exceptions specified in the Rights Agreement, the Rights will separate from the Common Stock and a “Distribution Date” will occur upon the earlier of (i) ten (10) days following a public announcement that a person or group of affiliated or associated persons (an “Acquiring Person”) has acquired, or obtained the right to acquire, beneficial ownership of 4.95% or more of the outstanding shares of Common Stock (the “Stock Acquisition Date”) and (ii) ten (10) business days following the commencement of, or the first public announcement of a person’s intention to commence, a tender offer or exchange offer that would result in a person or group beneficially owning 4.95% or more of the outstanding shares of Common Stock.</w:t>
      </w:r>
      <w:r>
        <w:rPr>
          <w:color w:val="000000"/>
        </w:rPr>
        <w:t xml:space="preserve"> </w:t>
      </w:r>
      <w:r>
        <w:rPr>
          <w:rFonts w:ascii="Times New Roman;sans-serif" w:hAnsi="Times New Roman;sans-serif"/>
          <w:b w:val="false"/>
          <w:color w:val="000000"/>
          <w:sz w:val="20"/>
        </w:rPr>
        <w:t>The definition of Acquiring Person excludes any Exempt Person (as defined below) and any person who would become an Acquiring Person solely as a result of an Exempt Transaction (as defined below).</w:t>
      </w:r>
    </w:p>
    <w:p>
      <w:pPr>
        <w:pStyle w:val="TextBody"/>
        <w:spacing w:before="0" w:after="0"/>
        <w:ind w:left="0" w:right="0" w:firstLine="720"/>
        <w:rPr/>
      </w:pPr>
      <w:r>
        <w:rPr/>
      </w:r>
    </w:p>
    <w:p>
      <w:pPr>
        <w:pStyle w:val="TextBody"/>
        <w:spacing w:lineRule="auto" w:line="276"/>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Until the Distribution Date, (i) the Rights will be evidenced by the Common Stock certificates (or book entry shares in respect of the Common Stock) and will be transferred with and only with such Common Stock certificates (or book entry shares in respect of the Common Stock), (ii) new Common Stock certificates (or book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75260"/>
                <wp:effectExtent l="0" t="0" r="0" b="0"/>
                <wp:wrapNone/>
                <wp:docPr id="83" name="Frame8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entry shares in respect of the Common Stock) after the Record Date will contain a notation incorporating the Rights Agreement by reference and, with respect to any uncertificated book entry shares issued after the Record Date, proper notice will be provided that incorporates the Rights Agreement by reference and (iii) the surrender for transfer of any certificates for Common Stock (or book entry shares of Common Stock) outstanding will also constitute the transfer of the Rights associated with the Common Stock represented by such certificate or book entry shares.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As soon as practicable after the Distribution Date, right certificates will be mailed to holders of record of the Common Stock as of the close of business on the Distribution Date.</w:t>
      </w:r>
      <w:r>
        <w:rPr>
          <w:color w:val="000000"/>
        </w:rPr>
        <w:t xml:space="preserve"> </w:t>
      </w:r>
      <w:r>
        <w:rPr>
          <w:rFonts w:ascii="Times New Roman;sans-serif" w:hAnsi="Times New Roman;sans-serif"/>
          <w:b w:val="false"/>
          <w:color w:val="000000"/>
          <w:sz w:val="20"/>
        </w:rPr>
        <w:t>Thereafter, the separate right certificates alone will represent the Rights.</w:t>
      </w:r>
      <w:r>
        <w:rPr>
          <w:color w:val="000000"/>
        </w:rPr>
        <w:t xml:space="preserve"> </w:t>
      </w:r>
      <w:r>
        <w:rPr>
          <w:rFonts w:ascii="Times New Roman;sans-serif" w:hAnsi="Times New Roman;sans-serif"/>
          <w:b w:val="false"/>
          <w:color w:val="000000"/>
          <w:sz w:val="20"/>
        </w:rPr>
        <w:t>Except as otherwise determined by the Board, only shares of Common Stock issued prior to the Distribution Date will be issued with Rights.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Exempt Persons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persons are “Exempt Persons” as defined under the Rights Agreement:</w:t>
      </w:r>
    </w:p>
    <w:p>
      <w:pPr>
        <w:pStyle w:val="TextBody"/>
        <w:spacing w:before="0" w:after="0"/>
        <w:ind w:left="0" w:right="0" w:firstLine="720"/>
        <w:rPr/>
      </w:pPr>
      <w:r>
        <w:rPr/>
      </w:r>
    </w:p>
    <w:p>
      <w:pPr>
        <w:pStyle w:val="TextBody"/>
        <w:spacing w:lineRule="auto" w:line="27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 Any person who, together with its affiliates and associates, is the beneficial owner of Common Stock, options and/or warrants exercisable for shares of Common Stock representing 4.95% or more of the shares of Common Stock outstanding on November 8, 2016 will be an “Exempt Person.” However, any such person will no longer be treated as an Exempt Person and will be deemed an Acquiring Person if such person, together with its affiliates and associates, thereafter becomes the beneficial owner of securities representing a percentage of the outstanding Common Stock that exceeds by one-half of one percent (0.5%) or more the lowest percentage of Common Stock beneficially owned by such person at any time since November 8, 2016, excluding increases in percentage ownership of Common Stock attributable to any (x) grant or adjustment of an equity compensation award to such person by the Company or (y) repurchase or redemption of Common Stock by the Company.</w:t>
      </w:r>
    </w:p>
    <w:p>
      <w:pPr>
        <w:pStyle w:val="TextBody"/>
        <w:spacing w:before="0" w:after="0"/>
        <w:ind w:left="0" w:right="0" w:firstLine="720"/>
        <w:rPr/>
      </w:pPr>
      <w:r>
        <w:rPr/>
      </w:r>
    </w:p>
    <w:p>
      <w:pPr>
        <w:pStyle w:val="TextBody"/>
        <w:spacing w:lineRule="auto" w:line="27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(ii) In addition, any person who, together with its affiliates and associates, becomes the beneficial owner of Common Stock, options and/or warrants exercisable for shares of Common Stock representing 4.95% or more of the shares of Common Stock then outstanding because of a reduction in the number of outstanding shares of Common Stock as the result of a purchase of Common Stock by the Company or any of its subsidiaries will also be an “Exempt Person.” However, any such person will no longer be treated as an Exempt Person and will be deemed an Acquiring Person if such person, together with its affiliates and associates, thereafter becomes the beneficial owner of securities representing a percentage of the outstanding Common Stock that exceeds by one-half of one percent (0.5%) or more the lowest percentage of the outstanding Common Stock beneficially owned by such person at any time since such person first beneficially owned 4.95% or more of the Common Stock, excluding increases in percentage ownership of Common Stock attributable to any (x) grant or adjustment of an equity compensation award to such person by the Company or (y) repurchase or redemption of shares of Common Stock by the Company.</w:t>
      </w:r>
    </w:p>
    <w:p>
      <w:pPr>
        <w:pStyle w:val="TextBody"/>
        <w:spacing w:before="0" w:after="0"/>
        <w:ind w:left="0" w:right="0" w:firstLine="720"/>
        <w:rPr/>
      </w:pPr>
      <w:r>
        <w:rPr/>
      </w:r>
    </w:p>
    <w:p>
      <w:pPr>
        <w:pStyle w:val="TextBody"/>
        <w:spacing w:lineRule="auto" w:line="276"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(iii) In addition, any person who, together with its affiliates and associates, is the beneficial owner of Common Stock, options and/or warrants exercisable for shares of Common Stock representing 4.95% or more of the outstanding Common Stock, and whose beneficial ownership is determined by the Board, in its sole discretion, (x) not to jeopardize or endanger the unrestricted availability to the Company of its tax benefits or (y) to be in the best interests of the Company, will be an “Exempt Person.” However, any such person shall no longer be treated as an Exempt Person and will be deemed an Acquiring Person if (A) such person, together with its affiliates and associates, thereafter becomes the beneficial owner of a percentage of Common Stock that exceeds by one-half of one percent (0.5%) or more the lowest percentage of Common Stock beneficially owned by such person at any time since such person first beneficially owned 4.95% or more of the Common Stock, excluding increases in beneficial ownership of Common Stock attributable to any (I) grant or adjustment of an equity compensation award to such person by the Company or (II) repurchase or redemption of Common Stock by the Company, or (B) the Board, in its sole discretion, determines that such person’s Beneficial Ownership (together with its affiliates and associates) may jeopardize or endanger the unrestricted availability to the Company of its tax benefits or not be in the best interests of the Company.</w:t>
      </w:r>
    </w:p>
    <w:p>
      <w:pPr>
        <w:pStyle w:val="TextBody"/>
        <w:spacing w:before="0" w:after="0"/>
        <w:ind w:left="0" w:right="0" w:firstLine="720"/>
        <w:rPr/>
      </w:pPr>
      <w:r>
        <w:rPr/>
      </w:r>
    </w:p>
    <w:p>
      <w:pPr>
        <w:pStyle w:val="TextBody"/>
        <w:spacing w:lineRule="auto" w:line="276"/>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 purchaser, assignee or transferee of shares of Common Stock (or options or warrants exercisable for Common Stock) from an Exempt Person will not thereby become an Exempt Person, except that a transferee who receives Common Stock as a bequest or inheritance from the estate of an Exempt Person shall be an Exempt Person </w:t>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75260"/>
                <wp:effectExtent l="0" t="0" r="0" b="0"/>
                <wp:wrapNone/>
                <wp:docPr id="84" name="Frame8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so long as such transferee continues to be the beneficial owner of 4.95% or more of the then outstanding shares of Common Stock.</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Exempt Transactions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The following transactions shall be “Exempt Transactions” under the Rights Agreement: any transaction that the Board determines, in its sole discretion, is exempt from the Rights Agreement, which determination shall be made in the sole and absolute discretion of the Board prior to the date of such transaction, including, without limitation, if the Board determines that (i) neither the beneficial ownership of shares of Common Stock by any person, directly or indirectly, as a result of such transaction nor any other aspect of such transaction would jeopardize or endanger the unrestricted availability to the Company of the Company’s tax benefits or (ii) such transaction is otherwise in the best interests of the Company.</w:t>
      </w:r>
      <w:r>
        <w:rPr>
          <w:color w:val="000000"/>
        </w:rPr>
        <w:t xml:space="preserve"> </w:t>
      </w:r>
      <w:r>
        <w:rPr>
          <w:rFonts w:ascii="Times New Roman;sans-serif" w:hAnsi="Times New Roman;sans-serif"/>
          <w:b w:val="false"/>
          <w:color w:val="000000"/>
          <w:sz w:val="20"/>
        </w:rPr>
        <w:t>In granting an exemption for an “Exempt Transaction,” the Board may require any person who would otherwise be an Acquiring Person to make certain representations or undertakings or to agree that any violation or attempted violation of such representations or undertakings will result in such consequences and subject the person to such conditions as the Board may determine in its sole discretion, including that any such violation shall result in such person becoming an Acquiring Person.</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Exercisability; Expiration</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Rights are not exercisable until the Distribution Date and will expire on the earliest of (i) the close of business on December 31, 2021, (ii) the repeal of Section 382 of the Internal Revenue Code of 1986, as amended (the “Code”) and any successor statute or any other change of law if, as a result of such change of law, the Board determines that the Rights Agreement is no longer necessary or desirable for the preservation of certain tax benefits, and (iii) the beginning of the first taxable year of the Company to which the Board determines that certain tax benefits may not be carried forward.</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If an Acquiring Person becomes the beneficial owner of 4.95% or more of the outstanding shares of Common Stock, each holder of a Right will thereafter have the right to receive, upon exercise, Common Stock (or, in certain circumstances, cash, property or other securities of the Company), having a value equal to two times the exercise price of the Right.</w:t>
      </w:r>
      <w:r>
        <w:rPr>
          <w:color w:val="000000"/>
        </w:rPr>
        <w:t xml:space="preserve"> </w:t>
      </w:r>
      <w:r>
        <w:rPr>
          <w:rFonts w:ascii="Times New Roman;sans-serif" w:hAnsi="Times New Roman;sans-serif"/>
          <w:b w:val="false"/>
          <w:color w:val="000000"/>
          <w:sz w:val="20"/>
        </w:rPr>
        <w:t>The exercise price is the Purchase Price times the number of shares of Common Stock associated with each Right (initially, one).</w:t>
      </w:r>
      <w:r>
        <w:rPr>
          <w:color w:val="000000"/>
        </w:rPr>
        <w:t xml:space="preserve"> </w:t>
      </w:r>
      <w:r>
        <w:rPr>
          <w:rFonts w:ascii="Times New Roman;sans-serif" w:hAnsi="Times New Roman;sans-serif"/>
          <w:b w:val="false"/>
          <w:color w:val="000000"/>
          <w:sz w:val="20"/>
        </w:rPr>
        <w:t>Notwithstanding any of the foregoing, following the occurrence of an Acquiring Person becoming such (a “Flip-In Event”), all Rights that are, or (under certain circumstances specified in the Rights Agreement) were, beneficially owned by any Acquiring Person will be null and void.</w:t>
      </w:r>
      <w:r>
        <w:rPr>
          <w:color w:val="000000"/>
        </w:rPr>
        <w:t xml:space="preserve"> </w:t>
      </w:r>
      <w:r>
        <w:rPr>
          <w:rFonts w:ascii="Times New Roman;sans-serif" w:hAnsi="Times New Roman;sans-serif"/>
          <w:b w:val="false"/>
          <w:color w:val="000000"/>
          <w:sz w:val="20"/>
        </w:rPr>
        <w:t>However, Rights are not exercisable following the occurrence of a Flip-In Event until such time as the Rights are no longer redeemable by the Company as set forth below.</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For example, at an exercise price of $85.00 per Right, each Right distributed in respect of shares of Common Stock not owned by an Acquiring Person (or by certain related parties) following a Flip-In Event would entitle its holder to purchase $170.00 worth of Common Stock (or other consideration, as noted above) for $85.00.</w:t>
      </w:r>
      <w:r>
        <w:rPr>
          <w:color w:val="000000"/>
        </w:rPr>
        <w:t xml:space="preserve"> </w:t>
      </w:r>
      <w:r>
        <w:rPr>
          <w:rFonts w:ascii="Times New Roman;sans-serif" w:hAnsi="Times New Roman;sans-serif"/>
          <w:b w:val="false"/>
          <w:color w:val="000000"/>
          <w:sz w:val="20"/>
        </w:rPr>
        <w:t>If the Common Stock at the time of exercise had a market value per share of $10.00 per share, the holder of each valid Right would be entitled to purchase 17 shares of Common Stock for $85.00.</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Until a Right is exercised, the holder thereof, in their capacity as a Rights holder, will have no rights as a stockholder of the Company, including, without limitation, the right to vote or to receive dividends.</w:t>
      </w:r>
      <w:r>
        <w:rPr>
          <w:color w:val="000000"/>
        </w:rPr>
        <w:t xml:space="preserve"> </w:t>
      </w:r>
      <w:r>
        <w:rPr>
          <w:rFonts w:ascii="Times New Roman;sans-serif" w:hAnsi="Times New Roman;sans-serif"/>
          <w:b w:val="false"/>
          <w:color w:val="000000"/>
          <w:sz w:val="20"/>
        </w:rPr>
        <w:t>While the distribution of the Rights will not be taxable to stockholders or to the Company, stockholders may, depending upon the circumstances, recognize taxable income in the event that the Rights become exercisable for Common Stock (or other consideration) of the Company as set forth above or in the event the Rights are redeemed.</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Anti-Dilution Provisions</w:t>
      </w:r>
    </w:p>
    <w:p>
      <w:pPr>
        <w:pStyle w:val="TextBody"/>
        <w:spacing w:before="0" w:after="0"/>
        <w:ind w:left="0" w:right="0" w:firstLine="720"/>
        <w:rPr/>
      </w:pPr>
      <w:r>
        <w:rPr/>
      </w:r>
    </w:p>
    <w:p>
      <w:pPr>
        <w:pStyle w:val="TextBody"/>
        <w:spacing w:lineRule="auto" w:line="276"/>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payable, and the number of shares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then-current market price of the Preferred Stock, or (iii) upon the distribution to holders of the Preferred </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75260"/>
                <wp:effectExtent l="0" t="0" r="0" b="0"/>
                <wp:wrapNone/>
                <wp:docPr id="85" name="Frame8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Stock of evidence of indebtedness or assets (excluding regular quarterly cash dividends) or of subscription rights or warrants (other than those referred to above).</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With certain exceptions, no adjustments in the Purchase Price will be required until cumulative adjustments amount to at least 1% of the Purchase Price.</w:t>
      </w:r>
      <w:r>
        <w:rPr>
          <w:color w:val="000000"/>
        </w:rPr>
        <w:t xml:space="preserve"> </w:t>
      </w:r>
      <w:r>
        <w:rPr>
          <w:rFonts w:ascii="Times New Roman;sans-serif" w:hAnsi="Times New Roman;sans-serif"/>
          <w:b w:val="false"/>
          <w:color w:val="000000"/>
          <w:sz w:val="20"/>
        </w:rPr>
        <w:t>No fractional shares will be issued and, in lieu thereof, an adjustment in cash will be made based on the market price of the Preferred Stock on the last trading date prior to the date of exercise.</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Exchange</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any time after the Stock Acquisition Date, the Board may exchange the Rights (other than Rights owned by an Acquiring Person), in whole or in part, at an exchange ratio equal to one (1) share of Common Stock per Right (subject to adjustment).</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Redemption</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At any time until ten (10) days following the Stock Acquisition Date, the Company may redeem the Rights in whole, but not in part, at a price of $0.001 per Right.</w:t>
      </w:r>
      <w:r>
        <w:rPr>
          <w:color w:val="000000"/>
        </w:rPr>
        <w:t xml:space="preserve"> </w:t>
      </w:r>
      <w:r>
        <w:rPr>
          <w:rFonts w:ascii="Times New Roman;sans-serif" w:hAnsi="Times New Roman;sans-serif"/>
          <w:b w:val="false"/>
          <w:color w:val="000000"/>
          <w:sz w:val="20"/>
        </w:rPr>
        <w:t>Immediately upon action by the Board ordering redemption of the Rights, the Rights will terminate and the only right of the holders of Rights will be to receive the $0.001 redemption price.</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Amendments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Other than those provisions relating to the principal economic terms of the Rights, any of the provisions of the Rights Agreement may be amended by the Board prior to the Distribution Date.</w:t>
      </w:r>
      <w:r>
        <w:rPr>
          <w:color w:val="000000"/>
        </w:rPr>
        <w:t xml:space="preserve"> </w:t>
      </w:r>
      <w:r>
        <w:rPr>
          <w:rFonts w:ascii="Times New Roman;sans-serif" w:hAnsi="Times New Roman;sans-serif"/>
          <w:b w:val="false"/>
          <w:color w:val="000000"/>
          <w:sz w:val="20"/>
        </w:rPr>
        <w:t>After the Distribution Date, the provisions of the Rights Agreement may be amended by the Board in order to cure any ambiguity, to make changes which do not adversely affect the interests of holders of Rights (excluding the interests of any Acquiring Person), or to shorten or lengthen any time period under the Rights Agreement; provided, however, that no amendment to lengthen the time period governing redemption shall be made at such time as the Rights are not redeemable.</w:t>
      </w:r>
    </w:p>
    <w:p>
      <w:pPr>
        <w:pStyle w:val="TextBody"/>
        <w:spacing w:before="0" w:after="0"/>
        <w:ind w:left="0" w:right="0" w:firstLine="72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Statutory Business Combination Provision</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We are subject to the provisions of Section 203 of the Delaware General Corporation Law.</w:t>
      </w:r>
      <w:r>
        <w:rPr>
          <w:color w:val="000000"/>
        </w:rPr>
        <w:t xml:space="preserve"> </w:t>
      </w:r>
      <w:r>
        <w:rPr>
          <w:rFonts w:ascii="Times New Roman;sans-serif" w:hAnsi="Times New Roman;sans-serif"/>
          <w:b w:val="false"/>
          <w:color w:val="000000"/>
          <w:sz w:val="20"/>
        </w:rPr>
        <w:t>Section 203 provides, with certain exceptions, that a Delaware corporation may not engage in any of a broad range of business combinations with a person or an affiliate, or associate of such person, who is an “interested stockholder” for a period of three years from the date that such person became an interested stockholder unless: (1) the transaction resulting in a person becoming an interested stockholder, or the business combination, is approved by the board of directors of the corporation before the person becomes an interested stockholder, (2) 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both officers and directors of the corporation, and shares held by certain employee stock ownership plans) or (3) on or after such time the business combination is approved by the board of directors and authorized at a meeting of stockholders by at least two- thirds of the outstanding voting stock that is not owned by the interested stockholder.</w:t>
      </w:r>
      <w:r>
        <w:rPr>
          <w:color w:val="000000"/>
        </w:rPr>
        <w:t xml:space="preserve"> </w:t>
      </w:r>
      <w:r>
        <w:rPr>
          <w:rFonts w:ascii="Times New Roman;sans-serif" w:hAnsi="Times New Roman;sans-serif"/>
          <w:b w:val="false"/>
          <w:color w:val="000000"/>
          <w:sz w:val="20"/>
        </w:rPr>
        <w:t>Under Section 203, an “interested stockholder” is defined as any person who is the owner of 15% or more of the outstanding voting stock of the corporation or an affiliate or associate of the corporation and who became the owner of 15% or more of the outstanding voting stock of the corporation at any time within the three-year period immediately prior to the date on which it is sought to be determined whether such person is an interested stockholder.</w:t>
      </w:r>
    </w:p>
    <w:p>
      <w:pPr>
        <w:pStyle w:val="TextBody"/>
        <w:spacing w:before="0" w:after="0"/>
        <w:ind w:left="0" w:right="0" w:firstLine="720"/>
        <w:rPr/>
      </w:pPr>
      <w:r>
        <w:rPr/>
      </w:r>
    </w:p>
    <w:p>
      <w:pPr>
        <w:pStyle w:val="TextBody"/>
        <w:spacing w:lineRule="auto" w:line="276"/>
        <w:ind w:left="0" w:right="0" w:firstLine="720"/>
        <w:rPr/>
      </w:pPr>
      <w:r>
        <w:rPr>
          <w:rFonts w:ascii="Times New Roman;sans-serif" w:hAnsi="Times New Roman;sans-serif"/>
          <w:b w:val="false"/>
          <w:color w:val="000000"/>
          <w:sz w:val="20"/>
        </w:rPr>
        <w:t>A corporation may, at its option, exclude itself from the coverage of Section 203 by amending its certificate of incorporation or bylaws, by action of its stockholders, to exempt itself from coverage.</w:t>
      </w:r>
      <w:r>
        <w:rPr>
          <w:color w:val="000000"/>
        </w:rPr>
        <w:t xml:space="preserve"> </w:t>
      </w:r>
      <w:r>
        <w:rPr>
          <w:rFonts w:ascii="Times New Roman;sans-serif" w:hAnsi="Times New Roman;sans-serif"/>
          <w:b w:val="false"/>
          <w:color w:val="000000"/>
          <w:sz w:val="20"/>
        </w:rPr>
        <w:t>We have not adopted such an amendment to our Second Amended and Restated Certificate of Incorporation, as amended, or our Amended and Restated Bylaws.</w:t>
      </w:r>
      <w:r>
        <w:rPr>
          <w:color w:val="000000"/>
        </w:rPr>
        <w:t xml:space="preserve"> </w:t>
      </w:r>
      <w:r>
        <w:rPr>
          <w:rFonts w:ascii="Times New Roman;sans-serif" w:hAnsi="Times New Roman;sans-serif"/>
          <w:b w:val="false"/>
          <w:color w:val="000000"/>
          <w:sz w:val="20"/>
        </w:rPr>
        <w:t>As of September 30, 2020, Tontine was the controlling stockholder of our Common Stock.</w:t>
      </w:r>
      <w:r>
        <w:rPr>
          <w:color w:val="000000"/>
        </w:rPr>
        <w:t xml:space="preserve"> </w:t>
      </w:r>
      <w:r>
        <w:rPr>
          <w:rFonts w:ascii="Times New Roman;sans-serif" w:hAnsi="Times New Roman;sans-serif"/>
          <w:b w:val="false"/>
          <w:color w:val="000000"/>
          <w:sz w:val="20"/>
        </w:rPr>
        <w:t>However, as the transaction which resulted in Tontine becoming an “interested stockholder” was approved by the Board, Tontine is exempt from application of Section 203.</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75260"/>
                <wp:effectExtent l="0" t="0" r="0" b="0"/>
                <wp:wrapNone/>
                <wp:docPr id="86" name="Frame8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Limitation on Directors’ Liability</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Pursuant to our Second Amended and Restated Certificate of Incorporation, as amended, and Delaware law, our directors are not liable to the Company or our stockholders for monetary damages for breach of fiduciary duty, except for liability in connection with a breach of the duty of loyalty, for acts or omissions not in good faith or that involve intentional misconduct or a knowing violation of law, for dividend payments or stock repurchases illegal under Delaware law or any transaction in which a director has derived an improper personal benefit.</w:t>
      </w:r>
      <w:r>
        <w:rPr>
          <w:color w:val="000000"/>
        </w:rPr>
        <w:t xml:space="preserve"> </w:t>
      </w:r>
      <w:r>
        <w:rPr>
          <w:rFonts w:ascii="Times New Roman;sans-serif" w:hAnsi="Times New Roman;sans-serif"/>
          <w:b w:val="false"/>
          <w:color w:val="000000"/>
          <w:sz w:val="20"/>
        </w:rPr>
        <w:t>We have entered into indemnification agreements with certain of our directors and executive officers that indemnify those persons to the fullest extent permitted by our Second Amended and Restated Certificate of Incorporation, as amended, our Amended and Restated Bylaws and the Delaware General Corporation Law.</w:t>
      </w:r>
      <w:r>
        <w:rPr>
          <w:color w:val="000000"/>
        </w:rPr>
        <w:t xml:space="preserve"> </w:t>
      </w:r>
      <w:r>
        <w:rPr>
          <w:rFonts w:ascii="Times New Roman;sans-serif" w:hAnsi="Times New Roman;sans-serif"/>
          <w:b w:val="false"/>
          <w:color w:val="000000"/>
          <w:sz w:val="20"/>
        </w:rPr>
        <w:t>We also have obtained directors’ and officers’ liability insurance.</w:t>
      </w:r>
      <w:r>
        <w:rPr>
          <w:color w:val="000000"/>
        </w:rPr>
        <w:t xml:space="preserve"> </w:t>
      </w:r>
      <w:r>
        <w:rPr>
          <w:rFonts w:ascii="Times New Roman;sans-serif" w:hAnsi="Times New Roman;sans-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pStyle w:val="TextBody"/>
        <w:spacing w:before="0" w:after="0"/>
        <w:ind w:left="0" w:right="0" w:firstLine="72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Second Amended and Restated Certificate of Incorporation and Amended and Restated Bylaw Provisions</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Our Second Amended and Restated Certificate of Incorporation, as amended, and Amended and Restated Bylaws include provisions that may have the effect of discouraging, delaying or preventing a change in control of the Company or an unsolicited acquisition proposal that a stockholder might consider favorable, including a proposal that might result in the payment of a premium over the market price for the shares held by stockholders.</w:t>
      </w:r>
      <w:r>
        <w:rPr>
          <w:color w:val="000000"/>
        </w:rPr>
        <w:t xml:space="preserve"> </w:t>
      </w:r>
      <w:r>
        <w:rPr>
          <w:rFonts w:ascii="Times New Roman;sans-serif" w:hAnsi="Times New Roman;sans-serif"/>
          <w:b w:val="false"/>
          <w:color w:val="000000"/>
          <w:sz w:val="20"/>
        </w:rPr>
        <w:t>These provisions are summarized in the following paragraphs.</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i/>
          <w:color w:val="000000"/>
          <w:sz w:val="20"/>
        </w:rPr>
        <w:t>Supermajority Voting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Second Amended and Restated Certificate of Incorporation, as amended, requires the approval of the holders of at least 75% of the then-outstanding shares of our capital stock entitled to vote thereon and the approval of the holders of at least 75% of the then-outstanding shares of each class of stock voting separately as a class on, among other things, certain amendments to our Second Amended and Restated Certificate of Incorporation, as amended.</w:t>
      </w:r>
      <w:r>
        <w:rPr>
          <w:color w:val="000000"/>
        </w:rPr>
        <w:t xml:space="preserve"> </w:t>
      </w:r>
      <w:r>
        <w:rPr>
          <w:rFonts w:ascii="Times New Roman;sans-serif" w:hAnsi="Times New Roman;sans-serif"/>
          <w:b w:val="false"/>
          <w:color w:val="000000"/>
          <w:sz w:val="20"/>
        </w:rPr>
        <w:t>Our Board of Directors may amend, alter, change or repeal our Amended and Restated Bylaws, or adopt new Bylaws by the affirmative vote of a majority of the Board of Directors at any meeting and without the assent or vote of the stockholders.</w:t>
      </w:r>
      <w:r>
        <w:rPr>
          <w:color w:val="000000"/>
        </w:rPr>
        <w:t xml:space="preserve"> </w:t>
      </w:r>
      <w:r>
        <w:rPr>
          <w:rFonts w:ascii="Times New Roman;sans-serif" w:hAnsi="Times New Roman;sans-serif"/>
          <w:b w:val="false"/>
          <w:color w:val="000000"/>
          <w:sz w:val="20"/>
        </w:rPr>
        <w:t>The Amended and Restated Bylaws may also be altered, amended or repealed, or new Bylaws may be adopted, upon the affirmative vote of holders of at least a majority of the shares of Common Stock entitled to vote thereon.</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i/>
          <w:color w:val="000000"/>
          <w:sz w:val="20"/>
        </w:rPr>
        <w:t>Authorized but Unissued or Undesignated Capital Stock</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authorized capital stock consists of 100,000,000 shares of Common Stock and 10,000,000 shares of preferred stock.</w:t>
      </w:r>
      <w:r>
        <w:rPr>
          <w:color w:val="000000"/>
        </w:rPr>
        <w:t xml:space="preserve"> </w:t>
      </w:r>
      <w:r>
        <w:rPr>
          <w:rFonts w:ascii="Times New Roman;sans-serif" w:hAnsi="Times New Roman;sans-serif"/>
          <w:b w:val="false"/>
          <w:color w:val="000000"/>
          <w:sz w:val="20"/>
        </w:rPr>
        <w:t>The authorized but unissued (and in the case of preferred stock, undesignated) stock may be issued by the Board of Directors in one or more transactions.</w:t>
      </w:r>
      <w:r>
        <w:rPr>
          <w:color w:val="000000"/>
        </w:rPr>
        <w:t xml:space="preserve"> </w:t>
      </w:r>
      <w:r>
        <w:rPr>
          <w:rFonts w:ascii="Times New Roman;sans-serif" w:hAnsi="Times New Roman;sans-serif"/>
          <w:b w:val="false"/>
          <w:color w:val="000000"/>
          <w:sz w:val="20"/>
        </w:rPr>
        <w:t>In this regard, our Second Amended and Restated Certificate of Incorporation, as amended, grants our Board of Directors broad power to establish the rights and preferences of authorized and unissued preferred stock.</w:t>
      </w:r>
      <w:r>
        <w:rPr>
          <w:color w:val="000000"/>
        </w:rPr>
        <w:t xml:space="preserve"> </w:t>
      </w:r>
      <w:r>
        <w:rPr>
          <w:rFonts w:ascii="Times New Roman;sans-serif" w:hAnsi="Times New Roman;sans-serif"/>
          <w:b w:val="false"/>
          <w:color w:val="000000"/>
          <w:sz w:val="20"/>
        </w:rPr>
        <w:t>The issuance of shares of preferred stock pursuant to our Board of Directors’ authority described above could decrease the amount of earnings and assets available for distribution to holders of Common Stock and adversely affect the rights and powers, including voting rights, of such holders and may also have the effect of delaying, deferring or preventing a change in control of the Company. Our Board of Directors does not currently intend to seek stockholder approval prior to any issuance of preferred stock, unless otherwise required by law.</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i/>
          <w:color w:val="000000"/>
          <w:sz w:val="20"/>
        </w:rPr>
        <w:t>Special Meeting of Stockholders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Amended and Restated Bylaws provide that special meetings of our stockholders may only be called by (1) the Chairman of the Board of Directors upon the written request of the Board of Directors pursuant to a resolution approved by a majority of the Board of Directors or (2) upon the receipt of the written request of the holders of at least 25% of the outstanding shares of our Common Stock.</w:t>
      </w:r>
    </w:p>
    <w:p>
      <w:pPr>
        <w:pStyle w:val="TextBody"/>
        <w:spacing w:before="0" w:after="0"/>
        <w:ind w:left="0" w:right="0" w:firstLine="720"/>
        <w:rPr/>
      </w:pPr>
      <w:r>
        <w:rPr/>
      </w:r>
    </w:p>
    <w:p>
      <w:pPr>
        <w:pStyle w:val="TextBody"/>
        <w:spacing w:lineRule="auto" w:line="276"/>
        <w:ind w:left="0" w:right="0" w:firstLine="720"/>
        <w:rPr/>
      </w:pPr>
      <w:r>
        <w:rPr>
          <w:rFonts w:ascii="Times New Roman;sans-serif" w:hAnsi="Times New Roman;sans-serif"/>
          <w:b w:val="false"/>
          <w:i/>
          <w:color w:val="000000"/>
          <w:sz w:val="20"/>
        </w:rPr>
        <w:t>Stockholder Action by Written Consent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Second Amended and Restated Certificate of Incorporation, as amended, and Amended and Restated Bylaws generally provide that any action required or permitted by our stockholders must be effected at a duly called annual or special meeting of the stockholders and may not be effected by any written consent of the stockholders.</w:t>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87" name="Frame8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firstLine="720"/>
        <w:rPr/>
      </w:pPr>
      <w:r>
        <w:rPr>
          <w:rFonts w:ascii="Times New Roman;sans-serif" w:hAnsi="Times New Roman;sans-serif"/>
          <w:b w:val="false"/>
          <w:i/>
          <w:color w:val="000000"/>
          <w:sz w:val="20"/>
        </w:rPr>
        <w:t>Notice Procedures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Amended and Restated Bylaws establish advance notice procedures with regard to stockholder proposals relating to the nomination of candidates for election as director and amendments to our Second Amended and Restated Certificate of Incorporation, as amended, or Amended and Restated Bylaws to be brought before annual meetings of our stockholders.</w:t>
      </w:r>
      <w:r>
        <w:rPr>
          <w:color w:val="000000"/>
        </w:rPr>
        <w:t xml:space="preserve"> </w:t>
      </w:r>
      <w:r>
        <w:rPr>
          <w:rFonts w:ascii="Times New Roman;sans-serif" w:hAnsi="Times New Roman;sans-serif"/>
          <w:b w:val="false"/>
          <w:color w:val="000000"/>
          <w:sz w:val="20"/>
        </w:rPr>
        <w:t>These procedures provide that notice of such stockholder proposals must be timely given in writing to our Secretary prior to the annual meeting.</w:t>
      </w:r>
      <w:r>
        <w:rPr>
          <w:color w:val="000000"/>
        </w:rPr>
        <w:t xml:space="preserve"> </w:t>
      </w:r>
      <w:r>
        <w:rPr>
          <w:rFonts w:ascii="Times New Roman;sans-serif" w:hAnsi="Times New Roman;sans-serif"/>
          <w:b w:val="false"/>
          <w:color w:val="000000"/>
          <w:sz w:val="20"/>
        </w:rPr>
        <w:t>Generally, to be timely, notice must be received at our principal executive offices not less than 80 days prior to an annual meeting (or if fewer than 90 days’ notice or prior public disclosure of the date of the annual meeting is given or made by the Company, not later than the tenth day following the date on which the notice of the date of the annual meeting was mailed or such public disclosure was made).</w:t>
      </w:r>
      <w:r>
        <w:rPr>
          <w:color w:val="000000"/>
        </w:rPr>
        <w:t xml:space="preserve"> </w:t>
      </w:r>
      <w:r>
        <w:rPr>
          <w:rFonts w:ascii="Times New Roman;sans-serif" w:hAnsi="Times New Roman;sans-serif"/>
          <w:b w:val="false"/>
          <w:color w:val="000000"/>
          <w:sz w:val="20"/>
        </w:rPr>
        <w:t>The notice must contain certain information specified in the Amended and Restated Bylaws, including a brief description of the business desired to be brought before the annual meeting and certain information concerning the stockholder submitting the proposal.</w:t>
      </w:r>
    </w:p>
    <w:p>
      <w:pPr>
        <w:pStyle w:val="TextBody"/>
        <w:spacing w:before="0" w:after="0"/>
        <w:ind w:left="0" w:right="0" w:firstLine="72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Rights Agreement</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On November 8, 2016, the Board of Directors adopted the Rights Agreement in an effort to protect stockholder value by attempting to protect against a possible limitation on the Company’s ability to use NOLs to reduce potential future federal income tax obligations.</w:t>
      </w:r>
      <w:r>
        <w:rPr>
          <w:color w:val="000000"/>
        </w:rPr>
        <w:t xml:space="preserve"> </w:t>
      </w:r>
      <w:r>
        <w:rPr>
          <w:rFonts w:ascii="Times New Roman;sans-serif" w:hAnsi="Times New Roman;sans-serif"/>
          <w:b w:val="false"/>
          <w:color w:val="000000"/>
          <w:sz w:val="20"/>
        </w:rPr>
        <w:t>The Company has experienced and may experience in the future substantial operating losses, and under the Code and rules promulgated by the Internal Revenue Service, the Company may “carry forward” these losses in certain circumstances to effect any current and future earnings and thus reduce the Company’s federal income tax liability, subject to certain requirements and restrictions.</w:t>
      </w:r>
      <w:r>
        <w:rPr>
          <w:color w:val="000000"/>
        </w:rPr>
        <w:t xml:space="preserve"> </w:t>
      </w:r>
      <w:r>
        <w:rPr>
          <w:rFonts w:ascii="Times New Roman;sans-serif" w:hAnsi="Times New Roman;sans-serif"/>
          <w:b w:val="false"/>
          <w:color w:val="000000"/>
          <w:sz w:val="20"/>
        </w:rPr>
        <w:t>To the extent that the NOLs do not otherwise become limited, the Company believes that it will be able to carry forward a significant amount of NOLs, and therefore these NOLs could be a substantial asset to the Company.</w:t>
      </w:r>
      <w:r>
        <w:rPr>
          <w:color w:val="000000"/>
        </w:rPr>
        <w:t xml:space="preserve"> </w:t>
      </w:r>
      <w:r>
        <w:rPr>
          <w:rFonts w:ascii="Times New Roman;sans-serif" w:hAnsi="Times New Roman;sans-serif"/>
          <w:b w:val="false"/>
          <w:color w:val="000000"/>
          <w:sz w:val="20"/>
        </w:rPr>
        <w:t>However, if the Company experiences an “ownership change”, as defined in Section 382 of the Code, its ability to use the NOLs will be substantially limited, and the timing of the usage of the NOLs could be substantially delayed, which could therefore significantly impair the value of that asset.</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0"/>
        </w:rPr>
        <w:t>The Rights Agreement is designed to deter an acquisition of the Company’s Common Stock in excess of a threshold amount that could trigger a “change of control” within the meaning of Section 382 of the Code.</w:t>
      </w:r>
      <w:r>
        <w:rPr>
          <w:color w:val="000000"/>
        </w:rPr>
        <w:t xml:space="preserve"> </w:t>
      </w:r>
      <w:r>
        <w:rPr>
          <w:rFonts w:ascii="Times New Roman;sans-serif" w:hAnsi="Times New Roman;sans-serif"/>
          <w:b w:val="false"/>
          <w:color w:val="000000"/>
          <w:sz w:val="20"/>
        </w:rPr>
        <w:t>The Rights Agreement is designed to effectively dilute the ownership of any Acquiring Person through the offering of rights to the Company’s other stockholders that could be exercised upon the Acquiring Person’s acquisition of the Company’s Common Stock in excess of the threshold amount.</w:t>
      </w:r>
      <w:r>
        <w:rPr>
          <w:color w:val="000000"/>
        </w:rPr>
        <w:t xml:space="preserve"> </w:t>
      </w:r>
      <w:r>
        <w:rPr>
          <w:rFonts w:ascii="Times New Roman;sans-serif" w:hAnsi="Times New Roman;sans-serif"/>
          <w:b w:val="false"/>
          <w:color w:val="000000"/>
          <w:sz w:val="20"/>
        </w:rPr>
        <w:t>There can be no assurance that the Rights Agreement will be effective in deterring a change of control or protecting the NOLs.</w:t>
      </w:r>
      <w:r>
        <w:rPr>
          <w:color w:val="000000"/>
        </w:rPr>
        <w:t xml:space="preserve"> </w:t>
      </w:r>
      <w:r>
        <w:rPr>
          <w:rFonts w:ascii="Times New Roman;sans-serif" w:hAnsi="Times New Roman;sans-serif"/>
          <w:b w:val="false"/>
          <w:color w:val="000000"/>
          <w:sz w:val="20"/>
        </w:rPr>
        <w:t>For additional information on the rights and the Rights Agreement, see “—Series A Junior Participating Preferred Stock” above.</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i/>
          <w:color w:val="000000"/>
          <w:sz w:val="20"/>
        </w:rPr>
        <w:t>Anti-Takeover Effects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While intended to reduce the risk of an “ownership change” within the meaning of Section 382 of the Code, and thereby preserve the current ability of the Company to utilize its NOLs, the Rights could have certain anti-takeover effects.</w:t>
      </w:r>
      <w:r>
        <w:rPr>
          <w:color w:val="000000"/>
        </w:rPr>
        <w:t xml:space="preserve"> </w:t>
      </w:r>
      <w:r>
        <w:rPr>
          <w:rFonts w:ascii="Times New Roman;sans-serif" w:hAnsi="Times New Roman;sans-serif"/>
          <w:b w:val="false"/>
          <w:color w:val="000000"/>
          <w:sz w:val="20"/>
        </w:rPr>
        <w:t>The Rights will cause substantial dilution to a person or group who becomes an Acquiring Person on terms not approved by the Board.</w:t>
      </w:r>
      <w:r>
        <w:rPr>
          <w:color w:val="000000"/>
        </w:rPr>
        <w:t xml:space="preserve"> </w:t>
      </w:r>
      <w:r>
        <w:rPr>
          <w:rFonts w:ascii="Times New Roman;sans-serif" w:hAnsi="Times New Roman;sans-serif"/>
          <w:b w:val="false"/>
          <w:color w:val="000000"/>
          <w:sz w:val="20"/>
        </w:rPr>
        <w:t>The Rights should not interfere with any merger or other business combination approved by the Board, because the Board may exempt such merger or business combination as an Exempt Transaction under the Rights Agreement. In addition, the Rights may be redeemed by the Company, at a price of $0.001 per Right, at any time until ten (10) days following the Stock Acquisition Date.</w:t>
      </w:r>
    </w:p>
    <w:p>
      <w:pPr>
        <w:pStyle w:val="TextBody"/>
        <w:spacing w:before="0" w:after="0"/>
        <w:ind w:left="0" w:right="0" w:firstLine="72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spacing w:before="0" w:after="0"/>
        <w:rPr/>
      </w:pPr>
      <w:r>
        <w:rPr/>
      </w:r>
    </w:p>
    <w:p>
      <w:pPr>
        <w:pStyle w:val="TextBody"/>
        <w:spacing w:lineRule="auto" w:line="276"/>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American Stock Transfer &amp; Trust Company.</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175260"/>
                <wp:effectExtent l="0" t="0" r="0" b="0"/>
                <wp:wrapNone/>
                <wp:docPr id="88" name="Frame8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283"/>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88" w:before="260" w:after="283"/>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September 30, 2020 </w:t>
      </w:r>
    </w:p>
    <w:tbl>
      <w:tblPr>
        <w:tblW w:w="6071" w:type="dxa"/>
        <w:jc w:val="center"/>
        <w:tblInd w:w="0" w:type="dxa"/>
        <w:tblCellMar>
          <w:top w:w="28" w:type="dxa"/>
          <w:left w:w="28" w:type="dxa"/>
          <w:bottom w:w="28" w:type="dxa"/>
          <w:right w:w="28" w:type="dxa"/>
        </w:tblCellMar>
      </w:tblPr>
      <w:tblGrid>
        <w:gridCol w:w="1301"/>
        <w:gridCol w:w="1140"/>
        <w:gridCol w:w="1159"/>
        <w:gridCol w:w="109"/>
        <w:gridCol w:w="109"/>
        <w:gridCol w:w="109"/>
        <w:gridCol w:w="627"/>
        <w:gridCol w:w="627"/>
        <w:gridCol w:w="890"/>
      </w:tblGrid>
      <w:tr>
        <w:trPr/>
        <w:tc>
          <w:tcPr>
            <w:tcW w:w="1301"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Jurisdiction of Incorporation</w:t>
            </w:r>
          </w:p>
        </w:tc>
      </w:tr>
      <w:tr>
        <w:trPr/>
        <w:tc>
          <w:tcPr>
            <w:tcW w:w="3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Aerial Lighting &amp; Electric,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Azimuth Communications,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Calumet Armature and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Freeman Enclosure Systems,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 Engine Components,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Hotchkiss Alarms,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ICS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Commercial,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Communications,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Consolidation,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Infrastructure Solutions,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Management,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Management ROO,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Operations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Residential,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Shared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Subsidiary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Electrical Finance,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Electrical Supply,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Magnetech Industrial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Power and Control Systems,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Industrial Sales and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 Mechanical,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Technibus,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Services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Popp &amp;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175260"/>
                <wp:effectExtent l="0" t="0" r="0" b="0"/>
                <wp:wrapNone/>
                <wp:docPr id="89" name="Frame8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220" w:after="283"/>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(1)Registration Statement on Form S-8 (No. 333-209483) pertaining to the Amended and Restated 2006 Equity Incentive Plan of IES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(2)Registration Statement on Form S-8 (No. 333-134100) pertaining to the 2006 Equity Incentive Plan of IES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(3)Registration Statement on Form S-3 (No. 333-186786) pertaining to the registration for resale of common stock of IES Holdings, Inc. by the selling stockholders named therein;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(4)Registration Statement on Form S-3 (No. 333-215071) pertaining to the registration for resale of common stock of IES Holdings, Inc. by the selling stockholders named therein;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December 7, 2020,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7, 2020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175260"/>
                <wp:effectExtent l="0" t="0" r="0" b="0"/>
                <wp:wrapNone/>
                <wp:docPr id="90" name="Frame8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L. Gendell,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Annual Report on Form 10-K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December 7, 2020</w:t>
      </w:r>
    </w:p>
    <w:tbl>
      <w:tblPr>
        <w:tblW w:w="3228" w:type="dxa"/>
        <w:jc w:val="left"/>
        <w:tblInd w:w="0" w:type="dxa"/>
        <w:tblCellMar>
          <w:top w:w="28" w:type="dxa"/>
          <w:left w:w="28" w:type="dxa"/>
          <w:bottom w:w="28" w:type="dxa"/>
          <w:right w:w="28" w:type="dxa"/>
        </w:tblCellMar>
      </w:tblPr>
      <w:tblGrid>
        <w:gridCol w:w="124"/>
        <w:gridCol w:w="109"/>
        <w:gridCol w:w="109"/>
        <w:gridCol w:w="279"/>
        <w:gridCol w:w="279"/>
        <w:gridCol w:w="279"/>
        <w:gridCol w:w="279"/>
        <w:gridCol w:w="279"/>
        <w:gridCol w:w="279"/>
        <w:gridCol w:w="279"/>
        <w:gridCol w:w="279"/>
        <w:gridCol w:w="28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as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175260"/>
                <wp:effectExtent l="0" t="0" r="0" b="0"/>
                <wp:wrapNone/>
                <wp:docPr id="91" name="Frame8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Tracy A. McLauchlin,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Annual Report on Form 10-K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December 7, 2020 </w:t>
      </w:r>
    </w:p>
    <w:tbl>
      <w:tblPr>
        <w:tblW w:w="5649" w:type="dxa"/>
        <w:jc w:val="left"/>
        <w:tblInd w:w="0" w:type="dxa"/>
        <w:tblCellMar>
          <w:top w:w="28" w:type="dxa"/>
          <w:left w:w="28" w:type="dxa"/>
          <w:bottom w:w="28" w:type="dxa"/>
          <w:right w:w="28" w:type="dxa"/>
        </w:tblCellMar>
      </w:tblPr>
      <w:tblGrid>
        <w:gridCol w:w="124"/>
        <w:gridCol w:w="109"/>
        <w:gridCol w:w="109"/>
        <w:gridCol w:w="548"/>
        <w:gridCol w:w="548"/>
        <w:gridCol w:w="548"/>
        <w:gridCol w:w="548"/>
        <w:gridCol w:w="548"/>
        <w:gridCol w:w="548"/>
        <w:gridCol w:w="548"/>
        <w:gridCol w:w="548"/>
        <w:gridCol w:w="5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br/>
              <w:t>as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92265" cy="175260"/>
                <wp:effectExtent l="0" t="0" r="0" b="0"/>
                <wp:wrapNone/>
                <wp:docPr id="92" name="Frame9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140" w:after="283"/>
        <w:jc w:val="both"/>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Annual Report of IES Holdings, Inc. (the “Company”) on Form 10-K for the period ending September 30, 2020 (the “Report”), I, Jeffrey L. Gendell, Chief Executive Officer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5142" w:type="dxa"/>
        <w:jc w:val="left"/>
        <w:tblInd w:w="0" w:type="dxa"/>
        <w:tblCellMar>
          <w:top w:w="28" w:type="dxa"/>
          <w:left w:w="28" w:type="dxa"/>
          <w:bottom w:w="28" w:type="dxa"/>
          <w:right w:w="28" w:type="dxa"/>
        </w:tblCellMar>
      </w:tblPr>
      <w:tblGrid>
        <w:gridCol w:w="216"/>
        <w:gridCol w:w="191"/>
        <w:gridCol w:w="192"/>
        <w:gridCol w:w="524"/>
        <w:gridCol w:w="524"/>
        <w:gridCol w:w="526"/>
        <w:gridCol w:w="134"/>
        <w:gridCol w:w="134"/>
        <w:gridCol w:w="136"/>
        <w:gridCol w:w="750"/>
        <w:gridCol w:w="750"/>
        <w:gridCol w:w="1065"/>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as Principal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92265" cy="175260"/>
                <wp:effectExtent l="0" t="0" r="0" b="0"/>
                <wp:wrapNone/>
                <wp:docPr id="93" name="Frame9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140" w:after="283"/>
        <w:jc w:val="both"/>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Annual Report of IES Holdings, Inc. (the “Company”) on Form 10-K for the period ending September 30, 2020 (the “Report”), I, Tracy A. McLauchlin, Senior Vice President, Chief Financial Officer and Treasurer of the Company, certify, pursuant to 18 U.S.C. § 1350, as adopted pursuant to § 906 of the Sarbanes-Oxley Act of 2002, that:</w:t>
      </w:r>
    </w:p>
    <w:p>
      <w:pPr>
        <w:pStyle w:val="TextBody"/>
        <w:spacing w:before="0" w:after="0"/>
        <w:ind w:left="0" w:right="0" w:firstLine="72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jc w:val="both"/>
        <w:rPr/>
      </w:pPr>
      <w:r>
        <w:rPr/>
      </w:r>
    </w:p>
    <w:p>
      <w:pPr>
        <w:pStyle w:val="TextBody"/>
        <w:spacing w:before="0" w:after="0"/>
        <w:jc w:val="both"/>
        <w:rPr/>
      </w:pPr>
      <w:r>
        <w:rPr/>
      </w:r>
    </w:p>
    <w:tbl>
      <w:tblPr>
        <w:tblW w:w="7557" w:type="dxa"/>
        <w:jc w:val="left"/>
        <w:tblInd w:w="0" w:type="dxa"/>
        <w:tblCellMar>
          <w:top w:w="28" w:type="dxa"/>
          <w:left w:w="28" w:type="dxa"/>
          <w:bottom w:w="28" w:type="dxa"/>
          <w:right w:w="28" w:type="dxa"/>
        </w:tblCellMar>
      </w:tblPr>
      <w:tblGrid>
        <w:gridCol w:w="216"/>
        <w:gridCol w:w="191"/>
        <w:gridCol w:w="192"/>
        <w:gridCol w:w="524"/>
        <w:gridCol w:w="524"/>
        <w:gridCol w:w="526"/>
        <w:gridCol w:w="134"/>
        <w:gridCol w:w="134"/>
        <w:gridCol w:w="136"/>
        <w:gridCol w:w="774"/>
        <w:gridCol w:w="774"/>
        <w:gridCol w:w="774"/>
        <w:gridCol w:w="774"/>
        <w:gridCol w:w="774"/>
        <w:gridCol w:w="1110"/>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2020</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br/>
              <w:t>as 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175260"/>
                <wp:effectExtent l="0" t="0" r="0" b="0"/>
                <wp:wrapNone/>
                <wp:docPr id="94" name="Frame9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www.sec.gov/Archives/edgar/data/1048268/000119312516674386/d211495dex31.htm" TargetMode="External"/><Relationship Id="rId5" Type="http://schemas.openxmlformats.org/officeDocument/2006/relationships/hyperlink" Target="http://www.sec.gov/Archives/edgar/data/1048268/000119312513026383/d474722dex31.htm" TargetMode="External"/><Relationship Id="rId6" Type="http://schemas.openxmlformats.org/officeDocument/2006/relationships/hyperlink" Target="http://www.sec.gov/Archives/edgar/data/1048268/000119312516600652/d197326dex32.htm" TargetMode="External"/><Relationship Id="rId7" Type="http://schemas.openxmlformats.org/officeDocument/2006/relationships/hyperlink" Target="http://www.sec.gov/Archives/edgar/data/1048268/000119312516789187/d310826dex41.htm" TargetMode="External"/><Relationship Id="rId8" Type="http://schemas.openxmlformats.org/officeDocument/2006/relationships/hyperlink" Target="http://www.sec.gov/Archives/edgar/data/1048268/000119312516763155/d487615dex41.htm" TargetMode="External"/><Relationship Id="rId9" Type="http://schemas.openxmlformats.org/officeDocument/2006/relationships/hyperlink" Target="http://www.sec.gov/Archives/edgar/data/1048268/000095012906005627/h36237exv10w5.htm" TargetMode="External"/><Relationship Id="rId10" Type="http://schemas.openxmlformats.org/officeDocument/2006/relationships/hyperlink" Target="http://www.sec.gov/Archives/edgar/data/1048268/000119312512503507/d452277dex1024.htm" TargetMode="External"/><Relationship Id="rId11" Type="http://schemas.openxmlformats.org/officeDocument/2006/relationships/hyperlink" Target="http://www.sec.gov/Archives/edgar/data/1048268/000095012310049149/h73084exv10w1.htm" TargetMode="External"/><Relationship Id="rId12" Type="http://schemas.openxmlformats.org/officeDocument/2006/relationships/hyperlink" Target="http://www.sec.gov/Archives/edgar/data/1048268/000104826812000030/ies_amd1indemnityagmt-2012.htm" TargetMode="External"/><Relationship Id="rId13" Type="http://schemas.openxmlformats.org/officeDocument/2006/relationships/hyperlink" Target="http://www.sec.gov/Archives/edgar/data/1048268/000119312516708628/d258745dex101.htm" TargetMode="External"/><Relationship Id="rId14" Type="http://schemas.openxmlformats.org/officeDocument/2006/relationships/hyperlink" Target="http://www.sec.gov/Archives/edgar/data/1048268/000119312517227986/d419769dex101.htm" TargetMode="External"/><Relationship Id="rId15" Type="http://schemas.openxmlformats.org/officeDocument/2006/relationships/hyperlink" Target="https://www.sec.gov/Archives/edgar/data/1048268/000119312520225684/d97671dex101.htm" TargetMode="External"/><Relationship Id="rId16" Type="http://schemas.openxmlformats.org/officeDocument/2006/relationships/hyperlink" Target="https://www.sec.gov/Archives/edgar/data/1048268/000119312520225684/d97671dex101.htm" TargetMode="External"/><Relationship Id="rId17" Type="http://schemas.openxmlformats.org/officeDocument/2006/relationships/hyperlink" Target="https://www.sec.gov/Archives/edgar/data/1048268/000119312520225684/d97671dex101.htm" TargetMode="External"/><Relationship Id="rId18" Type="http://schemas.openxmlformats.org/officeDocument/2006/relationships/hyperlink" Target="https://www.sec.gov/Archives/edgar/data/1048268/000119312520225684/d97671dex101.htm" TargetMode="External"/><Relationship Id="rId19" Type="http://schemas.openxmlformats.org/officeDocument/2006/relationships/hyperlink" Target="https://www.sec.gov/Archives/edgar/data/1048268/000119312520225684/d97671dex101.htm" TargetMode="External"/><Relationship Id="rId20" Type="http://schemas.openxmlformats.org/officeDocument/2006/relationships/hyperlink" Target="https://www.sec.gov/Archives/edgar/data/1048268/000119312520225684/d97671dex101.htm" TargetMode="External"/><Relationship Id="rId21" Type="http://schemas.openxmlformats.org/officeDocument/2006/relationships/hyperlink" Target="https://www.sec.gov/Archives/edgar/data/1048268/000119312520225684/d97671dex101.htm" TargetMode="External"/><Relationship Id="rId22" Type="http://schemas.openxmlformats.org/officeDocument/2006/relationships/hyperlink" Target="http://www.sec.gov/Archives/edgar/data/1048268/000119312517118614/d375708dex101.htm" TargetMode="External"/><Relationship Id="rId23" Type="http://schemas.openxmlformats.org/officeDocument/2006/relationships/hyperlink" Target="http://www.sec.gov/Archives/edgar/data/1048268/000119312517248190/d437455dex102.htm" TargetMode="External"/><Relationship Id="rId24" Type="http://schemas.openxmlformats.org/officeDocument/2006/relationships/hyperlink" Target="http://www.sec.gov/Archives/edgar/data/1048268/000119312517248190/d437455dex104.htm" TargetMode="External"/><Relationship Id="rId25" Type="http://schemas.openxmlformats.org/officeDocument/2006/relationships/hyperlink" Target="http://www.sec.gov/Archives/edgar/data/1048268/000119312518223804/d527044dex101.htm" TargetMode="External"/><Relationship Id="rId26" Type="http://schemas.openxmlformats.org/officeDocument/2006/relationships/hyperlink" Target="http://www.sec.gov/Archives/edgar/data/1048268/000104826819000004/q32019ex102.htm" TargetMode="External"/><Relationship Id="rId27" Type="http://schemas.openxmlformats.org/officeDocument/2006/relationships/hyperlink" Target="http://www.sec.gov/Archives/edgar/data/1048268/000119312519240563/d801022dex101.htm" TargetMode="External"/><Relationship Id="rId28" Type="http://schemas.openxmlformats.org/officeDocument/2006/relationships/hyperlink" Target="https://www.sec.gov/Archives/edgar/data/1048268/000119312512232008/d351050dex101.htm" TargetMode="External"/><Relationship Id="rId29" Type="http://schemas.openxmlformats.org/officeDocument/2006/relationships/hyperlink" Target="http://www.sec.gov/Archives/edgar/data/1048268/000119312516582843/d193200dex105.htm" TargetMode="External"/><Relationship Id="rId30" Type="http://schemas.openxmlformats.org/officeDocument/2006/relationships/hyperlink" Target="http://www.sec.gov/Archives/edgar/data/1048268/000119312519138305/d740684dex1012.htm" TargetMode="External"/><Relationship Id="rId31" Type="http://schemas.openxmlformats.org/officeDocument/2006/relationships/hyperlink" Target="http://www.sec.gov/Archives/edgar/data/1048268/000104826819000007/q42019ex1020.htm" TargetMode="External"/><Relationship Id="rId32" Type="http://schemas.openxmlformats.org/officeDocument/2006/relationships/hyperlink" Target="http://www.sec.gov/Archives/edgar/data/1048268/000119312518344274/d668006dex1017.htm" TargetMode="External"/><Relationship Id="rId33" Type="http://schemas.openxmlformats.org/officeDocument/2006/relationships/hyperlink" Target="http://www.sec.gov/Archives/edgar/data/1048268/000104826807000040/d72828_ex10-3.htm" TargetMode="External"/><Relationship Id="rId34" Type="http://schemas.openxmlformats.org/officeDocument/2006/relationships/hyperlink" Target="http://www.sec.gov/Archives/edgar/data/1048268/000104826807000040/d72828_ex10-1.htm" TargetMode="External"/><Relationship Id="rId35" Type="http://schemas.openxmlformats.org/officeDocument/2006/relationships/hyperlink" Target="http://www.sec.gov/Archives/edgar/data/1048268/000119312516453210/d133572dex101.htm" TargetMode="External"/><Relationship Id="rId36" Type="http://schemas.openxmlformats.org/officeDocument/2006/relationships/hyperlink" Target="http://www.sec.gov/Archives/edgar/data/1048268/000119312515413732/d103218ddef14a.htm" TargetMode="External"/><Relationship Id="rId37" Type="http://schemas.openxmlformats.org/officeDocument/2006/relationships/hyperlink" Target="http://www.sec.gov/Archives/edgar/data/1048268/000119312516582843/d193200dex104.htm" TargetMode="External"/><Relationship Id="rId38" Type="http://schemas.openxmlformats.org/officeDocument/2006/relationships/hyperlink" Target="http://www.sec.gov/Archives/edgar/data/1048268/000119312516582843/d193200dex103.htm" TargetMode="External"/><Relationship Id="rId39" Type="http://schemas.openxmlformats.org/officeDocument/2006/relationships/hyperlink" Target="http://www.sec.gov/Archives/edgar/data/1048268/000119312516582843/d193200dex102.htm" TargetMode="External"/><Relationship Id="rId40" Type="http://schemas.openxmlformats.org/officeDocument/2006/relationships/hyperlink" Target="http://www.sec.gov/Archives/edgar/data/1048268/000119312516615339/d173606dex101.htm" TargetMode="External"/><Relationship Id="rId41" Type="http://schemas.openxmlformats.org/officeDocument/2006/relationships/hyperlink" Target="http://www.sec.gov/Archives/edgar/data/1048268/000119312516615339/d173606dex102.htm" TargetMode="External"/><Relationship Id="rId42" Type="http://schemas.openxmlformats.org/officeDocument/2006/relationships/hyperlink" Target="http://www.sec.gov/Archives/edgar/data/1048268/000104746908013171/a2188873zex-10_34.htm" TargetMode="External"/><Relationship Id="rId43" Type="http://schemas.openxmlformats.org/officeDocument/2006/relationships/hyperlink" Target="http://www.sec.gov/Archives/edgar/data/1048268/000104826809000014/ltipfy2009_2010.htm" TargetMode="External"/><Relationship Id="rId44" Type="http://schemas.openxmlformats.org/officeDocument/2006/relationships/hyperlink" Target="http://www.sec.gov/Archives/edgar/data/1048268/000119312516789187/d310826dex1030.htm" TargetMode="External"/><Relationship Id="rId45" Type="http://schemas.openxmlformats.org/officeDocument/2006/relationships/hyperlink" Target="http://www.sec.gov/Archives/edgar/data/1048268/000119312519138305/d740684dex102.htm" TargetMode="External"/><Relationship Id="rId46" Type="http://schemas.openxmlformats.org/officeDocument/2006/relationships/hyperlink" Target="http://www.sec.gov/Archives/edgar/data/1048268/000119312519064120/d697792dex101.htm" TargetMode="External"/><Relationship Id="rId47" Type="http://schemas.openxmlformats.org/officeDocument/2006/relationships/hyperlink" Target="http://www.sec.gov/Archives/edgar/data/1048268/000119312519064120/d697792dex102.htm" TargetMode="External"/><Relationship Id="rId48" Type="http://schemas.openxmlformats.org/officeDocument/2006/relationships/hyperlink" Target="https://www.sec.gov/Archives/edgar/data/1048268/000104826820000005/q12020ex102.htm" TargetMode="External"/><Relationship Id="rId49" Type="http://schemas.openxmlformats.org/officeDocument/2006/relationships/hyperlink" Target="https://www.sec.gov/Archives/edgar/data/1048268/000104826820000005/q12020ex103.htm" TargetMode="External"/><Relationship Id="rId50" Type="http://schemas.openxmlformats.org/officeDocument/2006/relationships/hyperlink" Target="https://www.sec.gov/Archives/edgar/data/1048268/000104826820000005/q12020ex103.htm" TargetMode="External"/><Relationship Id="rId51" Type="http://schemas.openxmlformats.org/officeDocument/2006/relationships/hyperlink" Target="https://www.sec.gov/Archives/edgar/data/1048268/000104826820000005/q12020ex103.htm" TargetMode="External"/><Relationship Id="rId52" Type="http://schemas.openxmlformats.org/officeDocument/2006/relationships/hyperlink" Target="https://www.sec.gov/Archives/edgar/data/1048268/000104826820000005/q12020ex103.htm" TargetMode="External"/><Relationship Id="rId53" Type="http://schemas.openxmlformats.org/officeDocument/2006/relationships/hyperlink" Target="https://www.sec.gov/Archives/edgar/data/1048268/000104826820000005/q12020ex103.htm" TargetMode="External"/><Relationship Id="rId54" Type="http://schemas.openxmlformats.org/officeDocument/2006/relationships/hyperlink" Target="https://www.sec.gov/Archives/edgar/data/1048268/000104826820000005/q12020ex103.htm" TargetMode="External"/><Relationship Id="rId55" Type="http://schemas.openxmlformats.org/officeDocument/2006/relationships/hyperlink" Target="https://www.sec.gov/Archives/edgar/data/1048268/000104826820000005/q12020ex103.htm" TargetMode="External"/><Relationship Id="rId56" Type="http://schemas.openxmlformats.org/officeDocument/2006/relationships/hyperlink" Target="https://www.sec.gov/Archives/edgar/data/1048268/000104826820000005/q12020ex103.htm" TargetMode="External"/><Relationship Id="rId57" Type="http://schemas.openxmlformats.org/officeDocument/2006/relationships/hyperlink" Target="https://www.sec.gov/Archives/edgar/data/1048268/000104826820000005/q12020ex103.htm" TargetMode="External"/><Relationship Id="rId58" Type="http://schemas.openxmlformats.org/officeDocument/2006/relationships/hyperlink" Target="https://www.sec.gov/Archives/edgar/data/1048268/000119312519138305/d740684dex105.htm" TargetMode="External"/><Relationship Id="rId59" Type="http://schemas.openxmlformats.org/officeDocument/2006/relationships/hyperlink" Target="https://www.sec.gov/Archives/edgar/data/1048268/000119312519138305/d740684dex105.htm" TargetMode="External"/><Relationship Id="rId60" Type="http://schemas.openxmlformats.org/officeDocument/2006/relationships/hyperlink" Target="https://www.sec.gov/Archives/edgar/data/1048268/000119312519138305/d740684dex105.htm" TargetMode="External"/><Relationship Id="rId61" Type="http://schemas.openxmlformats.org/officeDocument/2006/relationships/hyperlink" Target="https://www.sec.gov/Archives/edgar/data/1048268/000119312519138305/d740684dex105.htm" TargetMode="External"/><Relationship Id="rId62" Type="http://schemas.openxmlformats.org/officeDocument/2006/relationships/hyperlink" Target="https://www.sec.gov/Archives/edgar/data/1048268/000119312519138305/d740684dex105.htm" TargetMode="External"/><Relationship Id="rId63" Type="http://schemas.openxmlformats.org/officeDocument/2006/relationships/hyperlink" Target="https://www.sec.gov/Archives/edgar/data/1048268/000119312519138305/d740684dex105.htm" TargetMode="External"/><Relationship Id="rId64" Type="http://schemas.openxmlformats.org/officeDocument/2006/relationships/hyperlink" Target="https://www.sec.gov/Archives/edgar/data/1048268/000119312519138305/d740684dex105.htm" TargetMode="External"/><Relationship Id="rId65" Type="http://schemas.openxmlformats.org/officeDocument/2006/relationships/hyperlink" Target="https://www.sec.gov/Archives/edgar/data/1048268/000119312519138305/d740684dex105.htm" TargetMode="External"/><Relationship Id="rId66" Type="http://schemas.openxmlformats.org/officeDocument/2006/relationships/hyperlink" Target="https://www.sec.gov/Archives/edgar/data/1048268/000119312519138305/d740684dex105.htm" TargetMode="External"/><Relationship Id="rId67" Type="http://schemas.openxmlformats.org/officeDocument/2006/relationships/hyperlink" Target="https://www.sec.gov/Archives/edgar/data/1048268/000119312519307837/d835677dex101.htm" TargetMode="External"/><Relationship Id="rId68" Type="http://schemas.openxmlformats.org/officeDocument/2006/relationships/hyperlink" Target="https://www.sec.gov/Archives/edgar/data/1048268/000119312520220402/d41504dex101.htm" TargetMode="External"/><Relationship Id="rId69" Type="http://schemas.openxmlformats.org/officeDocument/2006/relationships/hyperlink" Target="https://www.sec.gov/Archives/edgar/data/1048268/000119312520263380/d41776dex101.htm" TargetMode="External"/><Relationship Id="rId70" Type="http://schemas.openxmlformats.org/officeDocument/2006/relationships/hyperlink" Target="https://www.sec.gov/Archives/edgar/data/1048268/000119312520263380/d41776dex101.htm" TargetMode="External"/><Relationship Id="rId71" Type="http://schemas.openxmlformats.org/officeDocument/2006/relationships/hyperlink" Target="https://www.sec.gov/Archives/edgar/data/1048268/000119312520263380/d41776dex101.htm" TargetMode="External"/><Relationship Id="rId72" Type="http://schemas.openxmlformats.org/officeDocument/2006/relationships/hyperlink" Target="https://www.sec.gov/Archives/edgar/data/1048268/000119312520263380/d41776dex101.htm" TargetMode="External"/><Relationship Id="rId73" Type="http://schemas.openxmlformats.org/officeDocument/2006/relationships/hyperlink" Target="https://www.sec.gov/Archives/edgar/data/1048268/000119312520263380/d41776dex101.htm" TargetMode="External"/><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53413</Words>
  <CharactersWithSpaces>345004</CharactersWithSpaces>
  <Paragraphs>4398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