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429260</wp:posOffset>
            </wp:positionV>
            <wp:extent cx="150050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76-0542208</w:t>
      </w:r>
    </w:p>
    <w:p>
      <w:pPr>
        <w:spacing w:after="0" w:line="31" w:lineRule="exact"/>
        <w:rPr>
          <w:sz w:val="24"/>
          <w:szCs w:val="24"/>
          <w:color w:val="auto"/>
        </w:rPr>
      </w:pPr>
    </w:p>
    <w:p>
      <w:pPr>
        <w:sectPr>
          <w:pgSz w:w="11900" w:h="16838" w:orient="portrait"/>
          <w:cols w:equalWidth="0" w:num="2">
            <w:col w:w="7500" w:space="720"/>
            <w:col w:w="3200"/>
          </w:cols>
          <w:pgMar w:left="240" w:top="230" w:right="239" w:bottom="24"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24"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5433 Westheimer Road, Suite 500, Houston, Texas 77056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230" w:right="239" w:bottom="24"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24"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On February 5, 2018, there were 21,338,995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9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4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9"/>
              </w:rPr>
              <w:t>IES HOLDINGS, INC.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5"/>
          </w:tcPr>
          <w:p>
            <w:pPr>
              <w:jc w:val="center"/>
              <w:ind w:right="486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8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00" w:type="dxa"/>
            <w:vAlign w:val="bottom"/>
            <w:gridSpan w:val="9"/>
            <w:vMerge w:val="restart"/>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4"/>
            <w:vMerge w:val="continue"/>
          </w:tcPr>
          <w:p>
            <w:pPr>
              <w:spacing w:after="0"/>
              <w:rPr>
                <w:sz w:val="13"/>
                <w:szCs w:val="13"/>
                <w:color w:val="auto"/>
              </w:rPr>
            </w:pPr>
          </w:p>
        </w:tc>
        <w:tc>
          <w:tcPr>
            <w:tcW w:w="7900" w:type="dxa"/>
            <w:vAlign w:val="bottom"/>
            <w:gridSpan w:val="9"/>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 Financial Statements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Balance Sheets as of December 31, 2017 and September 30, 2017</w:t>
              </w:r>
            </w:hyperlink>
          </w:p>
        </w:tc>
        <w:tc>
          <w:tcPr>
            <w:tcW w:w="36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for the Three Months Ended December 31, 2017 and 2016</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Three Months Ended December 31, 2017 and 2016</w:t>
              </w:r>
            </w:hyperlink>
          </w:p>
        </w:tc>
        <w:tc>
          <w:tcPr>
            <w:tcW w:w="860" w:type="dxa"/>
            <w:vAlign w:val="bottom"/>
            <w:tcBorders>
              <w:top w:val="single" w:sz="8" w:color="0000EE"/>
            </w:tcBorders>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5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 Controls and Procedures</w:t>
              </w:r>
            </w:hyperlink>
          </w:p>
        </w:tc>
        <w:tc>
          <w:tcPr>
            <w:tcW w:w="82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20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872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90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2. Unregistered Sales of Equity Securities and Use of Proceeds</w:t>
              </w:r>
            </w:hyperlink>
          </w:p>
        </w:tc>
        <w:tc>
          <w:tcPr>
            <w:tcW w:w="57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17"/>
                <w:szCs w:val="17"/>
                <w:color w:val="auto"/>
              </w:rPr>
            </w:pPr>
          </w:p>
        </w:tc>
        <w:tc>
          <w:tcPr>
            <w:tcW w:w="774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5. Other Information</w:t>
              </w:r>
            </w:hyperlink>
          </w:p>
        </w:tc>
        <w:tc>
          <w:tcPr>
            <w:tcW w:w="87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94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IES Holdings, Inc. and, except as otherwise specified herein, to our subsidiaries.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further write-downs on deferred tax assets;</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the availability of sufficient credit or cash flow to fund our working capital needs and capital expenditures and debt service;</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revolving credit facility, including liquidity, EBITDA and other financial requirements, which could result in a default and acceleration of our indebtedness under our revolving credit facility;</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capital expenditures and refurbishment, repair and upgrade costs; and delays in and costs of refurbishment, repair and upgrade projects;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460" w:right="3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and in Part I, Item 1A of our Annual Report on Form 10-K for the fiscal year ended September 30, 2017,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20" w:type="dxa"/>
            <w:vAlign w:val="bottom"/>
            <w:vMerge w:val="restart"/>
          </w:tcPr>
          <w:p>
            <w:pPr>
              <w:ind w:left="4100"/>
              <w:spacing w:after="0"/>
              <w:rPr>
                <w:sz w:val="20"/>
                <w:szCs w:val="20"/>
                <w:color w:val="auto"/>
              </w:rPr>
            </w:pPr>
            <w:r>
              <w:rPr>
                <w:rFonts w:ascii="Arial" w:cs="Arial" w:eastAsia="Arial" w:hAnsi="Arial"/>
                <w:sz w:val="18"/>
                <w:szCs w:val="18"/>
                <w:b w:val="1"/>
                <w:bCs w:val="1"/>
                <w:color w:val="auto"/>
              </w:rPr>
              <w:t>ASSETS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8"/>
              </w:rPr>
              <w:t>(Unaudited)</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31,888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Trade, net of allowance of $546 and $650, respectively</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127,232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Retainage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17,006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10,752</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220,582</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24,764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30,452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380,666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108,249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29,918</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135,660</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169,830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184,519</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100,000,000 shares authorized; 22,049,529 issued and 21,338,745 and 21,336,975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respectively</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Treasury stock, at cost, 710,784 and 712,554 shares, respectively</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(6,881)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197,312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16,858</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207,509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380,666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4"/>
                <w:szCs w:val="14"/>
                <w:color w:val="auto"/>
                <w:w w:val="97"/>
              </w:rPr>
              <w:t>Three Months Ended December 31,</w:t>
            </w: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2017</w:t>
            </w:r>
          </w:p>
        </w:tc>
        <w:tc>
          <w:tcPr>
            <w:tcW w:w="6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165,236</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35,182</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28,194</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20"/>
                <w:szCs w:val="20"/>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32,159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w:t>
            </w: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(29,513)</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(29,569</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21,196,854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21,286,090</w:t>
            </w:r>
          </w:p>
        </w:tc>
      </w:tr>
      <w:tr>
        <w:trPr>
          <w:trHeight w:val="230"/>
        </w:trPr>
        <w:tc>
          <w:tcPr>
            <w:tcW w:w="20" w:type="dxa"/>
            <w:vAlign w:val="bottom"/>
          </w:tcPr>
          <w:p>
            <w:pPr>
              <w:spacing w:after="0"/>
              <w:rPr>
                <w:sz w:val="20"/>
                <w:szCs w:val="20"/>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21,196,854</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21,557,838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4"/>
                <w:szCs w:val="14"/>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6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(29,513)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 amortization</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2,208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32,159</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(12,727)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4,985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28,290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76" w:lineRule="exact"/>
        <w:rPr>
          <w:sz w:val="20"/>
          <w:szCs w:val="20"/>
          <w:color w:val="auto"/>
        </w:rPr>
      </w:pPr>
    </w:p>
    <w:p>
      <w:pPr>
        <w:ind w:left="900" w:right="2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Commercial &amp; Industrial</w:t>
      </w:r>
      <w:r>
        <w:rPr>
          <w:rFonts w:ascii="Arial" w:cs="Arial" w:eastAsia="Arial" w:hAnsi="Arial"/>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 Nationwide provider of technology infrastructure products and services to large corporations and independent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Regional provider of electrical installation services for single-family housing and multi-family apartment complexes.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wholly-owned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its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2017.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December 31, 2017, the redemption amount would have been $2,368. See Note 13, “Business Combinations” for further discussion.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December 2017, the Tax Cuts and Jobs Act (the “Act”) was enacted, which, among other changes, reduced the federal statutory corporate tax rate from 35% to 21%, effective January 1, 2018. As a result of this change, the Company’s statutory tax rate for fiscal 2018 will be a blended rate of 24.53% and will decrease to 21% thereafter. For the three months ended December 31, 2017, our effective tax rate differed from the statutory tax rate as a result of a preliminary charge of $31,306 to re-measure our deferred tax assets and liabilities to reflect the estimated impact of the new statutory tax rate. This preliminary charge is subject to completion of our analysis of the impact of the Act, including as it relates to future deductions for executive compensation expense, as well as the effect of changes in the utilization of net deferred tax assets that reverse in fiscal 2018 as compared to subsequent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a comprehensive new revenue recognition standard which will supersede previous existing revenue recognition guidance. The standard creates a five-step model for revenue recognition that requires companies to exercise judgment when considering contract terms and relevant facts and circumstances. The standard also requires expanded disclosures surrounding revenue recognition. The effective date will be the first quarter of our fiscal year ended September 30, 2019. The standard allows for either full retrospective or modified retrospective adoption, and we currently plan to use the modified retrospective basis on the adoption date. We are continuing to evaluate the impact of the adoption of this standard on our Condensed Consolidated Financial Statements. In particular, we continue to analyze areas including contract termination provisions, customer furnished materials, and accounting for change orders. However, we expect that we will continue to recognize revenues for most of our fixed-price contracts over time, as services are performed. We are also continuing to assess the necessary changes in processes and controls to meet the disclosure requirements of the new standard.</w:t>
      </w:r>
    </w:p>
    <w:p>
      <w:pPr>
        <w:spacing w:after="0" w:line="16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February 2016, the FASB issued ASU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pattern, similar to current capital leases. ASU 2016-02 becomes effective for the fiscal year ended September 30, 2020. We are currently evaluating whether to early adopt the standard and what impact it will have on our Condensed Consolidated Financial Statements.</w:t>
      </w:r>
    </w:p>
    <w:p>
      <w:pPr>
        <w:spacing w:after="0" w:line="15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January 2017, the FASB issued ASU No. 2017-01, Business Combinations (“ASU 2017-01”). This standard clarifies the definition of a business to assist entities with evaluation of whether transactions should be accounted for as acquisitions or disposals of assets or businesses. The new standard is effective for interim and annual reporting periods beginning after December 15, 2017. The prospective transition method will be required for this new guidance.</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May 2017, the FASB issued ASU No. 2017-09, Compensation—Stock Compensation (“ASU 2017-09”), to reduce the diversity in practice and the cost and complexity when changing the terms or conditions of a share-based payment award. This update is effective for interim and annual financial reporting periods beginning after December 15, 2017, although early adoption is permitted. The prospective transition method will be required for this new guidance.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ASU 2017-01 or ASU 2017-09 to have a material effect on our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SHAREHOLDER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2017, Tontine Capital Partners, L.P., together with its affiliates (collectively, “Tontine”), was the Company’s controlling shareholder, owning approximately 58% of the Company’s outstanding common stock according to a Form 4 filed with the SEC by Tontine on October 3, 2017. Accordingly, Tontine has the ability to exercise significant control over our affairs, including the election of directors and most actions requiring the approval of shareholders.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Form S-3,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and as Interim Director of Operations of the Company since November 2017, and who previously served as non-executive Vice Chairman of the Board from November 2016 to November 2017 and as non-executive Chairman of the Board from January 2015 to November 2016. David B. Gendell was an employee of Tontine from 2004 until December 31, 2017.</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2017, and September 30, 2017, our long-term debt of $29,452 and $29,434, respectively, primarily related to amounts drawn on our revolving credit facility. Our weighted-average annual interest rate on these borrowings was 3.34% at December 31, 2017, and 3.04% at September 30, 2017. At December 31, 2017, we also had $6,408 in outstanding letters of credit and total availability of $43,199 under this facility without violating our financial covenants.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changes to the financial or other covenants disclosed in Item 7 of our Annual Report on Form 10-K for the year ended September 30, 2017. The Company was in compliance with the financial covenants as of December 31, 2017.</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2017, the carrying value of amounts outstanding on our revolving credit facility approximated fair value, as debt incurs interest at a variable rate. The fair value of the debt is classified as a Level 2 measurement.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 SHARE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components of basic and diluted earnings per share for the three months ended December 31, 2017, and 2016:</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ind w:left="140"/>
              <w:spacing w:after="0"/>
              <w:rPr>
                <w:sz w:val="20"/>
                <w:szCs w:val="20"/>
                <w:color w:val="auto"/>
              </w:rPr>
            </w:pPr>
            <w:r>
              <w:rPr>
                <w:rFonts w:ascii="Arial" w:cs="Arial" w:eastAsia="Arial" w:hAnsi="Arial"/>
                <w:sz w:val="14"/>
                <w:szCs w:val="14"/>
                <w:color w:val="auto"/>
              </w:rPr>
              <w:t>Three Months Ended December 31,</w:t>
            </w:r>
          </w:p>
        </w:tc>
      </w:tr>
      <w:tr>
        <w:trPr>
          <w:trHeight w:val="142"/>
        </w:trPr>
        <w:tc>
          <w:tcPr>
            <w:tcW w:w="57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10"/>
        </w:trPr>
        <w:tc>
          <w:tcPr>
            <w:tcW w:w="5720" w:type="dxa"/>
            <w:vAlign w:val="bottom"/>
          </w:tcPr>
          <w:p>
            <w:pPr>
              <w:spacing w:after="0"/>
              <w:rPr>
                <w:sz w:val="20"/>
                <w:szCs w:val="20"/>
                <w:color w:val="auto"/>
              </w:rPr>
            </w:pPr>
            <w:r>
              <w:rPr>
                <w:rFonts w:ascii="Arial" w:cs="Arial" w:eastAsia="Arial" w:hAnsi="Arial"/>
                <w:sz w:val="18"/>
                <w:szCs w:val="18"/>
                <w:color w:val="auto"/>
                <w:w w:val="99"/>
              </w:rPr>
              <w:t>Net income (loss) attributable to common shareholders of IES Holdings,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(29,569)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3,841</w:t>
            </w:r>
          </w:p>
        </w:tc>
        <w:tc>
          <w:tcPr>
            <w:tcW w:w="6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restricted shareholders of IES Holdings, Inc.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Net income (loss) attributable to IES Holdings, Inc.</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6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57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21,196,854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21,286,090</w:t>
            </w:r>
          </w:p>
        </w:tc>
        <w:tc>
          <w:tcPr>
            <w:tcW w:w="60" w:type="dxa"/>
            <w:vAlign w:val="bottom"/>
          </w:tcPr>
          <w:p>
            <w:pPr>
              <w:spacing w:after="0"/>
              <w:rPr>
                <w:sz w:val="24"/>
                <w:szCs w:val="24"/>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271,748</w:t>
            </w:r>
          </w:p>
        </w:tc>
        <w:tc>
          <w:tcPr>
            <w:tcW w:w="60" w:type="dxa"/>
            <w:vAlign w:val="bottom"/>
            <w:shd w:val="clear" w:color="auto" w:fill="CCEEFF"/>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w w:val="95"/>
              </w:rPr>
              <w:t>Weighted average common and common equivalent shares outstanding —</w:t>
            </w: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21,196,854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21,557,838</w:t>
            </w:r>
          </w:p>
        </w:tc>
        <w:tc>
          <w:tcPr>
            <w:tcW w:w="6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When an entity has a net loss, it is prohibited from including potential common shares in the computation of diluted per share amounts. Accordingly, we have utilized basic shares outstanding to calculate both basic and diluted loss per share for the three months ended December 31, 2017. For the three months ended December 31, 2016, the average price of our common shares exceeded the exercise price of all of our outstanding options; therefore, all of our outstanding stock options were included in the computation of fully diluted earnings per share.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OPERATING SEGMENTS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manage and measure performance of our business in four distinct operating segments: Commercial &amp; Industrial, Communications, Infrastructure Solutions and Residential.</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December 31, 2017, and 2016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color w:val="auto"/>
              </w:rPr>
              <w:t>Three Months Ended December 31, 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Commercial &amp;</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3"/>
          </w:tcPr>
          <w:p>
            <w:pPr>
              <w:spacing w:after="0" w:line="123" w:lineRule="exact"/>
              <w:rPr>
                <w:sz w:val="20"/>
                <w:szCs w:val="20"/>
                <w:color w:val="auto"/>
              </w:rPr>
            </w:pPr>
            <w:r>
              <w:rPr>
                <w:rFonts w:ascii="Arial" w:cs="Arial" w:eastAsia="Arial" w:hAnsi="Arial"/>
                <w:sz w:val="14"/>
                <w:szCs w:val="14"/>
                <w:color w:val="auto"/>
              </w:rPr>
              <w:t>Infrastructure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Industrial</w:t>
            </w:r>
          </w:p>
        </w:tc>
        <w:tc>
          <w:tcPr>
            <w:tcW w:w="1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Communications</w:t>
            </w: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Solutions</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services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45,339</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54,738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165,236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(3,287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557</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63,085</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66,522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101,026</w:t>
            </w:r>
          </w:p>
        </w:tc>
        <w:tc>
          <w:tcPr>
            <w:tcW w:w="18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50,342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99,691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380,666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color w:val="auto"/>
                <w:w w:val="97"/>
              </w:rPr>
              <w:t>Three Months Ended December 31, 2016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20" w:type="dxa"/>
            <w:vAlign w:val="bottom"/>
            <w:gridSpan w:val="3"/>
          </w:tcPr>
          <w:p>
            <w:pPr>
              <w:spacing w:after="0" w:line="123" w:lineRule="exact"/>
              <w:rPr>
                <w:sz w:val="20"/>
                <w:szCs w:val="20"/>
                <w:color w:val="auto"/>
              </w:rPr>
            </w:pPr>
            <w:r>
              <w:rPr>
                <w:rFonts w:ascii="Arial" w:cs="Arial" w:eastAsia="Arial" w:hAnsi="Arial"/>
                <w:sz w:val="14"/>
                <w:szCs w:val="14"/>
                <w:color w:val="auto"/>
              </w:rPr>
              <w:t>Commercial &amp;</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w w:val="98"/>
              </w:rPr>
              <w:t>Industrial</w:t>
            </w:r>
          </w:p>
        </w:tc>
        <w:tc>
          <w:tcPr>
            <w:tcW w:w="1240" w:type="dxa"/>
            <w:vAlign w:val="bottom"/>
            <w:gridSpan w:val="3"/>
          </w:tcPr>
          <w:p>
            <w:pPr>
              <w:spacing w:after="0"/>
              <w:rPr>
                <w:sz w:val="20"/>
                <w:szCs w:val="20"/>
                <w:color w:val="auto"/>
              </w:rPr>
            </w:pPr>
            <w:r>
              <w:rPr>
                <w:rFonts w:ascii="Arial" w:cs="Arial" w:eastAsia="Arial" w:hAnsi="Arial"/>
                <w:sz w:val="14"/>
                <w:szCs w:val="14"/>
                <w:color w:val="auto"/>
              </w:rPr>
              <w:t>Communications</w:t>
            </w:r>
          </w:p>
        </w:tc>
        <w:tc>
          <w:tcPr>
            <w:tcW w:w="1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Solutions</w:t>
            </w:r>
          </w:p>
        </w:tc>
        <w:tc>
          <w:tcPr>
            <w:tcW w:w="90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Corporate</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53,956</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66,442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47,850</w:t>
            </w: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45,332</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13,102</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50,712</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156,996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15,730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4,324</w:t>
            </w: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10,553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53,922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69,884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89,110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49,307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129,769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391,992</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1,059,921 shares were available for issuance at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made no purchases of stock pursuant to this plan during the three months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three months ended December 31, 2017, we issued 270 unrestricted shares of common stock from treasury stock to members of our Board of Directors as part of their overall compensation and 1,500 unrestricted shares of common stock to satisfy the exercise of outstanding options for employees and directors.</w:t>
      </w:r>
    </w:p>
    <w:p>
      <w:pPr>
        <w:spacing w:after="0" w:line="18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three months ended December 31, 2016, we repurchased 683 shares of common stock from our employees to satisfy minimum tax withholding requirements upon the vesting of restricted stock issued under the Equity Incentive Plan. During the three months ended December 31, 2016, we issued 667 unrestricted shares of common stock from treasury stock to members of our Board of Directors as part of their overall compensation and 13,000 unrestricted shares to satisfy the exercise of outstanding options for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2017, and 2016, we recognized $114 and $137, respectively, in compensation expense</w:t>
      </w:r>
    </w:p>
    <w:p>
      <w:pPr>
        <w:spacing w:after="0" w:line="23" w:lineRule="exact"/>
        <w:rPr>
          <w:sz w:val="20"/>
          <w:szCs w:val="20"/>
          <w:color w:val="auto"/>
        </w:rPr>
      </w:pPr>
    </w:p>
    <w:p>
      <w:pPr>
        <w:jc w:val="center"/>
        <w:ind w:right="200"/>
        <w:spacing w:after="0" w:line="433" w:lineRule="auto"/>
        <w:rPr>
          <w:sz w:val="20"/>
          <w:szCs w:val="20"/>
          <w:color w:val="auto"/>
        </w:rPr>
      </w:pPr>
      <w:r>
        <w:rPr>
          <w:rFonts w:ascii="Arial" w:cs="Arial" w:eastAsia="Arial" w:hAnsi="Arial"/>
          <w:sz w:val="18"/>
          <w:szCs w:val="18"/>
          <w:color w:val="auto"/>
        </w:rPr>
        <w:t>related to our restricted stock awards. At December 31, 2017, the unamortized compensation cost related to outstanding unvested restricted stock was $142. 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Cash Units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Performance based phantom cash units (“PPCUs”) are a contractual right to a cash payment of $20 per PPCU. The PPCUs will generally become vested, if at all, upon achievement of certain specified performance objectives. During the three months ended December 31, 2017, and 2016, we recognized compensation expense of zero and $135, respectively, related to these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During the three months ended December 31, 2017, and 2016, we recognized $36 and $44, respectively, in compensation expense related to these grants.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performance based phantom stock unit (a “PPSU”) is a contractual right to receive one share of the Company’s common stock upon the achievement of certain specified performance objectives and continued performance of services. At December 31, 2017, the Company had outstanding an aggregate of 399,027 three-year PPSUs. The vesting of these awards is subject to the achievement of specified levels of cumulative net income before taxes or specified stock price levels and continued performance of services, through mid-December 2018, each of which measure as of December 31, 2017, is deemed probable. During the three months ended December 31, 2017, and 2016, we recognized compensation expense of $203 and $303, respectively, related to these grants.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As of December 31, 2017, there were no outstanding unvested stock options or related unamortized compensation cost. We did not recognize any compensation expense related to our stock option awards during the three months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2016, we recognized compensation expense of $21 related to our stock option awards.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SECURITIES AND EQUITY INVESTMENTS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Additionally, we have a cost method investment in EnerTech Capital Partners II L.P. (“EnerTech”). We estimate the fair value of our investment in EnerTech (Level 3) using cash flow projections and market multiples of the underlying non-public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EnerTech</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reconciliation of the carrying value and unrealized gains to the fair value of the investment in EnerTech as of December 31, 2017, and September 30, 2017:</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680" w:type="dxa"/>
            <w:vAlign w:val="bottom"/>
            <w:gridSpan w:val="4"/>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2017</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Unrealized gains</w:t>
            </w:r>
          </w:p>
        </w:tc>
        <w:tc>
          <w:tcPr>
            <w:tcW w:w="2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6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9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At each reporting date, the Company performs an evaluation of impairment for securities to determine if any unrealized losses are other-than temporary. Based on the results of this evaluation, we believe the unrealized gain at December 31, 2017, or September 30, 2017 indicated our investment was not impaired.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offers employees the opportunity to participate in its 401(k) savings plans. During the three months ended December 31, 2017, and 2016, we recognized $429 and $144, respectively, in matching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$775 recorded as of December 31, 2017, and $815 as of September 30, 2017, related to such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Accounting</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2017,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December 31, 2017, and September 30, 2017, are summarized in the following tables by the type of inputs applicable to the fair value measurements: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color w:val="auto"/>
                <w:w w:val="92"/>
              </w:rPr>
              <w:t>December 31, 2017</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4"/>
              <w:spacing w:after="0" w:line="123"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1"/>
              </w:rPr>
              <w:t>September 30, 2017</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4"/>
              <w:spacing w:after="0" w:line="123"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40" w:type="dxa"/>
            <w:vAlign w:val="bottom"/>
            <w:vMerge w:val="restart"/>
          </w:tcPr>
          <w:p>
            <w:pPr>
              <w:jc w:val="right"/>
              <w:ind w:right="31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fiscal years 2016 and 2017, we entered into contingent consideration arrangements related to certain acquisitions. Please see Note 13, “Business Combinations” for further discussion. At December 31, 2017, we estimated the fair value of these contingent consideration liabilities at $786. The table below presents a reconciliation of the fair value of these obligations, which used significant unobservable inputs (Level 3).</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Contingent</w:t>
            </w:r>
          </w:p>
        </w:tc>
      </w:tr>
      <w:tr>
        <w:trPr>
          <w:trHeight w:val="149"/>
        </w:trPr>
        <w:tc>
          <w:tcPr>
            <w:tcW w:w="688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color w:val="auto"/>
                <w:w w:val="99"/>
              </w:rPr>
              <w:t>Consideration</w:t>
            </w:r>
          </w:p>
        </w:tc>
      </w:tr>
      <w:tr>
        <w:trPr>
          <w:trHeight w:val="167"/>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color w:val="auto"/>
                <w:w w:val="92"/>
              </w:rPr>
              <w:t>Agreements</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786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Fair Value at December 31, 2017</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786</w:t>
            </w:r>
          </w:p>
        </w:tc>
        <w:tc>
          <w:tcPr>
            <w:tcW w:w="6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6"/>
          </w:tcPr>
          <w:p>
            <w:pPr>
              <w:ind w:left="140"/>
              <w:spacing w:after="0"/>
              <w:rPr>
                <w:sz w:val="20"/>
                <w:szCs w:val="20"/>
                <w:color w:val="auto"/>
              </w:rPr>
            </w:pPr>
            <w:r>
              <w:rPr>
                <w:rFonts w:ascii="Arial" w:cs="Arial" w:eastAsia="Arial" w:hAnsi="Arial"/>
                <w:sz w:val="14"/>
                <w:szCs w:val="14"/>
                <w:color w:val="auto"/>
              </w:rPr>
              <w:t>December 31,</w:t>
            </w:r>
          </w:p>
        </w:tc>
        <w:tc>
          <w:tcPr>
            <w:tcW w:w="1140" w:type="dxa"/>
            <w:vAlign w:val="bottom"/>
            <w:gridSpan w:val="4"/>
          </w:tcPr>
          <w:p>
            <w:pPr>
              <w:ind w:left="240"/>
              <w:spacing w:after="0"/>
              <w:rPr>
                <w:sz w:val="20"/>
                <w:szCs w:val="20"/>
                <w:color w:val="auto"/>
              </w:rPr>
            </w:pPr>
            <w:r>
              <w:rPr>
                <w:rFonts w:ascii="Arial" w:cs="Arial" w:eastAsia="Arial" w:hAnsi="Arial"/>
                <w:sz w:val="14"/>
                <w:szCs w:val="14"/>
                <w:color w:val="auto"/>
                <w:w w:val="93"/>
              </w:rPr>
              <w:t>September 30,</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4,104</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Work in process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3,731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Parts and supplies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7,396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16,923</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GOODWILL AND INTANGIBLE ASSETS</w:t>
            </w: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40" w:type="dxa"/>
            <w:vAlign w:val="bottom"/>
            <w:gridSpan w:val="3"/>
            <w:vMerge w:val="continue"/>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i w:val="1"/>
                <w:iCs w:val="1"/>
                <w:color w:val="auto"/>
              </w:rPr>
              <w:t>Goodwill</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7"/>
          </w:tcPr>
          <w:p>
            <w:pPr>
              <w:spacing w:after="0"/>
              <w:rPr>
                <w:sz w:val="20"/>
                <w:szCs w:val="20"/>
                <w:color w:val="auto"/>
              </w:rPr>
            </w:pPr>
            <w:r>
              <w:rPr>
                <w:rFonts w:ascii="Arial" w:cs="Arial" w:eastAsia="Arial" w:hAnsi="Arial"/>
                <w:sz w:val="18"/>
                <w:szCs w:val="18"/>
                <w:color w:val="auto"/>
                <w:w w:val="92"/>
              </w:rPr>
              <w:t>The following is a progression of goodwill by segment for the three months ended December 31, 2017: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Commercial &amp;</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color w:val="auto"/>
              </w:rPr>
              <w:t>Infrastructure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Industrial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Solutions</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at September 30, 2017</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$46,693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2017</w:t>
            </w:r>
          </w:p>
        </w:tc>
        <w:tc>
          <w:tcPr>
            <w:tcW w:w="20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7,176</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30,931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80" w:type="dxa"/>
            <w:vAlign w:val="bottom"/>
            <w:vMerge w:val="restart"/>
          </w:tcPr>
          <w:p>
            <w:pPr>
              <w:jc w:val="right"/>
              <w:ind w:right="63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restart"/>
          </w:tcPr>
          <w:p>
            <w:pPr>
              <w:jc w:val="center"/>
              <w:ind w:right="600"/>
              <w:spacing w:after="0"/>
              <w:rPr>
                <w:sz w:val="20"/>
                <w:szCs w:val="20"/>
                <w:color w:val="auto"/>
              </w:rPr>
            </w:pPr>
            <w:r>
              <w:rPr>
                <w:rFonts w:ascii="Arial" w:cs="Arial" w:eastAsia="Arial" w:hAnsi="Arial"/>
                <w:sz w:val="14"/>
                <w:szCs w:val="14"/>
                <w:color w:val="auto"/>
                <w:w w:val="89"/>
              </w:rPr>
              <w:t>Estimated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December 31, 2017</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20" w:type="dxa"/>
            <w:vAlign w:val="bottom"/>
            <w:gridSpan w:val="4"/>
          </w:tcPr>
          <w:p>
            <w:pPr>
              <w:jc w:val="center"/>
              <w:ind w:right="580"/>
              <w:spacing w:after="0" w:line="149" w:lineRule="exact"/>
              <w:rPr>
                <w:sz w:val="20"/>
                <w:szCs w:val="20"/>
                <w:color w:val="auto"/>
              </w:rPr>
            </w:pPr>
            <w:r>
              <w:rPr>
                <w:rFonts w:ascii="Arial" w:cs="Arial" w:eastAsia="Arial" w:hAnsi="Arial"/>
                <w:sz w:val="14"/>
                <w:szCs w:val="14"/>
                <w:color w:val="auto"/>
                <w:w w:val="96"/>
              </w:rPr>
              <w:t>Useful Lives</w:t>
            </w:r>
          </w:p>
        </w:tc>
        <w:tc>
          <w:tcPr>
            <w:tcW w:w="940" w:type="dxa"/>
            <w:vAlign w:val="bottom"/>
            <w:gridSpan w:val="5"/>
          </w:tcPr>
          <w:p>
            <w:pPr>
              <w:ind w:left="20"/>
              <w:spacing w:after="0" w:line="149" w:lineRule="exact"/>
              <w:rPr>
                <w:sz w:val="20"/>
                <w:szCs w:val="20"/>
                <w:color w:val="auto"/>
              </w:rPr>
            </w:pPr>
            <w:r>
              <w:rPr>
                <w:rFonts w:ascii="Arial" w:cs="Arial" w:eastAsia="Arial" w:hAnsi="Arial"/>
                <w:sz w:val="14"/>
                <w:szCs w:val="14"/>
                <w:color w:val="auto"/>
                <w:w w:val="95"/>
              </w:rPr>
              <w:t>Gross Carrying</w:t>
            </w: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(in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Technical library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25,768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Backlog</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3"/>
            <w:vMerge w:val="restart"/>
          </w:tcPr>
          <w:p>
            <w:pPr>
              <w:jc w:val="center"/>
              <w:ind w:right="540"/>
              <w:spacing w:after="0"/>
              <w:rPr>
                <w:sz w:val="20"/>
                <w:szCs w:val="20"/>
                <w:color w:val="auto"/>
              </w:rPr>
            </w:pPr>
            <w:r>
              <w:rPr>
                <w:rFonts w:ascii="Arial" w:cs="Arial" w:eastAsia="Arial" w:hAnsi="Arial"/>
                <w:sz w:val="14"/>
                <w:szCs w:val="14"/>
                <w:color w:val="auto"/>
                <w:w w:val="93"/>
              </w:rPr>
              <w:t>Estimated</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September 30, 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6"/>
              </w:rPr>
              <w:t>Useful Lives</w:t>
            </w:r>
          </w:p>
        </w:tc>
        <w:tc>
          <w:tcPr>
            <w:tcW w:w="2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color w:val="auto"/>
                <w:w w:val="95"/>
              </w:rPr>
              <w:t>Gross Carrying</w:t>
            </w:r>
          </w:p>
        </w:tc>
        <w:tc>
          <w:tcPr>
            <w:tcW w:w="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(in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Technical library</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31,115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26,374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Backlog</w:t>
            </w: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2,412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13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40,969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Capstone Construction Claims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2003 to 2005, two of our former subsidiaries performed HVAC and electrical work under contract with Capstone Building Corporation (“Capstone”) on a university student housing project in Texas. In 2005, our subsidiaries filed for arbitration against Capstone, seeking payment for work performed, change orders and other impacts. The parties settled those claims, and the release included a waiver of warranties associated with any of the HVAC work. Several years later, the subsidiaries discontinued operations, and the Company sold their assets.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October 24, 2013, Capstone filed a petition in the 12th Judicial District Court of Walker County, Texas against these subsidiaries, among other subcontractors, seeking contribution, defense, indemnity and damages for breach of contract in connection with alleged construction defect claims brought against Capstone by the owner of the student housing project. The owner claimed $10,406 in damages, plus attorneys’ fees and costs against Capstone, which Capstone sought to recover from the subcontractors. The claims against the Company were based on alleged defects in the mechanical design, construction and installation of the HVAC and electrical systems performed by our former subsidiaries.</w:t>
      </w:r>
    </w:p>
    <w:p>
      <w:pPr>
        <w:spacing w:after="0" w:line="1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Following mediation in June and November 2017, the Company reached an agreement in late December 2017 to settle all claims brought against it. At December 31, 2017, the Company had accrued a liability of $700 and a corresponding insurance receivable of $500 related to this settlement agreement, resulting in a charge of $200 recorded in the quarter ended December 31, 2017. In January 2018, the agreed upon settlement amounts were funded by the Company and our insurance carriers, and a mutual settlement and release agreement was executed by the plaintiffs and the Company.</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USAMRIID Claim</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On December 6, 2017, IES Commercial, Inc. filed suit in the United States District Court of Maryland in the matter </w:t>
      </w:r>
      <w:r>
        <w:rPr>
          <w:rFonts w:ascii="Arial" w:cs="Arial" w:eastAsia="Arial" w:hAnsi="Arial"/>
          <w:sz w:val="16"/>
          <w:szCs w:val="16"/>
          <w:i w:val="1"/>
          <w:iCs w:val="1"/>
          <w:color w:val="auto"/>
        </w:rPr>
        <w:t>USA for the use and benefit of IES</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Inc. and IES Commercial, Inc. v. Manhattan Construction Co., Torcon, Inc., Manhattan Torcon A Joint Venture, Federal Ins. Co., Fidelity &amp; Deposit Co. of Maryland, Zurich American Ins. Co., and Travelers Casualty &amp; Surety Co</w:t>
      </w:r>
      <w:r>
        <w:rPr>
          <w:rFonts w:ascii="Arial" w:cs="Arial" w:eastAsia="Arial" w:hAnsi="Arial"/>
          <w:sz w:val="16"/>
          <w:szCs w:val="16"/>
          <w:color w:val="auto"/>
        </w:rPr>
        <w:t>. This suit relates to a large project which has been ongoing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2009 and was scheduled for completion in early 2013. As the Company has previously disclosed, the Company entered into a subcontract in 2009 with Manhattan Torcon A Joint Venture to perform subcontracting services at the U.S. Army Medical Research Institute for Infectious Diseases (“USAMRIID”) replacement facility project for a contract value of approximately $61,146, subject to additions or deductions. Because of delays on the project and additional work the Company performed, the Company believes it is owed approximately $21,000 for claims incurred as of August 31, 2017, and an additional approximate $4,500 for claims the Company expects to incur from August 31, 2017, through completion of the project. On January 22, 2018, the defendants in this matter filed a motion to dismiss the suit, and on February 2, 2018, we filed our response. We are awaiting a decision on this matter.</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Given the uncertainty litigation poses, the Company has not recorded any recovery in connection with this claim. There can be no assurance that the Company will prevail in this litigation matter or that, if the Company does prevail, it will receive an amount substantially similar to the amount sought or not receive a significantly lower award.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December 31, 2017, and September 30, 2017, we had $6,985 and $6,204, respectively, accrued for self-insurance liabilities. We are also subject to construction defect liabilities, primarily within our Residential segment. As of December 31, 2017, and September 30, 2017, we had $244 and $218,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2017, and September 30, 2017, $5,900 and $5,985, respectively, of our outstanding letters of credit was utilized to collateralize our insurance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2017, the estimated cost to complete our bonded projects was approximately $66,794.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both December 31, 2017, and September 30, 2017, $508 of our outstanding letters of credit were to collateralize our vendors.</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2017, we had no such commitments.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completed three acquisitions in the year ended September 30, 2017, for a total aggregate consideration of $20,979. See Note 18, “Business Combinations and Divestitures” in our Annual Report on Form 10-K for the year ended September 30, 2017, for further information.</w:t>
      </w:r>
    </w:p>
    <w:p>
      <w:pPr>
        <w:spacing w:after="0" w:line="52" w:lineRule="exact"/>
        <w:rPr>
          <w:sz w:val="20"/>
          <w:szCs w:val="20"/>
          <w:color w:val="auto"/>
        </w:rPr>
      </w:pPr>
    </w:p>
    <w:p>
      <w:pPr>
        <w:ind w:left="900" w:right="3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Freeman Enclosure Systems, LLC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Services II, LLC – STR Mechanical,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will operate as a subsidiary of STR Mechanical within the Company’s Commercial &amp; Industrial segment. The acquisition of Technical Services has expanded our geographic reach and diversified our customer base for mechanical maintenance services.</w:t>
      </w:r>
    </w:p>
    <w:p>
      <w:pPr>
        <w:spacing w:after="0" w:line="93"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NEXT Electric, LLC – On July 14, 2017, the Company acquired 80% of the membership interests of NEXT Electric, a Milwaukee, Wisconsin-based electrical contractor specializing in the design, installation and maintenance of electrical systems for commercial, industrial, healthcare, water treatment and education end markets. NEXT Electric will operate within the Company’s Commercial &amp; Industrial segment.</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total purchase consideration for the Freeman and Technical Services acquisitions included contingent consideration payments based on the acquired company’s earnings, as defined in the applicable purchase and sale agreement. The fair value of the total contingent consideration liability was estimated at $786 at December 31, 2017, and is included in other non-current liabilities on our Condensed Consolidated Balance Sheets.</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accounted for the transactions under the acquisition method of accounting, which requires recording assets and liabilities at fair value (Level 3). The valuations derived from estimated fair value assessments and assumptions used by management are preliminary pending finalization of certain tangible and intangible asset valuations and assessment of deferred taxes. The valuation of NEXT Electric is derived from estimated fair value assessments and assumptions used by management, and it is preliminary, pending finalization of the valuations of certain tangible and intangible asset valuations and assessment of deferred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unaudited supplemental pro forma results of operations, calculated as if each acquisition occurred as of October 1 of the fiscal year prior to consummation, for the three months ended December 31, 2017, and 2016,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980" w:type="dxa"/>
            <w:vAlign w:val="bottom"/>
          </w:tcPr>
          <w:p>
            <w:pPr>
              <w:spacing w:after="0"/>
              <w:rPr>
                <w:sz w:val="12"/>
                <w:szCs w:val="12"/>
                <w:color w:val="auto"/>
              </w:rPr>
            </w:pPr>
          </w:p>
        </w:tc>
        <w:tc>
          <w:tcPr>
            <w:tcW w:w="2600" w:type="dxa"/>
            <w:vAlign w:val="bottom"/>
            <w:gridSpan w:val="4"/>
          </w:tcPr>
          <w:p>
            <w:pPr>
              <w:ind w:left="1260"/>
              <w:spacing w:after="0" w:line="149" w:lineRule="exact"/>
              <w:rPr>
                <w:sz w:val="20"/>
                <w:szCs w:val="20"/>
                <w:color w:val="auto"/>
              </w:rPr>
            </w:pPr>
            <w:r>
              <w:rPr>
                <w:rFonts w:ascii="Arial" w:cs="Arial" w:eastAsia="Arial" w:hAnsi="Arial"/>
                <w:sz w:val="14"/>
                <w:szCs w:val="14"/>
                <w:color w:val="auto"/>
              </w:rPr>
              <w:t>Three Months Ended</w:t>
            </w:r>
          </w:p>
        </w:tc>
        <w:tc>
          <w:tcPr>
            <w:tcW w:w="2100" w:type="dxa"/>
            <w:vAlign w:val="bottom"/>
            <w:gridSpan w:val="4"/>
          </w:tcPr>
          <w:p>
            <w:pPr>
              <w:ind w:left="820"/>
              <w:spacing w:after="0" w:line="149" w:lineRule="exact"/>
              <w:rPr>
                <w:sz w:val="20"/>
                <w:szCs w:val="20"/>
                <w:color w:val="auto"/>
              </w:rPr>
            </w:pPr>
            <w:r>
              <w:rPr>
                <w:rFonts w:ascii="Arial" w:cs="Arial" w:eastAsia="Arial" w:hAnsi="Arial"/>
                <w:sz w:val="14"/>
                <w:szCs w:val="14"/>
                <w:color w:val="auto"/>
                <w:w w:val="96"/>
              </w:rPr>
              <w:t>Three Months Ended</w:t>
            </w:r>
          </w:p>
        </w:tc>
      </w:tr>
      <w:tr>
        <w:trPr>
          <w:trHeight w:val="167"/>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color w:val="auto"/>
              </w:rPr>
              <w:t>December 31, 2017</w:t>
            </w:r>
          </w:p>
        </w:tc>
        <w:tc>
          <w:tcPr>
            <w:tcW w:w="8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color w:val="auto"/>
                <w:w w:val="99"/>
              </w:rPr>
              <w:t>December 31, 2016</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210,929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8"/>
              </w:rPr>
              <w:t>Net Income (loss) attributable to IES Holdings, Inc.</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(29,569)</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3,264</w:t>
            </w:r>
          </w:p>
        </w:tc>
        <w:tc>
          <w:tcPr>
            <w:tcW w:w="60" w:type="dxa"/>
            <w:vAlign w:val="bottom"/>
          </w:tcPr>
          <w:p>
            <w:pPr>
              <w:spacing w:after="0"/>
              <w:rPr>
                <w:sz w:val="20"/>
                <w:szCs w:val="20"/>
                <w:color w:val="auto"/>
              </w:rPr>
            </w:pPr>
          </w:p>
        </w:tc>
      </w:tr>
      <w:tr>
        <w:trPr>
          <w:trHeight w:val="350"/>
        </w:trPr>
        <w:tc>
          <w:tcPr>
            <w:tcW w:w="3980" w:type="dxa"/>
            <w:vAlign w:val="bottom"/>
          </w:tcPr>
          <w:p>
            <w:pPr>
              <w:spacing w:after="0"/>
              <w:rPr>
                <w:sz w:val="24"/>
                <w:szCs w:val="24"/>
                <w:color w:val="auto"/>
              </w:rPr>
            </w:pPr>
          </w:p>
        </w:tc>
        <w:tc>
          <w:tcPr>
            <w:tcW w:w="1260" w:type="dxa"/>
            <w:vAlign w:val="bottom"/>
          </w:tcPr>
          <w:p>
            <w:pPr>
              <w:jc w:val="right"/>
              <w:ind w:right="736"/>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following discussion and analysis should be read in conjunction with our Consolidated Financial Statements and the notes thereto, set forth in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as set forth in our Annual Report on Form 10-K for the year ended September 30, 2017, and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Financial Statements and notes thereto included in Part I of this Quarterly Report on Form 10-Q. The following discussion may contain forward looking statements. For additional information, see </w:t>
      </w:r>
      <w:r>
        <w:rPr>
          <w:rFonts w:ascii="Arial" w:cs="Arial" w:eastAsia="Arial" w:hAnsi="Arial"/>
          <w:sz w:val="16"/>
          <w:szCs w:val="16"/>
          <w:i w:val="1"/>
          <w:iCs w:val="1"/>
          <w:color w:val="auto"/>
        </w:rPr>
        <w:t>“Disclosure Regarding Forward Looking Statements”</w:t>
      </w:r>
      <w:r>
        <w:rPr>
          <w:rFonts w:ascii="Arial" w:cs="Arial" w:eastAsia="Arial" w:hAnsi="Arial"/>
          <w:sz w:val="16"/>
          <w:szCs w:val="16"/>
          <w:color w:val="auto"/>
        </w:rPr>
        <w:t xml:space="preserve"> in Part I of this Quarterly Report on Form 10-Q.</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Please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2017,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as well as the results of acquired businesses from the dates acquired.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1"/>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4"/>
          </w:tcPr>
          <w:p>
            <w:pPr>
              <w:jc w:val="right"/>
              <w:ind w:right="96"/>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140" w:type="dxa"/>
            <w:vAlign w:val="bottom"/>
            <w:gridSpan w:val="9"/>
          </w:tcPr>
          <w:p>
            <w:pPr>
              <w:jc w:val="right"/>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$198,300</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$192,178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Cost of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165,236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156,996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35,182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30,089</w:t>
            </w:r>
          </w:p>
        </w:tc>
        <w:tc>
          <w:tcPr>
            <w:tcW w:w="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15.2%</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28,194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(gain) on sale of assets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2,989</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6,995</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 before income taxes</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2,646</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6,553</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5"/>
                <w:szCs w:val="15"/>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(29,513)</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3,924</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460"/>
              <w:spacing w:after="0"/>
              <w:rPr>
                <w:sz w:val="20"/>
                <w:szCs w:val="20"/>
                <w:color w:val="auto"/>
              </w:rPr>
            </w:pPr>
            <w:r>
              <w:rPr>
                <w:rFonts w:ascii="Arial" w:cs="Arial" w:eastAsia="Arial" w:hAnsi="Arial"/>
                <w:sz w:val="18"/>
                <w:szCs w:val="18"/>
                <w:color w:val="auto"/>
              </w:rPr>
              <w:t>Comprehensive income attributable to IES Holdings, Inc.</w:t>
            </w:r>
          </w:p>
        </w:tc>
        <w:tc>
          <w:tcPr>
            <w:tcW w:w="68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 (29,569</w:t>
            </w:r>
          </w:p>
        </w:tc>
        <w:tc>
          <w:tcPr>
            <w:tcW w:w="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3,872</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includes a charge of $31.3 million to re-measure our net deferred tax assets in connection with the Tax Cuts and Jobs 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revenues for the three months ended December 31, 2017, were $6.1 million higher than for the three months ended December 31, 2016, an increase of 3.2%, with increases at all of our operating segments, with the exception of Commercial &amp; Industrial. Our three businesses acquired in fiscal 2017 contributed $12.2 million of the increase, partly offset by a $7.2 million decrease at two underperforming branches within our Commercial &amp; Industrial segment, which are in the process of winding down operations.</w:t>
      </w:r>
    </w:p>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Consolidated gross profit for the three months ended December 31, 2017, decreased $2.1 million compared with the three months ended December 31, 2016. Our overall gross profit percentage decreased to 16.7% during the three months ended December 31, 2017, as compared to 18.3% during the three months ended December 31, 2016. Gross profit as a percentage of revenue increased at our</w:t>
      </w:r>
    </w:p>
    <w:p>
      <w:pPr>
        <w:ind w:right="200"/>
        <w:spacing w:after="0" w:line="261" w:lineRule="auto"/>
        <w:rPr>
          <w:sz w:val="20"/>
          <w:szCs w:val="20"/>
          <w:color w:val="auto"/>
        </w:rPr>
      </w:pPr>
      <w:r>
        <w:rPr>
          <w:rFonts w:ascii="Arial" w:cs="Arial" w:eastAsia="Arial" w:hAnsi="Arial"/>
          <w:sz w:val="18"/>
          <w:szCs w:val="18"/>
          <w:color w:val="auto"/>
        </w:rPr>
        <w:t>Communications segment, but decreased at our other three segments. Our results for the quarter ended December 31, 2017, were affected by a $1.3 million increase in self-insurance costs compared to the quarter ended December 31, 2016, as discussed in further detail below.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months ended December 31, 2017, our selling, general and administrative expenses were $30.1 million, an increase of $1.9 million, or 6.7%, over the three months ended December 31, 2016. Selling, general and administrative expense as a percent of revenue increased from 14.7% for the three months ended December 31, 2016, to 15.2% for the three months ended December 31, 2017. This increase was primarily attributable to expense incurred at businesses acquired during fiscal 2017, which contributed $1.6 million of the increase for the three months ended December 31, 2017. We also incurred additional expense as a result of increased activity levels across our business, as increased volume levels required additional personnel to support our growth.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&amp; Industrial</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w w:val="92"/>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320" w:type="dxa"/>
            <w:vAlign w:val="bottom"/>
            <w:gridSpan w:val="7"/>
          </w:tcPr>
          <w:p>
            <w:pPr>
              <w:jc w:val="right"/>
              <w:ind w:right="23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$53,002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$53,956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48,159</w:t>
            </w:r>
          </w:p>
        </w:tc>
        <w:tc>
          <w:tcPr>
            <w:tcW w:w="3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47,850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6,106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5,795</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600" w:type="dxa"/>
            <w:vAlign w:val="bottom"/>
          </w:tcPr>
          <w:p>
            <w:pPr>
              <w:jc w:val="right"/>
              <w:spacing w:after="0"/>
              <w:rPr>
                <w:sz w:val="20"/>
                <w:szCs w:val="20"/>
                <w:color w:val="auto"/>
              </w:rPr>
            </w:pPr>
            <w:r>
              <w:rPr>
                <w:rFonts w:ascii="Arial" w:cs="Arial" w:eastAsia="Arial" w:hAnsi="Arial"/>
                <w:sz w:val="18"/>
                <w:szCs w:val="18"/>
                <w:color w:val="auto"/>
              </w:rPr>
              <w:t>1,781</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Commercial &amp; Industrial segment decreased $1.0 million, or 1.8%, during the three months ended December 31, 2017,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December 31, 2016. The decrease was driven by a $7.2 million decrease relating to our Denver and Roanoke branches, which are in the process of winding down operations, as well as to the impact of project delays. These decreases were largely offset by revenues at businesses acquired in the third and fourth quarters of fiscal 2017, which contributed $9.1 million during the three months ended December 31, 2017, compared to the three months ended December 31, 2016. The market for this segment’s services remains highly competitive.</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three months ended December 31, 2017, decreased by $1.3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December 31, 2016. The decrease was driven by an increase in workers’ compensation expense, as a result of claims incurred related to certain incidents which occurred prior to fiscal 2018. As we are effectively self-insured with respect to workers’ compensation, we may incur costs related to a claim in a reporting period subsequent to the incident related to the claim, and expense can vary significantly from period to period, depending on the timing of claims development. See Note 12, “Commitments and Contingencies” for further discussion. Additionally, results for the quarter ended December 31, 2016, benefitted by $0.5 million related to a change order received during the period. These decreases were partly offset by $1.4 million of additional gross profit contributed by our fiscal 2017 acquisitions during the three months ended December 31, 2017, compared to the three months ended December 31, 2016.</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increased $1.5 million, or 34.0%, compared to the three months ended December 31, 2016. Selling, general and administrative expenses as a percentage of revenues increased 2.9% to 10.9% during the three months ended December 31, 2017, compared to the three months ended December 31, 2016. Our fiscal 2017 acquisitions increased expense by $1.0 million. The remaining increase relates primarily to employee expense associated with management hired to provide additional oversight at the regional and branch levels.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results shown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8"/>
              <w:spacing w:after="0"/>
              <w:rPr>
                <w:sz w:val="20"/>
                <w:szCs w:val="20"/>
                <w:color w:val="auto"/>
              </w:rPr>
            </w:pPr>
            <w:r>
              <w:rPr>
                <w:rFonts w:ascii="Arial" w:cs="Arial" w:eastAsia="Arial" w:hAnsi="Arial"/>
                <w:sz w:val="14"/>
                <w:szCs w:val="14"/>
                <w:color w:val="auto"/>
                <w:w w:val="92"/>
              </w:rPr>
              <w:t>Three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Three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color w:val="auto"/>
                <w:w w:val="91"/>
              </w:rPr>
              <w:t>Months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480"/>
              <w:spacing w:after="0" w:line="149" w:lineRule="exact"/>
              <w:rPr>
                <w:sz w:val="20"/>
                <w:szCs w:val="20"/>
                <w:color w:val="auto"/>
              </w:rPr>
            </w:pPr>
            <w:r>
              <w:rPr>
                <w:rFonts w:ascii="Arial" w:cs="Arial" w:eastAsia="Arial" w:hAnsi="Arial"/>
                <w:sz w:val="14"/>
                <w:szCs w:val="14"/>
                <w:color w:val="auto"/>
                <w:w w:val="95"/>
              </w:rPr>
              <w:t>Months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80" w:type="dxa"/>
            <w:vAlign w:val="bottom"/>
            <w:gridSpan w:val="4"/>
          </w:tcPr>
          <w:p>
            <w:pPr>
              <w:jc w:val="center"/>
              <w:ind w:left="73"/>
              <w:spacing w:after="0" w:line="149" w:lineRule="exact"/>
              <w:rPr>
                <w:sz w:val="20"/>
                <w:szCs w:val="20"/>
                <w:color w:val="auto"/>
              </w:rPr>
            </w:pPr>
            <w:r>
              <w:rPr>
                <w:rFonts w:ascii="Arial" w:cs="Arial" w:eastAsia="Arial" w:hAnsi="Arial"/>
                <w:sz w:val="14"/>
                <w:szCs w:val="14"/>
                <w:color w:val="auto"/>
                <w:w w:val="93"/>
              </w:rPr>
              <w:t>December 31,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6"/>
          </w:tcPr>
          <w:p>
            <w:pPr>
              <w:jc w:val="center"/>
              <w:ind w:right="300"/>
              <w:spacing w:after="0" w:line="149" w:lineRule="exact"/>
              <w:rPr>
                <w:sz w:val="20"/>
                <w:szCs w:val="20"/>
                <w:color w:val="auto"/>
              </w:rPr>
            </w:pPr>
            <w:r>
              <w:rPr>
                <w:rFonts w:ascii="Arial" w:cs="Arial" w:eastAsia="Arial" w:hAnsi="Arial"/>
                <w:sz w:val="14"/>
                <w:szCs w:val="14"/>
                <w:color w:val="auto"/>
                <w:w w:val="90"/>
              </w:rPr>
              <w:t>December 31,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color w:val="auto"/>
                <w:w w:val="96"/>
              </w:rPr>
              <w:t>2017</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4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Service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3,311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980" w:type="dxa"/>
            <w:vAlign w:val="bottom"/>
            <w:gridSpan w:val="2"/>
          </w:tcPr>
          <w:p>
            <w:pPr>
              <w:ind w:left="9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Communications</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color w:val="auto"/>
                <w:w w:val="92"/>
              </w:rPr>
              <w:t>Three Months Ended December 31,</w:t>
            </w:r>
          </w:p>
        </w:tc>
        <w:tc>
          <w:tcPr>
            <w:tcW w:w="4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11"/>
          </w:tcPr>
          <w:p>
            <w:pPr>
              <w:jc w:val="center"/>
              <w:ind w:right="173"/>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w w:val="89"/>
              </w:rPr>
              <w:t>$54,459</w:t>
            </w:r>
          </w:p>
        </w:tc>
        <w:tc>
          <w:tcPr>
            <w:tcW w:w="6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$53,303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45,339</w:t>
            </w:r>
          </w:p>
        </w:tc>
        <w:tc>
          <w:tcPr>
            <w:tcW w:w="3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45,332</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38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gridSpan w:val="4"/>
          </w:tcPr>
          <w:p>
            <w:pPr>
              <w:jc w:val="right"/>
              <w:ind w:right="308"/>
              <w:spacing w:after="0"/>
              <w:rPr>
                <w:sz w:val="20"/>
                <w:szCs w:val="20"/>
                <w:color w:val="auto"/>
              </w:rPr>
            </w:pPr>
            <w:r>
              <w:rPr>
                <w:rFonts w:ascii="Arial" w:cs="Arial" w:eastAsia="Arial" w:hAnsi="Arial"/>
                <w:sz w:val="18"/>
                <w:szCs w:val="18"/>
                <w:color w:val="auto"/>
              </w:rPr>
              <w:t>6,084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5,714</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w:t>
            </w:r>
          </w:p>
        </w:tc>
        <w:tc>
          <w:tcPr>
            <w:tcW w:w="6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Income</w:t>
            </w:r>
          </w:p>
        </w:tc>
        <w:tc>
          <w:tcPr>
            <w:tcW w:w="600" w:type="dxa"/>
            <w:vAlign w:val="bottom"/>
            <w:gridSpan w:val="3"/>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gridSpan w:val="3"/>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3,037</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Communications segment’s revenues increased by $1.2 million during the three months ended December 31, 2017, primarily as a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work at high-tech distribution centers and manufacturing facilities.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December 31, 2017, increased by $1.1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2016. Gross profit as a percentage of revenue increased 1.7% to 16.7% for the three months ended December 31, 2017, primarily as a result of improved project execution. Additionally, during the quarter ended December 31, 2016, we hired a large number of new employees in support of rapid growth, resulting in lower overall gross margins during this period.</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by $0.4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6.5%, during the three months ended December 31, 2017, compared to the three months ended December 31, 2016. Selling, general and administrative expenses as a percentage of revenues in the Communications segment increased 0.5% to 11.2% of segment revenue during the three months ended December 31, 2017, compared to the three months ended December 31, 2016. The increase is a result of higher personnel cost, particularly related to higher incentive compensation expense in connection with improved profitability, as well as continuing investment to support anticipated growth.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color w:val="auto"/>
                <w:w w:val="91"/>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37"/>
              <w:spacing w:after="0" w:line="142" w:lineRule="exact"/>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380" w:type="dxa"/>
            <w:vAlign w:val="bottom"/>
            <w:gridSpan w:val="8"/>
          </w:tcPr>
          <w:p>
            <w:pPr>
              <w:jc w:val="right"/>
              <w:ind w:right="25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$21,685</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$18,477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services</w:t>
            </w:r>
          </w:p>
        </w:tc>
        <w:tc>
          <w:tcPr>
            <w:tcW w:w="2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78.4%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13,102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0" w:type="dxa"/>
            <w:vAlign w:val="bottom"/>
            <w:gridSpan w:val="3"/>
          </w:tcPr>
          <w:p>
            <w:pPr>
              <w:jc w:val="right"/>
              <w:ind w:right="60"/>
              <w:spacing w:after="0"/>
              <w:rPr>
                <w:sz w:val="20"/>
                <w:szCs w:val="20"/>
                <w:color w:val="auto"/>
              </w:rPr>
            </w:pPr>
            <w:r>
              <w:rPr>
                <w:rFonts w:ascii="Arial" w:cs="Arial" w:eastAsia="Arial" w:hAnsi="Arial"/>
                <w:sz w:val="18"/>
                <w:szCs w:val="18"/>
                <w:color w:val="auto"/>
              </w:rPr>
              <w:t>4,557</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21.0%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2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7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gridSpan w:val="2"/>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580" w:type="dxa"/>
            <w:vAlign w:val="bottom"/>
          </w:tcPr>
          <w:p>
            <w:pPr>
              <w:jc w:val="right"/>
              <w:spacing w:after="0"/>
              <w:rPr>
                <w:sz w:val="20"/>
                <w:szCs w:val="20"/>
                <w:color w:val="auto"/>
              </w:rPr>
            </w:pPr>
            <w:r>
              <w:rPr>
                <w:rFonts w:ascii="Arial" w:cs="Arial" w:eastAsia="Arial" w:hAnsi="Arial"/>
                <w:sz w:val="18"/>
                <w:szCs w:val="18"/>
                <w:color w:val="auto"/>
              </w:rPr>
              <w:t>1,283</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740" w:type="dxa"/>
            <w:vAlign w:val="bottom"/>
          </w:tcPr>
          <w:p>
            <w:pPr>
              <w:jc w:val="right"/>
              <w:ind w:right="149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$3.2 million during the three months ended December 31, 2017, an increase of 17.4%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December 31, 2016. The increase in revenue was driven primarily by additional revenue of $3.1 million contributed by the acquisition of Freeman Enclosures in the second quarter of fiscal 2017.</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three months ended December 31, 2017, decreased $0.7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2016. The decrease is the result of project delays, as well as an increase in self-insured medical expense during the quarter ended December 31, 2017. Margins are also affected by the mix of work performed.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increased $0.5 million compared to the three months ended December 31, 2016, as a result of general and administrative expenses at Freeman Enclosures, which was acquired during the second quarter of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w w:val="92"/>
              </w:rPr>
              <w:t>Three Months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3280" w:type="dxa"/>
            <w:vAlign w:val="bottom"/>
            <w:gridSpan w:val="7"/>
          </w:tcPr>
          <w:p>
            <w:pPr>
              <w:jc w:val="right"/>
              <w:ind w:right="21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$69,154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$66,442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Cost of services</w:t>
            </w: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54,738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79.2%</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50,712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14,416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10,366</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10,553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4,050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segment’s revenues increased by $2.7 million during the three months ended December 31, 2017, an increase of 4.1%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December 31, 2016. The increase is driven by our single-family business, where revenues increased by $5.5 million for the three months ended December 31, 2017, compared with the three months ended December 31, 2016. Service and solar revenues also increased by $0.9 million for the three months ended December 31, 2017, compared with the same period in the prior year. These increases were partly offset by a decrease in multi-family revenues, which declined by $3.7 million. The quarter ended December 31, 2016, benefitted from a historically high level of backlog, which was the result of project delays in the previous fiscal year. Our current multi-family backlog has returned to a more typical level.</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three months ended December 31, 2017, our Residential segment experienced a $1.3 million, or 8.4%, decrease in gross profit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December 31, 2016. The decrease in gross profit was driven primarily by an increase in copper and other commodity prices, as we experienced favorable commodity prices in the quarter ended December 31, 2016, as well as an increase in labor costs, as a result of tightening labor markets. Additionally, our results for the quarter ended December 31, 2017, were affected by an increase in self-insurance expense. Gross margin as a percentage of revenue decreased 2.9% to 20.8% during the quarter ended December 31, 2017, as compared with the quarter ended December 31, 2016.</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$0.2 million, or 1.8%, decrease in 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three months ended December 31, 2017, compared to the three months ended December 31, 2016, primarily as a result of lower incentive compensation expense in connection with lower profitability. Selling, general and administrative expenses as a percentage of revenues in the Residential segment decreased to 15.0% of segment revenue during the three months ended December 31, 2017, compared to 15.9% in the three months ended December 31, 2016.</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 AND OTHER EXPENSE, NET</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December 31,</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w w:val="93"/>
              </w:rPr>
              <w:t>(In thousands)</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371</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2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441</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748"/>
              <w:spacing w:after="0"/>
              <w:rPr>
                <w:sz w:val="20"/>
                <w:szCs w:val="20"/>
                <w:color w:val="auto"/>
              </w:rPr>
            </w:pPr>
            <w:r>
              <w:rPr>
                <w:rFonts w:ascii="Arial" w:cs="Arial" w:eastAsia="Arial" w:hAnsi="Arial"/>
                <w:sz w:val="18"/>
                <w:szCs w:val="18"/>
                <w:color w:val="auto"/>
              </w:rPr>
              <w:t>(98)</w:t>
            </w:r>
          </w:p>
        </w:tc>
        <w:tc>
          <w:tcPr>
            <w:tcW w:w="6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30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0" w:type="dxa"/>
            <w:vAlign w:val="bottom"/>
            <w:vMerge w:val="restart"/>
          </w:tcPr>
          <w:p>
            <w:pPr>
              <w:jc w:val="right"/>
              <w:ind w:right="1310"/>
              <w:spacing w:after="0"/>
              <w:rPr>
                <w:sz w:val="20"/>
                <w:szCs w:val="20"/>
                <w:color w:val="auto"/>
              </w:rPr>
            </w:pPr>
            <w:r>
              <w:rPr>
                <w:rFonts w:ascii="Arial" w:cs="Arial" w:eastAsia="Arial" w:hAnsi="Arial"/>
                <w:sz w:val="18"/>
                <w:szCs w:val="18"/>
                <w:color w:val="auto"/>
              </w:rPr>
              <w:t>23</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December 31, 2017, we incurred interest expense of $0.4 million primarily comprised of interest expense from our term loan facility with Wells Fargo Bank, N.A. (“Wells Fargo”), an average letter of credit balance of $6.4 million under our revolving credit facility and an average unused line of credit balance of $63.4 million. This compares to interest expense of $0.4 million for the three months ended December 31, 2016, primarily comprised of interest expense from our term loan facility, an average letter of credit balance of $6.7 million under our revolving credit facility and an average unused line of credit balance of $33.1 million.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recorded income tax expense of $32.2 million for the three months ended December 31, 2017, compared to income tax expense of $2.6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December 31, 2016. For the three months ended December 31, 2017, our income tax expense included a preliminary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$31.3 million to re-measure our deferred tax assets and liabilities to reflect the estimated impact of the new statutory tax rate enacted during the quarter.</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Our backlog has increased from $331 million at September 30, 2017, to $337 million at December 31, 2017.</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During the three months ended December 31, 2017, working capital exclusive of cash increased by $0.2 million from September 30, 2017, reflecting a $14.8 million decrease in current assets excluding cash and a $15.0 million decrease in current liabilities during the period.</w:t>
      </w:r>
    </w:p>
    <w:p>
      <w:pPr>
        <w:spacing w:after="0" w:line="1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three months ended December 31, 2017, our current assets exclusive of cash decreased to $188.7 million, as compared to $203.5 million as of September 30, 2017. The decrease primarily relates to a $15.7 million decrease in accounts receivable and retainage. Days sales outstanding decreased to 61 at December 31, 2017, from 66 at September 30, 2017. While the rate of collections may vary, our typically secured position, resulting from our ability in general to secure liens against our customers’ overdue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receivables, offers some protection that collection will occur eventually to the extent that our security retains value.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December 31, 2017, our total current liabilities decreased by $15.0 million to $135.7 million, compared to $150.6 million as of September 30, 2017, primarily related to a decrease in accounts payable and accrued liabilities.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decreases in both accounts receivable and accounts payable are typical for the first quarter of our fiscal year, based on a slowing of activity around the end of the calendar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December 31, 2017, the estimated cost to complete our bonded projects was approximately $66.8 million.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maintain a $100 million revolving credit facility with Wells Fargo Bank, N.A. that matures in August 2021 (as amended, the “Credit Facility”), pursuant to a Second Amended and Restated Credit and Security Agreement with Wells Fargo Bank, N.A., which was further amended on July 14, 2017, and August 2, 2017 (as amended, the “Amended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 contains customary affirmative, negative and financial covenants as well as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were in compliance with the financial covenants under the Amended Credit Agreement, requiring that we maintain:</w:t>
      </w:r>
    </w:p>
    <w:p>
      <w:pPr>
        <w:spacing w:after="0" w:line="142" w:lineRule="exact"/>
        <w:rPr>
          <w:sz w:val="20"/>
          <w:szCs w:val="20"/>
          <w:color w:val="auto"/>
        </w:rPr>
      </w:pPr>
    </w:p>
    <w:p>
      <w:pPr>
        <w:ind w:left="900" w:right="1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w:t>
      </w:r>
    </w:p>
    <w:p>
      <w:pPr>
        <w:spacing w:after="0" w:line="75" w:lineRule="exact"/>
        <w:rPr>
          <w:rFonts w:ascii="Arial" w:cs="Arial" w:eastAsia="Arial" w:hAnsi="Arial"/>
          <w:sz w:val="18"/>
          <w:szCs w:val="18"/>
          <w:color w:val="auto"/>
        </w:rPr>
      </w:pPr>
    </w:p>
    <w:p>
      <w:pPr>
        <w:ind w:left="900" w:right="4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 and</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EBITDA (as defined in the Amended Credit Agreement), measured at the end of each quarter, of at least the required amount set forth in the following table for the applicable period set forth opposite thereto:</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700" w:type="dxa"/>
            <w:vAlign w:val="bottom"/>
            <w:gridSpan w:val="2"/>
          </w:tcPr>
          <w:p>
            <w:pPr>
              <w:spacing w:after="0"/>
              <w:rPr>
                <w:sz w:val="20"/>
                <w:szCs w:val="20"/>
                <w:color w:val="auto"/>
              </w:rPr>
            </w:pPr>
            <w:r>
              <w:rPr>
                <w:rFonts w:ascii="Arial" w:cs="Arial" w:eastAsia="Arial" w:hAnsi="Arial"/>
                <w:sz w:val="14"/>
                <w:szCs w:val="14"/>
                <w:color w:val="auto"/>
              </w:rPr>
              <w:t>Applicable Amount</w:t>
            </w:r>
          </w:p>
        </w:tc>
        <w:tc>
          <w:tcPr>
            <w:tcW w:w="7880" w:type="dxa"/>
            <w:vAlign w:val="bottom"/>
          </w:tcPr>
          <w:p>
            <w:pPr>
              <w:ind w:left="3420"/>
              <w:spacing w:after="0"/>
              <w:rPr>
                <w:sz w:val="20"/>
                <w:szCs w:val="20"/>
                <w:color w:val="auto"/>
              </w:rPr>
            </w:pPr>
            <w:r>
              <w:rPr>
                <w:rFonts w:ascii="Arial" w:cs="Arial" w:eastAsia="Arial" w:hAnsi="Arial"/>
                <w:sz w:val="14"/>
                <w:szCs w:val="14"/>
                <w:color w:val="auto"/>
              </w:rPr>
              <w:t>Applicable Period</w:t>
            </w: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 million</w:t>
            </w:r>
          </w:p>
        </w:tc>
        <w:tc>
          <w:tcPr>
            <w:tcW w:w="560" w:type="dxa"/>
            <w:vAlign w:val="bottom"/>
            <w:tcBorders>
              <w:top w:val="single" w:sz="8" w:color="CCEEFF"/>
            </w:tcBorders>
            <w:shd w:val="clear" w:color="auto" w:fill="CCEEFF"/>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each four quarter period ending September 30, 2017, and December 31, 2017</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$32.5 million</w:t>
            </w:r>
          </w:p>
        </w:tc>
        <w:tc>
          <w:tcPr>
            <w:tcW w:w="7880" w:type="dxa"/>
            <w:vAlign w:val="bottom"/>
          </w:tcPr>
          <w:p>
            <w:pPr>
              <w:spacing w:after="0"/>
              <w:rPr>
                <w:sz w:val="20"/>
                <w:szCs w:val="20"/>
                <w:color w:val="auto"/>
              </w:rPr>
            </w:pPr>
            <w:r>
              <w:rPr>
                <w:rFonts w:ascii="Arial" w:cs="Arial" w:eastAsia="Arial" w:hAnsi="Arial"/>
                <w:sz w:val="18"/>
                <w:szCs w:val="18"/>
                <w:color w:val="auto"/>
              </w:rPr>
              <w:t>For the four quarter period ending March 31, 2018</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million</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For each four quarter period ending June 30, 2018 and each quarter-end thereafter</w:t>
            </w: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December 31, 2017, our Liquidity was $75.1 million, our Excess Availability was $43.2 million (or greater than 50% of minimum Liquidity), our Fixed Charge Coverage Ratio was 7.5:1.0; and our EBITDA, as defined in the Amended Credit Agreement for the four quarters ended December 31, 2017 was $34.7 million.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or our minimum Liquidity), our Fixed Charge Coverage Ratio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we had $6.4 million in outstanding letters of credit with Wells Fargo Bank, N.A and outstanding borrowings of $30.2 million.</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Operating activities provided net cash of $5.0 million during the three months ended December 31, 2017, as compared to $5.6 million of net cash provided in the three months ended December 31, 2016. The increase in operating cash flow resulted primarily from increased collections of accounts receivable of $12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$1.4 million for the three months ended December 31, 2017, compared with $1.8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 used cash of $1.2 million for purchases of fixed assets in the three months ended December 31, 2017.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 used $1.8 million of cash for the purchase of fixed assets.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did not purchase any stock pursuant to this program during the three months ended December 31, 2017.</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 Statements”</w:t>
      </w:r>
      <w:r>
        <w:rPr>
          <w:rFonts w:ascii="Arial" w:cs="Arial" w:eastAsia="Arial" w:hAnsi="Arial"/>
          <w:sz w:val="18"/>
          <w:szCs w:val="18"/>
          <w:color w:val="auto"/>
        </w:rPr>
        <w:t xml:space="preserve"> in Part I of this Quarterly Report on Form 10-Q and our risk factors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the credit facility as of December 31, 2017, would cause a $0.3 million pre-tax annual increase in interest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to which this report relates that have materially affected, or are likely to materially affect,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Rules 13a-15 and 15d-15 of the Securities Exchange Act of 1934, as amended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that evaluation, our President and Chief Financial Officer concluded that our disclosure controls and procedures were effective as of December 31, 2017,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the Company’s Annual Meeting of Stockholders held on February 2, 2017 (the “2017 Annual Meeting”), the Company’s stockholders approved, by non-binding advisory vote (the “Frequency of Say on Pay Vote”), that the stockholders’ advisory vote on the compensation of the Company’s named executive officers (the “Say on Pay Vote”) should be included in the Company’s proxy materials on an annual basis, as was recommended by the Company’s Board of Directors in the Company’s definitive proxy statement for the 2017 Annual Meeting. Following the 2017 Annual Meeting, the Board of Directors of the Company considered the outcome of the Frequency of Say on Pay Vote and decided, in light of the outcome of such vote, that the Company will include a Say on Pay Vote in its proxy materials every year until the next required Frequency of Say on Pay Vote in 2023. As such, in the Company’s definitive proxy statement for its Annual Meeting of Stockholders to be held on February 7, 2018, which was filed on December 28, 2017, the Company’s stockholders have been asked to approve, by non-binding advisory vote, the compensation of the Company’s named executive officers, as disclosed therein.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380" w:type="dxa"/>
            <w:vAlign w:val="bottom"/>
            <w:vMerge w:val="restart"/>
          </w:tcPr>
          <w:p>
            <w:pPr>
              <w:ind w:left="2660"/>
              <w:spacing w:after="0"/>
              <w:rPr>
                <w:sz w:val="20"/>
                <w:szCs w:val="20"/>
                <w:color w:val="auto"/>
              </w:rPr>
            </w:pPr>
            <w:r>
              <w:rPr>
                <w:rFonts w:ascii="Arial" w:cs="Arial" w:eastAsia="Arial" w:hAnsi="Arial"/>
                <w:sz w:val="14"/>
                <w:szCs w:val="14"/>
                <w:b w:val="1"/>
                <w:bCs w:val="1"/>
                <w:u w:val="single" w:color="auto"/>
                <w:color w:val="auto"/>
                <w:w w:val="90"/>
              </w:rPr>
              <w:t>Description</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u w:val="single" w:color="auto"/>
                <w:color w:val="auto"/>
                <w:w w:val="97"/>
              </w:rPr>
              <w:t>No.</w:t>
            </w: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80" w:right="40" w:hanging="1107"/>
        <w:spacing w:after="0" w:line="342" w:lineRule="auto"/>
        <w:tabs>
          <w:tab w:leader="none" w:pos="1060" w:val="left"/>
        </w:tabs>
        <w:rPr>
          <w:rFonts w:ascii="Arial" w:cs="Arial" w:eastAsia="Arial" w:hAnsi="Arial"/>
          <w:sz w:val="16"/>
          <w:szCs w:val="16"/>
          <w:color w:val="0000EE"/>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 </w:t>
      </w:r>
      <w:hyperlink r:id="rId48">
        <w:r>
          <w:rPr>
            <w:rFonts w:ascii="Arial" w:cs="Arial" w:eastAsia="Arial" w:hAnsi="Arial"/>
            <w:sz w:val="16"/>
            <w:szCs w:val="16"/>
            <w:u w:val="single" w:color="auto"/>
            <w:color w:val="0000EE"/>
          </w:rPr>
          <w:t>Stock Purchase Agreement dated as of June 1, 2016, by and among IES Infrastructure Solutions, LLC, IES Holdings, Inc., Technibus, Inc.</w:t>
        </w:r>
      </w:hyperlink>
      <w:r>
        <w:rPr>
          <w:rFonts w:ascii="Arial" w:cs="Arial" w:eastAsia="Arial" w:hAnsi="Arial"/>
          <w:sz w:val="16"/>
          <w:szCs w:val="16"/>
          <w:color w:val="auto"/>
        </w:rPr>
        <w:t xml:space="preserve"> </w:t>
      </w:r>
      <w:hyperlink r:id="rId48">
        <w:r>
          <w:rPr>
            <w:rFonts w:ascii="Arial" w:cs="Arial" w:eastAsia="Arial" w:hAnsi="Arial"/>
            <w:sz w:val="16"/>
            <w:szCs w:val="16"/>
            <w:u w:val="single" w:color="auto"/>
            <w:color w:val="0000EE"/>
          </w:rPr>
          <w:t>and Technibus, LLC.</w:t>
        </w:r>
        <w:r>
          <w:rPr>
            <w:rFonts w:ascii="Arial" w:cs="Arial" w:eastAsia="Arial" w:hAnsi="Arial"/>
            <w:sz w:val="16"/>
            <w:szCs w:val="16"/>
            <w:color w:val="0000EE"/>
          </w:rPr>
          <w:t xml:space="preserve"> </w:t>
        </w:r>
        <w:r>
          <w:rPr>
            <w:rFonts w:ascii="Arial" w:cs="Arial" w:eastAsia="Arial" w:hAnsi="Arial"/>
            <w:sz w:val="16"/>
            <w:szCs w:val="16"/>
            <w:color w:val="000000"/>
          </w:rPr>
          <w:t>(Incorporated by reference to Exhibit 2.1 to the Company’s Current Report on Form 8-K filed on June 15, 2016)</w:t>
        </w:r>
      </w:hyperlink>
    </w:p>
    <w:p>
      <w:pPr>
        <w:spacing w:after="0" w:line="16" w:lineRule="exact"/>
        <w:rPr>
          <w:sz w:val="20"/>
          <w:szCs w:val="20"/>
          <w:color w:val="auto"/>
        </w:rPr>
      </w:pPr>
    </w:p>
    <w:p>
      <w:pPr>
        <w:ind w:left="1080" w:right="200" w:hanging="1107"/>
        <w:spacing w:after="0" w:line="264" w:lineRule="auto"/>
        <w:tabs>
          <w:tab w:leader="none" w:pos="1060" w:val="left"/>
        </w:tabs>
        <w:rPr>
          <w:rFonts w:ascii="Arial" w:cs="Arial" w:eastAsia="Arial" w:hAnsi="Arial"/>
          <w:sz w:val="18"/>
          <w:szCs w:val="18"/>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Second Amended and Restated Certificate of Incorporation of IES Holdings, Inc., as amended by the Certificate of Amendment thereto,</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effective May 24, 2016 (composite).</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3.1 to the Company’s Quarterly Report on Form 10-Q filed</w:t>
        </w:r>
      </w:hyperlink>
      <w:r>
        <w:rPr>
          <w:rFonts w:ascii="Arial" w:cs="Arial" w:eastAsia="Arial" w:hAnsi="Arial"/>
          <w:sz w:val="18"/>
          <w:szCs w:val="18"/>
          <w:color w:val="0000EE"/>
        </w:rPr>
        <w:t xml:space="preserve"> </w:t>
      </w:r>
      <w:r>
        <w:rPr>
          <w:rFonts w:ascii="Arial" w:cs="Arial" w:eastAsia="Arial" w:hAnsi="Arial"/>
          <w:sz w:val="18"/>
          <w:szCs w:val="18"/>
          <w:color w:val="000000"/>
        </w:rPr>
        <w:t>on August 8, 2016)</w:t>
      </w:r>
    </w:p>
    <w:p>
      <w:pPr>
        <w:spacing w:after="0" w:line="73" w:lineRule="exact"/>
        <w:rPr>
          <w:sz w:val="20"/>
          <w:szCs w:val="20"/>
          <w:color w:val="auto"/>
        </w:rPr>
      </w:pPr>
    </w:p>
    <w:p>
      <w:pPr>
        <w:ind w:left="1080" w:right="260" w:hanging="1107"/>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Certificate of Designations of Series A Junior Participating Preferred Stock (Incorporated by reference to Exhibit 3.1 to the Company’s</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Current Report on Form 8-K filed on January 28, 2013)</w:t>
        </w:r>
      </w:hyperlink>
    </w:p>
    <w:p>
      <w:pPr>
        <w:spacing w:after="0" w:line="62" w:lineRule="exact"/>
        <w:rPr>
          <w:sz w:val="20"/>
          <w:szCs w:val="20"/>
          <w:color w:val="auto"/>
        </w:rPr>
      </w:pPr>
    </w:p>
    <w:p>
      <w:pPr>
        <w:ind w:left="1080" w:right="40" w:hanging="1107"/>
        <w:spacing w:after="0" w:line="277" w:lineRule="auto"/>
        <w:tabs>
          <w:tab w:leader="none" w:pos="1060" w:val="left"/>
        </w:tabs>
        <w:rPr>
          <w:rFonts w:ascii="Arial" w:cs="Arial" w:eastAsia="Arial" w:hAnsi="Arial"/>
          <w:sz w:val="18"/>
          <w:szCs w:val="18"/>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Amended and Restated Bylaws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IES Holdings, Inc., effective May 24, 2016. (Incorporated by reference to Exhibit 3.2 to the Company’s Current Report on Form 8-K filed on May 24, 2016)</w:t>
      </w:r>
    </w:p>
    <w:p>
      <w:pPr>
        <w:spacing w:after="0" w:line="62" w:lineRule="exact"/>
        <w:rPr>
          <w:sz w:val="20"/>
          <w:szCs w:val="20"/>
          <w:color w:val="auto"/>
        </w:rPr>
      </w:pPr>
    </w:p>
    <w:p>
      <w:pPr>
        <w:ind w:left="1080" w:right="280" w:hanging="1107"/>
        <w:spacing w:after="0" w:line="277" w:lineRule="auto"/>
        <w:tabs>
          <w:tab w:leader="none" w:pos="1060" w:val="left"/>
        </w:tabs>
        <w:rPr>
          <w:rFonts w:ascii="Arial" w:cs="Arial" w:eastAsia="Arial" w:hAnsi="Arial"/>
          <w:sz w:val="18"/>
          <w:szCs w:val="18"/>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Specimen common stock certificate. (</w:t>
        </w:r>
      </w:hyperlink>
      <w:r>
        <w:rPr>
          <w:rFonts w:ascii="Arial" w:cs="Arial" w:eastAsia="Arial" w:hAnsi="Arial"/>
          <w:sz w:val="18"/>
          <w:szCs w:val="18"/>
          <w:color w:val="auto"/>
        </w:rPr>
        <w:t>Incorporated by reference to Exhibit 4.1 to the Company’s Annual Report on Form 10-K filed on December 9, 2016)</w:t>
      </w:r>
    </w:p>
    <w:p>
      <w:pPr>
        <w:spacing w:after="0" w:line="62" w:lineRule="exact"/>
        <w:rPr>
          <w:sz w:val="20"/>
          <w:szCs w:val="20"/>
          <w:color w:val="auto"/>
        </w:rPr>
      </w:pPr>
    </w:p>
    <w:p>
      <w:pPr>
        <w:ind w:left="1080" w:hanging="1107"/>
        <w:spacing w:after="0" w:line="259"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Tax Benefit Protection Plan Agreement by and between IES Holdings, Inc. and American Stock Transfer &amp; Trust Company, LLC, as</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Rights Agent, dated as of November 8, 2016, including the form of Rights Certificate and Summary of Stockholder Rights Plan attached</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thereto as Exhibits A and B, respectively. (Incorporated by reference to Exhibit 4.1 to the Company’s Current Report on Form 8-K filed on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November 9, 2016)</w:t>
        </w:r>
      </w:hyperlink>
    </w:p>
    <w:p>
      <w:pPr>
        <w:spacing w:after="0" w:line="79" w:lineRule="exact"/>
        <w:rPr>
          <w:rFonts w:ascii="Arial" w:cs="Arial" w:eastAsia="Arial" w:hAnsi="Arial"/>
          <w:sz w:val="18"/>
          <w:szCs w:val="18"/>
          <w:u w:val="single" w:color="auto"/>
          <w:color w:val="0000EE"/>
        </w:rPr>
      </w:pPr>
    </w:p>
    <w:p>
      <w:pPr>
        <w:spacing w:after="0"/>
        <w:tabs>
          <w:tab w:leader="none" w:pos="1060" w:val="left"/>
        </w:tabs>
        <w:rPr>
          <w:rFonts w:ascii="Arial" w:cs="Arial" w:eastAsia="Arial" w:hAnsi="Arial"/>
          <w:sz w:val="16"/>
          <w:szCs w:val="16"/>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 xml:space="preserve">—  </w:t>
      </w:r>
      <w:hyperlink w:anchor="page33">
        <w:r>
          <w:rPr>
            <w:rFonts w:ascii="Arial" w:cs="Arial" w:eastAsia="Arial" w:hAnsi="Arial"/>
            <w:sz w:val="16"/>
            <w:szCs w:val="16"/>
            <w:u w:val="single" w:color="auto"/>
            <w:color w:val="0000EE"/>
          </w:rPr>
          <w:t>Rule 13a-14(a)/15d-14(a) Certification of Robert W. Lewey, President,</w:t>
        </w:r>
      </w:hyperlink>
    </w:p>
    <w:p>
      <w:pPr>
        <w:spacing w:after="0" w:line="117" w:lineRule="exact"/>
        <w:rPr>
          <w:rFonts w:ascii="Arial" w:cs="Arial" w:eastAsia="Arial" w:hAnsi="Arial"/>
          <w:sz w:val="18"/>
          <w:szCs w:val="18"/>
          <w:u w:val="single" w:color="auto"/>
          <w:color w:val="0000EE"/>
        </w:rPr>
      </w:pPr>
    </w:p>
    <w:p>
      <w:pPr>
        <w:spacing w:after="0"/>
        <w:tabs>
          <w:tab w:leader="none" w:pos="1060" w:val="left"/>
        </w:tabs>
        <w:rPr>
          <w:rFonts w:ascii="Arial" w:cs="Arial" w:eastAsia="Arial" w:hAnsi="Arial"/>
          <w:sz w:val="16"/>
          <w:szCs w:val="16"/>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 xml:space="preserve">—  </w:t>
      </w:r>
      <w:hyperlink w:anchor="page34">
        <w:r>
          <w:rPr>
            <w:rFonts w:ascii="Arial" w:cs="Arial" w:eastAsia="Arial" w:hAnsi="Arial"/>
            <w:sz w:val="16"/>
            <w:szCs w:val="16"/>
            <w:u w:val="single" w:color="auto"/>
            <w:color w:val="0000EE"/>
          </w:rPr>
          <w:t>Rule 13a-14(a)/15d-14(a) Certification of Tracy A. McLauchlin, Senior Vice President, Chief Financial Officer and Treasurer</w:t>
        </w:r>
      </w:hyperlink>
    </w:p>
    <w:p>
      <w:pPr>
        <w:spacing w:after="0" w:line="117" w:lineRule="exact"/>
        <w:rPr>
          <w:rFonts w:ascii="Arial" w:cs="Arial" w:eastAsia="Arial" w:hAnsi="Arial"/>
          <w:sz w:val="18"/>
          <w:szCs w:val="18"/>
          <w:u w:val="single" w:color="auto"/>
          <w:color w:val="0000EE"/>
        </w:rPr>
      </w:pPr>
    </w:p>
    <w:p>
      <w:pPr>
        <w:spacing w:after="0"/>
        <w:tabs>
          <w:tab w:leader="none" w:pos="1060" w:val="left"/>
        </w:tabs>
        <w:rPr>
          <w:rFonts w:ascii="Arial" w:cs="Arial" w:eastAsia="Arial" w:hAnsi="Arial"/>
          <w:sz w:val="16"/>
          <w:szCs w:val="16"/>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 xml:space="preserve">—  </w:t>
      </w:r>
      <w:hyperlink w:anchor="page35">
        <w:r>
          <w:rPr>
            <w:rFonts w:ascii="Arial" w:cs="Arial" w:eastAsia="Arial" w:hAnsi="Arial"/>
            <w:sz w:val="16"/>
            <w:szCs w:val="16"/>
            <w:u w:val="single" w:color="auto"/>
            <w:color w:val="0000EE"/>
          </w:rPr>
          <w:t>Section 1350 Certification of Robert W. Lewey, President</w:t>
        </w:r>
      </w:hyperlink>
    </w:p>
    <w:p>
      <w:pPr>
        <w:spacing w:after="0" w:line="117" w:lineRule="exact"/>
        <w:rPr>
          <w:rFonts w:ascii="Arial" w:cs="Arial" w:eastAsia="Arial" w:hAnsi="Arial"/>
          <w:sz w:val="18"/>
          <w:szCs w:val="18"/>
          <w:u w:val="single" w:color="auto"/>
          <w:color w:val="0000EE"/>
        </w:rPr>
      </w:pPr>
    </w:p>
    <w:p>
      <w:pPr>
        <w:spacing w:after="0"/>
        <w:tabs>
          <w:tab w:leader="none" w:pos="1060" w:val="left"/>
        </w:tabs>
        <w:rPr>
          <w:rFonts w:ascii="Arial" w:cs="Arial" w:eastAsia="Arial" w:hAnsi="Arial"/>
          <w:sz w:val="16"/>
          <w:szCs w:val="16"/>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 xml:space="preserve">—  </w:t>
      </w:r>
      <w:hyperlink w:anchor="page36">
        <w:r>
          <w:rPr>
            <w:rFonts w:ascii="Arial" w:cs="Arial" w:eastAsia="Arial" w:hAnsi="Arial"/>
            <w:sz w:val="16"/>
            <w:szCs w:val="16"/>
            <w:u w:val="single" w:color="auto"/>
            <w:color w:val="0000EE"/>
          </w:rPr>
          <w:t>Section 1350 Certification of Tracy A. McLauchlin, Senior Vice President, Chief Financial Officer and Treasurer</w:t>
        </w:r>
      </w:hyperlink>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(1)101.INS</w:t>
      </w:r>
      <w:r>
        <w:rPr>
          <w:sz w:val="20"/>
          <w:szCs w:val="20"/>
          <w:color w:val="auto"/>
        </w:rPr>
        <w:tab/>
      </w:r>
      <w:r>
        <w:rPr>
          <w:rFonts w:ascii="Arial" w:cs="Arial" w:eastAsia="Arial" w:hAnsi="Arial"/>
          <w:sz w:val="16"/>
          <w:szCs w:val="16"/>
          <w:color w:val="auto"/>
        </w:rPr>
        <w:t>XBRL Instance Document</w:t>
      </w:r>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(1)101.SCH</w:t>
      </w:r>
      <w:r>
        <w:rPr>
          <w:sz w:val="20"/>
          <w:szCs w:val="20"/>
          <w:color w:val="auto"/>
        </w:rPr>
        <w:tab/>
      </w:r>
      <w:r>
        <w:rPr>
          <w:rFonts w:ascii="Arial" w:cs="Arial" w:eastAsia="Arial" w:hAnsi="Arial"/>
          <w:sz w:val="16"/>
          <w:szCs w:val="16"/>
          <w:color w:val="auto"/>
        </w:rPr>
        <w:t>XBRL Schema Document</w:t>
      </w:r>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(1)101.LAB</w:t>
      </w:r>
      <w:r>
        <w:rPr>
          <w:sz w:val="20"/>
          <w:szCs w:val="20"/>
          <w:color w:val="auto"/>
        </w:rPr>
        <w:tab/>
      </w:r>
      <w:r>
        <w:rPr>
          <w:rFonts w:ascii="Arial" w:cs="Arial" w:eastAsia="Arial" w:hAnsi="Arial"/>
          <w:sz w:val="16"/>
          <w:szCs w:val="16"/>
          <w:color w:val="auto"/>
        </w:rPr>
        <w:t>XBRL Label Linkbase Document</w:t>
      </w:r>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(1)101.PRE</w:t>
      </w:r>
      <w:r>
        <w:rPr>
          <w:sz w:val="20"/>
          <w:szCs w:val="20"/>
          <w:color w:val="auto"/>
        </w:rPr>
        <w:tab/>
      </w:r>
      <w:r>
        <w:rPr>
          <w:rFonts w:ascii="Arial" w:cs="Arial" w:eastAsia="Arial" w:hAnsi="Arial"/>
          <w:sz w:val="16"/>
          <w:szCs w:val="16"/>
          <w:color w:val="auto"/>
        </w:rPr>
        <w:t>XBRL Presentation Linkbase Document</w:t>
      </w:r>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(1)101.DEF</w:t>
      </w:r>
      <w:r>
        <w:rPr>
          <w:sz w:val="20"/>
          <w:szCs w:val="20"/>
          <w:color w:val="auto"/>
        </w:rPr>
        <w:tab/>
      </w:r>
      <w:r>
        <w:rPr>
          <w:rFonts w:ascii="Arial" w:cs="Arial" w:eastAsia="Arial" w:hAnsi="Arial"/>
          <w:sz w:val="17"/>
          <w:szCs w:val="17"/>
          <w:color w:val="auto"/>
        </w:rPr>
        <w:t>XBRL Definition Linkbase Document</w:t>
      </w:r>
    </w:p>
    <w:p>
      <w:pPr>
        <w:spacing w:after="0" w:line="117" w:lineRule="exact"/>
        <w:rPr>
          <w:rFonts w:ascii="Arial" w:cs="Arial" w:eastAsia="Arial" w:hAnsi="Arial"/>
          <w:sz w:val="18"/>
          <w:szCs w:val="18"/>
          <w:u w:val="single" w:color="auto"/>
          <w:color w:val="0000EE"/>
        </w:rPr>
      </w:pPr>
    </w:p>
    <w:p>
      <w:pPr>
        <w:spacing w:after="0"/>
        <w:tabs>
          <w:tab w:leader="none" w:pos="1360" w:val="left"/>
        </w:tabs>
        <w:rPr>
          <w:sz w:val="20"/>
          <w:szCs w:val="20"/>
          <w:color w:val="auto"/>
        </w:rPr>
      </w:pPr>
      <w:r>
        <w:rPr>
          <w:rFonts w:ascii="Arial" w:cs="Arial" w:eastAsia="Arial" w:hAnsi="Arial"/>
          <w:sz w:val="18"/>
          <w:szCs w:val="18"/>
          <w:color w:val="auto"/>
        </w:rPr>
        <w:t>(1)101.CAL</w:t>
      </w:r>
      <w:r>
        <w:rPr>
          <w:sz w:val="20"/>
          <w:szCs w:val="20"/>
          <w:color w:val="auto"/>
        </w:rPr>
        <w:tab/>
      </w:r>
      <w:r>
        <w:rPr>
          <w:rFonts w:ascii="Arial" w:cs="Arial" w:eastAsia="Arial" w:hAnsi="Arial"/>
          <w:sz w:val="16"/>
          <w:szCs w:val="16"/>
          <w:color w:val="auto"/>
        </w:rPr>
        <w:t>XBRL Calculation Linkbase Document</w:t>
      </w:r>
    </w:p>
    <w:p>
      <w:pPr>
        <w:spacing w:after="0" w:line="117" w:lineRule="exact"/>
        <w:rPr>
          <w:rFonts w:ascii="Arial" w:cs="Arial" w:eastAsia="Arial" w:hAnsi="Arial"/>
          <w:sz w:val="18"/>
          <w:szCs w:val="18"/>
          <w:u w:val="single" w:color="auto"/>
          <w:color w:val="0000EE"/>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6,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IES HOLDINGS, INC.</w:t>
      </w:r>
    </w:p>
    <w:p>
      <w:pPr>
        <w:spacing w:after="0" w:line="200" w:lineRule="exact"/>
        <w:rPr>
          <w:sz w:val="20"/>
          <w:szCs w:val="20"/>
          <w:color w:val="auto"/>
        </w:rPr>
      </w:pPr>
    </w:p>
    <w:p>
      <w:pPr>
        <w:spacing w:after="0" w:line="27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/s/  TRACY A. MCLAUCHLIN</w:t>
            </w:r>
          </w:p>
        </w:tc>
      </w:tr>
      <w:tr>
        <w:trPr>
          <w:trHeight w:val="195"/>
        </w:trPr>
        <w:tc>
          <w:tcPr>
            <w:tcW w:w="280" w:type="dxa"/>
            <w:vAlign w:val="bottom"/>
          </w:tcPr>
          <w:p>
            <w:pPr>
              <w:spacing w:after="0"/>
              <w:rPr>
                <w:sz w:val="16"/>
                <w:szCs w:val="16"/>
                <w:color w:val="auto"/>
              </w:rPr>
            </w:pPr>
          </w:p>
        </w:tc>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5"/>
              </w:rPr>
              <w:t>Tracy A. McLauchlin</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Senior Vice President,</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color w:val="auto"/>
                <w:w w:val="93"/>
              </w:rPr>
              <w:t>(Principal Financial Officer and</w:t>
            </w:r>
          </w:p>
        </w:tc>
      </w:tr>
      <w:tr>
        <w:trPr>
          <w:trHeight w:val="230"/>
        </w:trPr>
        <w:tc>
          <w:tcPr>
            <w:tcW w:w="280" w:type="dxa"/>
            <w:vAlign w:val="bottom"/>
          </w:tcPr>
          <w:p>
            <w:pPr>
              <w:spacing w:after="0"/>
              <w:rPr>
                <w:sz w:val="20"/>
                <w:szCs w:val="20"/>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color w:val="auto"/>
                <w:w w:val="93"/>
              </w:rPr>
              <w:t>Authorized Signatory)</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225"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2018</w:t>
      </w:r>
    </w:p>
    <w:p>
      <w:pPr>
        <w:spacing w:after="0" w:line="200" w:lineRule="exact"/>
        <w:rPr>
          <w:sz w:val="20"/>
          <w:szCs w:val="20"/>
          <w:color w:val="auto"/>
        </w:rPr>
      </w:pPr>
    </w:p>
    <w:p>
      <w:pPr>
        <w:spacing w:after="0" w:line="268" w:lineRule="exact"/>
        <w:rPr>
          <w:sz w:val="20"/>
          <w:szCs w:val="20"/>
          <w:color w:val="auto"/>
        </w:rPr>
      </w:pPr>
    </w:p>
    <w:p>
      <w:pPr>
        <w:ind w:left="7980"/>
        <w:spacing w:after="0"/>
        <w:tabs>
          <w:tab w:leader="none" w:pos="8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ROBERT W. LEWEY</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225"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6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2018</w:t>
      </w:r>
    </w:p>
    <w:p>
      <w:pPr>
        <w:spacing w:after="0" w:line="200" w:lineRule="exact"/>
        <w:rPr>
          <w:sz w:val="20"/>
          <w:szCs w:val="20"/>
          <w:color w:val="auto"/>
        </w:rPr>
      </w:pPr>
    </w:p>
    <w:p>
      <w:pPr>
        <w:spacing w:after="0" w:line="268" w:lineRule="exact"/>
        <w:rPr>
          <w:sz w:val="20"/>
          <w:szCs w:val="20"/>
          <w:color w:val="auto"/>
        </w:rPr>
      </w:pPr>
    </w:p>
    <w:p>
      <w:pPr>
        <w:ind w:left="7720"/>
        <w:spacing w:after="0"/>
        <w:tabs>
          <w:tab w:leader="none" w:pos="8060" w:val="left"/>
        </w:tabs>
        <w:rPr>
          <w:sz w:val="20"/>
          <w:szCs w:val="20"/>
          <w:color w:val="auto"/>
        </w:rPr>
      </w:pPr>
      <w:r>
        <w:rPr>
          <w:rFonts w:ascii="Arial" w:cs="Arial" w:eastAsia="Arial" w:hAnsi="Arial"/>
          <w:sz w:val="18"/>
          <w:szCs w:val="18"/>
          <w:color w:val="auto"/>
        </w:rPr>
        <w:t>/s/</w:t>
        <w:tab/>
        <w:t>TRACY A. MCLAUCHLIN</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December 31, 2017 (the “Report”), I, Robert W. Lewey, President of the Company, certify, pursuant to 18 U.S.C. § 1350, as adopted pursuant to § 906 of the Sarbanes-Oxley Act of 2002, that:</w:t>
      </w:r>
    </w:p>
    <w:p>
      <w:pPr>
        <w:spacing w:after="0" w:line="2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6, 2018</w:t>
      </w:r>
      <w:r>
        <w:rPr>
          <w:sz w:val="20"/>
          <w:szCs w:val="20"/>
          <w:color w:val="auto"/>
        </w:rPr>
        <w:tab/>
      </w:r>
      <w:r>
        <w:rPr>
          <w:rFonts w:ascii="Arial" w:cs="Arial" w:eastAsia="Arial" w:hAnsi="Arial"/>
          <w:sz w:val="17"/>
          <w:szCs w:val="17"/>
          <w:color w:val="auto"/>
        </w:rPr>
        <w:t>By:  /s/ ROBERT W. LEWEY</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December 31, 2017 (the “Report”), I, Tracy A. McLauchlin, Senior Vice President, Chief Financial Officer and Treasurer of the Company, certify, pursuant to 18 U.S.C. § 1350, as adopted pursuant to §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February 6, 2018</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  /s/ TRACY A. MCLAUCHLIN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95"/>
              </w:rPr>
              <w:t>Tracy A. McLauchlin</w:t>
            </w: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jc w:val="center"/>
              <w:ind w:left="30"/>
              <w:spacing w:after="0"/>
              <w:rPr>
                <w:sz w:val="20"/>
                <w:szCs w:val="20"/>
                <w:color w:val="auto"/>
              </w:rPr>
            </w:pPr>
            <w:r>
              <w:rPr>
                <w:rFonts w:ascii="Arial" w:cs="Arial" w:eastAsia="Arial" w:hAnsi="Arial"/>
                <w:sz w:val="18"/>
                <w:szCs w:val="18"/>
                <w:color w:val="auto"/>
                <w:w w:val="89"/>
              </w:rPr>
              <w:t>Senior Vice President,</w:t>
            </w: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jc w:val="center"/>
              <w:ind w:left="30"/>
              <w:spacing w:after="0"/>
              <w:rPr>
                <w:sz w:val="20"/>
                <w:szCs w:val="20"/>
                <w:color w:val="auto"/>
              </w:rPr>
            </w:pPr>
            <w:r>
              <w:rPr>
                <w:rFonts w:ascii="Arial" w:cs="Arial" w:eastAsia="Arial" w:hAnsi="Arial"/>
                <w:sz w:val="18"/>
                <w:szCs w:val="18"/>
                <w:color w:val="auto"/>
                <w:w w:val="92"/>
              </w:rPr>
              <w:t>as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48" Type="http://schemas.openxmlformats.org/officeDocument/2006/relationships/hyperlink" Target="http://www.sec.gov/Archives/edgar/data/1048268/000119312516621943/d148351dex21.htm" TargetMode="External"/><Relationship Id="rId49" Type="http://schemas.openxmlformats.org/officeDocument/2006/relationships/hyperlink" Target="http://www.sec.gov/Archives/edgar/data/1048268/000119312516674386/d211495dex31.htm" TargetMode="External"/><Relationship Id="rId50" Type="http://schemas.openxmlformats.org/officeDocument/2006/relationships/hyperlink" Target="http://www.sec.gov/Archives/edgar/data/1048268/000119312513026383/d474722dex31.htm" TargetMode="External"/><Relationship Id="rId51" Type="http://schemas.openxmlformats.org/officeDocument/2006/relationships/hyperlink" Target="http://www.sec.gov/Archives/edgar/data/1048268/000119312516600652/d197326dex32.htm" TargetMode="External"/><Relationship Id="rId52" Type="http://schemas.openxmlformats.org/officeDocument/2006/relationships/hyperlink" Target="http://www.sec.gov/Archives/edgar/data/1048268/000119312516789187/d310826dex41.htm" TargetMode="External"/><Relationship Id="rId53" Type="http://schemas.openxmlformats.org/officeDocument/2006/relationships/hyperlink" Target="http://www.sec.gov/Archives/edgar/data/1048268/000119312516763155/d4876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2019-12-29T01:10:07Z</dcterms:created>
  <dcterms:modified xsi:type="dcterms:W3CDTF">2019-12-29T01:10:07Z</dcterms:modified>
</cp:coreProperties>
</file>