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4"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September 30, 2017</w:t>
      </w:r>
    </w:p>
    <w:p>
      <w:pPr>
        <w:spacing w:after="0" w:line="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843915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97790</wp:posOffset>
            </wp:positionV>
            <wp:extent cx="145796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2020" w:type="dxa"/>
        <w:tblCellMar>
          <w:top w:w="0" w:type="dxa"/>
          <w:left w:w="0" w:type="dxa"/>
          <w:bottom w:w="0" w:type="dxa"/>
          <w:right w:w="0" w:type="dxa"/>
        </w:tblCellMar>
      </w:tblPr>
      <w:tr>
        <w:trPr>
          <w:trHeight w:val="517"/>
        </w:trPr>
        <w:tc>
          <w:tcPr>
            <w:tcW w:w="1900" w:type="dxa"/>
            <w:vAlign w:val="bottom"/>
          </w:tcPr>
          <w:p>
            <w:pPr>
              <w:spacing w:after="0"/>
              <w:rPr>
                <w:sz w:val="24"/>
                <w:szCs w:val="24"/>
                <w:color w:val="auto"/>
              </w:rPr>
            </w:pPr>
          </w:p>
        </w:tc>
        <w:tc>
          <w:tcPr>
            <w:tcW w:w="5220" w:type="dxa"/>
            <w:vAlign w:val="bottom"/>
            <w:gridSpan w:val="3"/>
          </w:tcPr>
          <w:p>
            <w:pPr>
              <w:jc w:val="center"/>
              <w:ind w:right="1568"/>
              <w:spacing w:after="0"/>
              <w:rPr>
                <w:sz w:val="20"/>
                <w:szCs w:val="20"/>
                <w:color w:val="auto"/>
              </w:rPr>
            </w:pPr>
            <w:r>
              <w:rPr>
                <w:rFonts w:ascii="Arial" w:cs="Arial" w:eastAsia="Arial" w:hAnsi="Arial"/>
                <w:sz w:val="40"/>
                <w:szCs w:val="40"/>
                <w:b w:val="1"/>
                <w:bCs w:val="1"/>
                <w:color w:val="auto"/>
                <w:w w:val="91"/>
              </w:rPr>
              <w:t>IES Holdings, Inc.</w:t>
            </w:r>
          </w:p>
        </w:tc>
      </w:tr>
      <w:tr>
        <w:trPr>
          <w:trHeight w:val="214"/>
        </w:trPr>
        <w:tc>
          <w:tcPr>
            <w:tcW w:w="1900" w:type="dxa"/>
            <w:vAlign w:val="bottom"/>
          </w:tcPr>
          <w:p>
            <w:pPr>
              <w:spacing w:after="0"/>
              <w:rPr>
                <w:sz w:val="18"/>
                <w:szCs w:val="18"/>
                <w:color w:val="auto"/>
              </w:rPr>
            </w:pPr>
          </w:p>
        </w:tc>
        <w:tc>
          <w:tcPr>
            <w:tcW w:w="5220" w:type="dxa"/>
            <w:vAlign w:val="bottom"/>
            <w:gridSpan w:val="3"/>
          </w:tcPr>
          <w:p>
            <w:pPr>
              <w:jc w:val="center"/>
              <w:ind w:right="156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95"/>
        </w:trPr>
        <w:tc>
          <w:tcPr>
            <w:tcW w:w="1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r>
      <w:tr>
        <w:trPr>
          <w:trHeight w:val="295"/>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220" w:type="dxa"/>
            <w:vAlign w:val="bottom"/>
            <w:gridSpan w:val="3"/>
          </w:tcPr>
          <w:p>
            <w:pPr>
              <w:jc w:val="center"/>
              <w:ind w:left="3960"/>
              <w:spacing w:after="0"/>
              <w:rPr>
                <w:sz w:val="20"/>
                <w:szCs w:val="20"/>
                <w:color w:val="auto"/>
              </w:rPr>
            </w:pPr>
            <w:r>
              <w:rPr>
                <w:rFonts w:ascii="Arial" w:cs="Arial" w:eastAsia="Arial" w:hAnsi="Arial"/>
                <w:sz w:val="16"/>
                <w:szCs w:val="16"/>
                <w:b w:val="1"/>
                <w:bCs w:val="1"/>
                <w:color w:val="auto"/>
                <w:w w:val="91"/>
              </w:rPr>
              <w:t>76-0542208</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8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52"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5433 Westheimer Road, Suite 500, Houston, Texas, 77056</w:t>
      </w:r>
    </w:p>
    <w:p>
      <w:pPr>
        <w:spacing w:after="0" w:line="2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Registrant’s telephone number, including area code: (713) 860-1500</w:t>
      </w:r>
    </w:p>
    <w:p>
      <w:pPr>
        <w:spacing w:after="0" w:line="2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3" w:lineRule="exact"/>
        <w:rPr>
          <w:sz w:val="24"/>
          <w:szCs w:val="24"/>
          <w:color w:val="auto"/>
        </w:rPr>
      </w:pPr>
    </w:p>
    <w:tbl>
      <w:tblPr>
        <w:tblLayout w:type="fixed"/>
        <w:tblInd w:w="160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3"/>
        </w:trPr>
        <w:tc>
          <w:tcPr>
            <w:tcW w:w="5640" w:type="dxa"/>
            <w:vAlign w:val="bottom"/>
            <w:gridSpan w:val="3"/>
          </w:tcPr>
          <w:p>
            <w:pPr>
              <w:jc w:val="center"/>
              <w:ind w:right="2920"/>
              <w:spacing w:after="0" w:line="173" w:lineRule="exact"/>
              <w:rPr>
                <w:sz w:val="20"/>
                <w:szCs w:val="20"/>
                <w:color w:val="auto"/>
              </w:rPr>
            </w:pPr>
            <w:r>
              <w:rPr>
                <w:rFonts w:ascii="Arial" w:cs="Arial" w:eastAsia="Arial" w:hAnsi="Arial"/>
                <w:sz w:val="16"/>
                <w:szCs w:val="16"/>
                <w:color w:val="auto"/>
                <w:w w:val="90"/>
              </w:rPr>
              <w:t>Common Stock, par value $0.01 per share</w:t>
            </w:r>
          </w:p>
        </w:tc>
        <w:tc>
          <w:tcPr>
            <w:tcW w:w="2680" w:type="dxa"/>
            <w:vAlign w:val="bottom"/>
          </w:tcPr>
          <w:p>
            <w:pPr>
              <w:jc w:val="center"/>
              <w:spacing w:after="0" w:line="173" w:lineRule="exact"/>
              <w:rPr>
                <w:sz w:val="20"/>
                <w:szCs w:val="20"/>
                <w:color w:val="auto"/>
              </w:rPr>
            </w:pPr>
            <w:r>
              <w:rPr>
                <w:rFonts w:ascii="Arial" w:cs="Arial" w:eastAsia="Arial" w:hAnsi="Arial"/>
                <w:sz w:val="16"/>
                <w:szCs w:val="16"/>
                <w:color w:val="auto"/>
                <w:w w:val="96"/>
              </w:rPr>
              <w:t>NASDAQ Global Market</w:t>
            </w:r>
          </w:p>
        </w:tc>
      </w:tr>
      <w:tr>
        <w:trPr>
          <w:trHeight w:val="206"/>
        </w:trPr>
        <w:tc>
          <w:tcPr>
            <w:tcW w:w="5640" w:type="dxa"/>
            <w:vAlign w:val="bottom"/>
            <w:gridSpan w:val="3"/>
          </w:tcPr>
          <w:p>
            <w:pPr>
              <w:jc w:val="center"/>
              <w:ind w:right="2920"/>
              <w:spacing w:after="0"/>
              <w:rPr>
                <w:sz w:val="20"/>
                <w:szCs w:val="20"/>
                <w:color w:val="auto"/>
              </w:rPr>
            </w:pPr>
            <w:r>
              <w:rPr>
                <w:rFonts w:ascii="Arial" w:cs="Arial" w:eastAsia="Arial" w:hAnsi="Arial"/>
                <w:sz w:val="16"/>
                <w:szCs w:val="16"/>
                <w:color w:val="auto"/>
                <w:w w:val="90"/>
              </w:rPr>
              <w:t>Rights to Purchase Preferred Stock</w:t>
            </w:r>
          </w:p>
        </w:tc>
        <w:tc>
          <w:tcPr>
            <w:tcW w:w="268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8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140970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3" w:lineRule="exact"/>
        <w:rPr>
          <w:sz w:val="24"/>
          <w:szCs w:val="24"/>
          <w:color w:val="auto"/>
        </w:rPr>
      </w:pPr>
    </w:p>
    <w:p>
      <w:pPr>
        <w:ind w:left="200"/>
        <w:spacing w:after="0" w:line="184" w:lineRule="exact"/>
        <w:tabs>
          <w:tab w:leader="none" w:pos="8000" w:val="left"/>
          <w:tab w:leader="none" w:pos="862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0" w:lineRule="exact"/>
        <w:rPr>
          <w:sz w:val="24"/>
          <w:szCs w:val="24"/>
          <w:color w:val="auto"/>
        </w:rPr>
      </w:pPr>
    </w:p>
    <w:p>
      <w:pPr>
        <w:ind w:left="200"/>
        <w:spacing w:after="0" w:line="184" w:lineRule="exact"/>
        <w:tabs>
          <w:tab w:leader="none" w:pos="9520" w:val="left"/>
          <w:tab w:leader="none" w:pos="1014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200" w:right="3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left="200" w:right="18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6" w:lineRule="exact"/>
        <w:rPr>
          <w:sz w:val="24"/>
          <w:szCs w:val="24"/>
          <w:color w:val="auto"/>
        </w:rPr>
      </w:pPr>
    </w:p>
    <w:p>
      <w:pPr>
        <w:ind w:left="200"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14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4960" w:type="dxa"/>
            <w:vAlign w:val="bottom"/>
          </w:tcPr>
          <w:p>
            <w:pPr>
              <w:ind w:left="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500" w:type="dxa"/>
            <w:vAlign w:val="bottom"/>
          </w:tcPr>
          <w:p>
            <w:pPr>
              <w:ind w:left="14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6" w:lineRule="exact"/>
        <w:rPr>
          <w:sz w:val="24"/>
          <w:szCs w:val="24"/>
          <w:color w:val="auto"/>
        </w:rPr>
      </w:pPr>
    </w:p>
    <w:p>
      <w:pPr>
        <w:ind w:left="200" w:right="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200"/>
        <w:spacing w:after="0" w:line="184" w:lineRule="exact"/>
        <w:tabs>
          <w:tab w:leader="none" w:pos="7740" w:val="left"/>
          <w:tab w:leader="none" w:pos="83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200" w:right="320"/>
        <w:spacing w:after="0" w:line="293" w:lineRule="auto"/>
        <w:rPr>
          <w:sz w:val="20"/>
          <w:szCs w:val="20"/>
          <w:color w:val="auto"/>
        </w:rPr>
      </w:pPr>
      <w:r>
        <w:rPr>
          <w:rFonts w:ascii="Arial" w:cs="Arial" w:eastAsia="Arial" w:hAnsi="Arial"/>
          <w:sz w:val="16"/>
          <w:szCs w:val="16"/>
          <w:color w:val="auto"/>
        </w:rPr>
        <w:t>The aggregate market value of the voting stock of the Registrant on March 31, 2017 held by non-affiliates was approximately $152.8 million. On December 7, 2017, there were 21,337,245 shares of common stock outstanding.</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left="200" w:right="180"/>
        <w:spacing w:after="0" w:line="293" w:lineRule="auto"/>
        <w:rPr>
          <w:sz w:val="20"/>
          <w:szCs w:val="20"/>
          <w:color w:val="auto"/>
        </w:rPr>
      </w:pPr>
      <w:r>
        <w:rPr>
          <w:rFonts w:ascii="Arial" w:cs="Arial" w:eastAsia="Arial" w:hAnsi="Arial"/>
          <w:sz w:val="16"/>
          <w:szCs w:val="16"/>
          <w:color w:val="auto"/>
        </w:rPr>
        <w:t>Certain information contained in the Proxy Statement for the 2018 Annual Meeting of Stockholders of the Registrant to be held on February 7, 2018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123825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15"/>
            <w:vMerge w:val="restart"/>
          </w:tcPr>
          <w:p>
            <w:pPr>
              <w:jc w:val="center"/>
              <w:ind w:right="4880"/>
              <w:spacing w:after="0"/>
              <w:rPr>
                <w:sz w:val="20"/>
                <w:szCs w:val="20"/>
                <w:color w:val="auto"/>
              </w:rPr>
            </w:pPr>
            <w:r>
              <w:rPr>
                <w:rFonts w:ascii="Arial" w:cs="Arial" w:eastAsia="Arial" w:hAnsi="Arial"/>
                <w:sz w:val="18"/>
                <w:szCs w:val="18"/>
                <w:b w:val="1"/>
                <w:bCs w:val="1"/>
                <w:color w:val="auto"/>
                <w:w w:val="98"/>
              </w:rPr>
              <w:t>PART I</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520" w:type="dxa"/>
            <w:vAlign w:val="bottom"/>
            <w:gridSpan w:val="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DEFINITIONS</w:t>
              </w:r>
            </w:hyperlink>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15"/>
            <w:vMerge w:val="continue"/>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gridSpan w:val="6"/>
            <w:vMerge w:val="continue"/>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DISCLOSURE REGARDING FORWARD LOOKING STATEMENTS</w:t>
              </w:r>
            </w:hyperlink>
          </w:p>
        </w:tc>
        <w:tc>
          <w:tcPr>
            <w:tcW w:w="54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3"/>
              </w:rPr>
              <w:t>Item 1A</w:t>
            </w:r>
          </w:p>
        </w:tc>
        <w:tc>
          <w:tcPr>
            <w:tcW w:w="920" w:type="dxa"/>
            <w:vAlign w:val="bottom"/>
            <w:gridSpan w:val="2"/>
          </w:tcPr>
          <w:p>
            <w:pPr>
              <w:spacing w:after="0"/>
              <w:rPr>
                <w:sz w:val="17"/>
                <w:szCs w:val="17"/>
                <w:color w:val="auto"/>
              </w:rPr>
            </w:pPr>
          </w:p>
        </w:tc>
        <w:tc>
          <w:tcPr>
            <w:tcW w:w="12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RISK FACTORS</w:t>
              </w:r>
            </w:hyperlink>
          </w:p>
        </w:tc>
        <w:tc>
          <w:tcPr>
            <w:tcW w:w="788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rPr>
                <w:sz w:val="17"/>
                <w:szCs w:val="17"/>
                <w:color w:val="auto"/>
              </w:rPr>
            </w:pPr>
          </w:p>
        </w:tc>
        <w:tc>
          <w:tcPr>
            <w:tcW w:w="282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63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PART II</w:t>
            </w:r>
          </w:p>
        </w:tc>
        <w:tc>
          <w:tcPr>
            <w:tcW w:w="484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80" w:type="dxa"/>
            <w:vAlign w:val="bottom"/>
            <w:tcBorders>
              <w:top w:val="single" w:sz="8" w:color="0000EE"/>
            </w:tcBorders>
            <w:gridSpan w:val="30"/>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PURCHASES OF EQUITY SECURITIES</w:t>
              </w:r>
            </w:hyperlink>
          </w:p>
        </w:tc>
        <w:tc>
          <w:tcPr>
            <w:tcW w:w="8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310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604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140" w:type="dxa"/>
            <w:vAlign w:val="bottom"/>
            <w:gridSpan w:val="32"/>
          </w:tcPr>
          <w:p>
            <w:pPr>
              <w:ind w:left="20"/>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3"/>
              </w:rPr>
              <w:t>Item 7A</w:t>
            </w:r>
          </w:p>
        </w:tc>
        <w:tc>
          <w:tcPr>
            <w:tcW w:w="920" w:type="dxa"/>
            <w:vAlign w:val="bottom"/>
            <w:gridSpan w:val="2"/>
          </w:tcPr>
          <w:p>
            <w:pPr>
              <w:spacing w:after="0"/>
              <w:rPr>
                <w:sz w:val="17"/>
                <w:szCs w:val="17"/>
                <w:color w:val="auto"/>
              </w:rPr>
            </w:pPr>
          </w:p>
        </w:tc>
        <w:tc>
          <w:tcPr>
            <w:tcW w:w="6160" w:type="dxa"/>
            <w:vAlign w:val="bottom"/>
            <w:tcBorders>
              <w:bottom w:val="single" w:sz="8" w:color="0000EE"/>
            </w:tcBorders>
            <w:gridSpan w:val="26"/>
          </w:tcPr>
          <w:p>
            <w:pPr>
              <w:ind w:left="20"/>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QUANTITATIVE AND QUALITATIVE DISCLOSURES ABOUT MARKET RISK</w:t>
              </w:r>
            </w:hyperlink>
          </w:p>
        </w:tc>
        <w:tc>
          <w:tcPr>
            <w:tcW w:w="29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60" w:type="dxa"/>
            <w:vAlign w:val="bottom"/>
            <w:tcBorders>
              <w:top w:val="single" w:sz="8" w:color="0000EE"/>
            </w:tcBorders>
            <w:gridSpan w:val="28"/>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DISCLOSURE</w:t>
              </w:r>
            </w:hyperlink>
          </w:p>
        </w:tc>
        <w:tc>
          <w:tcPr>
            <w:tcW w:w="11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3"/>
              </w:rPr>
              <w:t>Item 9A</w:t>
            </w:r>
          </w:p>
        </w:tc>
        <w:tc>
          <w:tcPr>
            <w:tcW w:w="920" w:type="dxa"/>
            <w:vAlign w:val="bottom"/>
            <w:gridSpan w:val="2"/>
          </w:tcPr>
          <w:p>
            <w:pPr>
              <w:spacing w:after="0"/>
              <w:rPr>
                <w:sz w:val="17"/>
                <w:szCs w:val="17"/>
                <w:color w:val="auto"/>
              </w:rPr>
            </w:pPr>
          </w:p>
        </w:tc>
        <w:tc>
          <w:tcPr>
            <w:tcW w:w="262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CONTROLS AND PROCEDURES</w:t>
              </w:r>
            </w:hyperlink>
          </w:p>
        </w:tc>
        <w:tc>
          <w:tcPr>
            <w:tcW w:w="65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32"/>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80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line="196" w:lineRule="exact"/>
              <w:rPr>
                <w:sz w:val="20"/>
                <w:szCs w:val="20"/>
                <w:color w:val="auto"/>
              </w:rPr>
            </w:pPr>
            <w:r>
              <w:rPr>
                <w:rFonts w:ascii="Arial" w:cs="Arial" w:eastAsia="Arial" w:hAnsi="Arial"/>
                <w:sz w:val="18"/>
                <w:szCs w:val="18"/>
                <w:color w:val="auto"/>
                <w:w w:val="89"/>
              </w:rPr>
              <w:t>Item 10</w:t>
            </w:r>
          </w:p>
        </w:tc>
        <w:tc>
          <w:tcPr>
            <w:tcW w:w="960" w:type="dxa"/>
            <w:vAlign w:val="bottom"/>
            <w:gridSpan w:val="4"/>
          </w:tcPr>
          <w:p>
            <w:pPr>
              <w:spacing w:after="0"/>
              <w:rPr>
                <w:sz w:val="17"/>
                <w:szCs w:val="17"/>
                <w:color w:val="auto"/>
              </w:rPr>
            </w:pPr>
          </w:p>
        </w:tc>
        <w:tc>
          <w:tcPr>
            <w:tcW w:w="9140" w:type="dxa"/>
            <w:vAlign w:val="bottom"/>
            <w:gridSpan w:val="32"/>
          </w:tcPr>
          <w:p>
            <w:pPr>
              <w:ind w:left="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5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Item 11</w:t>
            </w:r>
          </w:p>
        </w:tc>
        <w:tc>
          <w:tcPr>
            <w:tcW w:w="960" w:type="dxa"/>
            <w:vAlign w:val="bottom"/>
            <w:gridSpan w:val="4"/>
          </w:tcPr>
          <w:p>
            <w:pPr>
              <w:spacing w:after="0"/>
              <w:rPr>
                <w:sz w:val="17"/>
                <w:szCs w:val="17"/>
                <w:color w:val="auto"/>
              </w:rPr>
            </w:pPr>
          </w:p>
        </w:tc>
        <w:tc>
          <w:tcPr>
            <w:tcW w:w="246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EXECUTIVE COMPENSATION</w:t>
              </w:r>
            </w:hyperlink>
          </w:p>
        </w:tc>
        <w:tc>
          <w:tcPr>
            <w:tcW w:w="3340" w:type="dxa"/>
            <w:vAlign w:val="bottom"/>
            <w:tcBorders>
              <w:top w:val="single" w:sz="8" w:color="0000EE"/>
            </w:tcBorders>
            <w:gridSpan w:val="16"/>
          </w:tcPr>
          <w:p>
            <w:pPr>
              <w:spacing w:after="0"/>
              <w:rPr>
                <w:sz w:val="17"/>
                <w:szCs w:val="17"/>
                <w:color w:val="auto"/>
              </w:rPr>
            </w:pPr>
          </w:p>
        </w:tc>
        <w:tc>
          <w:tcPr>
            <w:tcW w:w="33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Item 12</w:t>
            </w:r>
          </w:p>
        </w:tc>
        <w:tc>
          <w:tcPr>
            <w:tcW w:w="960" w:type="dxa"/>
            <w:vAlign w:val="bottom"/>
            <w:gridSpan w:val="4"/>
          </w:tcPr>
          <w:p>
            <w:pPr>
              <w:spacing w:after="0"/>
              <w:rPr>
                <w:sz w:val="17"/>
                <w:szCs w:val="17"/>
                <w:color w:val="auto"/>
              </w:rPr>
            </w:pPr>
          </w:p>
        </w:tc>
        <w:tc>
          <w:tcPr>
            <w:tcW w:w="8020" w:type="dxa"/>
            <w:vAlign w:val="bottom"/>
            <w:tcBorders>
              <w:bottom w:val="single" w:sz="8" w:color="0000EE"/>
            </w:tcBorders>
            <w:gridSpan w:val="29"/>
          </w:tcPr>
          <w:p>
            <w:pPr>
              <w:ind w:left="20"/>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SECURITY OWNERSHIP OF CERTAIN BENEFICIAL OWNERS AND MANAGEMENT AND RELATED</w:t>
              </w:r>
            </w:hyperlink>
          </w:p>
        </w:tc>
        <w:tc>
          <w:tcPr>
            <w:tcW w:w="11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4"/>
              </w:rPr>
            </w:pPr>
            <w:hyperlink w:anchor="page96">
              <w:r>
                <w:rPr>
                  <w:rFonts w:ascii="Arial" w:cs="Arial" w:eastAsia="Arial" w:hAnsi="Arial"/>
                  <w:sz w:val="18"/>
                  <w:szCs w:val="18"/>
                  <w:color w:val="0000EE"/>
                  <w:w w:val="94"/>
                </w:rPr>
                <w:t>STOCKHOLDER MATTERS</w:t>
              </w:r>
            </w:hyperlink>
          </w:p>
        </w:tc>
        <w:tc>
          <w:tcPr>
            <w:tcW w:w="694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line="196" w:lineRule="exact"/>
              <w:rPr>
                <w:sz w:val="20"/>
                <w:szCs w:val="20"/>
                <w:color w:val="auto"/>
              </w:rPr>
            </w:pPr>
            <w:r>
              <w:rPr>
                <w:rFonts w:ascii="Arial" w:cs="Arial" w:eastAsia="Arial" w:hAnsi="Arial"/>
                <w:sz w:val="18"/>
                <w:szCs w:val="18"/>
                <w:color w:val="auto"/>
                <w:w w:val="89"/>
              </w:rPr>
              <w:t>Item 13</w:t>
            </w:r>
          </w:p>
        </w:tc>
        <w:tc>
          <w:tcPr>
            <w:tcW w:w="960" w:type="dxa"/>
            <w:vAlign w:val="bottom"/>
            <w:gridSpan w:val="4"/>
          </w:tcPr>
          <w:p>
            <w:pPr>
              <w:spacing w:after="0"/>
              <w:rPr>
                <w:sz w:val="17"/>
                <w:szCs w:val="17"/>
                <w:color w:val="auto"/>
              </w:rPr>
            </w:pPr>
          </w:p>
        </w:tc>
        <w:tc>
          <w:tcPr>
            <w:tcW w:w="9140" w:type="dxa"/>
            <w:vAlign w:val="bottom"/>
            <w:gridSpan w:val="32"/>
          </w:tcPr>
          <w:p>
            <w:pPr>
              <w:ind w:left="2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Item 14</w:t>
            </w:r>
          </w:p>
        </w:tc>
        <w:tc>
          <w:tcPr>
            <w:tcW w:w="960" w:type="dxa"/>
            <w:vAlign w:val="bottom"/>
            <w:gridSpan w:val="4"/>
          </w:tcPr>
          <w:p>
            <w:pPr>
              <w:spacing w:after="0"/>
              <w:rPr>
                <w:sz w:val="17"/>
                <w:szCs w:val="17"/>
                <w:color w:val="auto"/>
              </w:rPr>
            </w:pPr>
          </w:p>
        </w:tc>
        <w:tc>
          <w:tcPr>
            <w:tcW w:w="3980" w:type="dxa"/>
            <w:vAlign w:val="bottom"/>
            <w:tcBorders>
              <w:top w:val="single" w:sz="8" w:color="0000EE"/>
              <w:bottom w:val="single" w:sz="8" w:color="0000EE"/>
            </w:tcBorders>
            <w:gridSpan w:val="18"/>
          </w:tcPr>
          <w:p>
            <w:pPr>
              <w:ind w:left="20"/>
              <w:spacing w:after="0" w:line="196"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PRINCIPAL ACCOUNTANT FEES AND SERVICES</w:t>
              </w:r>
            </w:hyperlink>
          </w:p>
        </w:tc>
        <w:tc>
          <w:tcPr>
            <w:tcW w:w="3680" w:type="dxa"/>
            <w:vAlign w:val="bottom"/>
            <w:tcBorders>
              <w:top w:val="single" w:sz="8" w:color="0000EE"/>
            </w:tcBorders>
            <w:gridSpan w:val="9"/>
          </w:tcPr>
          <w:p>
            <w:pPr>
              <w:spacing w:after="0"/>
              <w:rPr>
                <w:sz w:val="17"/>
                <w:szCs w:val="17"/>
                <w:color w:val="auto"/>
              </w:rPr>
            </w:pPr>
          </w:p>
        </w:tc>
        <w:tc>
          <w:tcPr>
            <w:tcW w:w="14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8"/>
          </w:tcPr>
          <w:p>
            <w:pPr>
              <w:jc w:val="center"/>
              <w:ind w:right="4820"/>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gridSpan w:val="14"/>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Item 15</w:t>
            </w:r>
          </w:p>
        </w:tc>
        <w:tc>
          <w:tcPr>
            <w:tcW w:w="960" w:type="dxa"/>
            <w:vAlign w:val="bottom"/>
            <w:gridSpan w:val="4"/>
          </w:tcPr>
          <w:p>
            <w:pPr>
              <w:spacing w:after="0"/>
              <w:rPr>
                <w:sz w:val="17"/>
                <w:szCs w:val="17"/>
                <w:color w:val="auto"/>
              </w:rPr>
            </w:pPr>
          </w:p>
        </w:tc>
        <w:tc>
          <w:tcPr>
            <w:tcW w:w="4060" w:type="dxa"/>
            <w:vAlign w:val="bottom"/>
            <w:tcBorders>
              <w:bottom w:val="single" w:sz="8" w:color="0000EE"/>
            </w:tcBorders>
            <w:gridSpan w:val="19"/>
          </w:tcPr>
          <w:p>
            <w:pPr>
              <w:ind w:left="20"/>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EXHIBITS, FINANCIAL STATEMENT SCHEDULES</w:t>
              </w:r>
            </w:hyperlink>
          </w:p>
        </w:tc>
        <w:tc>
          <w:tcPr>
            <w:tcW w:w="50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1520" w:type="dxa"/>
            <w:vAlign w:val="bottom"/>
            <w:gridSpan w:val="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SIGNATURES</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 this Annual Report on Form 10-K, the words “IES”, the “Company”, the “Registrant”, “we”, “our”, “ours” and “us” refer to IES Holdings, Inc. and, except as otherwise specified herein, to our subsidiaries.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95" w:lineRule="exact"/>
        <w:rPr>
          <w:sz w:val="20"/>
          <w:szCs w:val="20"/>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640" w:hanging="436"/>
        <w:spacing w:after="0" w:line="264"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640" w:right="6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change in the federal tax rate;</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on deferred tax assets;</w:t>
      </w:r>
    </w:p>
    <w:p>
      <w:pPr>
        <w:spacing w:after="0" w:line="130" w:lineRule="exact"/>
        <w:rPr>
          <w:rFonts w:ascii="Arial" w:cs="Arial" w:eastAsia="Arial" w:hAnsi="Arial"/>
          <w:sz w:val="18"/>
          <w:szCs w:val="18"/>
          <w:color w:val="auto"/>
        </w:rPr>
      </w:pPr>
    </w:p>
    <w:p>
      <w:pPr>
        <w:ind w:left="640" w:right="26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142" w:lineRule="exact"/>
        <w:rPr>
          <w:rFonts w:ascii="Arial" w:cs="Arial" w:eastAsia="Arial" w:hAnsi="Arial"/>
          <w:sz w:val="17"/>
          <w:szCs w:val="17"/>
          <w:color w:val="auto"/>
        </w:rPr>
      </w:pPr>
    </w:p>
    <w:p>
      <w:pPr>
        <w:ind w:left="640" w:right="6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facilities, including liquidity, EBITDA and other financial requirements, which could result in a default and acceleration of our indebtedness;</w:t>
      </w:r>
    </w:p>
    <w:p>
      <w:pPr>
        <w:spacing w:after="0" w:line="75" w:lineRule="exact"/>
        <w:rPr>
          <w:rFonts w:ascii="Arial" w:cs="Arial" w:eastAsia="Arial" w:hAnsi="Arial"/>
          <w:sz w:val="18"/>
          <w:szCs w:val="18"/>
          <w:color w:val="auto"/>
        </w:rPr>
      </w:pPr>
    </w:p>
    <w:p>
      <w:pPr>
        <w:ind w:left="640" w:right="50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640" w:right="34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 and</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640" w:right="520" w:hanging="436"/>
        <w:spacing w:after="0" w:line="30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51" w:lineRule="exact"/>
        <w:rPr>
          <w:rFonts w:ascii="Arial" w:cs="Arial" w:eastAsia="Arial" w:hAnsi="Arial"/>
          <w:sz w:val="17"/>
          <w:szCs w:val="17"/>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640" w:right="64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640" w:right="42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64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640" w:right="60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including those listed in Part I, Item 1A of this report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52" w:lineRule="exact"/>
        <w:rPr>
          <w:sz w:val="20"/>
          <w:szCs w:val="20"/>
          <w:color w:val="auto"/>
        </w:rPr>
      </w:pPr>
    </w:p>
    <w:p>
      <w:pPr>
        <w:ind w:left="1060" w:right="26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 Nationwide provider of technology infrastructure services to large corporations and independent businesses.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businesses are managed in a decentralized manner. While sharing common goals and values, each of the Company’s segments manages its own day-to-day operations. Our corporate office is focused on significant capital allocation decisions, investment activities and selection of segment leadership, as well as strategic and operational improvement initiatives and the establishment and monitoring of risk management practices within our segments.</w:t>
      </w:r>
    </w:p>
    <w:p>
      <w:pPr>
        <w:spacing w:after="0" w:line="18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IES Holdings, Inc. is a Delaware corporation established in 1997 and headquartered in Houston, Texas, with an executive office in Greenwich, Connecticut.</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seek to create shareholder value through improving operating margins and generating free cash flow by investing in our existing businesses and completing acquisitions. We seek to acquire or invest in stand-alone platform companies based in North America or acquire businesses that strategically complement our existing business segments. In evaluating potential acquisition candidates, we seek to invest in businesses with, among other characteristics:</w:t>
      </w:r>
    </w:p>
    <w:p>
      <w:pPr>
        <w:spacing w:after="0" w:line="92"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proven management with a willingness to continue post-acquisition;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 technological and/or product obsolescence risk;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established market position and sustainable competitive advantages;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cash flow characteristics.</w:t>
      </w:r>
    </w:p>
    <w:p>
      <w:pPr>
        <w:spacing w:after="0" w:line="22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believe that acquisitions provide an opportunity to expand into new end markets and diversify our revenue and profit streams, which we expect will allow us to maximize the value of our significant net operating loss tax carry forwards (“NOLs”). While we may use acquisitions to build our presence in the industries we serve, we will also consider potential acquisitions in other industries, which could result in changes in our operations from those historically conducted by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fiscal 2017, we acquired three businesses for aggregate consideration of $21.0 million, as described below:</w:t>
      </w:r>
    </w:p>
    <w:p>
      <w:pPr>
        <w:spacing w:after="0" w:line="131" w:lineRule="exact"/>
        <w:rPr>
          <w:sz w:val="20"/>
          <w:szCs w:val="20"/>
          <w:color w:val="auto"/>
        </w:rPr>
      </w:pPr>
    </w:p>
    <w:p>
      <w:pPr>
        <w:ind w:left="1060" w:right="100" w:hanging="316"/>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80% interest in NEXT Electric, LLC (“NEXT Electric”), a Wisconsin-based electrical contractor specializing in the design, installation and maintenance of electrical systems for commercial, industrial, healthcare, water treatment and education end-markets, was acquired in July 2017 in our Commercial &amp; Industrial segment.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Services II, LLC (“Technical Services”), a Virginia-based provider of mechanical maintenance services, including commercial heating, ventilation and air conditioning, food service equipment, electrical and plumbing services, was acquired in June 2017 in our Commercial &amp; Industrial segment.</w:t>
      </w:r>
    </w:p>
    <w:p>
      <w:pPr>
        <w:spacing w:after="0" w:line="86"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Freeman Enclosure Systems, LLC, an Ohio-based manufacturer of custom generator enclosures primarily used by data centers and large commercial and industrial facilities, was acquired in March 2017 along with its affiliate Strategic Edge, LLC (together, “Freeman”) in our Infrastructure Solutions segment.</w:t>
      </w:r>
    </w:p>
    <w:p>
      <w:pPr>
        <w:spacing w:after="0" w:line="1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For more information on these transactions, please see Note 18, “Business Combinations and Divestitures” in the notes to our Consolidated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Controlling Shareholder</w:t>
      </w:r>
    </w:p>
    <w:p>
      <w:pPr>
        <w:spacing w:after="0" w:line="12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A majority of our outstanding common stock is owned by Tontine Associates, L.L.C. and its affiliates (collectively, “Tontine”). Based on a Form 4 filed on October 3, 2017, Tontine owns approximately 58% of the Company. As a result, Tontine can control most of our affairs, including most actions requiring the approval of shareholders, such as the approval of any potential merger or sale of all or substantially all assets, segments, or the Company itself. Most of Tontine’s shares are registered for resale on a shelf registration statement filed by the Company with the United States Securities and Exchange Commission (the “SEC”). Tontine’s sale of all or any portion of its shares could result in a change of control, which would trigger the change of control provisions in a number of our material agreements, including our credit facility, bonding agreements with our sureties and our executive severance plan. For more information see Note 3, “Controlling Shareholder” in the notes to our Consolidated Financial Statements.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Operating Loss Tax Carry Forward and Other Deferred Tax Assets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 and certain of its subsidiaries have an estimated federal net operating loss (“NOL”) of approximately $378.3 million at September 30, 2017, including approximately $142.1 million resulting from the additional amortization of personal goodwill.</w:t>
      </w:r>
    </w:p>
    <w:p>
      <w:pPr>
        <w:spacing w:after="0" w:line="17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 fiscal 2016, we released a significant valuation allowance against our deferred tax assets. An inability to generate sufficient taxable income in future periods to realize our deferred tax assets may lead to the recording of additional valuation allowances in future periods and a reduction in income under accounting principles generally accepted in the United States of America (“GAAP”). Further, any future reduction in the federal statutory tax rate could also cause a reduction in the economic benefit of the NOL and other deferred tax assets available to us and a corresponding charge to reduce the book value of the deferred tax asset recorded on our balance sheet. The US House of Representatives and Senate have each passed tax reform legislation which, if enacted, would reduce the corporate income tax rate to 20%, from a current rate of 35%. At September 30, 2017, we had deferred tax assets with a net book value of $86.2 million, based on a federal tax rate of 35%. If the federal statutory corporate income tax rate is reduced to 20%, this asset will be revalued at the lower rate, resulting in a charge to income tax expense and a corresponding reduction in deferred tax assets.</w:t>
      </w:r>
    </w:p>
    <w:p>
      <w:pPr>
        <w:spacing w:after="0" w:line="166"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net operating losses incurred prior to the change in ownership would be subject to limitation imposed by Internal Revenue Code Section 382, which would substantially reduce the amount of NOL currently available to offset taxable income. For more information see Note 3, “Controlling Shareholder” in the notes to our Consolidated Financial Statements.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The Company maintains a tax benefit protection plan (the “NOL Rights Plan”) which was designed to deter an acquisition of the Company’s stock in excess of a threshold amount that could trigger a change of control within the meaning of Internal Revenue Code Section 382.</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jc w:val="both"/>
        <w:ind w:left="200" w:right="400"/>
        <w:spacing w:after="0" w:line="342" w:lineRule="auto"/>
        <w:rPr>
          <w:sz w:val="20"/>
          <w:szCs w:val="20"/>
          <w:color w:val="auto"/>
        </w:rPr>
      </w:pPr>
      <w:r>
        <w:rPr>
          <w:rFonts w:ascii="Arial" w:cs="Arial" w:eastAsia="Arial" w:hAnsi="Arial"/>
          <w:sz w:val="16"/>
          <w:szCs w:val="16"/>
          <w:color w:val="auto"/>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93"/>
              </w:rPr>
              <w:t>Years Ended September 30,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gridSpan w:val="10"/>
          </w:tcPr>
          <w:p>
            <w:pPr>
              <w:jc w:val="right"/>
              <w:ind w:right="640"/>
              <w:spacing w:after="0" w:line="142" w:lineRule="exact"/>
              <w:rPr>
                <w:sz w:val="20"/>
                <w:szCs w:val="20"/>
                <w:color w:val="auto"/>
              </w:rPr>
            </w:pPr>
            <w:r>
              <w:rPr>
                <w:rFonts w:ascii="Arial" w:cs="Arial" w:eastAsia="Arial" w:hAnsi="Arial"/>
                <w:sz w:val="14"/>
                <w:szCs w:val="14"/>
                <w:color w:val="auto"/>
                <w:w w:val="99"/>
              </w:rPr>
              <w:t>(Dollars in thousands, Percentage of revenues)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$178,865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Communications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225,275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189,635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141,858</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Solutions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46,827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Residential</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274,039</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225,889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206,307</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810,744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695,993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573,857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financial information by segment, see Note 10, “Operating Segments” in the notes to our Consolidated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Commercial &amp; Industrial segment provides electrical and mechanical design, service, and construction services to commercial and industrial markets.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We also provide mechanical services such as maintenance agreements, installation, or replacement of mechanical equipment for commercial and industrial facilities.</w:t>
      </w:r>
    </w:p>
    <w:p>
      <w:pPr>
        <w:spacing w:after="0" w:line="189"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During fiscal 2016, we expanded our geographic and service offerings with the acquisition of Shanahan Mechanical and Electrical, Inc. (“Shanahan”) and added mechanical service offerings with the acquisition of STR Mechanical, LLC (“STR Mechanical”). During fiscal 2017, we continued this expansion with the June 2017 acquisition of Technical Services and the July 2017 acquisition of NEXT Electric.</w:t>
      </w:r>
    </w:p>
    <w:p>
      <w:pPr>
        <w:spacing w:after="0" w:line="18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24 locations, which includes the segment headquarters in Houston, Texas. These locations geographically cover Texas, Nebraska, Colorado, Oregon, Wisconsin, and the Southeast and Mid-Atlantic regions.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Given the diverse end-markets of our Commercial &amp; Industrial customers, which include both commercial buildings, such as offices, healthcare facilities and schools, and industrial projects, such as power, chemical,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refinery and heavy manufacturing facilities, we are subject to many trends within the construction industry. In general, demand for our Commercial &amp; Industrial services is driven by construction and renovation activity levels, economic growth, and availability of bank lending. Due to economic, technological or other factors, there can be no assurance that construction and demand will increase.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 to be either recurring or experience lower sensitivity to economic cycles, or both. A significant portion of our larger projects are awarded from long-term, repeat customers. From time to time, we are contracted on projects with completion times extending beyond one year or over several years, which are generally more complex and difficult to estimate.</w:t>
      </w:r>
    </w:p>
    <w:p>
      <w:pPr>
        <w:spacing w:after="0" w:line="18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With a focus on quality service offerings, our long-term strategy is to continue to be one of the preferred providers of electrical and mechanical services in the markets where we have demonstrated expertise and/or are a local market leader. Key elements of our long-term strategy include leveraging our expertise in certain niche markets, expanding our service and maintenance business, attracting and retaining highly qualified employees, and maintaining our focus on returns on risk adjusted capital.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The electrical and mechanical contracting services industry is generally highly competitive and includes a number of regional or small privately-held local firms. There are few barriers to entry for our electrical and mechanical contracting services in the commercial and industrial markets, which limits our advantages when competing for projects. Industry expertise, project size, location and past performance will determine our bidding strategy, the level of involvement from competitors and our level of success in winning awards.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effects of seasonality on our Commercial &amp; Industrial business are insignificant, as work generally is performed inside structures protected from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Originally established in 1984, our Communications segment is a leading provider of network infrastructure solutions for data centers and other mission critical environments. Our services include the design, installation and maintenance of network infrastructure to leading and recognizable global technology, social networking and e-commerce brands, including many Fortune 100 and 500 corporations. We serve a variety of industries and end-markets, including data centers for colocation and managed hosting customers; corporate, educational, financial, government, hospitality and healthcare buildings, e-commerce distribution centers; and high-tech manufacturing facilities. We also provide the design and installation of audio/visual, telephone, fire, wireless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access and intrusion alarm systems, as well as design/build, service and maintenance of data network systems. We perform services across the United States from our 12 offices, including our Communications headquarters located in Tempe, Arizona, allowing dedicated onsite teams at our customers’ sites.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Our Communications segment is driven by demand increases for computing and storage resources as a result of technology advancements and obsolescence and changes in data consumption patterns. The data center market remains strong, and we are continuing to expand our offerings in this market to broaden our customer base. Additionally, demand has been growing for our audio-visual and other building technology offerings. Nevertheless, due to economic, technological and other factors, there can be no assurance that demand will continue to increase.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spacing w:after="0" w:line="18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long-term strategy is to improve our position as a preferred mission critical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Our competition consists of both large national or regional competitors and small, privately owned contractors who have limited access to capital. We compete on quality of service and/or price and seek to emphasize our long history of delivering high quality solutions to our customers.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effects of seasonality on our Communications business are insignificant,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Our Infrastructure Solutions segment provides electro-mechanical solutions for industrial operations to domestic and international customers. Our solutions include the maintenance and repair of alternating current (AC) and direct current (DC) electric motors and generators, as well as power generating and distribution equipment; the manufacture of custom-engineered, metal enclosed bus duct solutions used in power distribution; the manufacture of customer commercial and industrial generator enclosures; the manufacture, remanufacture, and repair of industrial lifting magnets; and maintenance and repair of railroad main and auxiliary generators, main alternators, and traction motors.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This segment serves the steel, railroad, marine, petrochemical, pulp and paper, wind energy, mining, automotive, power generation, scrap yards, data center, and utility industries. Our Infrastructure Solutions segment is comprised of 10 locations and is headquartered in Ohio. These segment locations geographically cover Alabama, Georgia, Illinois, Ohio, West Virginia and California.</w:t>
      </w:r>
    </w:p>
    <w:p>
      <w:pPr>
        <w:spacing w:after="0" w:line="18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We have enhanced our geographic and service offering through multiple acquisitions since 2015. We added to our service capabilities through the May 2015 acquisition of Southern Industrial Sales and Services, Inc. (“Southern Rewinding”), a Georgia-based provider of motor repair and field services, and the October 2015 acquisition of Calumet Armature &amp; Electric, LLC (“Calumet”), an Illinois-based provider of design, manufacturing, assembly, and repair services of electric motors for the industrial and mass transit markets. Additionally, we have strengthened our offering of electro-mechanical products and services through the June 2016 acquisition of Technibus, Inc. (“Technibus”), a manufacturer of custom-engineered, metal enclosed bus duct solutions, which are highly engineered electrical components that conduct electricity between medium-voltage generators, breakers, transformers, and switchgear, primarily utilized at power generation plants and large electricity-consuming facilities, and the March 2017 acquisition of Freeman, a manufacturer of custom generator enclosures that are primarily used by data centers and large commercial and industrial facilities.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Given the diverse end-markets of Infrastructure Solutions’ customers, we are subject to many economic trends. In general, demand for our services has been driven by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growth in industries, such as data centers and hospitals, that have high power demands and require dependable power supplies, and the overall health of the economy.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right="200"/>
        <w:spacing w:after="0" w:line="290" w:lineRule="auto"/>
        <w:rPr>
          <w:sz w:val="20"/>
          <w:szCs w:val="20"/>
          <w:color w:val="auto"/>
        </w:rPr>
      </w:pPr>
      <w:r>
        <w:rPr>
          <w:rFonts w:ascii="Arial" w:cs="Arial" w:eastAsia="Arial" w:hAnsi="Arial"/>
          <w:sz w:val="16"/>
          <w:szCs w:val="16"/>
          <w:color w:val="auto"/>
        </w:rPr>
        <w:t>Demand for Infrastructure Solutions’ services is largely driven by the degree to which industrial and mechanical services are outsourced by our customers, production rates at steel mills, investments in power generation, other heavy industrial facilities, data centers, and the need for electrical infrastructure improvements. Our sales efforts are primarily driven by personnel based at our operating locations, as well as independent sales representatives. Given that the majority of our apparatus repair customers are located within a 200-mile radius of our facilities, we believe that this structure allows us to rapidly address and respond to the needs of our customers. Our custom-engineered bus system and generator enclosure products and services are principally sold in partnership with an original equipment manufacturer (“OEM”) or to an engineering, procurement and construction firm on behalf of the end-user. Our long term strategy is to be the preferred solutions provider of outsourced electro-mechanical services, repairs, and manufacturing to our select markets and a leader in custom-engineered metal enclosed bus systems.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competition is comprised mainly of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and customer service.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Infrastructure Solutions’ revenues from industrial services may be affected by the timing of scheduled outages at its industrial customers’ facilities and by weather conditions with respect to projects conducted outdoors, but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effects of seasonality on revenues in its industrial services business are insignificant. Infrastructure Solutions’ quarterly results may fluctuate, and the results of one fiscal quarter may not be representative of the results of any other quarter or of the full fiscal year.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Originally established in 1973, our Residential segment is a leading provider of electrical installation services for single-family housing and multi-family apartment complexes and cable television installations for residential and light commercial applications. In addition to our core electrical construction work, the Residential segment also provides services for the installation of residential solar power, both for new construction and existing residences. The Residential segment is made up of 36 total locations, which include the segment headquarters in Houston, Texas. These locations geographically cover the Sun-Belt, Western and Mid-Atlantic regions of the United States.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Our Residential business is closely correlated to the single and multi-family housing market. Although demand for both single-family and multi-family housing has increased in recent years, we expect to see a decrease in multi-family housing construction in fiscal 2018. Due to economic, technological or other factors, there can be no assurance that overall construction and demand will continue to increase in the future.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Demand for our Residential services is highly dependent on the number of single-family and multi-family home starts in the markets we serve. Although we operate in multiple states throughout the Sun-Belt, Mid-Atlantic and Western regions of the United States, the majority of our segment revenues are derived from services provided in Texas.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spacing w:after="0" w:line="18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Our long-term strategy is to continue to be a leading provider of electrical services to the residential market. The key elements of our long-term strategy include a continued focus on maintaining a low and variable cost structure and cash generation, allowing us to effectively scale according to the housing cycle. During the housing downturn, we modified our strategy by expanding into markets less exposed to national building cycles, such as solar panel and cable installation services.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ind w:left="200" w:right="400"/>
        <w:spacing w:after="0" w:line="312" w:lineRule="auto"/>
        <w:rPr>
          <w:sz w:val="20"/>
          <w:szCs w:val="20"/>
          <w:color w:val="auto"/>
        </w:rPr>
      </w:pPr>
      <w:r>
        <w:rPr>
          <w:rFonts w:ascii="Arial" w:cs="Arial" w:eastAsia="Arial" w:hAnsi="Arial"/>
          <w:sz w:val="16"/>
          <w:szCs w:val="16"/>
          <w:color w:val="auto"/>
        </w:rPr>
        <w:t>Our competition primarily consists of small, privately owned contractors who have limited access to capital. We believe that we have a competitive advantage over these smaller competitors due to our key employees’ long-standing customer relationships, our financial capabilities, and our local market knowledge and competitive pricing. There are few barriers to entry for electrical contracting services in the residential markets.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Results of operations from our Residential segment can be seasonal, depending on weather trends, with typically higher revenues generated during spring and summer and lower revenues during fall and winter. Our service and maintenance business is generally not affected by seasonality. In addition, the construction industry has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SOURCES OF SUPPLY</w:t>
      </w:r>
    </w:p>
    <w:p>
      <w:pPr>
        <w:spacing w:after="0" w:line="229" w:lineRule="exact"/>
        <w:rPr>
          <w:sz w:val="20"/>
          <w:szCs w:val="20"/>
          <w:color w:val="auto"/>
        </w:rPr>
      </w:pPr>
    </w:p>
    <w:p>
      <w:pPr>
        <w:ind w:left="200" w:right="280"/>
        <w:spacing w:after="0" w:line="276" w:lineRule="auto"/>
        <w:rPr>
          <w:sz w:val="20"/>
          <w:szCs w:val="20"/>
          <w:color w:val="auto"/>
        </w:rPr>
      </w:pPr>
      <w:r>
        <w:rPr>
          <w:rFonts w:ascii="Arial" w:cs="Arial" w:eastAsia="Arial" w:hAnsi="Arial"/>
          <w:sz w:val="17"/>
          <w:szCs w:val="17"/>
          <w:color w:val="auto"/>
        </w:rPr>
        <w:t>The raw materials and components we use within our segments include, but are not limited to, electrical fixtures and system components, copper, aluminum, and raw steel. These raw materials and components are generally available from a variety of domestic suppliers at competitive prices. Delivery times are typically short for most raw materials and standard components, but during periods of peak demand, may extend to one month or more. Our strategy to reduce commodity cost exposure includes early buying of commodities for particular projects or general inventory, as well as including escalation and escape provisions in project bids, quotes and contracts wherever possible.</w:t>
      </w:r>
    </w:p>
    <w:p>
      <w:pPr>
        <w:spacing w:after="0" w:line="3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 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employ full-time and part-time regional safety managers, under the supervision of our full-time Senior Vice President of Safety, and seek to maintain standardized safety and environmental policies, programs, procedures and personal protection equipment relative to each segment, including programs to train new employees, which apply to employees new to the industry and those new to the Company.</w:t>
      </w:r>
    </w:p>
    <w:p>
      <w:pPr>
        <w:spacing w:after="0" w:line="179"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We have a diverse customer base. During the twelve-month periods ended September 30, 2017, 2016 and 2015, no single customer accounted for more than 10% of our consolidated revenues. We emphasize developing and maintaining relationships with our customers by providing superior, high-quality service. Management at each of our segments is responsible for determining sales strategies and sales activities.</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Backlog is a measure of revenue that we expect to recognize from work that has yet to be performed on uncompleted contracts and from work that has been contracted but has not started, exclusive of short-term projects. Not all of our work is performed under contracts included in backlog; for example, most of the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apparatus repair work that is completed by our Infrastructure Solutions segment is performed under master service agreements on an as-needed basis. Additionally, electrical installation services for single-family housing in our Residential segment is completed on a short-term basis and is therefore excluded from backlog. The table below summarizes our backlog by segment:</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color w:val="auto"/>
              </w:rPr>
              <w:t>Years Ended September 30,</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2017</w:t>
            </w:r>
          </w:p>
        </w:tc>
        <w:tc>
          <w:tcPr>
            <w:tcW w:w="9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96"/>
              </w:rPr>
              <w:t>2016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(Dollars in millions)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Communications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Solutions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Residential</w:t>
            </w:r>
          </w:p>
        </w:tc>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While our entire backlog is supported by documentation from customers authorizing the performance of future work, backlog is not a guarantee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future revenues as contractual commitments may change. We expect that $278 million of our September 30, 2017, backlog will result in revenue during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fiscal 2018, with the remaining $53 million expected to be realized in fiscal 2019; however, there can be no assurance that this backlog will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completed within expected time frames or at all. The decline in our backlog year over year is driven by our Communications and Residential segments.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Backlog in our Communications segment can be highly variable, as this segment’s backlog is characterized by large, relatively quick-turning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projects. The timing of our customers’ investment cycles may result in periods of lower growth. Our Residential segment’s backlog was atypically high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September 30, 2016, as a result of project delays related to labor shortages in other trades. We worked through that delay related backlog during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REGULATIONS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operations are subject to various federal, state and local laws and regulations, including:</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licensing requirements applicable to electricians and service technicians;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and electrical codes;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regulations relating to worker safety, labor relations and protection of the environment;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regulations relating to consumer protection, including those governing residential service agreements;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qualifications of our business legal structure in the jurisdictions where we do business.</w:t>
      </w:r>
    </w:p>
    <w:p>
      <w:pPr>
        <w:spacing w:after="0" w:line="225"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Many state and local regulations governing electricians require permits and licenses to be held by individuals. In some cases, a required permit or license held by a single individual may be sufficient to authorize specified activities for all our electricians who work in the state or county that issued the permit or license. We endeavour to ensure that, where possible, any permits or licenses that may be material to our operations in a particular geographic area are held by multiple employees within that area.</w:t>
      </w:r>
    </w:p>
    <w:p>
      <w:pPr>
        <w:spacing w:after="0" w:line="187"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We believe we have all licenses required to conduct our operations and are in compliance with applicable regulatory requirements. Failure to comply with applicable regulations could result in substantial fines or revocation of our operating licenses or an inability to perform government work.</w:t>
      </w:r>
    </w:p>
    <w:p>
      <w:pPr>
        <w:spacing w:after="0" w:line="3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 FACILITIES</w:t>
      </w:r>
    </w:p>
    <w:p>
      <w:pPr>
        <w:spacing w:after="0" w:line="22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During fiscal year 2017, the Company maintained a revolving credit facility, as described in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 The Revolving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i w:val="1"/>
          <w:iCs w:val="1"/>
          <w:color w:val="auto"/>
        </w:rPr>
        <w:t>Credit Facility” of this Annual Report on Form 10-K. For a discussion of the Company’s capital resources, see Item 7. “Management’s Discussion and Analysis of Financial Condition and Results of Operations — Liquidity and Capital Resources</w:t>
      </w:r>
      <w:r>
        <w:rPr>
          <w:rFonts w:ascii="Arial" w:cs="Arial" w:eastAsia="Arial" w:hAnsi="Arial"/>
          <w:sz w:val="17"/>
          <w:szCs w:val="17"/>
          <w:color w:val="auto"/>
        </w:rPr>
        <w:t>” of this Annual Report on Form 10-K.</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For information on the Company’s financial information by segment, see Note 10,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in the notes to our Consolidated Financial Statements.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At September 30, 2017, we had 3,532 employees. We are party to two collective bargaining agreements within our Infrastructure Solutions segment. We have not experienced, and do not expect, any work stoppage, and we believe that our relationship with our employees is strong.</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LOCATIONS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As of September 30, 2017, we have 84 domestic locations serving the United States. In addition to our 2 executive and corporate offices, as of September 30, 2017, we have 24 locations within our Commercial &amp; Industrial business, 12 locations within our Communications business, 10 locations within our Infrastructure Solutions business and 36 locations within our Residential business. This diversity helps to reduce our exposure to unfavorable economic developments in any given region.</w:t>
      </w:r>
    </w:p>
    <w:p>
      <w:pPr>
        <w:spacing w:after="0" w:line="39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Certain information with respect to each executive officer is as follows:</w:t>
      </w:r>
    </w:p>
    <w:p>
      <w:pPr>
        <w:spacing w:after="0" w:line="117" w:lineRule="exact"/>
        <w:rPr>
          <w:sz w:val="20"/>
          <w:szCs w:val="20"/>
          <w:color w:val="auto"/>
        </w:rPr>
      </w:pPr>
    </w:p>
    <w:p>
      <w:pPr>
        <w:jc w:val="both"/>
        <w:ind w:left="200" w:right="20"/>
        <w:spacing w:after="0" w:line="288" w:lineRule="auto"/>
        <w:rPr>
          <w:sz w:val="20"/>
          <w:szCs w:val="20"/>
          <w:color w:val="auto"/>
        </w:rPr>
      </w:pPr>
      <w:r>
        <w:rPr>
          <w:rFonts w:ascii="Arial" w:cs="Arial" w:eastAsia="Arial" w:hAnsi="Arial"/>
          <w:sz w:val="16"/>
          <w:szCs w:val="16"/>
          <w:i w:val="1"/>
          <w:iCs w:val="1"/>
          <w:color w:val="auto"/>
        </w:rPr>
        <w:t>Robert W. Lewey</w:t>
      </w:r>
      <w:r>
        <w:rPr>
          <w:rFonts w:ascii="Arial" w:cs="Arial" w:eastAsia="Arial" w:hAnsi="Arial"/>
          <w:sz w:val="16"/>
          <w:szCs w:val="16"/>
          <w:color w:val="auto"/>
        </w:rPr>
        <w:t>, 55, has served as a Director of the Company since April 2016 and as President of the Company since May 2015. He previously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Interim Chief Operating Officer of the Company from January 2015 to May 2015 while continuing to serve as Senior Vice President, Chief Financial Officer and Treasurer of the Company, a role he had held from January 2012 to May 2015. From 2001 to 2006 and from 2007 to January 2012,</w:t>
      </w:r>
    </w:p>
    <w:p>
      <w:pPr>
        <w:ind w:left="200"/>
        <w:spacing w:after="0" w:line="255" w:lineRule="auto"/>
        <w:rPr>
          <w:sz w:val="20"/>
          <w:szCs w:val="20"/>
          <w:color w:val="auto"/>
        </w:rPr>
      </w:pPr>
      <w:r>
        <w:rPr>
          <w:rFonts w:ascii="Arial" w:cs="Arial" w:eastAsia="Arial" w:hAnsi="Arial"/>
          <w:sz w:val="18"/>
          <w:szCs w:val="18"/>
          <w:color w:val="auto"/>
        </w:rPr>
        <w:t>Mr. Lewey served as Director of Tax, Vice President, Tax and Treasurer for IES. From 2006 to 2007, he served as Vice President, Tax for Sulzer US Holdings, Inc. From 1995 to 2001, Mr. Lewey served as Vice President, Tax for Metamor Worldwide, Inc., a leading provider of information technology solutions. Mr. Lewey began his career with Deloitte LLP.</w:t>
      </w:r>
    </w:p>
    <w:p>
      <w:pPr>
        <w:spacing w:after="0" w:line="190"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i w:val="1"/>
          <w:iCs w:val="1"/>
          <w:color w:val="auto"/>
        </w:rPr>
        <w:t>Tracy A. McLauchlin</w:t>
      </w:r>
      <w:r>
        <w:rPr>
          <w:rFonts w:ascii="Arial" w:cs="Arial" w:eastAsia="Arial" w:hAnsi="Arial"/>
          <w:sz w:val="16"/>
          <w:szCs w:val="16"/>
          <w:color w:val="auto"/>
        </w:rPr>
        <w:t>, 47, has served as Senior Vice President, Chief Financial Officer and Treasurer of the Company since May 2015. She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and Chief Accounting Officer of the Company since February 2014. Prior to joining IES, Ms. McLauchlin served as Vice President and Chief Accounting Officer of Rockwater Energy Solutions, Inc. from June 2011 to November 2013. From June 2004 to June 2011,</w:t>
      </w:r>
    </w:p>
    <w:p>
      <w:pPr>
        <w:ind w:left="200" w:right="20"/>
        <w:spacing w:after="0" w:line="261" w:lineRule="auto"/>
        <w:rPr>
          <w:sz w:val="20"/>
          <w:szCs w:val="20"/>
          <w:color w:val="auto"/>
        </w:rPr>
      </w:pPr>
      <w:r>
        <w:rPr>
          <w:rFonts w:ascii="Arial" w:cs="Arial" w:eastAsia="Arial" w:hAnsi="Arial"/>
          <w:sz w:val="18"/>
          <w:szCs w:val="18"/>
          <w:color w:val="auto"/>
        </w:rPr>
        <w:t>Ms. McLauchlin was with Dynegy Inc., where she served as Senior Vice President and Controller from March 2009 to June 2011 and from June 2004 to March 2009 served in various other capacities in finance and accounting.</w:t>
      </w:r>
    </w:p>
    <w:p>
      <w:pPr>
        <w:spacing w:after="0" w:line="18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i w:val="1"/>
          <w:iCs w:val="1"/>
          <w:color w:val="auto"/>
        </w:rPr>
        <w:t>Gail D. Makode</w:t>
      </w:r>
      <w:r>
        <w:rPr>
          <w:rFonts w:ascii="Arial" w:cs="Arial" w:eastAsia="Arial" w:hAnsi="Arial"/>
          <w:sz w:val="18"/>
          <w:szCs w:val="18"/>
          <w:color w:val="auto"/>
        </w:rPr>
        <w:t>, 42, has served as Senior Vice President, General Counsel and Corporate Secretary since October 2012. Ms. Makode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in various legal positions at MBIA Inc. and its subsidiaries from 2006 to 2012, including as General Counsel and a member of the Board at MBIA Insurance Corporation and Chief Compliance Officer of MBIA Inc. Prior to MBIA, Ms. Makode served as Vice President and Counsel for Deutsche Bank AG from 2003 to 2006, and before that, was an Associate at Cleary, Gottlieb, Steen &amp; Hamilton, where she specialized in public and private securities offerings and mergers and acquisitions.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We have adopted a Code of Ethics for Financial Executives that applies to our principal executive officer, principal financial officer and principal accounting officer. The Code of Ethics may be found on our website at </w:t>
      </w:r>
      <w:r>
        <w:rPr>
          <w:rFonts w:ascii="Arial" w:cs="Arial" w:eastAsia="Arial" w:hAnsi="Arial"/>
          <w:sz w:val="18"/>
          <w:szCs w:val="18"/>
          <w:i w:val="1"/>
          <w:iCs w:val="1"/>
          <w:color w:val="auto"/>
        </w:rPr>
        <w:t>www.ies-co.com</w:t>
      </w:r>
      <w:r>
        <w:rPr>
          <w:rFonts w:ascii="Arial" w:cs="Arial" w:eastAsia="Arial" w:hAnsi="Arial"/>
          <w:sz w:val="18"/>
          <w:szCs w:val="18"/>
          <w:color w:val="auto"/>
        </w:rPr>
        <w:t>. If we make any substantive amendments to the Code of Ethics or grant any waiver, including any implicit waiver, from a provision of the Code to our principal executive officer, principal financial officer or principal accounting officer, we will disclose the nature of such amendment or waiver on that website or in a report on Form 8-K. Paper copies of these documents are also available free of charge upon written request to us.</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 xml:space="preserve">General information about us can be found on our website at </w:t>
      </w:r>
      <w:r>
        <w:rPr>
          <w:rFonts w:ascii="Arial" w:cs="Arial" w:eastAsia="Arial" w:hAnsi="Arial"/>
          <w:sz w:val="17"/>
          <w:szCs w:val="17"/>
          <w:i w:val="1"/>
          <w:iCs w:val="1"/>
          <w:color w:val="auto"/>
        </w:rPr>
        <w:t>www.ies-co.com</w:t>
      </w:r>
      <w:r>
        <w:rPr>
          <w:rFonts w:ascii="Arial" w:cs="Arial" w:eastAsia="Arial" w:hAnsi="Arial"/>
          <w:sz w:val="17"/>
          <w:szCs w:val="17"/>
          <w:color w:val="auto"/>
        </w:rPr>
        <w:t xml:space="preserve"> under “Investor Relations.” We file our interim and annual financial reports, as well as other reports required by the Securities Exchange Act of 1934, as amended (the “Exchange Act”), with the SEC.</w:t>
      </w:r>
    </w:p>
    <w:p>
      <w:pPr>
        <w:spacing w:after="0" w:line="147"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and they will provide you with a copy of these reports. The materials that we file with the SEC are also available free of charge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these materials at the SEC’s Public Reference Room at 100 F Street, NE., Washington, D.C. 20549. Information on the operation of the Public Reference Room is available by calling the SEC at 1– 800–SEC–0330.</w:t>
      </w:r>
    </w:p>
    <w:p>
      <w:pPr>
        <w:spacing w:after="0" w:line="193"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We have designated an “audit committee financial expert” as that term is defined by the SEC. Further information about this designee may be found in the Proxy Statement for the 2018 Annual Meeting of Stockholders of the Company.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Existence of a controlling shareholder.</w:t>
      </w:r>
    </w:p>
    <w:p>
      <w:pPr>
        <w:spacing w:after="0" w:line="121"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A majority of our outstanding common stock is owned by Tontine. Based on a Form 4 filed on October 3, 2017, by Tontine, Tontine owns approximately 58% of the Company’s common stock.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assets,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facility, bonding agreements with our sureties and our executive severance plan.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common stock has less liquidity than many other stocks listed on the NASDAQ Global Market.</w:t>
      </w:r>
    </w:p>
    <w:p>
      <w:pPr>
        <w:spacing w:after="0" w:line="12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Historically, the trading volume of our common stock has been relatively low when compared to larger companies listed on the NASDAQ Global Market or other stock exchanges. While we have experienced increased liquidity in our stock during recent years,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Availability of net operating losses may be reduced by a change in ownership.</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2017, we have approximately $236.2 million of federal NOLs that are available to use to offset taxable income, exclusive of NOLs from the amortization of additional tax goodwill. Should a change in ownership occur, all NOLs incurred prior to the change in ownership would be subject to limitation imposed by Internal Revenue Code Section 382, which would substantially reduce the amount of NOL currently available to offset taxable income.</w:t>
      </w:r>
    </w:p>
    <w:p>
      <w:pPr>
        <w:spacing w:after="0" w:line="18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maintains an NOL Rights Plan, which was designed to deter an acquisition of the Company’s stock in excess of a threshold amount that could trigger a change of control within the meaning of Internal Revenue Code Section 382. The NOL Rights Plan is designed to dilute the ownership of such an acquirer through the offering of rights to the Company’s other stockholders that will become exercisable upon the acquirer’s purchase of the Company’s stock in excess of the threshold amount. We can make no assurances the NOL Rights Plan will be effective in deterring a change in control or protecting or realizing NOLs.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80"/>
        <w:spacing w:after="0" w:line="282" w:lineRule="auto"/>
        <w:rPr>
          <w:sz w:val="20"/>
          <w:szCs w:val="20"/>
          <w:color w:val="auto"/>
        </w:rPr>
      </w:pPr>
      <w:r>
        <w:rPr>
          <w:rFonts w:ascii="Arial" w:cs="Arial" w:eastAsia="Arial" w:hAnsi="Arial"/>
          <w:sz w:val="18"/>
          <w:szCs w:val="18"/>
          <w:b w:val="1"/>
          <w:bCs w:val="1"/>
          <w:color w:val="auto"/>
        </w:rPr>
        <w:t>We have recognized deferred tax assets based upon our estimates of future taxable income, and we may recognize tax expense if there is a reduction in the statutory tax rate or if future taxable income is lower than our estimates.</w:t>
      </w:r>
    </w:p>
    <w:p>
      <w:pPr>
        <w:spacing w:after="0" w:line="5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As of September 30, 2017, we have a net deferred tax asset of $86.2 million on our consolidated balance sheet, of which $77.5 million is attributable to NOLs. To realize the full benefit of this deferred tax asset attributable to NOLs, we must generate sufficient taxable income within the applicable carry forward period to offset against NOLs. Under GAAP, we are required to assess whether we believe the benefit of the deferred tax asset is more likely than not to be realized based on our expectation of generating sufficient future taxable income, and we are required to record a valuation allowance, or offset, against our deferred tax asset based on the portion of the deferred tax asset that we believe is not more likely than not to be realized.</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If we are unable to generate sufficient taxable income in the future to utilize our NOLs, we could be required to record valuation allowances, resulting in an increase in income tax expense and a reduction of our consolidated net income. Failure to generate sufficient taxable income in the future could also result in the expiration of certain NOLs.</w:t>
      </w:r>
    </w:p>
    <w:p>
      <w:pPr>
        <w:spacing w:after="0" w:line="18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Any decrease in the federal statutory tax rate, including enactment of a tax reform legislation such as the ones recently passed by the US House of Representatives and Senate, or other changes in federal tax statutes, could also cause a reduction in the economic benefit of the NOL currently available to us and a corresponding reduction in the amount of our recorded deferred tax assets.</w:t>
      </w:r>
    </w:p>
    <w:p>
      <w:pPr>
        <w:spacing w:after="0" w:line="285"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Our inability to carry out plans and strategies as expected, including our inability to identify and complete acquisitions that meet our investment criteria in furtherance of our corporate strategy or the subsequent underperformance of those acquisitions, may adversely impact our future growth.</w:t>
      </w:r>
    </w:p>
    <w:p>
      <w:pPr>
        <w:spacing w:after="0" w:line="72"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Our corporate strategy involves creating shareholder value through acquiring or investing in stand-alone platform companies based in North America or acquiring businesses that we believe will strategically complement our existing business segments. While we believe that acquisitions will provide an opportunity to expand into new end-markets and diversify our revenue and profit streams, potential acquisitions in new industries could result in changes in our operations from those historically conducted by us and introduce the requirement for new controls. Alternatively our failure to diversify from existing markets may limit our future growth. In addition, our investments may not perform as expected or may not generate a positive return on investment, due to factors we could not predict prior to the acquisition or due to incorrect investment assumptions.</w:t>
      </w:r>
    </w:p>
    <w:p>
      <w:pPr>
        <w:spacing w:after="0" w:line="283"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To service our indebtedness and to fund working capital, we will require a significant amount of cash. Our ability to generate cash depends on many factors that are beyond our control.</w:t>
      </w:r>
    </w:p>
    <w:p>
      <w:pPr>
        <w:spacing w:after="0" w:line="58"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working capital requirements will depend on our ability to generate cash in the future. This is subject to our operational performance, as well as general economic, financial, competitive, legislative, regulatory and other factors that are beyond our control.</w:t>
      </w:r>
    </w:p>
    <w:p>
      <w:pPr>
        <w:spacing w:after="0" w:line="18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cannot provide assurance that our business will generate sufficient cash flow from operations or asset sales or that future borrowings will be available to us under our credit facility in an amount sufficient to enable us to pay our indebtedness or to fund our other liquidity needs. We may need to refinance all or a portion of our indebtedness on or before maturity. We cannot provide assurance that we will be able to refinance any of our indebtedness on commercially reasonable terms or at all. Our inability to refinance our debt on commercially reasonable terms could have a material adverse effect on our business.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We have restrictions and covenants under our credit facility and the failure to meet these covenants, including liquidity, EBITDA and other financial requirements, could result in a default and acceleration of our indebtedness.</w:t>
      </w:r>
    </w:p>
    <w:p>
      <w:pPr>
        <w:spacing w:after="0" w:line="58" w:lineRule="exact"/>
        <w:rPr>
          <w:sz w:val="20"/>
          <w:szCs w:val="20"/>
          <w:color w:val="auto"/>
        </w:rPr>
      </w:pPr>
    </w:p>
    <w:p>
      <w:pPr>
        <w:jc w:val="both"/>
        <w:ind w:left="200" w:right="140"/>
        <w:spacing w:after="0" w:line="279" w:lineRule="auto"/>
        <w:rPr>
          <w:sz w:val="20"/>
          <w:szCs w:val="20"/>
          <w:color w:val="auto"/>
        </w:rPr>
      </w:pPr>
      <w:r>
        <w:rPr>
          <w:rFonts w:ascii="Arial" w:cs="Arial" w:eastAsia="Arial" w:hAnsi="Arial"/>
          <w:sz w:val="17"/>
          <w:szCs w:val="17"/>
          <w:color w:val="auto"/>
        </w:rPr>
        <w:t>We may not be able to remain in compliance with the covenants in our credit facility, including financial covenants which, among other things, require minimum levels of liquidity and EBITDA as defined under our credit facility. A failure to fulfill the terms and requirements of our credit facility may result in a default under our credit agreement and acceleration of our indebtedness, as well as a default under one or more of our material agreements, any of which could have a material adverse effect on our ability to conduct our operations and our financial condition.</w:t>
      </w:r>
    </w:p>
    <w:p>
      <w:pPr>
        <w:spacing w:after="0" w:line="276" w:lineRule="exact"/>
        <w:rPr>
          <w:sz w:val="20"/>
          <w:szCs w:val="20"/>
          <w:color w:val="auto"/>
        </w:rPr>
      </w:pPr>
    </w:p>
    <w:p>
      <w:pPr>
        <w:ind w:left="200" w:right="740"/>
        <w:spacing w:after="0" w:line="282" w:lineRule="auto"/>
        <w:rPr>
          <w:sz w:val="20"/>
          <w:szCs w:val="20"/>
          <w:color w:val="auto"/>
        </w:rPr>
      </w:pPr>
      <w:r>
        <w:rPr>
          <w:rFonts w:ascii="Arial" w:cs="Arial" w:eastAsia="Arial" w:hAnsi="Arial"/>
          <w:sz w:val="18"/>
          <w:szCs w:val="18"/>
          <w:b w:val="1"/>
          <w:bCs w:val="1"/>
          <w:color w:val="auto"/>
        </w:rPr>
        <w:t>We may issue additional shares of common stock or convertible securities that will dilute the percentage ownership interest of existing stockholders and may dilute the book value per share of our common stock.</w:t>
      </w:r>
    </w:p>
    <w:p>
      <w:pPr>
        <w:spacing w:after="0" w:line="58"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Our authorized capital includes 100,000,000 shares of common stock and 10,000,000 shares of preferred stock. As of September 30, 2017, we had 22,049,529 shares of common stock issued, 21,336,975 shares of common stock outstanding and no shares of preferred stock issued or outstanding. We have reserved for issuance 45,750 shares of common stock underlying options that are exercisable at a weighted average price of $6.42 per share. In addition, as of September 30, 2017, we had the ability to issue 1,060,191 shares of common stock pursuant to options and restricted stock that may be granted in the future under our existing equity compensation plans.</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Although we currently do not have any intention of issuing additional common stock (other than pursuant to our equity compensation plans), we may do so in the future in order to meet our capital needs. Subject to applicable NASDAQ Listing Rules, our Board of Directors generally has the authority, without action by or vote of the stockholders, to issue all or part of any authorized but unissued shares of common stock for any corporate purpose. We may seek additional equity capital in the future as we develop our business and expand our operations. Any issuance of additional shares of common stock or convertible securities will dilute the percentage ownership interest of our stockholders and may dilute the book value per share of our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Substantial sales of our common stock could adversely affect our stock price.</w:t>
      </w:r>
    </w:p>
    <w:p>
      <w:pPr>
        <w:spacing w:after="0" w:line="121"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Sales of a substantial number of shares of our common stock by holders of our common stock,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highly competitive nature of our industries could affect our profitability by reducing our profit margins.</w:t>
      </w:r>
    </w:p>
    <w:p>
      <w:pPr>
        <w:spacing w:after="0" w:line="12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With respect to electrical contracting services, the industries in which we compete are highly fragmented and are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for mission critical infrastructure, have attractive dynamics. Some of our competitors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The markets in which Infrastructure Solutions does business are highly competitive, and we do not expect the level of competition that we face to decrease in the future. An increase in competitive pressures in these markets or our failure to compete effectively (including efficiently managing future capital expenditures and refurbishment, repair and upgrade costs) may result in pricing reductions, reduced gross margins, and loss of market share. Many of our competitors have longer operating histories, greater name recognition, more customers, and significantly greater financial, marketing, technical, and other competitive resources than we have. These competitors may be able to adapt more quickly to new technologies and changes in customer needs or devote greater resources to the development, promotion, and sale of their services. While we believe Infrastructure Solutions’ overall product and service offerings distinguish it from its competitors, these competitors could develop new products or services that could directly compete with Infrastructure Solutions’ services.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failure to secure new contracts may adversely affect our cash flows and financial results.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Much of our revenue is derived from projects that are awarded through a competitive bid process. Contract bidding and negotiations are affected by a number of factors, including our own cost structure and bidding policies. In addition, our ability to secure new contracts depends on our ability to maintain all required electrical, construction and business licenses. If we fail to successfully transfer, renew or obtain such licenses where applicable, we may be unable to compete for new business.</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We may be unsuccessful at integrating other companies that we may acquire, or new types of work, products or processes into our segments.</w:t>
      </w:r>
    </w:p>
    <w:p>
      <w:pPr>
        <w:spacing w:after="0" w:line="144" w:lineRule="exact"/>
        <w:rPr>
          <w:sz w:val="20"/>
          <w:szCs w:val="20"/>
          <w:color w:val="auto"/>
        </w:rPr>
      </w:pPr>
    </w:p>
    <w:p>
      <w:pPr>
        <w:jc w:val="both"/>
        <w:ind w:left="200" w:right="60"/>
        <w:spacing w:after="0" w:line="288" w:lineRule="auto"/>
        <w:rPr>
          <w:sz w:val="20"/>
          <w:szCs w:val="20"/>
          <w:color w:val="auto"/>
        </w:rPr>
      </w:pPr>
      <w:r>
        <w:rPr>
          <w:rFonts w:ascii="Arial" w:cs="Arial" w:eastAsia="Arial" w:hAnsi="Arial"/>
          <w:sz w:val="16"/>
          <w:szCs w:val="16"/>
          <w:color w:val="auto"/>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the market value of our common stock.</w:t>
      </w:r>
    </w:p>
    <w:p>
      <w:pPr>
        <w:ind w:left="200"/>
        <w:spacing w:after="0" w:line="302" w:lineRule="auto"/>
        <w:rPr>
          <w:sz w:val="20"/>
          <w:szCs w:val="20"/>
          <w:color w:val="auto"/>
        </w:rPr>
      </w:pPr>
      <w:r>
        <w:rPr>
          <w:rFonts w:ascii="Arial" w:cs="Arial" w:eastAsia="Arial" w:hAnsi="Arial"/>
          <w:sz w:val="16"/>
          <w:szCs w:val="16"/>
          <w:color w:val="auto"/>
        </w:rPr>
        <w:t>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difficulties of integrating a business, assets or operations potentially will include, among other things:</w:t>
      </w:r>
    </w:p>
    <w:p>
      <w:pPr>
        <w:spacing w:after="0" w:line="131"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geographically separated organizations and possible differences in corporate cultures and management philosophies;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demands on management resources, which may distract management’s attention from day-to-day business;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the disclosure systems, compliance requirements, accounting systems, and accounting controls and procedures of the acquired company, which may interfere with our ability to make timely and accurate public disclosure;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demands of managing new locations, new personnel and new lines of business acquired.</w:t>
      </w:r>
    </w:p>
    <w:p>
      <w:pPr>
        <w:spacing w:after="0" w:line="225"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Challenges with disposing of businesses include fulfilling indemnification and contractual obligations to the purchases of such a business and appropriately valuing such a disposition.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Demand for our services is cyclical and vulnerable to economic downturns affecting the industries we serve.</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Demand for our services has been, and will likely continue to be, cyclical in nature and vulnerable to downturns in the general economy and in the construction industry. Many of our customers depend on the availability of credit to purchase our services or electrical and mechanical products. Prolonged uncertainties in, or the return of, constrained credit market conditions could have adverse effects on our customers, which would adversely affect our financial condition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Backlog may not be realized or may not result in profits.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291"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Our use of percentage-of-completion accounting could result in a reduction or elimination of previously reported profits; we may be adversely impacted by new accounting, control and operating procedures.</w:t>
      </w:r>
    </w:p>
    <w:p>
      <w:pPr>
        <w:spacing w:after="0" w:line="58"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 significant portion of our revenues are recognized using the percentage-of-completion method of accounting, utilizing the cost-to-cost method, which results in our recognizing contract revenues and earnings ratably over the contract term in proportion to our incurrence of contract costs.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incur significant charges or be adversely impacted by the closure or sale of facilities or assets.</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or other unexpected liabilities from closed facilities beyond the closing date, which could adversely impact our financial returns.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availability and cost of surety bonds affect our ability to enter into new contracts and our margins on those engagements.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we may be unable to compete for, or work on, certain projects.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Due to seasonality and differing regional economic conditions, our results may fluctuate from period to period.</w:t>
      </w:r>
    </w:p>
    <w:p>
      <w:pPr>
        <w:spacing w:after="0" w:line="121"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Our business is subject to seasonal variations in operations and demand that affect the construction business, particularly in the Residential and Commercial &amp; Industrial segments, as well as seasonal variations in the industries in which Infrastructure Solutions participates. Untimely weather delay from rain, heat, ice, cold or snow can not only delay our work but can negatively impact our schedules and profitability by delaying the work of other trades on a construction site. Our quarterly results may also be affected by regional economic conditions that affect the construction market. In particular, a prolonged period of weak demand in the oil and gas industry could dampen the housing market in certain regions, resulting in reduced demand for the services provided by our Residential segment. Infrastructure Solutions’ revenues from industrial services may be affected by the timing of scheduled outages at its industrial customers’ facilities by weather conditions with respect to projects conducted outdoors and by changes in spending in public infrastructure, power and steel markets. Industrial and rail customers may also be affected by continuing low oil prices. Accordingly, our performance in any particular quarter may not be indicative of the results that can be expected for any other quarter or for the entire year.</w:t>
      </w:r>
    </w:p>
    <w:p>
      <w:pPr>
        <w:spacing w:after="0" w:line="271"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The estimates we use in placing bids could be materially incorrect. The use of incorrect estimates could result in reduced profits or in some cases losses on fixed price contracts.</w:t>
      </w:r>
    </w:p>
    <w:p>
      <w:pPr>
        <w:spacing w:after="0" w:line="58"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277"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Commodity and labor costs may fluctuate materially, and we may not be able to pass on all cost increases during the term of a contract, which could have an adverse effect on our ability to maintain our profitability.</w:t>
      </w:r>
    </w:p>
    <w:p>
      <w:pPr>
        <w:spacing w:after="0" w:line="58"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We enter into many contracts at fixed prices, and if the costs associated with labor and commodities, such as copper, aluminum, steel, fuel and certain plastics, increase due to low supply or other forces, losses may be incurred. Some of our materials have been and may continue to be subject to sudden and significant price increases. Depending on competitive pressures and customer resistance, we may not be able to pass on these cost increases to our customers, which would reduce our gross profit margins and, in turn, make it more difficult for us to maintain our profitability. We have a work force of over 3,500 employees, and our labor costs may fluctuate based on supply as well as other labor related risks, including risks related to collective bargaining agreements, benefits arrangements, wage and hour claims and other compensation arrangements.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operating factors that are beyond our control could hurt our operating results.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operating results may fluctuate significantly in the future as a result of a variety of factors, many of which are beyond management’s control. These factors include the costs of new technology; the relative speed and success with which we can acquire customers for our products and services; capital expenditures for equipment; sales, marketing, and promotional activities expenses; changes in suppliers and competitors; changes in operating expenses; increased competition in the markets we serve; changes in regulations; and other general economic and seasonal factors. Adverse changes in one or more of these factors could hurt our operating results.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experience difficulties in managing our billings and collections.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Our billings under fixed price contracts in our electrical contracting business are generally based upon achieving certain milestones and will be accepted by the customer once we demonstrate those milestones have been met. If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we are unable to demonstrate compliance with billing requests, or if we fail to issue a project billing, our likelihood of collection could be delayed or impaired, which, if experienced across several large projects, could have a materially adverse effect on our results of operations. Further, some of our customers may be highly leveraged or may be subject to their own operating and regulatory risks, which may also limit their ability to pay.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reported operating results could be adversely affected as a result of goodwill impairment charges.</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GAAP accounting requires that goodwill attributable to each of our reporting units be tested at least annually, or when changes in circumstance indicate the carrying value of our reporting units may not be recoverable. Factors that could lead to impairment of goodwill include significant adverse changes in the business climate, declines in the financial condition of our business, and actual or projected operating results affecting our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vendors who make up our supply chain may be adversely affected by a deteriorating operating environment and credit market conditions.</w:t>
      </w:r>
    </w:p>
    <w:p>
      <w:pPr>
        <w:spacing w:after="0" w:line="144"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We are dependent upon the vendors within our supply chain to maintain a steady supply of inventory, parts and materials. Many of our segments are dependent upon a limited number of suppliers, and significant supply disruptions could adversely affect our operations. If market conditions deteriorate, resulting in a slowdown in construction activity or a tightening of the credit market, it is possible that one or more of our suppliers will be unable to meet our requirements due to financial hardships, liquidity issues or other reasons related to market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operations are subject to numerous physical hazards. If an accident occurs, it could result in an adverse effect on our business.</w:t>
      </w:r>
    </w:p>
    <w:p>
      <w:pPr>
        <w:spacing w:after="0" w:line="133"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Hazards related to our industry include, but are not limited to, electrocutions, fires,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current insurance coverage may not be adequate, and we may not be able to obtain insurance at acceptable rates, or at all.</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w:t>
      </w:r>
    </w:p>
    <w:p>
      <w:pPr>
        <w:spacing w:after="0" w:line="285" w:lineRule="exact"/>
        <w:rPr>
          <w:sz w:val="20"/>
          <w:szCs w:val="20"/>
          <w:color w:val="auto"/>
        </w:rPr>
      </w:pPr>
    </w:p>
    <w:p>
      <w:pPr>
        <w:jc w:val="both"/>
        <w:ind w:left="200" w:right="100"/>
        <w:spacing w:after="0" w:line="266" w:lineRule="auto"/>
        <w:rPr>
          <w:sz w:val="20"/>
          <w:szCs w:val="20"/>
          <w:color w:val="auto"/>
        </w:rPr>
      </w:pPr>
      <w:r>
        <w:rPr>
          <w:rFonts w:ascii="Arial" w:cs="Arial" w:eastAsia="Arial" w:hAnsi="Arial"/>
          <w:sz w:val="18"/>
          <w:szCs w:val="18"/>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72"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spacing w:after="0" w:line="282"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We have adopted tax positions that a taxing authority may view differently. If a taxing authority differs with our tax positions, our results may be adversely affected.</w:t>
      </w:r>
    </w:p>
    <w:p>
      <w:pPr>
        <w:spacing w:after="0" w:line="5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Our effective tax rate and cash paid for taxes are impacted by the tax positions that we have adopted. Taxing authorities may not always agree with the positions we have taken. We have established reserves for tax positions that we have determined to be less likely than not to be sustained by taxing authorities. However, there can be no assurance that our results of operations will not be adversely affected in the event that disagreement over our tax positions does arise.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and claims can cause unexpected losses.</w:t>
      </w:r>
    </w:p>
    <w:p>
      <w:pPr>
        <w:spacing w:after="0" w:line="121" w:lineRule="exact"/>
        <w:rPr>
          <w:sz w:val="20"/>
          <w:szCs w:val="20"/>
          <w:color w:val="auto"/>
        </w:rPr>
      </w:pPr>
    </w:p>
    <w:p>
      <w:pPr>
        <w:jc w:val="both"/>
        <w:ind w:left="200" w:right="140"/>
        <w:spacing w:after="0" w:line="272" w:lineRule="auto"/>
        <w:rPr>
          <w:sz w:val="20"/>
          <w:szCs w:val="20"/>
          <w:color w:val="auto"/>
        </w:rPr>
      </w:pPr>
      <w:r>
        <w:rPr>
          <w:rFonts w:ascii="Arial" w:cs="Arial" w:eastAsia="Arial" w:hAnsi="Arial"/>
          <w:sz w:val="17"/>
          <w:szCs w:val="17"/>
          <w:color w:val="auto"/>
        </w:rPr>
        <w:t>In all of our businesses, we are subject to potential claims and litigation. In the construction and electrical and mechanical maintenance business, there are frequently claims and litigation. There are also inherent claims and litigation risks associated with the number of people that work on construction sites and the fleet of vehicles on the road every day. In our Infrastructure Solutions businesses, we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Latent defect claims could expand.</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Latent defect litigation is normal for residential home builders in some parts of the country; however, such litigation is increasing in certain states where we perform work. Also, in recent years, latent defect litigation has expanded to aspects of the commercial market. Should we experience similar increases in our latent defect claims and litigation, additional pressure may be placed on the profitability of the Residential and Commercial &amp; Industrial segments of our business.</w:t>
      </w:r>
    </w:p>
    <w:p>
      <w:pPr>
        <w:spacing w:after="0" w:line="291"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Interruptions in the proper functioning of our information systems, or security breaches of our information systems or confidential data could disrupt operations and cause increases in costs and/or decreases in revenues.</w:t>
      </w:r>
    </w:p>
    <w:p>
      <w:pPr>
        <w:spacing w:after="0" w:line="5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As our Company continues to increase its dependence on information technology systems, networks, and infrastructure to conduct its day to day operations, the proper functioning and security of our information technology environment is critical to the successful operation of our business. Although our information systems, networks and infrastructure are protected through physical and software safeguards, our information technology environment is still vulnerable to natural disasters, power losses, telecommunication failures, cybersecurity risks, and other problems, which could cause a loss of data, release of personally identifiable information or release of confidential customer information among other items. If critical information systems fail or are otherwise unavailable or confidential information is released, our business operations could be adversely affected.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be required to conduct environmental remediation activities, which could be expensive and inhibit the growth of our business and our ability to maintain profitability, particularly in our Infrastructure Solutions business.</w:t>
      </w:r>
    </w:p>
    <w:p>
      <w:pPr>
        <w:spacing w:after="0" w:line="5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believe that our business is operating in compliance in all material respects with applicable environmental laws, many of which provide for substantial penalties for violations. There can be no assurance that future changes in such laws, interpretations of existing regulations or the discovery of currently unknown problems or conditions will not require substantial additional expenditures. In addition, if we do not comply with these laws and regulations, we could be subject to material administrative, civil or criminal penalties, or other liabilities. We may also be required to incur substantial costs to comply with current or future environmental and safety laws and regulations. Any such additional expenditures or costs that we may incur could hurt our operating results.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loss of a group or several key personnel, either at the corporate or operating level, could adversely affect our business.</w:t>
      </w:r>
    </w:p>
    <w:p>
      <w:pPr>
        <w:spacing w:after="0" w:line="121"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We cannot guarantee that any member of management at the corporate or subsidiary level will continue in their capacity for any particular period of time. We have a severance plan in place that covers certain of our senior leaders; however, this plan can neither guarantee that we will not lose key employees, nor prevent them from competing against us, which is often dependent on state and local employment laws.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At September 30, 2017, we maintained branch offices, warehouses, sales facilities and administrative offices at 84 locations. Substantially all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Arial" w:cs="Arial" w:eastAsia="Arial" w:hAnsi="Arial"/>
          <w:sz w:val="17"/>
          <w:szCs w:val="17"/>
          <w:i w:val="1"/>
          <w:iCs w:val="1"/>
          <w:color w:val="auto"/>
        </w:rPr>
        <w:t>Business — Operating Segments</w:t>
      </w:r>
      <w:r>
        <w:rPr>
          <w:rFonts w:ascii="Arial" w:cs="Arial" w:eastAsia="Arial" w:hAnsi="Arial"/>
          <w:sz w:val="17"/>
          <w:szCs w:val="17"/>
          <w:color w:val="auto"/>
        </w:rPr>
        <w:t>” of this Annual Report on Form 10-K.</w:t>
      </w:r>
    </w:p>
    <w:p>
      <w:pPr>
        <w:spacing w:after="0" w:line="31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 xml:space="preserve">For further information regarding legal proceedings, see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w:t>
      </w:r>
      <w:r>
        <w:rPr>
          <w:rFonts w:ascii="Arial" w:cs="Arial" w:eastAsia="Arial" w:hAnsi="Arial"/>
          <w:sz w:val="18"/>
          <w:szCs w:val="18"/>
          <w:i w:val="1"/>
          <w:iCs w:val="1"/>
          <w:color w:val="auto"/>
        </w:rPr>
        <w:t>Legal Matters</w:t>
      </w:r>
      <w:r>
        <w:rPr>
          <w:rFonts w:ascii="Arial" w:cs="Arial" w:eastAsia="Arial" w:hAnsi="Arial"/>
          <w:sz w:val="18"/>
          <w:szCs w:val="18"/>
          <w:color w:val="auto"/>
        </w:rPr>
        <w:t>” in the notes to our Consolidated Financial Statements.</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Our common stock trades on the NASDAQ Global Market under the ticker symbol “IESC.” The following table sets forth the daily high and low close price for our common stock as reported on NASDAQ for each of the four quarters of the fiscal years ended September 30, 2017, and 2016.</w:t>
      </w:r>
    </w:p>
    <w:p>
      <w:pPr>
        <w:spacing w:after="0" w:line="169"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Low</w:t>
            </w: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September 30, 2017</w:t>
            </w:r>
          </w:p>
        </w:tc>
        <w:tc>
          <w:tcPr>
            <w:tcW w:w="2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First Quarter</w:t>
            </w:r>
          </w:p>
        </w:tc>
        <w:tc>
          <w:tcPr>
            <w:tcW w:w="2720" w:type="dxa"/>
            <w:vAlign w:val="bottom"/>
            <w:gridSpan w:val="2"/>
          </w:tcPr>
          <w:p>
            <w:pPr>
              <w:jc w:val="center"/>
              <w:ind w:left="2130"/>
              <w:spacing w:after="0"/>
              <w:rPr>
                <w:sz w:val="20"/>
                <w:szCs w:val="20"/>
                <w:color w:val="auto"/>
              </w:rPr>
            </w:pPr>
            <w:r>
              <w:rPr>
                <w:rFonts w:ascii="Arial" w:cs="Arial" w:eastAsia="Arial" w:hAnsi="Arial"/>
                <w:sz w:val="18"/>
                <w:szCs w:val="18"/>
                <w:color w:val="auto"/>
                <w:w w:val="90"/>
              </w:rPr>
              <w:t>$22.55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72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90"/>
              </w:rPr>
              <w:t>$21.15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Third Quarter</w:t>
            </w:r>
          </w:p>
        </w:tc>
        <w:tc>
          <w:tcPr>
            <w:tcW w:w="2720" w:type="dxa"/>
            <w:vAlign w:val="bottom"/>
            <w:gridSpan w:val="2"/>
          </w:tcPr>
          <w:p>
            <w:pPr>
              <w:jc w:val="center"/>
              <w:ind w:left="2130"/>
              <w:spacing w:after="0"/>
              <w:rPr>
                <w:sz w:val="20"/>
                <w:szCs w:val="20"/>
                <w:color w:val="auto"/>
              </w:rPr>
            </w:pPr>
            <w:r>
              <w:rPr>
                <w:rFonts w:ascii="Arial" w:cs="Arial" w:eastAsia="Arial" w:hAnsi="Arial"/>
                <w:sz w:val="18"/>
                <w:szCs w:val="18"/>
                <w:color w:val="auto"/>
                <w:w w:val="90"/>
              </w:rPr>
              <w:t>$20.20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72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90"/>
              </w:rPr>
              <w:t>$18.80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14.80</w:t>
            </w:r>
          </w:p>
        </w:tc>
        <w:tc>
          <w:tcPr>
            <w:tcW w:w="40" w:type="dxa"/>
            <w:vAlign w:val="bottom"/>
            <w:shd w:val="clear" w:color="auto" w:fill="CCEEFF"/>
          </w:tcPr>
          <w:p>
            <w:pPr>
              <w:spacing w:after="0"/>
              <w:rPr>
                <w:sz w:val="18"/>
                <w:szCs w:val="18"/>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Year Ended September 30, 2016</w:t>
            </w: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2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90"/>
              </w:rPr>
              <w:t>$11.37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Second Quarter</w:t>
            </w:r>
          </w:p>
        </w:tc>
        <w:tc>
          <w:tcPr>
            <w:tcW w:w="2720" w:type="dxa"/>
            <w:vAlign w:val="bottom"/>
            <w:gridSpan w:val="2"/>
          </w:tcPr>
          <w:p>
            <w:pPr>
              <w:jc w:val="center"/>
              <w:ind w:left="2130"/>
              <w:spacing w:after="0"/>
              <w:rPr>
                <w:sz w:val="20"/>
                <w:szCs w:val="20"/>
                <w:color w:val="auto"/>
              </w:rPr>
            </w:pPr>
            <w:r>
              <w:rPr>
                <w:rFonts w:ascii="Arial" w:cs="Arial" w:eastAsia="Arial" w:hAnsi="Arial"/>
                <w:sz w:val="18"/>
                <w:szCs w:val="18"/>
                <w:color w:val="auto"/>
                <w:w w:val="90"/>
              </w:rPr>
              <w:t>$14.68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2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90"/>
              </w:rPr>
              <w:t>$15.48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Fourth Quarter</w:t>
            </w:r>
          </w:p>
        </w:tc>
        <w:tc>
          <w:tcPr>
            <w:tcW w:w="2720" w:type="dxa"/>
            <w:vAlign w:val="bottom"/>
            <w:gridSpan w:val="2"/>
          </w:tcPr>
          <w:p>
            <w:pPr>
              <w:jc w:val="center"/>
              <w:ind w:left="2130"/>
              <w:spacing w:after="0"/>
              <w:rPr>
                <w:sz w:val="20"/>
                <w:szCs w:val="20"/>
                <w:color w:val="auto"/>
              </w:rPr>
            </w:pPr>
            <w:r>
              <w:rPr>
                <w:rFonts w:ascii="Arial" w:cs="Arial" w:eastAsia="Arial" w:hAnsi="Arial"/>
                <w:sz w:val="18"/>
                <w:szCs w:val="18"/>
                <w:color w:val="auto"/>
                <w:w w:val="90"/>
              </w:rPr>
              <w:t>$17.79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12.39</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6, 2017, the closing market price of our common stock was $18.20 per share and there were approximately 360 holders of record.</w:t>
      </w:r>
    </w:p>
    <w:p>
      <w:pPr>
        <w:spacing w:after="0" w:line="237"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in the foreseeable future. We expect that we will utilize all available earnings generated by our operations and borrowings under our credit facility for the development and operation of our business, to retire existing debt, to repurchase our common stock, or to acquire or invest in other businesses. Any future determination as to the payment of dividends will be made at the discretion of our Board of Directors and will depend upon our operating results, financial condition, capital requirements, general business conditions and other factors that the Board of Directors deems relevant. Our debt instruments restrict us from paying cash dividends and also place limitations on our ability to repurchase our common stock. See Item 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 Working Capital” </w:t>
      </w:r>
      <w:r>
        <w:rPr>
          <w:rFonts w:ascii="Arial" w:cs="Arial" w:eastAsia="Arial" w:hAnsi="Arial"/>
          <w:sz w:val="17"/>
          <w:szCs w:val="17"/>
          <w:color w:val="auto"/>
        </w:rPr>
        <w:t>and Item 7. “</w:t>
      </w:r>
      <w:r>
        <w:rPr>
          <w:rFonts w:ascii="Arial" w:cs="Arial" w:eastAsia="Arial" w:hAnsi="Arial"/>
          <w:sz w:val="17"/>
          <w:szCs w:val="17"/>
          <w:i w:val="1"/>
          <w:iCs w:val="1"/>
          <w:color w:val="auto"/>
        </w:rPr>
        <w:t>Management’s Discussion and Analysis of Financial Condition and Results of Operations — Liquidity and Capital Resources</w:t>
      </w:r>
      <w:r>
        <w:rPr>
          <w:rFonts w:ascii="Arial" w:cs="Arial" w:eastAsia="Arial" w:hAnsi="Arial"/>
          <w:sz w:val="17"/>
          <w:szCs w:val="17"/>
          <w:color w:val="auto"/>
        </w:rPr>
        <w:t>” of this Annual Report on Form 10-K.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stock repurchase program does not require the Company to purchase any specific number of shares and may be modified, suspended or reinstated at any time at the Company’s discretion and without notice. The Company initiated the program in February 2015 and during the year ended September 30, 2016, pursuant to the program, we repurchased 46,929 shares of common stock at an average price of $11.07 per share for a total aggregate purchase price of $0.5 million. During the year ended September 30, 2017, we repurchased 145,484 shares of common stock at an average price of $15.37 per share for a total aggregate purchase price of $2.2 million.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2017:</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6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80" w:type="dxa"/>
            <w:vAlign w:val="bottom"/>
            <w:gridSpan w:val="2"/>
          </w:tcPr>
          <w:p>
            <w:pPr>
              <w:jc w:val="center"/>
              <w:ind w:left="854"/>
              <w:spacing w:after="0" w:line="149" w:lineRule="exact"/>
              <w:rPr>
                <w:sz w:val="20"/>
                <w:szCs w:val="20"/>
                <w:color w:val="auto"/>
              </w:rPr>
            </w:pPr>
            <w:r>
              <w:rPr>
                <w:rFonts w:ascii="Arial" w:cs="Arial" w:eastAsia="Arial" w:hAnsi="Arial"/>
                <w:sz w:val="14"/>
                <w:szCs w:val="14"/>
                <w:color w:val="auto"/>
                <w:w w:val="94"/>
              </w:rPr>
              <w:t>Total Number</w:t>
            </w:r>
          </w:p>
        </w:tc>
        <w:tc>
          <w:tcPr>
            <w:tcW w:w="6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Average</w:t>
            </w:r>
          </w:p>
        </w:tc>
        <w:tc>
          <w:tcPr>
            <w:tcW w:w="1860" w:type="dxa"/>
            <w:vAlign w:val="bottom"/>
            <w:gridSpan w:val="2"/>
          </w:tcPr>
          <w:p>
            <w:pPr>
              <w:jc w:val="center"/>
              <w:ind w:left="574"/>
              <w:spacing w:after="0" w:line="149" w:lineRule="exact"/>
              <w:rPr>
                <w:sz w:val="20"/>
                <w:szCs w:val="20"/>
                <w:color w:val="auto"/>
              </w:rPr>
            </w:pPr>
            <w:r>
              <w:rPr>
                <w:rFonts w:ascii="Arial" w:cs="Arial" w:eastAsia="Arial" w:hAnsi="Arial"/>
                <w:sz w:val="14"/>
                <w:szCs w:val="14"/>
                <w:color w:val="auto"/>
                <w:w w:val="86"/>
              </w:rPr>
              <w:t>Shares Purchased as</w:t>
            </w:r>
          </w:p>
        </w:tc>
        <w:tc>
          <w:tcPr>
            <w:tcW w:w="2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Be Purchased Under the</w:t>
            </w: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spacing w:after="0"/>
              <w:rPr>
                <w:sz w:val="20"/>
                <w:szCs w:val="20"/>
                <w:color w:val="auto"/>
              </w:rPr>
            </w:pPr>
            <w:r>
              <w:rPr>
                <w:rFonts w:ascii="Arial" w:cs="Arial" w:eastAsia="Arial" w:hAnsi="Arial"/>
                <w:sz w:val="14"/>
                <w:szCs w:val="14"/>
                <w:color w:val="auto"/>
              </w:rPr>
              <w:t>Date</w:t>
            </w:r>
          </w:p>
        </w:tc>
        <w:tc>
          <w:tcPr>
            <w:tcW w:w="9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12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Part of a Publicly</w:t>
            </w:r>
          </w:p>
        </w:tc>
        <w:tc>
          <w:tcPr>
            <w:tcW w:w="6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Publicly Announced</w:t>
            </w:r>
          </w:p>
        </w:tc>
        <w:tc>
          <w:tcPr>
            <w:tcW w:w="0" w:type="dxa"/>
            <w:vAlign w:val="bottom"/>
          </w:tcPr>
          <w:p>
            <w:pPr>
              <w:spacing w:after="0"/>
              <w:rPr>
                <w:sz w:val="1"/>
                <w:szCs w:val="1"/>
                <w:color w:val="auto"/>
              </w:rPr>
            </w:pPr>
          </w:p>
        </w:tc>
      </w:tr>
      <w:tr>
        <w:trPr>
          <w:trHeight w:val="167"/>
        </w:trPr>
        <w:tc>
          <w:tcPr>
            <w:tcW w:w="402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Purchased (1)</w:t>
            </w: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8"/>
              </w:rPr>
              <w:t>Per Share</w:t>
            </w:r>
          </w:p>
        </w:tc>
        <w:tc>
          <w:tcPr>
            <w:tcW w:w="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Announced Plan (2)</w:t>
            </w:r>
          </w:p>
        </w:tc>
        <w:tc>
          <w:tcPr>
            <w:tcW w:w="6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Plan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July</w:t>
            </w:r>
          </w:p>
        </w:tc>
        <w:tc>
          <w:tcPr>
            <w:tcW w:w="37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 2017 — July 31, 2017</w:t>
            </w:r>
          </w:p>
        </w:tc>
        <w:tc>
          <w:tcPr>
            <w:tcW w:w="9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August 1, 2017 — August 31, 2017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93,800</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93,800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825,442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2017 — September 30, 2017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96,612</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93,811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825,431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740" w:hanging="436"/>
        <w:spacing w:after="0" w:line="29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total number of shares purchased includes (i) shares purchased pursuant to the plan described in footnote (2) below, and (ii) shares surrendered to the Company to satisfy tax withholding obligations in connection with the vesting of restricted stock issued to employees.</w:t>
      </w:r>
    </w:p>
    <w:p>
      <w:pPr>
        <w:ind w:left="640" w:right="220" w:hanging="436"/>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had authorized a stock repurchase program for the purchase of up to 1.5 million shares of the Company’s common stock from time to time.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Five-Year Stock Performance Graph</w:t>
      </w:r>
    </w:p>
    <w:p>
      <w:pPr>
        <w:spacing w:after="0" w:line="121" w:lineRule="exact"/>
        <w:rPr>
          <w:sz w:val="20"/>
          <w:szCs w:val="20"/>
          <w:color w:val="auto"/>
        </w:rPr>
      </w:pPr>
    </w:p>
    <w:p>
      <w:pPr>
        <w:ind w:left="200" w:right="300"/>
        <w:spacing w:after="0" w:line="257" w:lineRule="auto"/>
        <w:rPr>
          <w:sz w:val="20"/>
          <w:szCs w:val="20"/>
          <w:color w:val="auto"/>
        </w:rPr>
      </w:pPr>
      <w:r>
        <w:rPr>
          <w:rFonts w:ascii="Arial" w:cs="Arial" w:eastAsia="Arial" w:hAnsi="Arial"/>
          <w:sz w:val="18"/>
          <w:szCs w:val="18"/>
          <w:color w:val="auto"/>
        </w:rPr>
        <w:t>The graph below compares the cumulative 5 year total return provided shareholders on IES Holdings, Inc.’s common stock relative to the cumulative total returns of the Russell 2000 index and a customized peer group of five companies that includes: Black Box Corporation, Comfort Systems USA Inc., MYR Group Inc., Sterling Construction Company Inc. and Team Inc. An investment of $100 (with reinvestment of all dividends) is assumed to have been made in our common stock, in each index, and in the peer group on September 30, 2012, and its relative performance is tracked through September 30, 2017.</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IES Holdings, Inc., the Russell 2000 Index,</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160020</wp:posOffset>
            </wp:positionV>
            <wp:extent cx="3662045" cy="2418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6204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$100 invested on 9/30/12 in stock or index, including reinvestment of dividends. Fiscal year ending September 30.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Copyright</w:t>
      </w:r>
      <w:r>
        <w:rPr>
          <w:rFonts w:ascii="Arial" w:cs="Arial" w:eastAsia="Arial" w:hAnsi="Arial"/>
          <w:sz w:val="15"/>
          <w:szCs w:val="15"/>
          <w:color w:val="auto"/>
        </w:rPr>
        <w:t>©</w:t>
      </w:r>
      <w:r>
        <w:rPr>
          <w:rFonts w:ascii="Arial" w:cs="Arial" w:eastAsia="Arial" w:hAnsi="Arial"/>
          <w:sz w:val="18"/>
          <w:szCs w:val="18"/>
          <w:color w:val="auto"/>
        </w:rPr>
        <w:t xml:space="preserve"> 2017 Russell Investment Group. All rights reserved.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1"/>
              </w:rPr>
              <w:t>Years ended September 30,</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color w:val="auto"/>
              </w:rPr>
              <w:t>2013</w:t>
            </w:r>
          </w:p>
        </w:tc>
        <w:tc>
          <w:tcPr>
            <w:tcW w:w="740" w:type="dxa"/>
            <w:vAlign w:val="bottom"/>
            <w:gridSpan w:val="2"/>
          </w:tcPr>
          <w:p>
            <w:pPr>
              <w:jc w:val="right"/>
              <w:ind w:right="50"/>
              <w:spacing w:after="0" w:line="142"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IES Holdings, Inc.</w:t>
            </w:r>
          </w:p>
        </w:tc>
        <w:tc>
          <w:tcPr>
            <w:tcW w:w="3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$ 100.00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Russell 2000</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135.17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136.85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40" w:type="dxa"/>
            <w:vAlign w:val="bottom"/>
          </w:tcPr>
          <w:p>
            <w:pPr>
              <w:jc w:val="right"/>
              <w:ind w:right="93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following selected consolidated historical financial information for IES should be read in conjunction with the audited historical Consolidated Financial Statements of IES Holdings, Inc. and subsidiaries, and the notes thereto,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 on Form 10-K.</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0"/>
              </w:rPr>
              <w:t>Years Ended September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center"/>
              <w:ind w:right="360"/>
              <w:spacing w:after="0" w:line="142" w:lineRule="exact"/>
              <w:rPr>
                <w:sz w:val="20"/>
                <w:szCs w:val="20"/>
                <w:color w:val="auto"/>
              </w:rPr>
            </w:pPr>
            <w:r>
              <w:rPr>
                <w:rFonts w:ascii="Arial" w:cs="Arial" w:eastAsia="Arial" w:hAnsi="Arial"/>
                <w:sz w:val="14"/>
                <w:szCs w:val="14"/>
                <w:color w:val="auto"/>
                <w:w w:val="93"/>
              </w:rPr>
              <w:t>(In Thousands, Except Share Information)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810,744</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695,993</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573,857</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512,395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494,593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670,246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140,498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99,891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Selling, general and administrative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sale of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w w:val="96"/>
              </w:rPr>
              <w:t>Income (loss) from operations before income taxes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16,877</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discontinued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Net income (loss) attributable to IES Holdings, Inc.</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Basic earnings (loss) per share attributable to IES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Holdings, Inc.:</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0.79</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Diluted earnings (loss) per share attributable to IES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Holdings, Inc.:</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0.79</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calculate earnings (loss) per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21,280,549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21,279,342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21,480,622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18,417,564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15,460,424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21,533,254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21,492,339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21,526,188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18,473,420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15,460,424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color w:val="auto"/>
                <w:w w:val="89"/>
              </w:rPr>
              <w:t>Years Ended September 30,</w:t>
            </w: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2017</w:t>
            </w:r>
          </w:p>
        </w:tc>
        <w:tc>
          <w:tcPr>
            <w:tcW w:w="104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2016</w:t>
            </w: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93"/>
              </w:rPr>
              <w:t>(In Thousands, Except Share Information)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88"/>
              <w:spacing w:after="0"/>
              <w:rPr>
                <w:sz w:val="20"/>
                <w:szCs w:val="20"/>
                <w:color w:val="auto"/>
              </w:rPr>
            </w:pPr>
            <w:r>
              <w:rPr>
                <w:rFonts w:ascii="Arial" w:cs="Arial" w:eastAsia="Arial" w:hAnsi="Arial"/>
                <w:sz w:val="18"/>
                <w:szCs w:val="18"/>
                <w:color w:val="auto"/>
              </w:rPr>
              <w:t>$ 28,290</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$ 32,961</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$ 49,360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47,342</w:t>
            </w:r>
          </w:p>
        </w:tc>
        <w:tc>
          <w:tcPr>
            <w:tcW w:w="880" w:type="dxa"/>
            <w:vAlign w:val="bottom"/>
          </w:tcPr>
          <w:p>
            <w:pPr>
              <w:jc w:val="right"/>
              <w:spacing w:after="0"/>
              <w:rPr>
                <w:sz w:val="20"/>
                <w:szCs w:val="20"/>
                <w:color w:val="auto"/>
              </w:rPr>
            </w:pPr>
            <w:r>
              <w:rPr>
                <w:rFonts w:ascii="Arial" w:cs="Arial" w:eastAsia="Arial" w:hAnsi="Arial"/>
                <w:sz w:val="18"/>
                <w:szCs w:val="18"/>
                <w:color w:val="auto"/>
              </w:rPr>
              <w:t>$ 20,757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31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52,834</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43,716</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31,601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24,731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140" w:type="dxa"/>
            <w:vAlign w:val="bottom"/>
            <w:gridSpan w:val="2"/>
          </w:tcPr>
          <w:p>
            <w:pPr>
              <w:jc w:val="right"/>
              <w:ind w:right="88"/>
              <w:spacing w:after="0"/>
              <w:rPr>
                <w:sz w:val="20"/>
                <w:szCs w:val="20"/>
                <w:color w:val="auto"/>
              </w:rPr>
            </w:pPr>
            <w:r>
              <w:rPr>
                <w:rFonts w:ascii="Arial" w:cs="Arial" w:eastAsia="Arial" w:hAnsi="Arial"/>
                <w:sz w:val="18"/>
                <w:szCs w:val="18"/>
                <w:color w:val="auto"/>
              </w:rPr>
              <w:t>424,494</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394,340</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225,679</w:t>
            </w:r>
          </w:p>
        </w:tc>
        <w:tc>
          <w:tcPr>
            <w:tcW w:w="2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w w:val="89"/>
              </w:rPr>
              <w:t>199,950</w:t>
            </w:r>
          </w:p>
        </w:tc>
        <w:tc>
          <w:tcPr>
            <w:tcW w:w="880" w:type="dxa"/>
            <w:vAlign w:val="bottom"/>
          </w:tcPr>
          <w:p>
            <w:pPr>
              <w:jc w:val="right"/>
              <w:spacing w:after="0"/>
              <w:rPr>
                <w:sz w:val="20"/>
                <w:szCs w:val="20"/>
                <w:color w:val="auto"/>
              </w:rPr>
            </w:pPr>
            <w:r>
              <w:rPr>
                <w:rFonts w:ascii="Arial" w:cs="Arial" w:eastAsia="Arial" w:hAnsi="Arial"/>
                <w:sz w:val="18"/>
                <w:szCs w:val="18"/>
                <w:color w:val="auto"/>
              </w:rPr>
              <w:t>177,803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31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29,434</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29,257</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9,207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9,050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3140" w:type="dxa"/>
            <w:vAlign w:val="bottom"/>
            <w:gridSpan w:val="2"/>
          </w:tcPr>
          <w:p>
            <w:pPr>
              <w:jc w:val="right"/>
              <w:ind w:right="88"/>
              <w:spacing w:after="0"/>
              <w:rPr>
                <w:sz w:val="20"/>
                <w:szCs w:val="20"/>
                <w:color w:val="auto"/>
              </w:rPr>
            </w:pPr>
            <w:r>
              <w:rPr>
                <w:rFonts w:ascii="Arial" w:cs="Arial" w:eastAsia="Arial" w:hAnsi="Arial"/>
                <w:sz w:val="18"/>
                <w:szCs w:val="18"/>
                <w:color w:val="auto"/>
              </w:rPr>
              <w:t>236,704</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223,405</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101,414</w:t>
            </w:r>
          </w:p>
        </w:tc>
        <w:tc>
          <w:tcPr>
            <w:tcW w:w="28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87,972</w:t>
            </w:r>
          </w:p>
        </w:tc>
        <w:tc>
          <w:tcPr>
            <w:tcW w:w="880" w:type="dxa"/>
            <w:vAlign w:val="bottom"/>
          </w:tcPr>
          <w:p>
            <w:pPr>
              <w:jc w:val="right"/>
              <w:spacing w:after="0"/>
              <w:rPr>
                <w:sz w:val="20"/>
                <w:szCs w:val="20"/>
                <w:color w:val="auto"/>
              </w:rPr>
            </w:pPr>
            <w:r>
              <w:rPr>
                <w:rFonts w:ascii="Arial" w:cs="Arial" w:eastAsia="Arial" w:hAnsi="Arial"/>
                <w:sz w:val="18"/>
                <w:szCs w:val="18"/>
                <w:color w:val="auto"/>
              </w:rPr>
              <w:t>62,486</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notes thereto,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 on Form 10-K. For additional information, see </w:t>
      </w:r>
      <w:r>
        <w:rPr>
          <w:rFonts w:ascii="Arial" w:cs="Arial" w:eastAsia="Arial" w:hAnsi="Arial"/>
          <w:sz w:val="18"/>
          <w:szCs w:val="18"/>
          <w:i w:val="1"/>
          <w:iCs w:val="1"/>
          <w:color w:val="auto"/>
        </w:rPr>
        <w:t>“Disclosure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Forward Looking Statements” </w:t>
      </w:r>
      <w:r>
        <w:rPr>
          <w:rFonts w:ascii="Arial" w:cs="Arial" w:eastAsia="Arial" w:hAnsi="Arial"/>
          <w:sz w:val="18"/>
          <w:szCs w:val="18"/>
          <w:color w:val="auto"/>
        </w:rPr>
        <w:t>in Part I of this Annual Report on Form 10-K.</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 xml:space="preserve">Please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 on Form 10-K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Trends</w:t>
      </w:r>
    </w:p>
    <w:p>
      <w:pPr>
        <w:spacing w:after="0" w:line="117" w:lineRule="exact"/>
        <w:rPr>
          <w:sz w:val="20"/>
          <w:szCs w:val="20"/>
          <w:color w:val="auto"/>
        </w:rPr>
      </w:pPr>
    </w:p>
    <w:p>
      <w:pPr>
        <w:ind w:left="200" w:right="40"/>
        <w:spacing w:after="0" w:line="284" w:lineRule="auto"/>
        <w:rPr>
          <w:sz w:val="20"/>
          <w:szCs w:val="20"/>
          <w:color w:val="auto"/>
        </w:rPr>
      </w:pPr>
      <w:r>
        <w:rPr>
          <w:rFonts w:ascii="Arial" w:cs="Arial" w:eastAsia="Arial" w:hAnsi="Arial"/>
          <w:sz w:val="16"/>
          <w:szCs w:val="16"/>
          <w:color w:val="auto"/>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the degree to which in-house maintenance departments outsource maintenance and repair work, output levels and equipment utilization at heavy industrial facilities, demand for our rail and infrastructure services,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w:t>
      </w:r>
    </w:p>
    <w:p>
      <w:pPr>
        <w:spacing w:after="0" w:line="5" w:lineRule="exact"/>
        <w:rPr>
          <w:sz w:val="20"/>
          <w:szCs w:val="20"/>
          <w:color w:val="auto"/>
        </w:rPr>
      </w:pPr>
    </w:p>
    <w:p>
      <w:pPr>
        <w:ind w:left="200" w:firstLine="4"/>
        <w:spacing w:after="0" w:line="252" w:lineRule="auto"/>
        <w:tabs>
          <w:tab w:leader="none" w:pos="4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aging public infrastructure, which must be replaced or repaired, (iii) increased emphasis on environmental and energy efficiency, which may lead to both increased public and private spending, and (iv) the low price of natural gas which is expected to spur the construction of and modifications to heavy industrial facilities. However, there can be no assurance that we will not experience a decrease in demand for our services due to economic, technological or other factors, including the continued weakness in the oil and gas sector, which may reduce the demand for housing in the Texas region, where our Residential division operates. For a further discussion of the industries in which we operate, please see Item 1. “</w:t>
      </w:r>
      <w:r>
        <w:rPr>
          <w:rFonts w:ascii="Arial" w:cs="Arial" w:eastAsia="Arial" w:hAnsi="Arial"/>
          <w:sz w:val="18"/>
          <w:szCs w:val="18"/>
          <w:i w:val="1"/>
          <w:iCs w:val="1"/>
          <w:color w:val="auto"/>
        </w:rPr>
        <w:t>Business—Operating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w:t>
      </w:r>
      <w:r>
        <w:rPr>
          <w:rFonts w:ascii="Arial" w:cs="Arial" w:eastAsia="Arial" w:hAnsi="Arial"/>
          <w:sz w:val="18"/>
          <w:szCs w:val="18"/>
          <w:color w:val="auto"/>
        </w:rPr>
        <w:t>” of this Annual Report on Form 10-K.</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Outlook</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2017 as compared to fiscal 2016. Among our segments, year-over-year revenue growth rates during fiscal 2017 were driven by organic growth in our Residential and Communications segments, as well as strategic acquisitions within our Infrastructure Solutions and Commercial &amp; Industrial segments.</w:t>
      </w:r>
    </w:p>
    <w:p>
      <w:pPr>
        <w:spacing w:after="0" w:line="18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Provided that no significant deterioration in general economic conditions occurs, the Company expects total revenues from existing businesses to increase on a year-over-year basis during fiscal 2018 due to an increase in overall demand for the services we provide and our efforts to increase our market share. However, we do expect revenue growth in both the Residential and Communications segments to moderate during fiscal 2018. In the Residential segment, we expect to see a decrease in demand for multi-family housing, largely offset by continued growth in our single-family business. In our Communications business, we expect continued growth in demand for our structured cabling services in the data center markets. However, revenue growth for the Communications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segment as a whole will be tempered by the timing of our customers’ investment cycles, which may result in periods of lower growth. Despite this expectation of growth within certain segments, we remain focused on controlled growth within certain markets which continue to experience highly competitive margins and increasing costs.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To continue to grow our business, including through acquisitions, and to fund working capital, we may require a significant amount of cash. Our ability to generate cash depends on many factors that are beyond our control,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twelve months. We expect that our fixed asset requirements will range from $4.5 million to $6.5 million for the fiscal year ending on September 30, 2018, and we may acquire these assets either through capital expenditures or through lease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Recent Events</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During fiscal 2017, we completed a detailed review of the operations of our Commercial &amp; Industrial segment, and in July 2017, we made the decision to wind down operations at our Denver, Colorado and Roanoke, Virginia branches of our Commercial &amp; Industrial segment. These branches have consistently underperformed over the last several years and have ranked at the bottom of our group of branches based on key operational and financial metrics. While these branches did experience revenue growth for fiscal 2017 as compared with fiscal 2016, these two branches did not perform efficiently on the larger projects undertaken in 2017. In particular, these two branches were responsible for four projects that underperformed during fiscal 2017. Revenue in backlog at these two branches at September 30, 2017 was $10.6 million, reflecting our decision not to book additional work at these branches. Backlog related to the four underperforming jobs discussed above was $0.3 million at September 30, 2017, as these jobs are approaching completion. Based on their historical performance, as well as outlook for the future, we determined these two branches no longer meet the criteria to remain in our portfolio of businesses. We do not expect to incur significant costs related to the termination of leases, employee severance or other arrangements related to the wind-down of these two branches.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selected historical financial results of the Denver and Roanoke wind-down branches: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14"/>
                <w:szCs w:val="14"/>
                <w:color w:val="auto"/>
              </w:rPr>
            </w:pPr>
          </w:p>
        </w:tc>
        <w:tc>
          <w:tcPr>
            <w:tcW w:w="1480" w:type="dxa"/>
            <w:vAlign w:val="bottom"/>
            <w:gridSpan w:val="3"/>
          </w:tcPr>
          <w:p>
            <w:pPr>
              <w:jc w:val="center"/>
              <w:ind w:right="490"/>
              <w:spacing w:after="0"/>
              <w:rPr>
                <w:sz w:val="20"/>
                <w:szCs w:val="20"/>
                <w:color w:val="auto"/>
              </w:rPr>
            </w:pPr>
            <w:r>
              <w:rPr>
                <w:rFonts w:ascii="Arial" w:cs="Arial" w:eastAsia="Arial" w:hAnsi="Arial"/>
                <w:sz w:val="14"/>
                <w:szCs w:val="14"/>
                <w:color w:val="auto"/>
                <w:w w:val="94"/>
              </w:rPr>
              <w:t>Three Months</w:t>
            </w:r>
          </w:p>
        </w:tc>
        <w:tc>
          <w:tcPr>
            <w:tcW w:w="1420" w:type="dxa"/>
            <w:vAlign w:val="bottom"/>
            <w:gridSpan w:val="4"/>
          </w:tcPr>
          <w:p>
            <w:pPr>
              <w:jc w:val="center"/>
              <w:ind w:right="6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Three Months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670"/>
              <w:spacing w:after="0" w:line="149" w:lineRule="exact"/>
              <w:rPr>
                <w:sz w:val="20"/>
                <w:szCs w:val="20"/>
                <w:color w:val="auto"/>
              </w:rPr>
            </w:pPr>
            <w:r>
              <w:rPr>
                <w:rFonts w:ascii="Arial" w:cs="Arial" w:eastAsia="Arial" w:hAnsi="Arial"/>
                <w:sz w:val="14"/>
                <w:szCs w:val="14"/>
                <w:color w:val="auto"/>
                <w:w w:val="93"/>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December 31, 2016</w:t>
            </w:r>
          </w:p>
        </w:tc>
        <w:tc>
          <w:tcPr>
            <w:tcW w:w="1740" w:type="dxa"/>
            <w:vAlign w:val="bottom"/>
            <w:gridSpan w:val="4"/>
          </w:tcPr>
          <w:p>
            <w:pPr>
              <w:jc w:val="center"/>
              <w:ind w:right="230"/>
              <w:spacing w:after="0"/>
              <w:rPr>
                <w:sz w:val="20"/>
                <w:szCs w:val="20"/>
                <w:color w:val="auto"/>
              </w:rPr>
            </w:pPr>
            <w:r>
              <w:rPr>
                <w:rFonts w:ascii="Arial" w:cs="Arial" w:eastAsia="Arial" w:hAnsi="Arial"/>
                <w:sz w:val="14"/>
                <w:szCs w:val="14"/>
                <w:color w:val="auto"/>
                <w:w w:val="92"/>
              </w:rPr>
              <w:t>March 31, 2017</w:t>
            </w:r>
          </w:p>
        </w:tc>
        <w:tc>
          <w:tcPr>
            <w:tcW w:w="28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color w:val="auto"/>
                <w:w w:val="90"/>
              </w:rPr>
              <w:t>June 30, 2017</w:t>
            </w:r>
          </w:p>
        </w:tc>
        <w:tc>
          <w:tcPr>
            <w:tcW w:w="174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September 30, 2017</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w w:val="99"/>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11,936</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Gain on sale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w w:val="86"/>
              </w:rPr>
              <w:t>Operating loss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w:t>
            </w: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(3,348)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24"/>
                <w:szCs w:val="24"/>
                <w:color w:val="auto"/>
              </w:rPr>
            </w:pPr>
          </w:p>
        </w:tc>
        <w:tc>
          <w:tcPr>
            <w:tcW w:w="1480" w:type="dxa"/>
            <w:vAlign w:val="bottom"/>
            <w:gridSpan w:val="3"/>
          </w:tcPr>
          <w:p>
            <w:pPr>
              <w:jc w:val="center"/>
              <w:ind w:right="490"/>
              <w:spacing w:after="0"/>
              <w:rPr>
                <w:sz w:val="20"/>
                <w:szCs w:val="20"/>
                <w:color w:val="auto"/>
              </w:rPr>
            </w:pPr>
            <w:r>
              <w:rPr>
                <w:rFonts w:ascii="Arial" w:cs="Arial" w:eastAsia="Arial" w:hAnsi="Arial"/>
                <w:sz w:val="14"/>
                <w:szCs w:val="14"/>
                <w:color w:val="auto"/>
                <w:w w:val="94"/>
              </w:rPr>
              <w:t>Three Months</w:t>
            </w:r>
          </w:p>
        </w:tc>
        <w:tc>
          <w:tcPr>
            <w:tcW w:w="1420" w:type="dxa"/>
            <w:vAlign w:val="bottom"/>
            <w:gridSpan w:val="4"/>
          </w:tcPr>
          <w:p>
            <w:pPr>
              <w:jc w:val="center"/>
              <w:ind w:right="6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Three Months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670"/>
              <w:spacing w:after="0" w:line="149" w:lineRule="exact"/>
              <w:rPr>
                <w:sz w:val="20"/>
                <w:szCs w:val="20"/>
                <w:color w:val="auto"/>
              </w:rPr>
            </w:pPr>
            <w:r>
              <w:rPr>
                <w:rFonts w:ascii="Arial" w:cs="Arial" w:eastAsia="Arial" w:hAnsi="Arial"/>
                <w:sz w:val="14"/>
                <w:szCs w:val="14"/>
                <w:color w:val="auto"/>
                <w:w w:val="93"/>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December 31, 2015</w:t>
            </w:r>
          </w:p>
        </w:tc>
        <w:tc>
          <w:tcPr>
            <w:tcW w:w="1740" w:type="dxa"/>
            <w:vAlign w:val="bottom"/>
            <w:gridSpan w:val="4"/>
          </w:tcPr>
          <w:p>
            <w:pPr>
              <w:jc w:val="center"/>
              <w:ind w:right="230"/>
              <w:spacing w:after="0"/>
              <w:rPr>
                <w:sz w:val="20"/>
                <w:szCs w:val="20"/>
                <w:color w:val="auto"/>
              </w:rPr>
            </w:pPr>
            <w:r>
              <w:rPr>
                <w:rFonts w:ascii="Arial" w:cs="Arial" w:eastAsia="Arial" w:hAnsi="Arial"/>
                <w:sz w:val="14"/>
                <w:szCs w:val="14"/>
                <w:color w:val="auto"/>
                <w:w w:val="92"/>
              </w:rPr>
              <w:t>March 31, 2016</w:t>
            </w:r>
          </w:p>
        </w:tc>
        <w:tc>
          <w:tcPr>
            <w:tcW w:w="28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color w:val="auto"/>
                <w:w w:val="90"/>
              </w:rPr>
              <w:t>June 30, 2016</w:t>
            </w:r>
          </w:p>
        </w:tc>
        <w:tc>
          <w:tcPr>
            <w:tcW w:w="174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September 30, 2016</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w w:val="99"/>
              </w:rPr>
              <w:t>September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jc w:val="right"/>
              <w:ind w:right="2030"/>
              <w:spacing w:after="0"/>
              <w:rPr>
                <w:sz w:val="20"/>
                <w:szCs w:val="20"/>
                <w:color w:val="auto"/>
              </w:rPr>
            </w:pPr>
            <w:r>
              <w:rPr>
                <w:rFonts w:ascii="Arial" w:cs="Arial" w:eastAsia="Arial" w:hAnsi="Arial"/>
                <w:sz w:val="18"/>
                <w:szCs w:val="18"/>
                <w:color w:val="auto"/>
                <w:w w:val="87"/>
              </w:rPr>
              <w:t>Operating loss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$0.5 million charge upon settlement of a dispute related to a project completed in a prior year.</w:t>
      </w:r>
    </w:p>
    <w:p>
      <w:pPr>
        <w:spacing w:after="0" w:line="22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Although we are winding down operations at these branches, the Commercial &amp; Industrial segment remains an important part of our strategic growth plan, as demonstrated by the addition of two new acquisitions in this segment during fiscal 2017. These include the acquisition in July 2017 of an 80% interest in NEXT Electric, LLC (“NEXT Electric”), a Milwaukee, Wisconsin-based electrical contractor specializing in the design, installation and maintenance of electrical systems for commercial, industrial, healthcare, water treatment and education end-markets, and the acquisition in June 2017 of Technical Services II, LLC (“Technical Services”), a Chesapeake, Virginia-based provider of mechanical maintenance services, including commercial heating, ventilation and air conditioning, food service equipment, electrical and plumbing services. See Note 18, “Business Combinations and Divestitures” in the notes to our Consolidated Financial Statements set forth in Part I, Item 8 of this Annual Report on Form 10-K for further discussion.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as well as the results of acquired businesses from the dates acquired.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w w:val="95"/>
              </w:rPr>
              <w:t>Years Ended September 30,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gridSpan w:val="10"/>
          </w:tcPr>
          <w:p>
            <w:pPr>
              <w:jc w:val="right"/>
              <w:ind w:right="800"/>
              <w:spacing w:after="0" w:line="142" w:lineRule="exact"/>
              <w:rPr>
                <w:sz w:val="20"/>
                <w:szCs w:val="20"/>
                <w:color w:val="auto"/>
              </w:rPr>
            </w:pPr>
            <w:r>
              <w:rPr>
                <w:rFonts w:ascii="Arial" w:cs="Arial" w:eastAsia="Arial" w:hAnsi="Arial"/>
                <w:sz w:val="14"/>
                <w:szCs w:val="14"/>
                <w:color w:val="auto"/>
                <w:w w:val="99"/>
              </w:rPr>
              <w:t>(Dollars in thousands, Percentage of revenues)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$810,744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$695,993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$573,857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670,246</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569,013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473,966</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99,891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120,370</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100,558</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81,416</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 expense</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Loss (gain) on sale of assets</w:t>
            </w:r>
          </w:p>
        </w:tc>
        <w:tc>
          <w:tcPr>
            <w:tcW w:w="8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expense, net</w:t>
            </w:r>
          </w:p>
        </w:tc>
        <w:tc>
          <w:tcPr>
            <w:tcW w:w="8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1,537</w:t>
            </w:r>
          </w:p>
        </w:tc>
        <w:tc>
          <w:tcPr>
            <w:tcW w:w="2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income taxes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5,211</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(97,117)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Net loss from discontinued operations</w:t>
            </w: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8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$ 13,422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120,878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$ 16,538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spacing w:after="0" w:line="259" w:lineRule="auto"/>
        <w:rPr>
          <w:sz w:val="20"/>
          <w:szCs w:val="20"/>
          <w:color w:val="auto"/>
        </w:rPr>
      </w:pPr>
      <w:r>
        <w:rPr>
          <w:rFonts w:ascii="Arial" w:cs="Arial" w:eastAsia="Arial" w:hAnsi="Arial"/>
          <w:sz w:val="18"/>
          <w:szCs w:val="18"/>
          <w:color w:val="auto"/>
        </w:rPr>
        <w:t>The decrease in net income for the year ended September 30, 2017, compared with the year ended September 30, 2016, is the result of a significant income tax benefit realized in 2016 upon release of valuation allowances on deferred tax assets. The decrease in operating income is driven, in large part, by certain project execution difficulties at our Commercial &amp; Industrial segment’s Denver and Roanoke branches, which are in the process of winding down operations, as discussed above.</w:t>
      </w:r>
    </w:p>
    <w:p>
      <w:pPr>
        <w:spacing w:after="0" w:line="187"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Consolidated revenues for the year ended September 30, 2017, were $114.8 million greater than for the year ended September 30, 2016, an increase of 16.5%. Revenues increased as the Communications, Infrastructure Solutions, and Residential segments each recognized double digit revenue growth driven by an increase in demand for their service offerings combined with continued improvement of conditions in the markets in which they operate. Additionally, businesses acquired during 2017, as well as the full year impact of businesses acquired in 2016, drove $47.6 million of the increase in revenue in our Commercial &amp; Industrial and Infrastructure Solutions segments for the year ended September 30, 2017.</w:t>
      </w:r>
    </w:p>
    <w:p>
      <w:pPr>
        <w:spacing w:after="0" w:line="158"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Our overall gross profit percentage decreased to 17.3% during the year ended September 30, 2017 as compared to 18.2% during the year ended September 30, 2016. Gross profit as a percentage of revenue decreased at all of our segments, as discussed in further detail for each segment below.</w:t>
      </w:r>
    </w:p>
    <w:p>
      <w:pPr>
        <w:spacing w:after="0" w:line="124"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24"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During the year ended September 30, 2017, our selling, general and administrative expenses were $120.4 million, an increase of $19.8 million, or 19.7%, as compared to the year ended September 30, 2016. The increase is primarily attributable to higher personnel costs in connection with the growth and increased profitability at our Residential and Communications segments, branch level general and administrative costs at newly acquired companies, and our increased amortization of intangible assets. Businesses acquired in 2017, as well as the full year impact of businesses acquired in 2016, drove $8.1 million of the increase in general and administrative expense for the year ended September 30, 2017. On a consolidated basis, our selling, general and administrative expense increased slightly as a percentage of revenue from 14.4% for the year ended September 30, 2016, to 14.8% for the year ended September 30, 2017, largely as a result of increased personnel costs and intangible amortization expense.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w w:val="92"/>
              </w:rPr>
              <w:t>Years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80" w:type="dxa"/>
            <w:vAlign w:val="bottom"/>
            <w:gridSpan w:val="8"/>
          </w:tcPr>
          <w:p>
            <w:pPr>
              <w:jc w:val="right"/>
              <w:ind w:right="12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services</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208,619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197,679</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17,169</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(1,151)</w:t>
            </w:r>
          </w:p>
        </w:tc>
        <w:tc>
          <w:tcPr>
            <w:tcW w:w="3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7,635</w:t>
            </w:r>
          </w:p>
        </w:tc>
        <w:tc>
          <w:tcPr>
            <w:tcW w:w="4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increased $5.1 million during the year ended September 30, 2017, an increase of 2.3% compared to the year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increase in revenue was driven largely by the Technical Services and NEXT Electric acquisitions, which contributed $7.6 million of revenue for the year ended September 30, 2017. Revenues also increased at our Denver and Roanoke branches, as discussed above. However, these increases were partly offset by a decrease in work on large, industrial projects in the Southeast market. The market for this segment’s services remains highly competitive, and, as such, we continue to seek to maintain a disciplined bid strategy.</w:t>
      </w:r>
    </w:p>
    <w:p>
      <w:pPr>
        <w:spacing w:after="0" w:line="17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during the year ended September 30, 2017 decreased by $5.8 million, or 23.4%, as compared to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decrease was due primarily to the four underperforming jobs at our Denver and Roanoke branches, which drove a $6.4 million reduction in gross profit from those two branches. This decrease was partially offset by $1.3 million of additional gross margin contributed by the Technical Services and NEXT Electric acquisitions. The market remains competitive, and we expect continued pressure on our ability to increase project bid margins in most of the markets we serve. Gross profit margins for the year ended September 30, 2017 were reduced compared with the prior year, primarily as a result of our two underperforming branches.</w:t>
      </w:r>
    </w:p>
    <w:p>
      <w:pPr>
        <w:spacing w:after="0" w:line="193"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during the year ended September 30, 2017,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$3.0 million, or 17.5%, compared to the year ended September 30, 2016. The increase is primarily attributable to an additional $1.7 million of expense from our 2016 acquisition of STR Mechanical, which incurred higher personnel costs related to commission expenses paid during the year in support of growth. In addition, $0.7 million of expense was incurred at our newly acquired Technical Services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86" w:lineRule="auto"/>
        <w:rPr>
          <w:sz w:val="20"/>
          <w:szCs w:val="20"/>
          <w:color w:val="auto"/>
        </w:rPr>
      </w:pPr>
      <w:r>
        <w:rPr>
          <w:rFonts w:ascii="Arial" w:cs="Arial" w:eastAsia="Arial" w:hAnsi="Arial"/>
          <w:sz w:val="17"/>
          <w:szCs w:val="17"/>
          <w:color w:val="auto"/>
        </w:rPr>
        <w:t>and NEXT Electric businesses. Selling, general and administrative expense as a percentage of revenues in the Commercial &amp; Industrial segment increased by 1.1% during the year ended September 30, 2017, resulting from additional compensation, severance and related costs associated with organizational changes, as well as additional costs associated with the expansion of STR Mechanical.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Compared to 2015</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w w:val="92"/>
              </w:rPr>
              <w:t>Years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80" w:type="dxa"/>
            <w:vAlign w:val="bottom"/>
            <w:gridSpan w:val="8"/>
          </w:tcPr>
          <w:p>
            <w:pPr>
              <w:jc w:val="right"/>
              <w:ind w:right="12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$178,865</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Services</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197,679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157,322</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21,543</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17,169</w:t>
            </w: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15,027</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7,635</w:t>
            </w:r>
          </w:p>
        </w:tc>
        <w:tc>
          <w:tcPr>
            <w:tcW w:w="3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6,527</w:t>
            </w:r>
          </w:p>
        </w:tc>
        <w:tc>
          <w:tcPr>
            <w:tcW w:w="4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increased $43.6 million during the year ended September 30, 2016, an increase of 24.4% compared to the year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The increase in revenue was driven largely by the Shanahan Mechanical and Electrical, Inc. (“Shanahan”) and STR Mechanical acquisitions, which contributed $18.6 million of revenue for the year ended September 30, 2016. The market for this segment’s services remains highly competitive and, as such, we continue to seek to maintain a disciplined bid strategy. However, a continued focus on our sales strategy combined with improved market conditions in certain regions where we operate led to the year-over-year revenue increase.</w:t>
      </w:r>
    </w:p>
    <w:p>
      <w:pPr>
        <w:spacing w:after="0" w:line="173"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during the year ended September 30, 2016 increased by $3.2 million, or 15.1%, as compared to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The increase was due primarily to $3.1 million of additional gross margin contributed by the Shanahan and STR Mechanical acquisitions. The market remains competitive, and we expect continued pressure on our ability to increase project bid margins in most of the markets we serve. Gross profit margins for the year ended September 30, 2016, were reduced compared with the prior year, primarily as a result of an increase in insurance costs.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during the year ended September 30, 2016, increased by</w:t>
      </w:r>
    </w:p>
    <w:p>
      <w:pPr>
        <w:spacing w:after="0" w:line="46" w:lineRule="exact"/>
        <w:rPr>
          <w:sz w:val="20"/>
          <w:szCs w:val="20"/>
          <w:color w:val="auto"/>
        </w:rPr>
      </w:pPr>
    </w:p>
    <w:p>
      <w:pPr>
        <w:ind w:left="200"/>
        <w:spacing w:after="0" w:line="277" w:lineRule="auto"/>
        <w:rPr>
          <w:sz w:val="20"/>
          <w:szCs w:val="20"/>
          <w:color w:val="auto"/>
        </w:rPr>
      </w:pPr>
      <w:r>
        <w:rPr>
          <w:rFonts w:ascii="Arial" w:cs="Arial" w:eastAsia="Arial" w:hAnsi="Arial"/>
          <w:sz w:val="17"/>
          <w:szCs w:val="17"/>
          <w:color w:val="auto"/>
        </w:rPr>
        <w:t>$2.1 million, or 14.2%, compared to the year ended September 30, 2015. The increase is primarily attributable to $1.7 million of expense incurred at our newly acquired Shanahan and STR Mechanical businesses. Selling, general and administrative expense as a percentage of revenues in the Commercial &amp; Industrial segment decreased by 0.7% during the year ended September 30, 2016, as we benefited from increased activity.</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color w:val="auto"/>
                <w:w w:val="93"/>
              </w:rPr>
              <w:t>Years Ended September 30,</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3"/>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80" w:type="dxa"/>
            <w:vAlign w:val="bottom"/>
            <w:gridSpan w:val="9"/>
          </w:tcPr>
          <w:p>
            <w:pPr>
              <w:jc w:val="right"/>
              <w:ind w:right="51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$225,275</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$189,635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187,419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157,104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24,219</w:t>
            </w: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20,839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13,638</w:t>
            </w:r>
          </w:p>
        </w:tc>
        <w:tc>
          <w:tcPr>
            <w:tcW w:w="3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11,692</w:t>
            </w:r>
          </w:p>
        </w:tc>
        <w:tc>
          <w:tcPr>
            <w:tcW w:w="5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increased by $35.6 million during the year ended September 30, 2017, an 18.8% increase compared to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for all of the service offerings, such as data center, audio-visual and security, cabling, and Voice Over Internet Protocol (VoIP) work increased for the year ended September 30, 2017, compared with the year ended September 30, 2016, as we continue to add to our customer base, including entry into new markets.</w:t>
      </w:r>
    </w:p>
    <w:p>
      <w:pPr>
        <w:spacing w:after="0" w:line="187"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during the year ended September 30, 2017, increased $5.3 million, or 16.4%, as compared to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Gross profit as a percentage of revenue decreased from 17.2% for the year ended September 30, 2016 to 16.8% for the year ended September 30,</w:t>
      </w:r>
    </w:p>
    <w:p>
      <w:pPr>
        <w:ind w:left="200" w:right="80"/>
        <w:spacing w:after="0" w:line="254" w:lineRule="auto"/>
        <w:rPr>
          <w:sz w:val="20"/>
          <w:szCs w:val="20"/>
          <w:color w:val="auto"/>
        </w:rPr>
      </w:pPr>
      <w:r>
        <w:rPr>
          <w:rFonts w:ascii="Arial" w:cs="Arial" w:eastAsia="Arial" w:hAnsi="Arial"/>
          <w:sz w:val="18"/>
          <w:szCs w:val="18"/>
          <w:color w:val="auto"/>
        </w:rPr>
        <w:t>2017. The decline is driven, in part, by inefficiencies on certain projects during fiscal 2017. Additionally, margins have been affected by a continued increase in the volume of cost-plus work performed in fiscal 2017. This work is generally lower risk and is typically performed at lower margins than the fixed price arrangements which comprise the majority of the work we perform. Finally, our lower margins reflect the impact of hiring and training a number of new employees needed to support the rapid growth of the business.</w:t>
      </w:r>
    </w:p>
    <w:p>
      <w:pPr>
        <w:spacing w:after="0" w:line="19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$3.4 million, or 16.2%,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compared to the year ended September 30, 2016, as a result of higher personnel cost, including increased incentive compensation associated with increased profitability in fiscal 2017. Selling, general and administrative expenses as a percentage of revenues in the Communications segment decreased slightly to 10.8% of segment revenue during the year ended September 30, 2017, compared to the year ended September 30, 2016, as we benefited from increased activity.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Compared to 2015</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w w:val="93"/>
              </w:rPr>
              <w:t>Years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20" w:type="dxa"/>
            <w:vAlign w:val="bottom"/>
            <w:gridSpan w:val="8"/>
          </w:tcPr>
          <w:p>
            <w:pPr>
              <w:jc w:val="right"/>
              <w:ind w:right="14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$189,635</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$141,858</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157,104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116,015</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25,843</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20,839</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15,735</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11,692</w:t>
            </w:r>
          </w:p>
        </w:tc>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10,126</w:t>
            </w:r>
          </w:p>
        </w:tc>
        <w:tc>
          <w:tcPr>
            <w:tcW w:w="4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increased by $47.8 million during the year ended September 30, 2016, a 33.7% increase compared to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w:t>
      </w:r>
      <w:r>
        <w:rPr>
          <w:rFonts w:ascii="Arial" w:cs="Arial" w:eastAsia="Arial" w:hAnsi="Arial"/>
          <w:sz w:val="18"/>
          <w:szCs w:val="18"/>
          <w:i w:val="1"/>
          <w:iCs w:val="1"/>
          <w:color w:val="auto"/>
        </w:rPr>
        <w:t>.</w:t>
      </w:r>
      <w:r>
        <w:rPr>
          <w:rFonts w:ascii="Arial" w:cs="Arial" w:eastAsia="Arial" w:hAnsi="Arial"/>
          <w:sz w:val="18"/>
          <w:szCs w:val="18"/>
          <w:color w:val="auto"/>
        </w:rPr>
        <w:t xml:space="preserve"> The increase is the result of both the expansion of our customer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86" w:lineRule="auto"/>
        <w:rPr>
          <w:sz w:val="20"/>
          <w:szCs w:val="20"/>
          <w:color w:val="auto"/>
        </w:rPr>
      </w:pPr>
      <w:r>
        <w:rPr>
          <w:rFonts w:ascii="Arial" w:cs="Arial" w:eastAsia="Arial" w:hAnsi="Arial"/>
          <w:sz w:val="17"/>
          <w:szCs w:val="17"/>
          <w:color w:val="auto"/>
        </w:rPr>
        <w:t>base and additional work with existing customers. Revenues from data center work increased by $32.4 million for the year ended September 30, 2016, compared with the year ended September 30, 2015. The majority of other service offerings such as audio-visual and security, cabling, and Voice Over Internet Protocol (VoIP) work increased as we continue to add to our customer base, including entry into new markets.</w:t>
      </w:r>
    </w:p>
    <w:p>
      <w:pPr>
        <w:spacing w:after="0" w:line="166"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during the year ended September 30, 2016, increased $6.7 million, or 25.9%, as compared to the year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This increase was primarily driven by the overall increase in revenues noted above. Gross profit as a percentage of revenue decreased from 18.2% for the year ended September 30, 2015, to 17.2% for the year ended September 30, 2016. During 2016, we took on a larger number of projects where we were paid based on our cost incurred plus an agreed upon margin. This work is generally lower risk and is typically performed at lower margins than the fixed price arrangements which comprise the majority of the work we perform.</w:t>
      </w:r>
    </w:p>
    <w:p>
      <w:pPr>
        <w:spacing w:after="0" w:line="173"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$5.1 million, or 32.4%,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compared to the year ended September 30, 2015, as a result of higher personnel cost, including increased incentive compensation associated with higher profitability. Selling, general and administrative expenses as a percentage of revenues in the Communications segment decreased slightly to 11.0% of segment revenue during the year ended September 30, 2016, compared to the year ended September 30, 2015, as we benefited from increased activity.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0"/>
              </w:rPr>
              <w:t>Years Ended September 30,</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3"/>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20" w:type="dxa"/>
            <w:vAlign w:val="bottom"/>
            <w:gridSpan w:val="9"/>
          </w:tcPr>
          <w:p>
            <w:pPr>
              <w:jc w:val="right"/>
              <w:ind w:right="36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services</w:t>
            </w:r>
          </w:p>
        </w:tc>
        <w:tc>
          <w:tcPr>
            <w:tcW w:w="1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42,356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73.0%</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17,859</w:t>
            </w:r>
          </w:p>
        </w:tc>
        <w:tc>
          <w:tcPr>
            <w:tcW w:w="2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12,404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(Gain)/Loss on sale of assets</w:t>
            </w:r>
          </w:p>
        </w:tc>
        <w:tc>
          <w:tcPr>
            <w:tcW w:w="16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by $25.8 million during the year ended September 30, 2017, an increase of 44.5%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2016. The increase in revenue was driven primarily by a full year of operations at Technibus which provided additional revenue of $19.6 million during the year ended September 30, 2017, compared to the year ended September 30, 2016. Additionally, the 2017 acquisition of Freeman provided revenue of $10.9 million for the year ended September 30, 2017. For additional information see Note 18, “Business Combinations and Divestitures” in the notes to our Consolidated Financial Statements. These increases were partly offset by a decrease in activity at our motor repair business.</w:t>
      </w:r>
    </w:p>
    <w:p>
      <w:pPr>
        <w:spacing w:after="0" w:line="193"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year ended September 30, 2017, increased by $4.8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2016. The increase was driven primarily by Technibus, which provided additional gross profit of $4.1 million during the year ended September 30, 2017, compared to the year ended September 30, 2016. The acquisition of Freeman contributed $1.7 million of additional gross profit for the year ended September 30, 2017, compared with the year ended September 30, 2016. These increases were partly offset by a slight decrease in activity at our motor repair business. Gross profit as a percent of revenue decreased from 27.0% for the year ended September 30, 2016, to 24.4% for the year ended September 30, 2017, driven primarily by a change in the overall mix of work being performed.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increased by $5.5 million compared to the year ended September 30, 2016. The increase was driven primarily by a full year of activity at Technibus, which contributed $4.0 million of additional expense during the year ended September 30, 2017, compared to the year ended September 30, 2016. The acquisition of Freeman contributed $2.1 million of additional expense for the year ended September 30, 2017, compared with the year ended September 30, 2016. These increases were partly offset by a reduction of expense throughout the remainder of the Infrastructure Solutions organization. Selling, general and administrative expense as a percentage of revenue remained relatively flat year over year.</w:t>
      </w:r>
    </w:p>
    <w:p>
      <w:pPr>
        <w:spacing w:after="0" w:line="16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i w:val="1"/>
          <w:iCs w:val="1"/>
          <w:color w:val="auto"/>
        </w:rPr>
        <w:t>(Gain)/Loss on Sale of Asset</w:t>
      </w:r>
      <w:r>
        <w:rPr>
          <w:rFonts w:ascii="Arial" w:cs="Arial" w:eastAsia="Arial" w:hAnsi="Arial"/>
          <w:sz w:val="18"/>
          <w:szCs w:val="18"/>
          <w:color w:val="auto"/>
        </w:rPr>
        <w:t>. In 2016, we recognized a one-time charge of $0.8 million in conjunction with the write down to net realizable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assets related to our engine component business, which we sold in April 2016.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Compared to 2015</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0"/>
              </w:rPr>
              <w:t>Years Ended September 30,</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3"/>
              </w:rPr>
              <w:t>2015</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60" w:type="dxa"/>
            <w:vAlign w:val="bottom"/>
            <w:gridSpan w:val="9"/>
          </w:tcPr>
          <w:p>
            <w:pPr>
              <w:jc w:val="right"/>
              <w:ind w:right="38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$46,827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36,194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77.3%</w:t>
            </w: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12,404</w:t>
            </w:r>
          </w:p>
        </w:tc>
        <w:tc>
          <w:tcPr>
            <w:tcW w:w="3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9,498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sale of assets</w:t>
            </w: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by $11.2 million during the year ended September 30, 2016, an increase of 23.9%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2015. The increase in revenue was driven primarily by the Southern Industrial Sales and Services, Inc. (“Southern Rewinding”), Calumet and Technibus acquisitions, which provided additional revenue of $20.6 million for the year ended September 30, 2016. This increase was partially offset by a $6.7 million decrease in revenues from our engine component business, for which we sold substantially all of the operating assets in April 2016. For additional information see Note 18, “Business Combinations and Divestitures” in the notes to our Consolidated Financial Statements.</w:t>
      </w:r>
    </w:p>
    <w:p>
      <w:pPr>
        <w:spacing w:after="0" w:line="193"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Infrastructure Solutions segment’s gross profit during the year ended September 30, 2016, increased by $5.0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September 30, 2015. The increase was driven primarily by the acquisitions of Southern Rewinding, Technibus and Calumet, which contributed $6.9 million of additional gross profit for the year ended September 30, 2016 compared with the year ended September 30, 2015. This increase was partly offset by a $2.0 million reduction in gross profit from our engine component business, for which we sold substantially all of the operating assets in April 2016. Gross profit as a percent of revenue increased from 22.7% for the year ended September 30, 2015 to 27.0% for the year ended September 30, 2016, as a result of higher margins at Calumet and Technibus.</w:t>
      </w:r>
    </w:p>
    <w:p>
      <w:pPr>
        <w:spacing w:after="0" w:line="17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increased by $2.9 million compared to the year ended September 30, 2015. Selling, general and administrative expense as a percentage of revenue increased from 20.3% for the year ended September 30, 2015 to 21.4% for the year ended September 30, 2016. The increase was driven primarily by the acquisitions of Southern Rewinding, Technibus and Calumet, which contributed $3.6 million of additional expense for the year ended September 30, 2016, compared with the year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ended September 30, 2015. This increase was partly offset by a $0.5 million reduction in selling, general and administrative expense at our engine component business, for which we sold substantially all of the operating assets in April 2016.</w:t>
      </w:r>
    </w:p>
    <w:p>
      <w:pPr>
        <w:spacing w:after="0" w:line="170"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 Results of operations from Calumet have outperformed forecast measures used in our original valuation of 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agreement, which we calculated following the acquisition of Calumet. As at September 30, 2016, we expected to pay higher contingent consideration because of increased profitability, we recorded additional contingent consideration expense of $0.7 million during the year ended September 30, 2016.</w:t>
      </w:r>
    </w:p>
    <w:p>
      <w:pPr>
        <w:spacing w:after="0" w:line="187"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i w:val="1"/>
          <w:iCs w:val="1"/>
          <w:color w:val="auto"/>
        </w:rPr>
        <w:t>Loss on Sale of Asset</w:t>
      </w:r>
      <w:r>
        <w:rPr>
          <w:rFonts w:ascii="Arial" w:cs="Arial" w:eastAsia="Arial" w:hAnsi="Arial"/>
          <w:sz w:val="16"/>
          <w:szCs w:val="16"/>
          <w:color w:val="auto"/>
        </w:rPr>
        <w:t>. We recognized $0.8 million in conjunction with the write down to net realizable value of certain assets related to our engine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business. The sale of these assets to a third party pursuant to an asset purchase agreement was finalized on April 15, 2016.</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color w:val="auto"/>
                <w:w w:val="89"/>
              </w:rPr>
              <w:t>Years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80" w:type="dxa"/>
            <w:vAlign w:val="bottom"/>
            <w:gridSpan w:val="8"/>
          </w:tcPr>
          <w:p>
            <w:pPr>
              <w:jc w:val="center"/>
              <w:ind w:left="378"/>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$274,039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services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210,809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171,874</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43,689</w:t>
            </w:r>
          </w:p>
        </w:tc>
        <w:tc>
          <w:tcPr>
            <w:tcW w:w="3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37,585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19,498</w:t>
            </w:r>
          </w:p>
        </w:tc>
        <w:tc>
          <w:tcPr>
            <w:tcW w:w="3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16,429</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increased $48.2 million during the year ended September 30, 2017, an increase of 21.3%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The increase is driven by our multi-family business, where revenues increased by $33.3 million for the year ended September 30, 2017, compared with the year ended September 30, 2016. We entered the year with a historically high level of backlog, which resulted in increased revenues during fiscal 2017. Single-family construction revenues increased by $16.8 million, primarily driven by our Texas operations. Revenue from solar installations decreased by $2.2 million, and service revenues remained flat for the year ended September 30, 2017, as compared with the same period in 2016.</w:t>
      </w:r>
    </w:p>
    <w:p>
      <w:pPr>
        <w:spacing w:after="0" w:line="19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year ended September 30, 2017, our Residential segment experienced a $9.2 million, or 17.1%, increase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2016. Gross profit increased primarily due to a higher volume of work. Gross margin percentage decreased to 23.1% as multi-family projects, which generally have a lower gross margin than single-family projects, were a higher proportion of our total volume during the year ended September 30, 2017, compared with the year ended September 30, 2016.</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$6.1 million, or 16.2%, increase in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during the year ended September 30, 2017, compared to the year ended September 30, 2016, primarily related to higher personnel costs, including profit sharing incentives, in support of growth. Selling, general and administrative expenses as a percentage of revenues in the Residential segment decreased from 16.6% to 16.0% during the year ended September 30, 2017, as we benefited from the increased scale of our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Compared to 2015</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color w:val="auto"/>
                <w:w w:val="89"/>
              </w:rPr>
              <w:t>Years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80" w:type="dxa"/>
            <w:vAlign w:val="bottom"/>
            <w:gridSpan w:val="8"/>
          </w:tcPr>
          <w:p>
            <w:pPr>
              <w:jc w:val="center"/>
              <w:ind w:left="378"/>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$206,307</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services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171,874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164,435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37,585</w:t>
            </w:r>
          </w:p>
        </w:tc>
        <w:tc>
          <w:tcPr>
            <w:tcW w:w="3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31,877</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16,429</w:t>
            </w:r>
          </w:p>
        </w:tc>
        <w:tc>
          <w:tcPr>
            <w:tcW w:w="3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9,991</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increased $19.6 million during the year ended September 30, 2016, an increase of 9.5% as compared to the year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2015. Single-family construction revenues increased by $22.2 million, primarily from growth in North Carolina and Georgia, as well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Texas, where the economy experienced continued growth and population expansion. Cable and service activity, as well as revenue from solar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installations, also increased year over year. These increases were partly offset by lower revenue for multi-family construction, which decreased by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$8.6 million for the year ended September 30, 2016 as compared with the same period in 2015, primarily as a result of delays caused by shortages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qualified labor in other trades.</w:t>
      </w:r>
    </w:p>
    <w:p>
      <w:pPr>
        <w:spacing w:after="0" w:line="21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year ended September 30, 2016, our Residential segment experienced a $12.1 million, or 29.0%, increase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2015. Gross profit increased due to higher volume of work across most service lines. Gross margin percentage increased within single-family, as demand for single-family housing increased combined with improved efficiency and favorable commodity prices. Gross margin as a percentage of revenue also increased in our multi-family division, as a result of more competitive pricing and favorable commodity prices. We also recognized higher margins on service and cable work during the year ended September 30, 2016, compared with the year ended September 30, 2015.</w:t>
      </w:r>
    </w:p>
    <w:p>
      <w:pPr>
        <w:spacing w:after="0" w:line="193"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 experienced a $5.7 million, or 17.9%, increase in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during the year ended September 30, 2016, compared to the year ended September 30, 2015. Selling, general and administrative expenses as a percentage of revenues in the Residential segment increased 1.1% to 16.6% of segment revenue during the year ended September 30, 2016. The primary driver of the increase was the cost of incentive compensation for our operations managers, which is based on a profit-sharing model, combined with other bonus and commission expense which increased in connection with increased levels of activity and higher profitability.</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INTEREST AND OTHER EXPENSE, NET</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60" w:type="dxa"/>
            <w:vAlign w:val="bottom"/>
            <w:gridSpan w:val="8"/>
          </w:tcPr>
          <w:p>
            <w:pPr>
              <w:jc w:val="center"/>
              <w:ind w:left="316"/>
              <w:spacing w:after="0"/>
              <w:rPr>
                <w:sz w:val="20"/>
                <w:szCs w:val="20"/>
                <w:color w:val="auto"/>
              </w:rPr>
            </w:pPr>
            <w:r>
              <w:rPr>
                <w:rFonts w:ascii="Arial" w:cs="Arial" w:eastAsia="Arial" w:hAnsi="Arial"/>
                <w:sz w:val="14"/>
                <w:szCs w:val="14"/>
                <w:color w:val="auto"/>
                <w:w w:val="90"/>
              </w:rPr>
              <w:t>Years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500" w:type="dxa"/>
            <w:vAlign w:val="bottom"/>
            <w:gridSpan w:val="2"/>
          </w:tcPr>
          <w:p>
            <w:pPr>
              <w:jc w:val="right"/>
              <w:ind w:right="36"/>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3"/>
              <w:spacing w:after="0"/>
              <w:rPr>
                <w:sz w:val="20"/>
                <w:szCs w:val="20"/>
                <w:color w:val="auto"/>
              </w:rPr>
            </w:pPr>
            <w:r>
              <w:rPr>
                <w:rFonts w:ascii="Arial" w:cs="Arial" w:eastAsia="Arial" w:hAnsi="Arial"/>
                <w:sz w:val="14"/>
                <w:szCs w:val="14"/>
                <w:color w:val="auto"/>
                <w:w w:val="89"/>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(In thousands)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3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1,130</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vMerge w:val="restart"/>
          </w:tcPr>
          <w:p>
            <w:pPr>
              <w:jc w:val="right"/>
              <w:ind w:right="1774"/>
              <w:spacing w:after="0"/>
              <w:rPr>
                <w:sz w:val="20"/>
                <w:szCs w:val="20"/>
                <w:color w:val="auto"/>
              </w:rPr>
            </w:pPr>
            <w:r>
              <w:rPr>
                <w:rFonts w:ascii="Arial" w:cs="Arial" w:eastAsia="Arial" w:hAnsi="Arial"/>
                <w:sz w:val="18"/>
                <w:szCs w:val="18"/>
                <w:color w:val="auto"/>
              </w:rPr>
              <w:t>40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Expense</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During the year ended September 30, 2017, we incurred interest expense of $1.7 million primarily comprised of interest expense from our term loan facility with Wells Fargo Bank, N.A. (“Wells Fargo”), an average letter of credit balance of $6.6 million under our revolving credit facility and an average unused line of credit balance of $47.5 million. This compares to interest expense of $1.3 million for the year ended September 30, 2016, on a debt balance primarily comprised of our term loan facility with Wells Fargo, an average letter of credit balance of $6.9 million under our revolving credit facility and an average unused line of credit balance of $40.6 million. The increase in interest expense for the year ended September 30, 2017, as compared with the year ended September 30, 2016, is the result of a higher average debt balance, driven by $20.3 million of borrowings in June 2016 in connection with our acquisition of Technibus.</w:t>
      </w:r>
    </w:p>
    <w:p>
      <w:pPr>
        <w:spacing w:after="0" w:line="189"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For the year ended September 30, 2015, we incurred interest expense of $1.1 million on a debt balance primarily comprised of our term loan facility with Wells Fargo, an average letter of credit balance of $6.9 million under our revolving credit facility, and an average unused line of credit balance of $45.5 million.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For the year ended September 30, 2017, we recorded income tax expense of $5.2 million. Income tax expense was partly offset by a $3.7 million benefit associated with the reversal of a reserve previously established for an uncertain tax provision.</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For the year ended September 30, 2016, we recorded a benefit from income tax of $97.1 million. This benefit included $109.0 million attributable to the release of our valuation allowance on certain of our net operating loss carryforwards and other deferred tax assets during the year ended September 30, 2016. This benefit is the result of our assessment at September 30, 2016, that it is more likely than not that we will generate sufficient taxable income to utilize these net operating loss carryforwards and other deferred tax assets.</w:t>
      </w:r>
    </w:p>
    <w:p>
      <w:pPr>
        <w:spacing w:after="0" w:line="18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Our provision for income taxes was $0.7 million for the year ended September 30, 2015. Tax expense for the year ended September 30, 2015, was partly offset by a $0.7 million benefit from a reduction in our valuation allowance as a result of deferred tax liabilities added in connection with the acquisition of Southern Rewinding.</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left="200" w:right="760"/>
        <w:spacing w:after="0" w:line="308" w:lineRule="auto"/>
        <w:rPr>
          <w:sz w:val="20"/>
          <w:szCs w:val="20"/>
          <w:color w:val="auto"/>
        </w:rPr>
      </w:pPr>
      <w:r>
        <w:rPr>
          <w:rFonts w:ascii="Arial" w:cs="Arial" w:eastAsia="Arial" w:hAnsi="Arial"/>
          <w:sz w:val="17"/>
          <w:szCs w:val="17"/>
          <w:color w:val="auto"/>
        </w:rPr>
        <w:t>During the year ended September 30, 2017, working capital exclusive of cash increased by $9.4 million from September 30, 2016, reflecting a $27.0 million increase in current assets excluding cash and a $17.6 million increase in current liabilities during the period.</w:t>
      </w:r>
    </w:p>
    <w:p>
      <w:pPr>
        <w:spacing w:after="0" w:line="14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During the year ended September 30, 2017, our current assets exclusive of cash increased to $203.5 million, as compared to $176.5 million as of September 30, 2016. The increase included $13.6 million of current assets, exclusive of cash, associated with the NEXT Electric, Freeman and Technical Services acquisitions in fiscal 2017. Accounts receivable and retainage, excluding acquired balances, increased by $8.6 million, primarily driven by increased activity at our Communications segment. The remaining increase was driven by a $1.8 million increase in inventory excluding the inventory acquired in business combinations, offset by a decrease of $2.1 million in costs and estimated earnings in excess of billings. Days sales outstanding increased to 66 at September 30, 2017 from 60 at September 30, 2016.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92" w:lineRule="exact"/>
        <w:rPr>
          <w:sz w:val="20"/>
          <w:szCs w:val="20"/>
          <w:color w:val="auto"/>
        </w:rPr>
      </w:pPr>
    </w:p>
    <w:p>
      <w:pPr>
        <w:jc w:val="both"/>
        <w:ind w:left="200" w:right="220"/>
        <w:spacing w:after="0" w:line="312" w:lineRule="auto"/>
        <w:rPr>
          <w:sz w:val="20"/>
          <w:szCs w:val="20"/>
          <w:color w:val="auto"/>
        </w:rPr>
      </w:pPr>
      <w:r>
        <w:rPr>
          <w:rFonts w:ascii="Arial" w:cs="Arial" w:eastAsia="Arial" w:hAnsi="Arial"/>
          <w:sz w:val="16"/>
          <w:szCs w:val="16"/>
          <w:color w:val="auto"/>
        </w:rPr>
        <w:t>During the year ended September 30, 2017, our total current liabilities increased by $17.6 million to $150.6 million, compared to $133.1 million as of September 30, 2016. The increase was the result of $10.7 million of accounts payable and accrued liabilities added with the NEXT Electric, Freeman and Technical Services acquisitions in fiscal 2017, as well as higher levels of activity at our Residential and Communications segments.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18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89"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As of September 30, 2017, the estimated cost to complete our bonded projects was approximately $35.4 million. We believe the bonding capacity currently provided by our sureties is adequate for our current operations and will be adequate for our operations for the foreseeable future.</w:t>
      </w: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As of September 30, 2017, we had cash and cash equivalents of $28.3 million and $48.3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spacing w:after="0" w:line="19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continue to monitor the financial markets and general national and global economic conditions. To date, we have experienced no loss or lack of access to our invested cash or cash equivalents; however, we can provide no assurances that access to our invested cash and cash equivalents will not be impacted in the future by adverse conditions in the financial markets.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On April 10, 2017, we entered into a Second Amended and Restated Credit and Security Agreement with Wells Fargo, which was further amended on July 14, 2017, and August 2, 2017 (as amended, the “Amended Credit Agreement”). Pursuant to the Amended Credit Agreement, our maximum revolver amount increased from $70 million to $100 million, and the maturity date of our revolving credit facility was extended from August 9, 2019 to August 9, 2021. The Amended Credit Agreement also modified our financial covenants by, among other items, implementing a new covenant that requires the Company to maintain a minimum EBITDA (as defined in the Amended Credit Agreement) that will be tested quarterly on a trailing twelve month basis; increasing the minimum Liquidity (as defined in the Amended Credit Agreement) requirement applicable to the Company from 12.5% to 30% of the maximum revolver amount; raising the Company’s required Fixed Charge Coverage Ratio (as defined in the Amended Credit Agreement) (the “FCCR”) to 1.1:1.0 from 1.0:1.0; and requiring that the FCCR be tested quarterly regardless of the Company’s Liquidity levels.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8" w:lineRule="auto"/>
        <w:rPr>
          <w:sz w:val="20"/>
          <w:szCs w:val="20"/>
          <w:color w:val="auto"/>
        </w:rPr>
      </w:pPr>
      <w:r>
        <w:rPr>
          <w:rFonts w:ascii="Arial" w:cs="Arial" w:eastAsia="Arial" w:hAnsi="Arial"/>
          <w:sz w:val="16"/>
          <w:szCs w:val="16"/>
          <w:color w:val="auto"/>
        </w:rPr>
        <w:t>On July 14, 2017, we entered into an amendment and joinder to our Amended Credit Agreement permitting certain transactions related to our acquisition of NEXT Electric. On August 2, 2017, we entered into an amendment to our Amended Credit Agreement, which modified the definition of EBITDA used in calculating our financial covenants to exclude the results from the Denver and Roanoke branches, up to a maximum exclusion of</w:t>
      </w:r>
    </w:p>
    <w:p>
      <w:pPr>
        <w:jc w:val="both"/>
        <w:ind w:left="200" w:right="40"/>
        <w:spacing w:after="0" w:line="255" w:lineRule="auto"/>
        <w:rPr>
          <w:sz w:val="20"/>
          <w:szCs w:val="20"/>
          <w:color w:val="auto"/>
        </w:rPr>
      </w:pPr>
      <w:r>
        <w:rPr>
          <w:rFonts w:ascii="Arial" w:cs="Arial" w:eastAsia="Arial" w:hAnsi="Arial"/>
          <w:sz w:val="18"/>
          <w:szCs w:val="18"/>
          <w:color w:val="auto"/>
        </w:rPr>
        <w:t>$5 million for a given measurement period. The amendment also reduced the minimum EBITDA requirement for the quarters ended December 31, 2017 and March 31, 2018 from $32.5 million to $30.0 million and $35.0 million to $32.5 million, respectively. Minimum EBITDA requirements for all other quarters were unchanged.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of the Amended Credit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Amended Credit Agreement contains other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September 30, 2017, we were in compliance with the financial covenants under the Amended Credit Agreement, requiring that we maintain:</w:t>
      </w:r>
    </w:p>
    <w:p>
      <w:pPr>
        <w:spacing w:after="0" w:line="142"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FCCR, measured quarterly on a trailing four-quarter basis at the end of each quarter, of at least 1.1 to 1.0;</w:t>
      </w:r>
    </w:p>
    <w:p>
      <w:pPr>
        <w:spacing w:after="0" w:line="130" w:lineRule="exact"/>
        <w:rPr>
          <w:rFonts w:ascii="Arial" w:cs="Arial" w:eastAsia="Arial" w:hAnsi="Arial"/>
          <w:sz w:val="18"/>
          <w:szCs w:val="18"/>
          <w:color w:val="auto"/>
        </w:rPr>
      </w:pPr>
    </w:p>
    <w:p>
      <w:pPr>
        <w:ind w:left="1060" w:right="240" w:hanging="316"/>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minimum Liquidity of at least thirty percent (30%) of the Maximum Revolver Amount (as defined in the Amended Credit Agreement), or $30 million, with, for purposes of this covenant, at least fifty percent (50%) of our Liquidity comprised of Excess Availability; and</w:t>
      </w:r>
    </w:p>
    <w:p>
      <w:pPr>
        <w:spacing w:after="0" w:line="51" w:lineRule="exact"/>
        <w:rPr>
          <w:rFonts w:ascii="Arial" w:cs="Arial" w:eastAsia="Arial" w:hAnsi="Arial"/>
          <w:sz w:val="17"/>
          <w:szCs w:val="17"/>
          <w:color w:val="auto"/>
        </w:rPr>
      </w:pPr>
    </w:p>
    <w:p>
      <w:pPr>
        <w:ind w:left="1060" w:right="3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minimum EBITDA, measured at the end of each quarter, of at least the required amount set forth in the following table for the applicable period set forth opposite thereto:</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100" w:type="dxa"/>
            <w:vAlign w:val="bottom"/>
            <w:gridSpan w:val="2"/>
          </w:tcPr>
          <w:p>
            <w:pPr>
              <w:spacing w:after="0"/>
              <w:rPr>
                <w:sz w:val="20"/>
                <w:szCs w:val="20"/>
                <w:color w:val="auto"/>
              </w:rPr>
            </w:pPr>
            <w:r>
              <w:rPr>
                <w:rFonts w:ascii="Arial" w:cs="Arial" w:eastAsia="Arial" w:hAnsi="Arial"/>
                <w:sz w:val="14"/>
                <w:szCs w:val="14"/>
                <w:color w:val="auto"/>
                <w:w w:val="99"/>
              </w:rPr>
              <w:t>Minimum Amount</w:t>
            </w:r>
          </w:p>
        </w:tc>
        <w:tc>
          <w:tcPr>
            <w:tcW w:w="1780" w:type="dxa"/>
            <w:vAlign w:val="bottom"/>
          </w:tcPr>
          <w:p>
            <w:pPr>
              <w:spacing w:after="0"/>
              <w:rPr>
                <w:sz w:val="15"/>
                <w:szCs w:val="15"/>
                <w:color w:val="auto"/>
              </w:rPr>
            </w:pPr>
          </w:p>
        </w:tc>
        <w:tc>
          <w:tcPr>
            <w:tcW w:w="8160" w:type="dxa"/>
            <w:vAlign w:val="bottom"/>
          </w:tcPr>
          <w:p>
            <w:pPr>
              <w:ind w:left="3560"/>
              <w:spacing w:after="0"/>
              <w:rPr>
                <w:sz w:val="20"/>
                <w:szCs w:val="20"/>
                <w:color w:val="auto"/>
              </w:rPr>
            </w:pPr>
            <w:r>
              <w:rPr>
                <w:rFonts w:ascii="Arial" w:cs="Arial" w:eastAsia="Arial" w:hAnsi="Arial"/>
                <w:sz w:val="14"/>
                <w:szCs w:val="14"/>
                <w:color w:val="auto"/>
              </w:rPr>
              <w:t>Applicable Period</w:t>
            </w: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 million</w:t>
            </w:r>
          </w:p>
        </w:tc>
        <w:tc>
          <w:tcPr>
            <w:tcW w:w="1780" w:type="dxa"/>
            <w:vAlign w:val="bottom"/>
            <w:tcBorders>
              <w:top w:val="single" w:sz="8" w:color="CCEEFF"/>
            </w:tcBorders>
            <w:shd w:val="clear" w:color="auto" w:fill="CCEEFF"/>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each four quarter period ending September 30, 2017, and December 31, 2017</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$32.5 million</w:t>
            </w:r>
          </w:p>
        </w:tc>
        <w:tc>
          <w:tcPr>
            <w:tcW w:w="9940" w:type="dxa"/>
            <w:vAlign w:val="bottom"/>
            <w:gridSpan w:val="2"/>
          </w:tcPr>
          <w:p>
            <w:pPr>
              <w:ind w:left="1780"/>
              <w:spacing w:after="0"/>
              <w:rPr>
                <w:sz w:val="20"/>
                <w:szCs w:val="20"/>
                <w:color w:val="auto"/>
              </w:rPr>
            </w:pPr>
            <w:r>
              <w:rPr>
                <w:rFonts w:ascii="Arial" w:cs="Arial" w:eastAsia="Arial" w:hAnsi="Arial"/>
                <w:sz w:val="18"/>
                <w:szCs w:val="18"/>
                <w:color w:val="auto"/>
              </w:rPr>
              <w:t>For the four quarter period ending March 31, 2018</w:t>
            </w: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$35.0 million</w:t>
            </w:r>
          </w:p>
        </w:tc>
        <w:tc>
          <w:tcPr>
            <w:tcW w:w="9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For each four quarter period ending June 30, 2018 and each quarter-end thereafter</w:t>
            </w:r>
          </w:p>
        </w:tc>
      </w:tr>
    </w:tbl>
    <w:p>
      <w:pPr>
        <w:spacing w:after="0" w:line="202"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At September 30, 2017, our Liquidity was $76.5 million and our Excess Availability was $48.3 million (or greater than 50% of minimum Liquidity), our FCCR was 8.0:1.0; and our EBITDA, as defined in the Amended Credit Agreement for the year ended September 30, 2017, was $38.2 million.</w:t>
      </w:r>
    </w:p>
    <w:p>
      <w:pPr>
        <w:spacing w:after="0" w:line="147"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 xml:space="preserve">Our FCCR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lender after the date of the Amended Credit Agreement, the components of the FCCR will be calculated for such fiscal period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7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 xml:space="preserve">a non-cash impairment charge or write-down), interest expense, income taxes, depreciation and amortization, increases in any change in LIFO reserves, and losses from the wind-down of our Denver and Roanoke branches, up to a maximum exclusion of $5 million for a given measurement period in each case, determined on a consolidated basis in accordance with GAAP; provided, that if any acquisition is consented to by lender after the date of the Amended Credit Agreement, EBITDA for such fiscal period shall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acquisition assuming that such transaction has occurred on the first day of such period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16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of our minimum Liquidity), our FCCR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2017, we had $6.5 million in outstanding letters of credit with Wells Fargo and outstanding borrowings of $30.3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From time to time, the Company may invest in non-controlling positions in the debt or equity securities of other businesses. In October 2014, our Board of Directors approved an investment policy that permits the Company to invest our cash in liquid and marketable securities that include equities and fixed income securities. Equity securities may include unrestricted, publicly traded stock that is listed on a major exchange or a national, over-the-counter market and that is appropriate for our portfolio objectives, asset class, and/or investment style, and fixed income securities are required to have an investment grade credit quality at the time of purchase.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Operating activities provided net cash of $22.3 million during the year ended September 30, 2017, as compared to $25.0 million of net cash provided in the year ended September 30, 2016. The decrease in operating cash flow is the result of decreased net income.</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Operating activities provided net cash of $25.0 million during the year ended September 30, 2016, as compared to $11.5 million of net cash provided in the year ended September 30, 2015. The increase in operating cash flow is the result of increased net income, slightly offset by an increase in working capital in connection with the increase in business activity.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the year ended September 30, 2017, net cash used in investing activities was $24.5 million as compared to $60.7 million of net cash used by investing activities in the year ended September 30, 2016. Investing activities for the year ended September 30, 2017, include $20.2 million for the acquisition of businesses, as well as $4.6 million of capital expenditures.</w:t>
      </w:r>
    </w:p>
    <w:p>
      <w:pPr>
        <w:spacing w:after="0" w:line="18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In the year ended September 30, 2016, net cash used in investing activities was $60.7 million as compared to $5.9 million of net cash used by investing activities in the year ended September 30, 2015. Investing activities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20"/>
        <w:spacing w:after="0" w:line="259" w:lineRule="auto"/>
        <w:rPr>
          <w:sz w:val="20"/>
          <w:szCs w:val="20"/>
          <w:color w:val="auto"/>
        </w:rPr>
      </w:pPr>
      <w:r>
        <w:rPr>
          <w:rFonts w:ascii="Arial" w:cs="Arial" w:eastAsia="Arial" w:hAnsi="Arial"/>
          <w:sz w:val="18"/>
          <w:szCs w:val="18"/>
          <w:color w:val="auto"/>
        </w:rPr>
        <w:t>the year ended September 30, 2016, include $59.5 million for the acquisition of businesses, as well as $3.4 million of capital expenditures. These expenditures were slightly offset by the receipt of $2.2 million from the sale of substantially all of the operating assets of our engine components business. For the year ended September 30, 2015, cash used in investing activities included $3.1 million used for the acquisition of a business and $2.8 million of capital expenditures.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Financing activities used net cash of $2.7 million in the year ended September 30, 2017, compared to $19.6 million provided in the year ended September 30, 2016. For the year ended September 30, 2017, we used $2.4 million for the repurchase of common stock under the Company’s stock repurchase program. We repurchased an aggregate $2.3 million of common stock in open market transactions, pursuant to the stock repurchase program, and we used an additional $0.1 million for the repurchase of common stock to satisfy employee payroll tax withholding obligations.</w:t>
      </w:r>
    </w:p>
    <w:p>
      <w:pPr>
        <w:spacing w:after="0" w:line="154"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the year ended September 30, 2016, financing activities provided net cash of $19.6 million compared to $3.6 million used in the year ended September 30, 2015. For the year ended September 30, 2016, we borrowed $20.3 million, which we used to partially fund our acquisition of Technibus. Additionally, we used $0.6 million for the repurchase of common stock under the Company’s stock repurchase program, and $0.3 million to collateralize letters of credit outstanding at Technibus. For the year ended September 30, 2015, we used $3.6 million for repurchases of the Company’s common stock under the stock repurchase program. We repurchased an aggregate $3.5 million of common stock from an unrelated, third-party investor and in open market transactions, pursuant to the stock repurchase program, and we used an additional $0.1 million for the repurchase of common stock to satisfy employee payroll tax withholding obligations.</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CONTROLLING SHAREHOLDER</w:t>
      </w:r>
    </w:p>
    <w:p>
      <w:pPr>
        <w:spacing w:after="0" w:line="229"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Based on a Form 4 filed by Tontine on October 3, 2017, Tontine owns approximately 58% of the Company’s outstanding common stock. As a result, Tontine can control most of our affairs, including most actions requiring the approval of shareholders, such as the approval of any potential merger or sale of all or substantially all assets, segments, or the Company itself.</w:t>
      </w:r>
    </w:p>
    <w:p>
      <w:pPr>
        <w:spacing w:after="0" w:line="181"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We are a party to a sublease agreement with Tontine Associates, L.L.C., an affiliate of our controlling shareholder, for corporate office space in Greenwich, Connecticut. The sublease extends through April 2019, with monthly payments due in the amount of approximately $8 thousand. The lease has terms at market rates, and payments by the Company are at a rate consistent with that paid by Tontine Associates, L.L.C. to its landlord.</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Jeffrey L. Gendell has served as a member of the Board of Directors and as non-executive Chairman of the Board from November 2016 to November 2017. He is the managing member and founder of Tontine, the Company’s controlling shareholder, and the brother of David B. Gendell, who has served as a member of the Board of Directors since February 2012 and as Interim Director of Operations since November 2017 and who previously served as non-executive Vice Chairman of the Board from November 2016 to November 2017 and as non-executive Chairman of the Board from January 2015 to November 2016. David B. Gendell is also an employee of Tontine.</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As is common in our industry, we have entered into certain off-balance sheet arrangements that expose us to increased risk. Our significant off-balance sheet transactions include commitments associated with non-cancelable operating leases, letter of credit obligations, firm commitments for materials and surety guarantees.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We enter into operating leases for many of our vehicle and equipment needs. These leases allow us to retain our cash when we do not own the vehicles or equipment,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54"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2017, $0.5 million of our outstanding letters of credit were to collateralize our customers and vendors.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2017, $6.0 million of our outstanding letters of credit were to collateralize our insurance programs.</w:t>
      </w:r>
    </w:p>
    <w:p>
      <w:pPr>
        <w:spacing w:after="0" w:line="181"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September 30, 2017, we did not have any open purchase commitments.</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To date, we have not incurred any costs to indemnify our sureties for expenses they incurred on our behalf.</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September 30, 2017, our future contractual obligations due by September 30 of each of the following fiscal years include (in thousands):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color w:val="auto"/>
              </w:rPr>
              <w:t>Less than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color w:val="auto"/>
                <w:w w:val="96"/>
              </w:rPr>
              <w:t>1 to 3</w:t>
            </w:r>
          </w:p>
        </w:tc>
        <w:tc>
          <w:tcPr>
            <w:tcW w:w="38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color w:val="auto"/>
              </w:rPr>
              <w:t>3 to 5</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More than</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7"/>
              </w:rPr>
              <w:t>1 Year</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color w:val="auto"/>
                <w:w w:val="92"/>
              </w:rPr>
              <w:t>Years</w:t>
            </w:r>
          </w:p>
        </w:tc>
        <w:tc>
          <w:tcPr>
            <w:tcW w:w="38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color w:val="auto"/>
              </w:rPr>
              <w:t>Years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color w:val="auto"/>
                <w:w w:val="82"/>
              </w:rPr>
              <w:t>5 Years</w:t>
            </w:r>
          </w:p>
        </w:tc>
        <w:tc>
          <w:tcPr>
            <w:tcW w:w="36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$29,434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$29,434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8,553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12,953</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200" w:right="780" w:firstLine="4"/>
        <w:spacing w:after="0" w:line="514"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tabular amounts exclude the interest obligations that will be created if the debt obligations are outstanding for the periods presented. Our other commitments expire by September 30 of each of the following fiscal years (in thousands):</w:t>
      </w: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gridSpan w:val="2"/>
          </w:tcPr>
          <w:p>
            <w:pPr>
              <w:jc w:val="center"/>
              <w:ind w:left="3499"/>
              <w:spacing w:after="0"/>
              <w:rPr>
                <w:sz w:val="20"/>
                <w:szCs w:val="20"/>
                <w:color w:val="auto"/>
              </w:rPr>
            </w:pPr>
            <w:r>
              <w:rPr>
                <w:rFonts w:ascii="Arial" w:cs="Arial" w:eastAsia="Arial" w:hAnsi="Arial"/>
                <w:sz w:val="14"/>
                <w:szCs w:val="14"/>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980" w:type="dxa"/>
            <w:vAlign w:val="bottom"/>
            <w:gridSpan w:val="3"/>
          </w:tcPr>
          <w:p>
            <w:pPr>
              <w:ind w:left="360"/>
              <w:spacing w:after="0"/>
              <w:rPr>
                <w:sz w:val="20"/>
                <w:szCs w:val="20"/>
                <w:color w:val="auto"/>
              </w:rPr>
            </w:pPr>
            <w:r>
              <w:rPr>
                <w:rFonts w:ascii="Arial" w:cs="Arial" w:eastAsia="Arial" w:hAnsi="Arial"/>
                <w:sz w:val="14"/>
                <w:szCs w:val="14"/>
                <w:color w:val="auto"/>
                <w:w w:val="92"/>
              </w:rPr>
              <w:t>Thereafter</w:t>
            </w:r>
          </w:p>
        </w:tc>
        <w:tc>
          <w:tcPr>
            <w:tcW w:w="36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3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6,493</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6,493</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0" w:type="dxa"/>
            <w:vAlign w:val="bottom"/>
            <w:vMerge w:val="restart"/>
          </w:tcPr>
          <w:p>
            <w:pPr>
              <w:jc w:val="right"/>
              <w:ind w:right="1499"/>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79"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doubtful accounts receivable, the recording of our insurance liabilities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w:t>
      </w:r>
    </w:p>
    <w:p>
      <w:pPr>
        <w:spacing w:after="0" w:line="178"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enter into contracts principally on the basis of competitive bids. We frequently negotiate the final terms and prices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the customer. Although the terms of our contracts vary considerably, approximately 89% of our revenues are based on either a fixed price or unit price basis in which we agree to do the work for a fixed amount for the entire project (fixed price) or for units of work performed (unit price). Approximately 6% of our revenues are earned from contracts where we are paid on a time and materials basis, and approximately 5% of our revenue is earned on a cost plus or other basis. Our most significant cost drivers are the cost of labor, the cost of materials and the cost of casualty and health insurance.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spacing w:after="0" w:line="167" w:lineRule="exact"/>
        <w:rPr>
          <w:sz w:val="20"/>
          <w:szCs w:val="20"/>
          <w:color w:val="auto"/>
        </w:rPr>
      </w:pPr>
    </w:p>
    <w:p>
      <w:pPr>
        <w:ind w:left="200" w:right="180"/>
        <w:spacing w:after="0" w:line="287" w:lineRule="auto"/>
        <w:rPr>
          <w:sz w:val="20"/>
          <w:szCs w:val="20"/>
          <w:color w:val="auto"/>
        </w:rPr>
      </w:pPr>
      <w:r>
        <w:rPr>
          <w:rFonts w:ascii="Arial" w:cs="Arial" w:eastAsia="Arial" w:hAnsi="Arial"/>
          <w:sz w:val="16"/>
          <w:szCs w:val="16"/>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arrangements, comprised approximately 58.9% of our total revenue for the year ended September 30, 2017.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spacing w:after="0" w:line="16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 accounting for business combinations, certain assumptions and estimates are employed in determining the fair value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spacing w:after="0" w:line="193"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i w:val="1"/>
          <w:iCs w:val="1"/>
          <w:color w:val="auto"/>
        </w:rPr>
        <w:t xml:space="preserve">Valuation of Intangibles and Long-Lived Assets. </w:t>
      </w:r>
      <w:r>
        <w:rPr>
          <w:rFonts w:ascii="Arial" w:cs="Arial" w:eastAsia="Arial" w:hAnsi="Arial"/>
          <w:sz w:val="16"/>
          <w:szCs w:val="16"/>
          <w:color w:val="auto"/>
        </w:rPr>
        <w:t>We evaluate goodwill for potential impairment at least annually at year end; however, if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indicators exist, we will evaluate as needed.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 We estimate the fair value of the reporting unit based on the market approach and income approach. Included in this evaluation are certain assumptions and estimates to determine the fair values of reporting units such as estimates of future cash flows and discount rates, as well as assumptions and estimates related to the valuation of other identified intangible assets. Changes in these assumptions and estimates or significant changes to the market value of our common stock could materially impact our results of operations or financial position. We did not record goodwill impairment during the years ended September 30, 2017, 2016 or 2015.</w:t>
      </w:r>
    </w:p>
    <w:p>
      <w:pPr>
        <w:spacing w:after="0" w:line="16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Each reporting period, we assess impairment indicators related to long-lived assets and intangible assets. If we determine impairment indicators exist, we conduct an evaluation to determine whether any impairment has occurred. This evaluation includes certain assumptions and estimates to determine fair value of asset groups, including estimates about future cash flows and discount rates, among others. Changes in these assumptions and estimates could materially impact our results of operations or financial projections. No impairment charges were recorded in the years ended September 30, 2017, 2016 or 2015.</w:t>
      </w:r>
    </w:p>
    <w:p>
      <w:pPr>
        <w:spacing w:after="0" w:line="18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i w:val="1"/>
          <w:iCs w:val="1"/>
          <w:color w:val="auto"/>
        </w:rPr>
        <w:t xml:space="preserve">Current and Non-Current Accounts Receivable and Provision for Doubtful Accounts. </w:t>
      </w:r>
      <w:r>
        <w:rPr>
          <w:rFonts w:ascii="Arial" w:cs="Arial" w:eastAsia="Arial" w:hAnsi="Arial"/>
          <w:sz w:val="17"/>
          <w:szCs w:val="17"/>
          <w:color w:val="auto"/>
        </w:rPr>
        <w:t>We provide an allowance for doubtful accounts for unknown</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issues, in addition to reserves for specific accounts receivable where collection is considered doubtful. Inherent in the assessment of the allowance for doubtful accounts are certain judgments and estimates including, among others, our customers’ access to capital, our customers’ willingness to pay, general economic conditions, and the ongoing relationships with our customers. In addition to these factors, the method of accounting for construction contracts requires the review and analysis of not only the net receivables, but also the amount of billings in excess of costs and costs in excess of billings. The analysis management utilizes to assess collectability of our receivables includes detailed review of older balances, analysis of days sales outstanding where we include in the calculation, in addition to accounts receivable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59" w:lineRule="auto"/>
        <w:rPr>
          <w:sz w:val="20"/>
          <w:szCs w:val="20"/>
          <w:color w:val="auto"/>
        </w:rPr>
      </w:pPr>
      <w:r>
        <w:rPr>
          <w:rFonts w:ascii="Arial" w:cs="Arial" w:eastAsia="Arial" w:hAnsi="Arial"/>
          <w:sz w:val="18"/>
          <w:szCs w:val="18"/>
          <w:color w:val="auto"/>
        </w:rPr>
        <w:t>balances net of any allowance for doubtful accounts, the level of costs in excess of billings netted against billings in excess of costs and the ratio of accounts receivable, net of any allowance for doubtful accounts plus the level of costs in excess of billings, to revenues. These analyses provide an indication of those amounts billed ahead of or behind the recognition of revenue on our construction contracts and are important to consider in understanding the operational cash flows related to our revenue cycle.</w:t>
      </w:r>
    </w:p>
    <w:p>
      <w:pPr>
        <w:spacing w:after="0" w:line="18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 xml:space="preserve">Risk-Management. </w:t>
      </w:r>
      <w:r>
        <w:rPr>
          <w:rFonts w:ascii="Arial" w:cs="Arial" w:eastAsia="Arial" w:hAnsi="Arial"/>
          <w:sz w:val="16"/>
          <w:szCs w:val="16"/>
          <w:color w:val="auto"/>
        </w:rPr>
        <w:t>We are insured for workers’ compensation, automobile liability, general liability, construction defects, pollution,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 and employee-related health care claims, subject to deductibles. Our general liability program provides coverage for bodily injury and property damage. Losses up to the deductible amounts are accrued based upon our estimates of the liability for claims incurred and an estimate of claims incurred but not reported. The accruals are derived from actuarial studies, known facts, historical trends and industry averages utilizing the assistance of an actuary to determine the best estimate of the ultimate expected loss. We believe such accruals to be adequate; however, insurance liabilities are difficult to assess and estimate due to unknown factors, including the severity of an injury, the determination of our liability in proportion to other parties, the number of incidents incurred but not reported and the effectiveness of our safety program. Therefore, if actual experience differs from the assumptions used in the actuarial valuation, adjustments to the reserve may be required and would be recorded in the period that the experience becomes known.</w:t>
      </w:r>
    </w:p>
    <w:p>
      <w:pPr>
        <w:spacing w:after="0" w:line="16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 xml:space="preserve">Valuation Allowance for Deferred Tax Assets. </w:t>
      </w:r>
      <w:r>
        <w:rPr>
          <w:rFonts w:ascii="Arial" w:cs="Arial" w:eastAsia="Arial" w:hAnsi="Arial"/>
          <w:sz w:val="18"/>
          <w:szCs w:val="18"/>
          <w:color w:val="auto"/>
        </w:rPr>
        <w:t>We regularly evaluate valuation allowances established for deferred tax assets for which future realization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is uncertain. We perform this evaluation quarterly. The estimation of required valuation allowances includes estimates of future taxable income. In assessing the realizability of deferred tax assets at September 30, 2017, we concluded, based upon the assessment of positive and negative evidence, that it is more likely than not that the Company will generate sufficient table income within the applicable NOL carryforward periods to realize $86.2 million of its deferred tax assets. We considered the scheduled reversal of deferred tax liabilities, projected future taxable income and tax planning strategies in making this assessment.</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An inability to generate sufficient taxable income in future periods to realize our deferred tax assets may lead to a future need for a valuation allowance and a corresponding reduction in GAAP net income. Further, any future reduction in the federal statutory tax rate could also cause a reduction in the economic benefit of the NOL available to us and a corresponding charge to reduce the book value of the deferred tax asset recorded on our balance sheet.</w:t>
      </w:r>
    </w:p>
    <w:p>
      <w:pPr>
        <w:spacing w:after="0" w:line="187"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GAAP specifies the methodology by which a company must identify, recognize, measure and disclose in its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18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8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We are currently not under federal audit by the Internal Revenue Service. The tax years ended September 30, 2014 and forward are subject to audit as are prior tax years, to the extent of unutilized net operating losses generated in those years.</w:t>
      </w:r>
    </w:p>
    <w:p>
      <w:pPr>
        <w:spacing w:after="0" w:line="17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anticipate that approximately $3.3 million in liabilities for unrecognized tax benefits, including accrued interest, may be reversed in the next twelve months. This reversal is predominantly due to the expiration of the statutes of limitation for unrecognized tax benefits.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Recent accounting pronouncements are described in Note 2, “Summary of Significant Accounting Policies —</w:t>
      </w:r>
      <w:r>
        <w:rPr>
          <w:rFonts w:ascii="Arial" w:cs="Arial" w:eastAsia="Arial" w:hAnsi="Arial"/>
          <w:sz w:val="16"/>
          <w:szCs w:val="16"/>
          <w:i w:val="1"/>
          <w:iCs w:val="1"/>
          <w:color w:val="auto"/>
        </w:rPr>
        <w:t xml:space="preserve"> New Accounting Pronouncements</w:t>
      </w:r>
      <w:r>
        <w:rPr>
          <w:rFonts w:ascii="Arial" w:cs="Arial" w:eastAsia="Arial" w:hAnsi="Arial"/>
          <w:sz w:val="16"/>
          <w:szCs w:val="16"/>
          <w:color w:val="auto"/>
        </w:rPr>
        <w:t>” in the notes to our Consolidated Financial Statements and at relevant sections in this discussion and analysis.</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Credit Facility. For additional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this Annual Report on Form 10-K.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fixed nature of many of our contracts. Over the long-term, we expect to be able to pass along a portion of these costs to our customers, as market conditions in the construction industry will allow.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are subject to interest rate risk on our floating interest rate borrowings. Floating rate debt, where the interest rate fluctuates periodically, exposes us to short-term changes in market interest rates.</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our revolving credit facility as of September 30, 2017 would cause a $0.3 million pre-tax annual increase in interest expense.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240" w:top="459" w:right="5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300" w:type="dxa"/>
            <w:vAlign w:val="bottom"/>
            <w:gridSpan w:val="6"/>
            <w:vMerge w:val="restart"/>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Reports of Independent Registered Public Accounting Firm</w:t>
              </w:r>
            </w:hyperlink>
          </w:p>
        </w:tc>
        <w:tc>
          <w:tcPr>
            <w:tcW w:w="560" w:type="dxa"/>
            <w:vAlign w:val="bottom"/>
            <w:vMerge w:val="restart"/>
          </w:tcPr>
          <w:p>
            <w:pPr>
              <w:spacing w:after="0"/>
              <w:rPr>
                <w:sz w:val="14"/>
                <w:szCs w:val="14"/>
                <w:color w:val="auto"/>
              </w:rPr>
            </w:pPr>
          </w:p>
        </w:tc>
        <w:tc>
          <w:tcPr>
            <w:tcW w:w="61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00" w:type="dxa"/>
            <w:vAlign w:val="bottom"/>
            <w:tcBorders>
              <w:bottom w:val="single" w:sz="8" w:color="0000EE"/>
            </w:tcBorders>
            <w:gridSpan w:val="6"/>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8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w:t>
              </w:r>
            </w:hyperlink>
          </w:p>
        </w:tc>
        <w:tc>
          <w:tcPr>
            <w:tcW w:w="2760" w:type="dxa"/>
            <w:vAlign w:val="bottom"/>
            <w:gridSpan w:val="6"/>
          </w:tcPr>
          <w:p>
            <w:pPr>
              <w:spacing w:after="0"/>
              <w:rPr>
                <w:sz w:val="18"/>
                <w:szCs w:val="18"/>
                <w:color w:val="auto"/>
              </w:rPr>
            </w:pP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86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Income</w:t>
              </w:r>
            </w:hyperlink>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120" w:type="dxa"/>
            <w:vAlign w:val="bottom"/>
            <w:gridSpan w:val="2"/>
          </w:tcPr>
          <w:p>
            <w:pPr>
              <w:spacing w:after="0"/>
              <w:rPr>
                <w:sz w:val="17"/>
                <w:szCs w:val="17"/>
                <w:color w:val="auto"/>
              </w:rPr>
            </w:pPr>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Cash Flows</w:t>
              </w:r>
            </w:hyperlink>
          </w:p>
        </w:tc>
        <w:tc>
          <w:tcPr>
            <w:tcW w:w="1980" w:type="dxa"/>
            <w:vAlign w:val="bottom"/>
            <w:gridSpan w:val="5"/>
          </w:tcPr>
          <w:p>
            <w:pPr>
              <w:spacing w:after="0"/>
              <w:rPr>
                <w:sz w:val="17"/>
                <w:szCs w:val="17"/>
                <w:color w:val="auto"/>
              </w:rPr>
            </w:pPr>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860" w:type="dxa"/>
            <w:vAlign w:val="bottom"/>
            <w:gridSpan w:val="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tcPr>
          <w:p>
            <w:pPr>
              <w:jc w:val="right"/>
              <w:ind w:right="4993"/>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IES Holdings, Inc. and subsidiaries</w:t>
      </w:r>
    </w:p>
    <w:p>
      <w:pPr>
        <w:spacing w:after="0" w:line="21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We have audited the accompanying consolidated balance sheets of IES Holdings, Inc. and subsidiaries (“the Company”) as of September 30, 2017 and 2016, and the related consolidated statements of comprehensive income, stockholders’ equity, and cash flows for each of the three years in the period ended September 30, 2017.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IES Holdings, Inc. and subsidiaries at September 30, 2017 and 2016, and the consolidated results of their operations and their cash flows for each of the three years in the period ended September 30, 2017, in conformity with U.S. generally accepted accounting principles.</w:t>
      </w:r>
    </w:p>
    <w:p>
      <w:pPr>
        <w:spacing w:after="0" w:line="166"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IES Holdings, Inc. and subsidiaries internal control over financial reporting as of September 30, 2017, based on criteria established in Internal Control—Integrated Framework issued by the Committee of Sponsoring Organizations of the Treadway Commission (2013 framework) and our report dated December 8, 2017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8, 2017</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IES Holdings, Inc. and subsidiaries:</w:t>
      </w:r>
    </w:p>
    <w:p>
      <w:pPr>
        <w:spacing w:after="0" w:line="11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We have audited IES Holdings, Inc. and subsidiaries (the “Company”) internal control over financial reporting as of September 30, 2017, based on criteria established in Internal Control – Integrated Framework issued by the Committee of Sponsoring Organizations of the Treadway Commission (2013 framework) (the COSO criteria). IES Holdings,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controls of financial reporting did not include the internal controls over Freeman Enclosure Systems, LLC, and NEXT Electric, LLC acquired during the year ended September 30, 2017, which are included in the 2017 consolidated financial statements of IES Holdings, Inc. and subsidiaries. Excluding goodwill and intangible assets, these businesses constituted 5.7% of consolidated total assets as of September 30, 2017 and 2.3% of consolidated revenues of IES Holdings, Inc. and subsidiaries for the year then ended. Our audit of internal control over financial reporting of IES Holdings, Inc. and subsidiaries also did not include the evaluation of the internal control over financial reporting of Freeman Enclosure Systems, LLC, and NEXT Electric, LLC.</w:t>
      </w:r>
    </w:p>
    <w:p>
      <w:pPr>
        <w:spacing w:after="0" w:line="189"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In our opinion, IES Holdings, Inc. and subsidiaries maintained, in all material respects, effective internal control over financial reporting as of September 30, 2017, based on the COSO criteria.</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IES Holdings, Inc. and subsidiaries as of September 30, 2017</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and 2016, and the related consolidated statements of comprehensive income, stockholders’ equity and cash flows for each of the three years in the period ended September 30, 2017 and our report dated December 8, 2017 expressed an unqualified opinion thereon.</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8, 2017</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240" w:top="459" w:right="9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1200" w:type="dxa"/>
            <w:vAlign w:val="bottom"/>
            <w:gridSpan w:val="4"/>
          </w:tcPr>
          <w:p>
            <w:pPr>
              <w:ind w:left="2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ind w:left="38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Trade, net of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124,368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Retainage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current maturities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Common stock, $0.01 par value, 100,000,000 shares authorized; 22,049,529 and 22,049,529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21,336,975 and 21,456,539 outstanding,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Treasury stock, at cost, 712,554 and 592,990 shares,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394,340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3"/>
              </w:rPr>
              <w:t>Years Ended September 30,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810,744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670,246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569,013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120,370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100,558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(97,117)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Unrealized gain on interest hedge, net of tax</w:t>
            </w:r>
          </w:p>
        </w:tc>
        <w:tc>
          <w:tcPr>
            <w:tcW w:w="1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Shares used in the computation of income (loss) per share</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21,280,549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21,279,342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21,480,622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21,533,254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21,492,339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21,526,188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color w:val="auto"/>
                <w:w w:val="96"/>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5"/>
            <w:vMerge w:val="restart"/>
          </w:tcPr>
          <w:p>
            <w:pPr>
              <w:jc w:val="right"/>
              <w:ind w:right="403"/>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ind w:left="120"/>
              <w:spacing w:after="0" w:line="121" w:lineRule="exact"/>
              <w:rPr>
                <w:sz w:val="20"/>
                <w:szCs w:val="20"/>
                <w:color w:val="auto"/>
              </w:rPr>
            </w:pPr>
            <w:r>
              <w:rPr>
                <w:rFonts w:ascii="Arial" w:cs="Arial" w:eastAsia="Arial" w:hAnsi="Arial"/>
                <w:sz w:val="13"/>
                <w:szCs w:val="13"/>
                <w:color w:val="auto"/>
              </w:rPr>
              <w:t>Comprehensive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21" w:lineRule="exact"/>
              <w:rPr>
                <w:sz w:val="20"/>
                <w:szCs w:val="20"/>
                <w:color w:val="auto"/>
              </w:rPr>
            </w:pPr>
            <w:r>
              <w:rPr>
                <w:rFonts w:ascii="Arial" w:cs="Arial" w:eastAsia="Arial" w:hAnsi="Arial"/>
                <w:sz w:val="13"/>
                <w:szCs w:val="13"/>
                <w:color w:val="auto"/>
              </w:rPr>
              <w:t>Earnings</w:t>
            </w:r>
          </w:p>
        </w:tc>
        <w:tc>
          <w:tcPr>
            <w:tcW w:w="1040" w:type="dxa"/>
            <w:vAlign w:val="bottom"/>
            <w:gridSpan w:val="4"/>
          </w:tcPr>
          <w:p>
            <w:pPr>
              <w:jc w:val="center"/>
              <w:spacing w:after="0" w:line="121"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2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color w:val="auto"/>
              </w:rPr>
              <w:t>Shares</w:t>
            </w:r>
          </w:p>
        </w:tc>
        <w:tc>
          <w:tcPr>
            <w:tcW w:w="70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83"/>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APIC</w:t>
            </w:r>
          </w:p>
        </w:tc>
        <w:tc>
          <w:tcPr>
            <w:tcW w:w="120" w:type="dxa"/>
            <w:vAlign w:val="bottom"/>
          </w:tcPr>
          <w:p>
            <w:pPr>
              <w:spacing w:after="0"/>
              <w:rPr>
                <w:sz w:val="13"/>
                <w:szCs w:val="13"/>
                <w:color w:val="auto"/>
              </w:rPr>
            </w:pPr>
          </w:p>
        </w:tc>
        <w:tc>
          <w:tcPr>
            <w:tcW w:w="108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jc w:val="right"/>
              <w:ind w:right="1175"/>
              <w:spacing w:after="0"/>
              <w:rPr>
                <w:sz w:val="20"/>
                <w:szCs w:val="20"/>
                <w:color w:val="auto"/>
              </w:rPr>
            </w:pPr>
            <w:r>
              <w:rPr>
                <w:rFonts w:ascii="Arial" w:cs="Arial" w:eastAsia="Arial" w:hAnsi="Arial"/>
                <w:sz w:val="17"/>
                <w:szCs w:val="17"/>
                <w:color w:val="auto"/>
                <w:w w:val="91"/>
              </w:rPr>
              <w:t>BALANCE, September 30, 2014</w:t>
            </w: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22,049,529</w:t>
            </w:r>
          </w:p>
        </w:tc>
        <w:tc>
          <w:tcPr>
            <w:tcW w:w="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220</w:t>
            </w:r>
          </w:p>
        </w:tc>
        <w:tc>
          <w:tcPr>
            <w:tcW w:w="2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(281,829)</w:t>
            </w:r>
          </w:p>
        </w:tc>
        <w:tc>
          <w:tcPr>
            <w:tcW w:w="1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$(2,394)</w:t>
            </w: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$ 194,719</w:t>
            </w:r>
          </w:p>
        </w:tc>
        <w:tc>
          <w:tcPr>
            <w:tcW w:w="1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(104,571)</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Grants under compensation plans</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207,874</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1,615</w:t>
            </w:r>
          </w:p>
        </w:tc>
        <w:tc>
          <w:tcPr>
            <w:tcW w:w="12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(1,615)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of treasury stock</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83"/>
              <w:spacing w:after="0"/>
              <w:rPr>
                <w:sz w:val="20"/>
                <w:szCs w:val="20"/>
                <w:color w:val="auto"/>
              </w:rPr>
            </w:pPr>
            <w:r>
              <w:rPr>
                <w:rFonts w:ascii="Arial" w:cs="Arial" w:eastAsia="Arial" w:hAnsi="Arial"/>
                <w:sz w:val="17"/>
                <w:szCs w:val="17"/>
                <w:color w:val="auto"/>
              </w:rPr>
              <w:t>(499,833)</w:t>
            </w:r>
          </w:p>
        </w:tc>
        <w:tc>
          <w:tcPr>
            <w:tcW w:w="780" w:type="dxa"/>
            <w:vAlign w:val="bottom"/>
            <w:gridSpan w:val="3"/>
            <w:shd w:val="clear" w:color="auto" w:fill="CCEEFF"/>
          </w:tcPr>
          <w:p>
            <w:pPr>
              <w:jc w:val="right"/>
              <w:ind w:right="43"/>
              <w:spacing w:after="0"/>
              <w:rPr>
                <w:sz w:val="20"/>
                <w:szCs w:val="20"/>
                <w:color w:val="auto"/>
              </w:rPr>
            </w:pPr>
            <w:r>
              <w:rPr>
                <w:rFonts w:ascii="Arial" w:cs="Arial" w:eastAsia="Arial" w:hAnsi="Arial"/>
                <w:sz w:val="17"/>
                <w:szCs w:val="17"/>
                <w:color w:val="auto"/>
              </w:rPr>
              <w:t>(3,622)</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Non-cash compensation</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rate swap</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Shares issued in rights offering</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color w:val="auto"/>
              </w:rPr>
              <w:t>Net income attributable to IES Holdings,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Inc.</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jc w:val="right"/>
              <w:ind w:right="1175"/>
              <w:spacing w:after="0"/>
              <w:rPr>
                <w:sz w:val="20"/>
                <w:szCs w:val="20"/>
                <w:color w:val="auto"/>
              </w:rPr>
            </w:pPr>
            <w:r>
              <w:rPr>
                <w:rFonts w:ascii="Arial" w:cs="Arial" w:eastAsia="Arial" w:hAnsi="Arial"/>
                <w:sz w:val="17"/>
                <w:szCs w:val="17"/>
                <w:color w:val="auto"/>
                <w:w w:val="92"/>
              </w:rPr>
              <w:t>BALANCE, September 30, 2015</w:t>
            </w:r>
          </w:p>
        </w:tc>
        <w:tc>
          <w:tcPr>
            <w:tcW w:w="8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9"/>
              </w:rPr>
              <w:t>22,049,529</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220</w:t>
            </w: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(573,788</w:t>
            </w:r>
          </w:p>
        </w:tc>
        <w:tc>
          <w:tcPr>
            <w:tcW w:w="280" w:type="dxa"/>
            <w:vAlign w:val="bottom"/>
            <w:gridSpan w:val="2"/>
          </w:tcPr>
          <w:p>
            <w:pPr>
              <w:jc w:val="right"/>
              <w:ind w:right="155"/>
              <w:spacing w:after="0"/>
              <w:rPr>
                <w:sz w:val="20"/>
                <w:szCs w:val="20"/>
                <w:color w:val="auto"/>
              </w:rPr>
            </w:pPr>
            <w:r>
              <w:rPr>
                <w:rFonts w:ascii="Arial" w:cs="Arial" w:eastAsia="Arial" w:hAnsi="Arial"/>
                <w:sz w:val="7"/>
                <w:szCs w:val="7"/>
                <w:color w:val="auto"/>
                <w:w w:val="8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(4,401</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193,628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(88,033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Grants under compensation plans</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5,670</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Acquisition of treasury stock</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83"/>
              <w:spacing w:after="0"/>
              <w:rPr>
                <w:sz w:val="20"/>
                <w:szCs w:val="20"/>
                <w:color w:val="auto"/>
              </w:rPr>
            </w:pPr>
            <w:r>
              <w:rPr>
                <w:rFonts w:ascii="Arial" w:cs="Arial" w:eastAsia="Arial" w:hAnsi="Arial"/>
                <w:sz w:val="17"/>
                <w:szCs w:val="17"/>
                <w:color w:val="auto"/>
              </w:rPr>
              <w:t>(59,872)</w:t>
            </w:r>
          </w:p>
        </w:tc>
        <w:tc>
          <w:tcPr>
            <w:tcW w:w="780" w:type="dxa"/>
            <w:vAlign w:val="bottom"/>
            <w:gridSpan w:val="3"/>
          </w:tcPr>
          <w:p>
            <w:pPr>
              <w:jc w:val="right"/>
              <w:ind w:right="43"/>
              <w:spacing w:after="0"/>
              <w:rPr>
                <w:sz w:val="20"/>
                <w:szCs w:val="20"/>
                <w:color w:val="auto"/>
              </w:rPr>
            </w:pPr>
            <w:r>
              <w:rPr>
                <w:rFonts w:ascii="Arial" w:cs="Arial" w:eastAsia="Arial" w:hAnsi="Arial"/>
                <w:sz w:val="17"/>
                <w:szCs w:val="17"/>
                <w:color w:val="auto"/>
              </w:rPr>
              <w:t>(685)</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forfeitures</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83"/>
              <w:spacing w:after="0"/>
              <w:rPr>
                <w:sz w:val="20"/>
                <w:szCs w:val="20"/>
                <w:color w:val="auto"/>
              </w:rPr>
            </w:pPr>
            <w:r>
              <w:rPr>
                <w:rFonts w:ascii="Arial" w:cs="Arial" w:eastAsia="Arial" w:hAnsi="Arial"/>
                <w:sz w:val="17"/>
                <w:szCs w:val="17"/>
                <w:color w:val="auto"/>
              </w:rPr>
              <w:t>(7,500)</w:t>
            </w:r>
          </w:p>
        </w:tc>
        <w:tc>
          <w:tcPr>
            <w:tcW w:w="780" w:type="dxa"/>
            <w:vAlign w:val="bottom"/>
            <w:gridSpan w:val="3"/>
            <w:shd w:val="clear" w:color="auto" w:fill="CCEEFF"/>
          </w:tcPr>
          <w:p>
            <w:pPr>
              <w:jc w:val="right"/>
              <w:ind w:right="43"/>
              <w:spacing w:after="0"/>
              <w:rPr>
                <w:sz w:val="20"/>
                <w:szCs w:val="20"/>
                <w:color w:val="auto"/>
              </w:rPr>
            </w:pPr>
            <w:r>
              <w:rPr>
                <w:rFonts w:ascii="Arial" w:cs="Arial" w:eastAsia="Arial" w:hAnsi="Arial"/>
                <w:sz w:val="17"/>
                <w:szCs w:val="17"/>
                <w:color w:val="auto"/>
              </w:rPr>
              <w:t>(72)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Options exercised</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42,500</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compensation</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tcPr>
          <w:p>
            <w:pPr>
              <w:ind w:left="320"/>
              <w:spacing w:after="0" w:line="185" w:lineRule="exact"/>
              <w:rPr>
                <w:sz w:val="20"/>
                <w:szCs w:val="20"/>
                <w:color w:val="auto"/>
              </w:rPr>
            </w:pPr>
            <w:r>
              <w:rPr>
                <w:rFonts w:ascii="Arial" w:cs="Arial" w:eastAsia="Arial" w:hAnsi="Arial"/>
                <w:sz w:val="17"/>
                <w:szCs w:val="17"/>
                <w:color w:val="auto"/>
              </w:rPr>
              <w:t>Net income attributable to IES Holdings,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00" w:type="dxa"/>
            <w:vAlign w:val="bottom"/>
          </w:tcPr>
          <w:p>
            <w:pPr>
              <w:ind w:left="500"/>
              <w:spacing w:after="0"/>
              <w:rPr>
                <w:sz w:val="20"/>
                <w:szCs w:val="20"/>
                <w:color w:val="auto"/>
              </w:rPr>
            </w:pPr>
            <w:r>
              <w:rPr>
                <w:rFonts w:ascii="Arial" w:cs="Arial" w:eastAsia="Arial" w:hAnsi="Arial"/>
                <w:sz w:val="17"/>
                <w:szCs w:val="17"/>
                <w:color w:val="auto"/>
              </w:rPr>
              <w:t>Inc.</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120,778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jc w:val="right"/>
              <w:ind w:right="1175"/>
              <w:spacing w:after="0"/>
              <w:rPr>
                <w:sz w:val="20"/>
                <w:szCs w:val="20"/>
                <w:color w:val="auto"/>
              </w:rPr>
            </w:pPr>
            <w:r>
              <w:rPr>
                <w:rFonts w:ascii="Arial" w:cs="Arial" w:eastAsia="Arial" w:hAnsi="Arial"/>
                <w:sz w:val="17"/>
                <w:szCs w:val="17"/>
                <w:color w:val="auto"/>
                <w:w w:val="91"/>
              </w:rPr>
              <w:t>BALANCE, September 30, 2016</w:t>
            </w:r>
          </w:p>
        </w:tc>
        <w:tc>
          <w:tcPr>
            <w:tcW w:w="82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22,049,529</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220</w:t>
            </w:r>
          </w:p>
        </w:tc>
        <w:tc>
          <w:tcPr>
            <w:tcW w:w="1860" w:type="dxa"/>
            <w:vAlign w:val="bottom"/>
            <w:gridSpan w:val="6"/>
            <w:shd w:val="clear" w:color="auto" w:fill="CCEEFF"/>
          </w:tcPr>
          <w:p>
            <w:pPr>
              <w:jc w:val="right"/>
              <w:ind w:right="43"/>
              <w:spacing w:after="0"/>
              <w:rPr>
                <w:sz w:val="20"/>
                <w:szCs w:val="20"/>
                <w:color w:val="auto"/>
              </w:rPr>
            </w:pPr>
            <w:r>
              <w:rPr>
                <w:rFonts w:ascii="Arial" w:cs="Arial" w:eastAsia="Arial" w:hAnsi="Arial"/>
                <w:sz w:val="17"/>
                <w:szCs w:val="17"/>
                <w:color w:val="auto"/>
              </w:rPr>
              <w:t xml:space="preserve">(592,990)   </w:t>
            </w:r>
            <w:r>
              <w:rPr>
                <w:rFonts w:ascii="Arial" w:cs="Arial" w:eastAsia="Arial" w:hAnsi="Arial"/>
                <w:sz w:val="17"/>
                <w:szCs w:val="17"/>
                <w:u w:val="single" w:color="auto"/>
                <w:color w:val="auto"/>
              </w:rPr>
              <w:t>$</w:t>
            </w:r>
            <w:r>
              <w:rPr>
                <w:rFonts w:ascii="Arial" w:cs="Arial" w:eastAsia="Arial" w:hAnsi="Arial"/>
                <w:sz w:val="17"/>
                <w:szCs w:val="17"/>
                <w:color w:val="auto"/>
              </w:rPr>
              <w:t>(4,781)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195,221</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32,745</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320"/>
              <w:spacing w:after="0"/>
              <w:rPr>
                <w:sz w:val="20"/>
                <w:szCs w:val="20"/>
                <w:color w:val="auto"/>
              </w:rPr>
            </w:pPr>
            <w:r>
              <w:rPr>
                <w:rFonts w:ascii="Arial" w:cs="Arial" w:eastAsia="Arial" w:hAnsi="Arial"/>
                <w:sz w:val="17"/>
                <w:szCs w:val="17"/>
                <w:color w:val="auto"/>
              </w:rPr>
              <w:t>Grants under compensation plans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color w:val="auto"/>
              </w:rPr>
              <w:t>Cumulative effect adjustment from</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adoption of ASU 2016-09</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304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Acquisition of treasury stock</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83"/>
              <w:spacing w:after="0"/>
              <w:rPr>
                <w:sz w:val="20"/>
                <w:szCs w:val="20"/>
                <w:color w:val="auto"/>
              </w:rPr>
            </w:pPr>
            <w:r>
              <w:rPr>
                <w:rFonts w:ascii="Arial" w:cs="Arial" w:eastAsia="Arial" w:hAnsi="Arial"/>
                <w:sz w:val="17"/>
                <w:szCs w:val="17"/>
                <w:color w:val="auto"/>
              </w:rPr>
              <w:t>(152,860)</w:t>
            </w:r>
          </w:p>
        </w:tc>
        <w:tc>
          <w:tcPr>
            <w:tcW w:w="780" w:type="dxa"/>
            <w:vAlign w:val="bottom"/>
            <w:gridSpan w:val="3"/>
          </w:tcPr>
          <w:p>
            <w:pPr>
              <w:jc w:val="right"/>
              <w:ind w:right="43"/>
              <w:spacing w:after="0"/>
              <w:rPr>
                <w:sz w:val="20"/>
                <w:szCs w:val="20"/>
                <w:color w:val="auto"/>
              </w:rPr>
            </w:pPr>
            <w:r>
              <w:rPr>
                <w:rFonts w:ascii="Arial" w:cs="Arial" w:eastAsia="Arial" w:hAnsi="Arial"/>
                <w:sz w:val="17"/>
                <w:szCs w:val="17"/>
                <w:color w:val="auto"/>
              </w:rPr>
              <w:t>(2,367)</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forfeitures</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83"/>
              <w:spacing w:after="0"/>
              <w:rPr>
                <w:sz w:val="20"/>
                <w:szCs w:val="20"/>
                <w:color w:val="auto"/>
              </w:rPr>
            </w:pPr>
            <w:r>
              <w:rPr>
                <w:rFonts w:ascii="Arial" w:cs="Arial" w:eastAsia="Arial" w:hAnsi="Arial"/>
                <w:sz w:val="17"/>
                <w:szCs w:val="17"/>
                <w:color w:val="auto"/>
              </w:rPr>
              <w:t>(2,257)</w:t>
            </w:r>
          </w:p>
        </w:tc>
        <w:tc>
          <w:tcPr>
            <w:tcW w:w="780" w:type="dxa"/>
            <w:vAlign w:val="bottom"/>
            <w:gridSpan w:val="3"/>
            <w:shd w:val="clear" w:color="auto" w:fill="CCEEFF"/>
          </w:tcPr>
          <w:p>
            <w:pPr>
              <w:jc w:val="right"/>
              <w:ind w:right="43"/>
              <w:spacing w:after="0"/>
              <w:rPr>
                <w:sz w:val="20"/>
                <w:szCs w:val="20"/>
                <w:color w:val="auto"/>
              </w:rPr>
            </w:pPr>
            <w:r>
              <w:rPr>
                <w:rFonts w:ascii="Arial" w:cs="Arial" w:eastAsia="Arial" w:hAnsi="Arial"/>
                <w:sz w:val="17"/>
                <w:szCs w:val="17"/>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Options exercised</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33,750</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compensation</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Arial" w:cs="Arial" w:eastAsia="Arial" w:hAnsi="Arial"/>
                <w:sz w:val="17"/>
                <w:szCs w:val="17"/>
                <w:color w:val="auto"/>
              </w:rPr>
              <w:t>Increase in noncontrolling interest</w:t>
            </w: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color w:val="auto"/>
              </w:rPr>
              <w:t>Net income attributable to IES Holdings,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Inc.</w:t>
            </w: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jc w:val="right"/>
              <w:ind w:right="1175"/>
              <w:spacing w:after="0"/>
              <w:rPr>
                <w:sz w:val="20"/>
                <w:szCs w:val="20"/>
                <w:color w:val="auto"/>
              </w:rPr>
            </w:pPr>
            <w:r>
              <w:rPr>
                <w:rFonts w:ascii="Arial" w:cs="Arial" w:eastAsia="Arial" w:hAnsi="Arial"/>
                <w:sz w:val="17"/>
                <w:szCs w:val="17"/>
                <w:color w:val="auto"/>
                <w:w w:val="92"/>
              </w:rPr>
              <w:t>BALANCE ,September 30, 2017</w:t>
            </w:r>
          </w:p>
        </w:tc>
        <w:tc>
          <w:tcPr>
            <w:tcW w:w="8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9"/>
              </w:rPr>
              <w:t>22,049,529</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220</w:t>
            </w: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(712,554</w:t>
            </w: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(6,898</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196,955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color w:val="auto"/>
              </w:rPr>
              <w:t>Years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13,594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120,878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sale of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Non-cash compensation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(98,402)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(22,439)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in conjunction with business combinations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(59,544)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(24,532)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(60,736)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Contingent consideration payment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(16,139)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33,221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28,290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Cash paid for interest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income taxes (net)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52" w:lineRule="exact"/>
        <w:rPr>
          <w:sz w:val="20"/>
          <w:szCs w:val="20"/>
          <w:color w:val="auto"/>
        </w:rPr>
      </w:pPr>
    </w:p>
    <w:p>
      <w:pPr>
        <w:ind w:left="1060" w:right="260" w:hanging="316"/>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right="6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 Nationwide provider of technology infrastructure products and services to large corporations and independent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consolidated subsidiaries.</w:t>
      </w:r>
    </w:p>
    <w:p>
      <w:pPr>
        <w:spacing w:after="0" w:line="17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Our Commercial &amp; Industrial segment offers a broad range of expertise that enables us to provide a wide array of electrical and mechanical design, construction, and maintenance services to the commercial and industrial markets. The offerings under our design services platform range from budget assistance to providing design-build and LEED solutions to our end customers. These services are typically integrated with our construction services. Our construction services range from the initial planning and procurement to installation and start-up. The construction services are offered to a variety of new and remodel construction projects including transmission and distribution projects. The maintenance services offered include constant presence, critical plant shutdown, troubleshooting, emergency testing, and preventative maintenance. We provide our services for a variety of project types, including: office buildings, manufacturing facilities, data centers, chemical plants, refineries, wind farms, solar facilities and municipal infrastructure and health care facilities. The Commercial &amp; Industrial segment consists of 24 locations, including the segment headquarters in Houston, Texas. These locations geographically cover Texas, Nebraska, Colorado, Oregon and the Southeast and Mid-Atlantic regions.</w:t>
      </w:r>
    </w:p>
    <w:p>
      <w:pPr>
        <w:spacing w:after="0" w:line="16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Our Communications segment is a leading provider of network infrastructure services for data centers and other mission critical environments. Services offered include the design, installation and maintenance of network infrastructure for the financial, medical, hospitality, government, high-tech manufacturing, educational and information technology industries, including for Fortune 500 companies. We also provide the design and installation of audio/visual, telephone, fire, wireless access and intrusion alarm systems as well as design/build, service and maintenance of data network systems. We perform services across the United States from our 12 offices, which include our Communications headquarters located in Tempe, Arizona, allowing for dedicated onsite maintenance teams at our customers’ sites.</w:t>
      </w:r>
    </w:p>
    <w:p>
      <w:pPr>
        <w:spacing w:after="0" w:line="178"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Our Infrastructure Solutions segment provides electro-mechanical solutions for industrial operations to domestic and international customers. In particular, our electro-mechanical services include the maintenance and repair of alternating current (AC) and direct current (DC) electric motors and generators, as well as power generating and distribution equipment; the manufacture, remanufacture, and repair of industrial lifting magnets; maintenance and repair of railroad main and auxiliary generators, main alternators, and traction motors; and the manufacture of bus duct solutions used in power distribution. This segment serves the steel, railroad, marine, petrochemical,</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pulp and paper, wind energy, mining, automotive, power generation, scrap yards, and utility industries. Infrastructure Solutions is comprised of 10 locations, headquartered in Ohio. These locations geographically cover Alabama, Georgia, Indiana, Illinois, Ohio, West Virginia and California.</w:t>
      </w:r>
    </w:p>
    <w:p>
      <w:pPr>
        <w:spacing w:after="0" w:line="124"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Residential segment provides electrical installation services for single-family housing and multi-family apartment complexes and cable television installations for residential and light commercial applications. In addition to our core electrical construction work, the Residential segment also provides services for the installation of residential solar power, both for new construction and existing residences. The Residential segment is made up of 36 locations, which include our Residential headquarters in Houston, Texas. These locations geographically cover the Sun-Belt, Western and Mid-Atlantic regions of the United States.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Controlling Shareholder</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At September 30, 2017, Tontine Associates, L.L.C. and its affiliates (collectively, “Tontine”), was the controlling shareholder of the Company’s common stock. Accordingly, Tontine has the ability to exercise significant control over our affairs, including the election of directors and most actions requiring the approval of shareholders, including the approval of any potential merger or sale of all or substantially all assets or segments of the Company, or the Company itself. For a more complete discussion on our relationship with Tontine, please refer to Note 3, “Controlling Shareholder” in the notes to our Consolidated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IES Holdings, Inc. and its consolidated subsidiaries. All significant intercompany accounts and transactions have been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fiscal years ended September 30, 2017, 2016 and 2015, the Company recorded no asset impairment charges.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Inventories consist of raw materials, work in process, finished goods, and parts and supplies held for use in the ordinary course of business. Inventory is valued at the lower of cost or market generally using the historical average cost or first-in, first-out (FIFO) method. When circumstances dictate, we write down inventory to its estimated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Securities and Equity Investments</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investments in entities where we do not have the ability to exercise significant influence are accounted for using the cost method of accounting. Each period, we evaluate whether an event or change in circumstances has occurred that may indicate an investment has been impaired. If, upon further investigation of such events, we determine the investment has suffered a decline in value that is other than temporary, we write down the investment to its estimated fair value.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left="200" w:right="140"/>
        <w:spacing w:after="0" w:line="342" w:lineRule="auto"/>
        <w:rPr>
          <w:sz w:val="20"/>
          <w:szCs w:val="20"/>
          <w:color w:val="auto"/>
        </w:rPr>
      </w:pPr>
      <w:r>
        <w:rPr>
          <w:rFonts w:ascii="Arial" w:cs="Arial" w:eastAsia="Arial" w:hAnsi="Arial"/>
          <w:sz w:val="16"/>
          <w:szCs w:val="16"/>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w:t>
      </w:r>
    </w:p>
    <w:p>
      <w:pPr>
        <w:spacing w:after="0" w:line="124"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Goodwill attributable to each reporting unit is tested for impairment by comparing the fair value of each reporting unit with its carrying value.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spacing w:after="0" w:line="17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Intangible assets with definite lives are amortized over their estimated useful lives based on expected economic benefit with no residual value. Customer relationships are amortized assuming gradual attrition.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Debt issuance costs are included as a reduction of our debt outstanding, and are amortized to interest expense over the scheduled maturity of the debt. Amortization expense of debt issuance costs was $294, $345 and $316, respectively, for the years ended 2017, 2016 and 2015. Remaining unamortized capitalized debt issuance costs were $1,115 and $976 at September 30, 2017, and September 30, 2016, respectively.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Revenue is generally recognized once the following four criteria are met: (i) persuasive evidence of an arrangement exists, (ii) delivery of the product has occurred or services have been rendered, (iii) the price of the product or service is fixed and determinable, and (iv) collectability is reasonably assured. Costs associated with these services are recognized within the period they are incurred.</w:t>
      </w:r>
    </w:p>
    <w:p>
      <w:pPr>
        <w:spacing w:after="0" w:line="18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We recognize revenue on project contracts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may result in revisions to costs and income and the effects of these revisions are recognized in the period in which the revisions are determined. During the twelve months ended September 30, 2017, we recorded expense of $3,893 related to changes in estimates on two jobs in our Commercial &amp; Industrial segment. Provisions for total estimated losses on uncompleted contracts are made in the period in which such losses are determined. The balances billed but not paid by customers pursuant to retainage provisions in project contracts will be due upon completion of the contracts and acceptance by the customer. Based on our experience, the retention balance at each balance sheet date will be collected within the subsequent fiscal year.</w:t>
      </w:r>
    </w:p>
    <w:p>
      <w:pPr>
        <w:spacing w:after="0" w:line="188"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Certain divisions in the Residential and Infrastructure Solutions segments use the completed contract method of accounting because the duration of their contracts are short in nature. We recognize revenue on completed contracts when the project is complete and billable to the customer. Provisions for estimated losses on these contracts are recorded in the period such losses are determined.</w:t>
      </w:r>
    </w:p>
    <w:p>
      <w:pPr>
        <w:spacing w:after="0" w:line="181"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The current asset “Costs and estimated earnings in excess of billings” represents revenues recognized in excess of amounts billed which management believes will generally be billed and collected within the next twelve months. Also included in this asset, from time to time, are claims and unapproved change orders which are amounts we are in the process of collecting from our customers or agencies for changes in contract specifications or design, contract change orders in dispute or unapproved as to scope and price, or other related causes of unanticipated additional contract costs. Claims are limited to costs incurred and are recorded at estimated realizable value when collection is probable and can be reasonably estimated. We do not recognize profits on project costs incurred in connection with claims. Claims made by us involve negotiation and, in certain cases, litigation. Such litigation costs are expensed as incurred. As of September 30, 2017, 2016 and 2015, there were no material revenues recorded associated with any outstanding claims or unapproved change orders. The current liability “Billings in excess of costs and estimated earnings” represents billings in excess of revenues recognized. Billings in excess of costs and estimated earnings are amounts considered recoverable from customers based on different measures of performance, including achievement of specific milestones or completion of specified units designated within the contract.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17"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We record accounts receivable for all amounts billed and not collected. Generally, we do not charge interest on outstanding accounts receivable; however, from time to time we may believe it necessary to charge interest on a case by case basis. Additionally, we provide an allowance for doubtful accounts for specific accounts receivable where collection is considered doubtful as well as for general unknown collection issues based on historical trends. Accounts receivable not determined to be collectible are written off as deemed necessary in the period such determination is made. As is common in our industry, some of these receivables are in litigation or require us to exercise our contractual lien rights in order to collect. These receivables are primarily associated with a few branches within our Commercial &amp; Industrial segment. Certain other receivables are slow-pay in nature and require us to exercise our contractual or lien rights. Our allowance for doubtful accounts at September 30, 2017 and 2016 was $650 and $736, respectively. We believe that our allowance for doubtful accounts is sufficient to cover uncollectible receivables as of September 30,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Comprehensive income includes all changes in equity during a period except those resulting from investments by and distributions to stockholders.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We follow the asset and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18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regularly evaluate valuation allowances established for deferred tax assets for which future realization is uncertain. We perform this evaluation on a quarterly basis. The estimation of required valuation allowances includes estimates of future taxable income. In assessing the realizability of deferred tax assets at September 30, 2017, we concluded, based upon the assessment of positive and negative evidence, that it is more likely than not that the Company will generate sufficient taxable income within the applicable NOL carryforward periods to realize its net deferred tax assets of $86,211. We considered the scheduled reversal of deferred tax liabilities, projected future taxable income and tax planning strategies in making this assessment. If actual future taxable income is different from these estimates, our results could be affected.</w:t>
      </w:r>
    </w:p>
    <w:p>
      <w:pPr>
        <w:spacing w:after="0" w:line="178" w:lineRule="exact"/>
        <w:rPr>
          <w:sz w:val="20"/>
          <w:szCs w:val="20"/>
          <w:color w:val="auto"/>
        </w:rPr>
      </w:pPr>
    </w:p>
    <w:p>
      <w:pPr>
        <w:ind w:left="200" w:right="480"/>
        <w:spacing w:after="0" w:line="259" w:lineRule="auto"/>
        <w:rPr>
          <w:sz w:val="20"/>
          <w:szCs w:val="20"/>
          <w:color w:val="auto"/>
        </w:rPr>
      </w:pPr>
      <w:r>
        <w:rPr>
          <w:rFonts w:ascii="Arial" w:cs="Arial" w:eastAsia="Arial" w:hAnsi="Arial"/>
          <w:sz w:val="18"/>
          <w:szCs w:val="18"/>
          <w:color w:val="auto"/>
        </w:rPr>
        <w:t>On May 12, 2006, we had a change in ownership as defined in Internal Revenue Code Section 382. Internal Revenue Code Section 382 limits the utilization of net operating losses that existed as of the change in ownership in tax periods subsequent to the change in ownership. As such, our utilization after the change date of net operating losses in existence as of the change in ownership is subject to Internal Revenue Code Section 382 limitations for federal income taxes and some state income taxes.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 Management</w:t>
      </w:r>
    </w:p>
    <w:p>
      <w:pPr>
        <w:spacing w:after="0" w:line="11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subject to annual aggregate limits. Our general liability program provides coverage for bodily injury and property damage. Losses up to the deductible amounts are accrued based upon our known claims incurred and an estimate of claims incurred but not reported. Each year, we compile our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historical data pertaining to the insurance experiences and actuarially develop the ultimate loss associated with our insurance programs other than pollution coverage for our Infrastructure Solutions segment. We believe that the actuarial valuation provides the best estimate of the ultimate losses to be expected under these programs.</w:t>
      </w:r>
    </w:p>
    <w:p>
      <w:pPr>
        <w:spacing w:after="0" w:line="181"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The undiscounted ultimate losses of our workers’ compensation, auto and general liability insurance reserves at September 30, 2017, and 2016, was $5,306 and $5,223, respectively. Based on historical payment patterns, we expect payments of undiscounted ultimate losses to be made as follows: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$1,888</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5,306</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We elect to discount the ultimate losses above to present value using an approximate risk-free rate over the average life of our insurance claims. For the years ended September 30, 2017 and 2016, the discount rate used was 1.9 percent and 1.1 percent, respectively. The present value of all insurance reserves for the employee group health claims, workers’ compensation, auto and general liability recorded at September 30, 2017, and 2016 was $6,204 and $5,464, respectively. Our employee group health claims are anticipated to be resolved within the year ended September 30, 2018.</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had letters of credit totaling $5,985 outstanding at September 30, 2017 to collateralize certain of our high deductible insurance obligations.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Realization of Long-Lived Assets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years ended September 30, 2017, 2016 and 2015, no indicators of impairments were identified, and no impairment charges were recorded.</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 Concentration</w:t>
      </w:r>
    </w:p>
    <w:p>
      <w:pPr>
        <w:spacing w:after="0" w:line="11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money market mutual funds. There can be no assurance, however, that we will not be adversely affected by credit risks we face.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single customer accounted for more than 10% of our consolidated revenues for the years ended September 30, 2017, 2016 and 2015.</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left="200" w:right="240"/>
        <w:spacing w:after="0" w:line="302" w:lineRule="auto"/>
        <w:rPr>
          <w:sz w:val="20"/>
          <w:szCs w:val="20"/>
          <w:color w:val="auto"/>
        </w:rPr>
      </w:pPr>
      <w:r>
        <w:rPr>
          <w:rFonts w:ascii="Arial" w:cs="Arial" w:eastAsia="Arial" w:hAnsi="Arial"/>
          <w:sz w:val="16"/>
          <w:szCs w:val="16"/>
          <w:color w:val="auto"/>
        </w:rPr>
        <w:t>Our financial instruments consist of cash and cash equivalents, accounts receivable, investments, accounts payable, and a loan agreement. We believe that the carrying value of financial instruments, with the exception of our cost method investment in EnerTech Capital Partners II L.P. (“Enertech”), a private investment fund classified as other non-current assets in the accompanying Consolidated Balance Sheets, approximates their fair value due to their short-term nature. The carrying value of our debt approximates fair value, as debt incurs interest at a variable rate.</w:t>
      </w:r>
    </w:p>
    <w:p>
      <w:pPr>
        <w:spacing w:after="0" w:line="154"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We estimate the fair value of our investment in EnerTech (Level 3) using quoted market prices for underlying publicly traded securities, and estimated enterprise values determined using cash flow projections and market multiples of the underlying non-public companies. For additional information, please refer to Note 6, “Detail of Certain Balance Sheet Accounts — </w:t>
      </w:r>
      <w:r>
        <w:rPr>
          <w:rFonts w:ascii="Arial" w:cs="Arial" w:eastAsia="Arial" w:hAnsi="Arial"/>
          <w:sz w:val="18"/>
          <w:szCs w:val="18"/>
          <w:i w:val="1"/>
          <w:iCs w:val="1"/>
          <w:color w:val="auto"/>
        </w:rPr>
        <w:t>Securities and Equity Investments.”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We measure and record compensation expense for all share-based payment awards based on the fair value of the awards granted, net of estimated forfeitures, at the date of grant. We calculate the fair value of stock options using a binomial option pricing model.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from discretionary awards is recognized on a straight-line basis over the requisite service period, which is generally the vesting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Compensation Plans</w:t>
      </w:r>
    </w:p>
    <w:p>
      <w:pPr>
        <w:spacing w:after="0" w:line="117"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The Company maintains a rabbi trust to fund certain deferred compensation plans. The securities held by the trust are classified as trading securities. The investments are recorded at fair value and are classified as other non-current assets in the accompanying Consolidated Balance Sheets as of September 30, 2017, and 2016. The changes in fair values are recorded as a component of other income (expense) in the Consolidated Statements of Comprehensive Income.</w:t>
      </w:r>
    </w:p>
    <w:p>
      <w:pPr>
        <w:spacing w:after="0" w:line="18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In connection with our acquisitions of STR Mechanical, LLC (“STR Mechanical”) in fiscal 2016 and NEXT Electric, LLC (“NEXT Electric”) in fiscal 2017, we acquired 80 percent interests in the entities, and the remaining 20 percent was retained by third party sellers. The interests retained by those third party sellers are identified on our Consolidated Balance Sheets as noncontrolling interest, classified outside of permanent equity. Under the terms of the operating agreements governing these entities, after five years from the dates of the acquisitions, we may elect to purchase, or the third party sellers may require us to purchase, part of all of the remaining 20 percent interests in these entities. The purchase price is variable, based on 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September 30, 2017, the redemption amount would have been $2,770. See Note 18, “Business Combinations and Divestitures” for further discussion. For the year ended September 30, 2017, we recorded a reduction to retained earnings of $44 to increase the carrying amount of the noncontrolling interest in STR to its redemption amount, if it had been redeemable at September 30, 2017.</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left="200" w:right="460"/>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(“ASU 2014-09”), a comprehensive new revenue recognition standard which will supersede previous existing revenue recognition guidance. The standard creates a five-step model for revenue recognition that requires companies to exercise judgment when considering contract terms and relevant facts and circumstances. The standard also requires expanded disclosures surrounding revenue recognition. The effective date will be the first quarter of our fiscal year ended September 30,</w:t>
      </w:r>
    </w:p>
    <w:p>
      <w:pPr>
        <w:spacing w:after="0" w:line="2" w:lineRule="exact"/>
        <w:rPr>
          <w:sz w:val="20"/>
          <w:szCs w:val="20"/>
          <w:color w:val="auto"/>
        </w:rPr>
      </w:pPr>
    </w:p>
    <w:p>
      <w:pPr>
        <w:jc w:val="both"/>
        <w:ind w:left="200" w:right="140"/>
        <w:spacing w:after="0" w:line="292" w:lineRule="auto"/>
        <w:rPr>
          <w:sz w:val="20"/>
          <w:szCs w:val="20"/>
          <w:color w:val="auto"/>
        </w:rPr>
      </w:pPr>
      <w:r>
        <w:rPr>
          <w:rFonts w:ascii="Arial" w:cs="Arial" w:eastAsia="Arial" w:hAnsi="Arial"/>
          <w:sz w:val="16"/>
          <w:szCs w:val="16"/>
          <w:color w:val="auto"/>
        </w:rPr>
        <w:t>2019. The standard allows for either full retrospective or modified retrospective adoption, and we currently plan to use the modified retrospective basis on the adoption date. We are continuing to evaluate the impact of the adoption of this standard on our Consolidated Financial Statements. In particular, we continue to analyze areas including contract termination provisions, customer furnished materials, and accounting for change orders. However, we expect that we will continue to recognize revenues for most of our fixed-price contracts over time, as services are performed. We are also continuing to assess the necessary changes in processes and controls to meet the disclosure requirements of the new standard.</w:t>
      </w:r>
    </w:p>
    <w:p>
      <w:pPr>
        <w:spacing w:after="0" w:line="163"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In February 2016, the FASB issued ASU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expense pattern, similar to current capital leases. ASU 2016-02 becomes effective for the fiscal year ended September 30, 2020. We are currently evaluating whether to early adopt the standard and what impact it will have on our Consolidated Financial Statements.</w:t>
      </w:r>
    </w:p>
    <w:p>
      <w:pPr>
        <w:spacing w:after="0" w:line="193"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In January 2017, the FASB issued ASU 2017-01, Business Combinations. This standard clarifies the definition of a business to assist entities with evaluation of whether transactions should be accounted for as acquisitions or disposals of assets or businesses. The new standard is effective for interim and annual reporting periods beginning after December 15, 2017. The prospective transition method will be required for this new guidance.</w:t>
      </w:r>
    </w:p>
    <w:p>
      <w:pPr>
        <w:spacing w:after="0" w:line="14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In May 2017, the FASB issued ASU 2017-09, Compensation — Stock Compensation, to reduce the diversity in practice and the cost and complexity when changing the terms or conditions of a share-based payment award.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This update is effective for interim and annual financial reporting periods beginning after December 15, 2017, although early adoption is permitted. The prospective transition method will be required for this new guidance.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expect ASUs 2017-01 or 2017-09 to have a material effect on our Consolidated Financial Statements.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This update is intended to simplify the subsequent measurement of goodwill by eliminating the second step in the current two-step goodwill impairment test. This update is effective for public entities for interim and annual reporting periods beginning after December 15, 2019, with early adoption permitted. We early adopted the standard at September 30, 2017, and it had no impact on our results of operations, financial position, or cash flows.</w:t>
      </w:r>
    </w:p>
    <w:p>
      <w:pPr>
        <w:spacing w:after="0" w:line="18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In November 2016, the FASB issued ASU 2016-18, Statement of Cash Flows, to standardize the classification of restricted cash and cash equivalents transactions on the statement of cash flows. The new standard is effective for interim and annual reporting periods beginning after December 15, 2017, although early adoption is permitted. We adopted this guidance at September 30, 2017. The adoption of this guidance increased our cash used in financing activities for the year ended September 30, 2017 and decreased our cash used in financing activities for the year ended September 30, 2016, each by $260.</w:t>
      </w:r>
    </w:p>
    <w:p>
      <w:pPr>
        <w:spacing w:after="0" w:line="188"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In March 2016, the FASB issued ASU No. 2016-09, Compensation — Stock Compensation (“ASU 2016-09”). ASU 2016-09 eliminates additional paid in capital pools and requires excess tax benefits and tax deficiencies to be recorded in the income statement when the awards vest or are settled. The accounting for an employee’s use of shares to satisfy the employer’s statutory income tax withholding obligation and the accounting for forfeitures is also changing. ASU 2016-09 is effective for fiscal years beginning after December 15, 2017, with early adoption permitted.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early adopted ASU 2016-09 in the quarter ended December 31, 2016, which required us to reflect any adjustments as of October 1, 2016. We elected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account for forfeitures as they occur to determine the amount of compensation cost to be recognized, resulting in a cumulative effect adjustment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$59 to reduce retained earnings for the increase to stock compensation expense. We recorded a cumulative effect adjustment of $363 to increase retained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earnings to recognize a deferred tax asset related to tax benefits which were not previously recognized, as the tax deduction related to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expense resulted in an increase to a net operating loss rather than a reduction to income tax payable. Amendments to the accounting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minimum statutory withholding tax requirements had no impact to retained earnings as of October 1, 2016.</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CONTROLLING SHAREHOLDER</w:t>
      </w:r>
    </w:p>
    <w:p>
      <w:pPr>
        <w:spacing w:after="0" w:line="121"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At September 30, 2017, Tontine was the controlling shareholder of the Company’s common stock. Accordingly, Tontine has the ability to exercise significant control over our affairs, including the election of directors and most actions requiring the approval of shareholders.</w:t>
      </w:r>
    </w:p>
    <w:p>
      <w:pPr>
        <w:spacing w:after="0" w:line="147"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While Tontine is subject to restrictions under federal securities laws on sales of its shares as an affiliate, the Company has filed a shelf registration statement that registered for resale all of the shares of IES common stock owned by Tontine at the time of registration. As long as the shelf registration statement remains effective,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The Company maintains a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7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and as Interim Director of Operations of the Company since November 2017, and who previously served as non-executive Vice Chairman of the Board from November 2016 to November 2017 and as non-executive Chairman of the Board from January 2015 to November 2016. David B. Gendell is also an employee of Tontine.</w:t>
      </w:r>
    </w:p>
    <w:p>
      <w:pPr>
        <w:spacing w:after="0" w:line="18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consists of the following:</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Estimated</w:t>
            </w:r>
          </w:p>
        </w:tc>
        <w:tc>
          <w:tcPr>
            <w:tcW w:w="200" w:type="dxa"/>
            <w:vAlign w:val="bottom"/>
          </w:tcPr>
          <w:p>
            <w:pPr>
              <w:spacing w:after="0"/>
              <w:rPr>
                <w:sz w:val="14"/>
                <w:szCs w:val="14"/>
                <w:color w:val="auto"/>
              </w:rPr>
            </w:pPr>
          </w:p>
        </w:tc>
        <w:tc>
          <w:tcPr>
            <w:tcW w:w="226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w w:val="99"/>
              </w:rPr>
              <w:t>Years Ended September 30,</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48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color w:val="auto"/>
                <w:w w:val="96"/>
              </w:rPr>
              <w:t>Useful Lives</w:t>
            </w:r>
          </w:p>
        </w:tc>
        <w:tc>
          <w:tcPr>
            <w:tcW w:w="20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in Years</w:t>
            </w:r>
          </w:p>
        </w:tc>
        <w:tc>
          <w:tcPr>
            <w:tcW w:w="20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color w:val="auto"/>
              </w:rPr>
              <w:t>2017</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5-20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11,675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23,190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Information systems</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2-8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14,318</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51,952</w:t>
            </w:r>
          </w:p>
        </w:tc>
        <w:tc>
          <w:tcPr>
            <w:tcW w:w="6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(27,862)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Depreciation expense from continuing operations was $3,840, $2,727 and $2,128, respectively, for the years ended September 30, 2017, 2016 and 2015.</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PER SHARE INFORMATION</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Basic earnings per share is calculated as income (loss) available to common stockholders, divided by the weighted average number of common shares outstanding during the period. If the effect is dilutive, participating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reconciles the components of the basic and diluted loss per share for the years ended September 30, 2017, 2016 and 2015:</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w w:val="97"/>
              </w:rPr>
              <w:t>Years Ended September 30,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7"/>
              </w:rPr>
              <w:t>Net income from continuing operations attributable to common shareholders of IES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119,722</w:t>
            </w:r>
          </w:p>
        </w:tc>
        <w:tc>
          <w:tcPr>
            <w:tcW w:w="4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noncontrolling interest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7"/>
              </w:rPr>
              <w:t>Net income from continuing operations attributable to restricted shareholders of IES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of IES Holdings, 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gridSpan w:val="2"/>
          </w:tcPr>
          <w:p>
            <w:pPr>
              <w:spacing w:after="0"/>
              <w:rPr>
                <w:sz w:val="20"/>
                <w:szCs w:val="20"/>
                <w:color w:val="auto"/>
              </w:rPr>
            </w:pPr>
            <w:r>
              <w:rPr>
                <w:rFonts w:ascii="Arial" w:cs="Arial" w:eastAsia="Arial" w:hAnsi="Arial"/>
                <w:sz w:val="18"/>
                <w:szCs w:val="18"/>
                <w:color w:val="auto"/>
                <w:w w:val="99"/>
              </w:rPr>
              <w:t>Net loss from discontinued operations attributable to common shareholders of IES</w:t>
            </w: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of IES Holdings, 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attributable to common shareholders</w:t>
            </w:r>
          </w:p>
        </w:tc>
        <w:tc>
          <w:tcPr>
            <w:tcW w:w="4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w:t>
            </w:r>
          </w:p>
        </w:tc>
        <w:tc>
          <w:tcPr>
            <w:tcW w:w="6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noncontrolling interest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attributable to restricted shareholders</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of IES Holdings, 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21,280,549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21,279,342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21,480,622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252,705</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212,997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and common equivalent shares outstanding — diluted</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21,533,254</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21,492,339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21,526,188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 attributable to IES Holdings, Inc.:</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 from continuing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Basic loss per share from discontinued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IES Holdings, Inc.:</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share from continuing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Diluted loss per share from discontinued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500" w:type="dxa"/>
            <w:vAlign w:val="bottom"/>
            <w:gridSpan w:val="2"/>
          </w:tcPr>
          <w:p>
            <w:pPr>
              <w:ind w:left="5420"/>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DETAIL OF CERTAIN BALANCE SHEET ACCOUNTS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Activity in our allowance for doubtful accounts on accounts and receivables consists of the following: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color w:val="auto"/>
                <w:w w:val="99"/>
              </w:rPr>
              <w:t>Years Ended September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4"/>
          </w:tcPr>
          <w:p>
            <w:pPr>
              <w:ind w:left="28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Additions to costs and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Deductions for uncollectible receivables written off, net of recoveries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(466)</w:t>
            </w:r>
          </w:p>
        </w:tc>
        <w:tc>
          <w:tcPr>
            <w:tcW w:w="0" w:type="dxa"/>
            <w:vAlign w:val="bottom"/>
          </w:tcPr>
          <w:p>
            <w:pPr>
              <w:spacing w:after="0"/>
              <w:rPr>
                <w:sz w:val="1"/>
                <w:szCs w:val="1"/>
                <w:color w:val="auto"/>
              </w:rPr>
            </w:pPr>
          </w:p>
        </w:tc>
      </w:tr>
      <w:tr>
        <w:trPr>
          <w:trHeight w:val="223"/>
        </w:trPr>
        <w:tc>
          <w:tcPr>
            <w:tcW w:w="522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Accounts payable and accrued expenses consist of the following:</w:t>
            </w: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20" w:type="dxa"/>
            <w:vAlign w:val="bottom"/>
            <w:gridSpan w:val="4"/>
            <w:vMerge w:val="continue"/>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8"/>
          </w:tcPr>
          <w:p>
            <w:pPr>
              <w:jc w:val="right"/>
              <w:ind w:right="180"/>
              <w:spacing w:after="0"/>
              <w:rPr>
                <w:sz w:val="20"/>
                <w:szCs w:val="20"/>
                <w:color w:val="auto"/>
              </w:rPr>
            </w:pPr>
            <w:r>
              <w:rPr>
                <w:rFonts w:ascii="Arial" w:cs="Arial" w:eastAsia="Arial" w:hAnsi="Arial"/>
                <w:sz w:val="14"/>
                <w:szCs w:val="14"/>
                <w:color w:val="auto"/>
                <w:w w:val="99"/>
              </w:rPr>
              <w:t>Years Ended September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$ 63,246</w:t>
            </w:r>
          </w:p>
        </w:tc>
        <w:tc>
          <w:tcPr>
            <w:tcW w:w="480" w:type="dxa"/>
            <w:vAlign w:val="bottom"/>
            <w:gridSpan w:val="2"/>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64,963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700" w:type="dxa"/>
            <w:vAlign w:val="bottom"/>
            <w:gridSpan w:val="4"/>
          </w:tcPr>
          <w:p>
            <w:pPr>
              <w:jc w:val="right"/>
              <w:spacing w:after="0"/>
              <w:rPr>
                <w:sz w:val="20"/>
                <w:szCs w:val="20"/>
                <w:color w:val="auto"/>
              </w:rPr>
            </w:pPr>
            <w:r>
              <w:rPr>
                <w:rFonts w:ascii="Arial" w:cs="Arial" w:eastAsia="Arial" w:hAnsi="Arial"/>
                <w:sz w:val="18"/>
                <w:szCs w:val="18"/>
                <w:color w:val="auto"/>
              </w:rPr>
              <w:t>33,561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26,827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liabilities</w:t>
            </w:r>
          </w:p>
        </w:tc>
        <w:tc>
          <w:tcPr>
            <w:tcW w:w="2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17,699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11,568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$ 120,710</w:t>
            </w:r>
          </w:p>
        </w:tc>
        <w:tc>
          <w:tcPr>
            <w:tcW w:w="13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$ 108,822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Contracts in progress are as follows:</w:t>
            </w: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20" w:type="dxa"/>
            <w:vAlign w:val="bottom"/>
            <w:gridSpan w:val="4"/>
            <w:vMerge w:val="continue"/>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7"/>
          </w:tcPr>
          <w:p>
            <w:pPr>
              <w:jc w:val="right"/>
              <w:ind w:right="280"/>
              <w:spacing w:after="0"/>
              <w:rPr>
                <w:sz w:val="20"/>
                <w:szCs w:val="20"/>
                <w:color w:val="auto"/>
              </w:rPr>
            </w:pPr>
            <w:r>
              <w:rPr>
                <w:rFonts w:ascii="Arial" w:cs="Arial" w:eastAsia="Arial" w:hAnsi="Arial"/>
                <w:sz w:val="14"/>
                <w:szCs w:val="14"/>
                <w:color w:val="auto"/>
                <w:w w:val="91"/>
              </w:rPr>
              <w:t>Years Ended September 30,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96"/>
              </w:rPr>
              <w:t>2017</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on contracts in progress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74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$ 486,950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$ 409,075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earnings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55,606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542,556</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457,693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 Billings to date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(559,036)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(466,368)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contracts in progress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(16,480)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3"/>
            <w:vMerge w:val="restart"/>
          </w:tcPr>
          <w:p>
            <w:pPr>
              <w:ind w:left="420"/>
              <w:spacing w:after="0"/>
              <w:rPr>
                <w:sz w:val="20"/>
                <w:szCs w:val="20"/>
                <w:color w:val="auto"/>
              </w:rPr>
            </w:pPr>
            <w:r>
              <w:rPr>
                <w:rFonts w:ascii="Arial" w:cs="Arial" w:eastAsia="Arial" w:hAnsi="Arial"/>
                <w:sz w:val="18"/>
                <w:szCs w:val="18"/>
                <w:color w:val="auto"/>
              </w:rPr>
              <w:t>Costs and estimated earnings in excess of billings</w:t>
            </w: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Billings in excess of costs and estimated earnings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(29,918)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tcPr>
          <w:p>
            <w:pPr>
              <w:ind w:left="420"/>
              <w:spacing w:after="0"/>
              <w:rPr>
                <w:sz w:val="20"/>
                <w:szCs w:val="20"/>
                <w:color w:val="auto"/>
              </w:rPr>
            </w:pPr>
            <w:r>
              <w:rPr>
                <w:rFonts w:ascii="Arial" w:cs="Arial" w:eastAsia="Arial" w:hAnsi="Arial"/>
                <w:sz w:val="18"/>
                <w:szCs w:val="18"/>
                <w:color w:val="auto"/>
              </w:rPr>
              <w:t>Net contracts in progress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(16,480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Other non-current assets are comprised of the following:</w:t>
            </w: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20" w:type="dxa"/>
            <w:vAlign w:val="bottom"/>
            <w:gridSpan w:val="4"/>
            <w:vMerge w:val="continue"/>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8"/>
          </w:tcPr>
          <w:p>
            <w:pPr>
              <w:jc w:val="right"/>
              <w:ind w:right="300"/>
              <w:spacing w:after="0"/>
              <w:rPr>
                <w:sz w:val="20"/>
                <w:szCs w:val="20"/>
                <w:color w:val="auto"/>
              </w:rPr>
            </w:pPr>
            <w:r>
              <w:rPr>
                <w:rFonts w:ascii="Arial" w:cs="Arial" w:eastAsia="Arial" w:hAnsi="Arial"/>
                <w:sz w:val="14"/>
                <w:szCs w:val="14"/>
                <w:color w:val="auto"/>
                <w:w w:val="92"/>
              </w:rPr>
              <w:t>Years Ended September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40" w:type="dxa"/>
            <w:vAlign w:val="bottom"/>
            <w:gridSpan w:val="3"/>
          </w:tcPr>
          <w:p>
            <w:pPr>
              <w:jc w:val="right"/>
              <w:ind w:right="121"/>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Securities and equity investments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60" w:type="dxa"/>
            <w:vAlign w:val="bottom"/>
            <w:gridSpan w:val="2"/>
          </w:tcPr>
          <w:p>
            <w:pPr>
              <w:ind w:left="132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3,782</w:t>
            </w:r>
          </w:p>
        </w:tc>
        <w:tc>
          <w:tcPr>
            <w:tcW w:w="2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60" w:type="dxa"/>
            <w:vAlign w:val="bottom"/>
            <w:vMerge w:val="restart"/>
          </w:tcPr>
          <w:p>
            <w:pPr>
              <w:jc w:val="right"/>
              <w:ind w:right="1293"/>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Securities and Equity Investments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At September 30, 2017, and 2016, we held an investment in EnerTech Capital Partners II L.P. (“EnerTech”), a private investment fund. As our investment was 2.21% of the overall ownership in EnerTech at September 30, 2017, and 2016, we account for this investment using the cost method of accounting. EnerTech’s investment portfolio from time to time results in unrealized losses reflecting a possible, other-than-temporary, impairment of our investment. During the year ended September 30, 2017, we collected a distribution of $361, reducing the carrying value of our investment. The carrying value of our investment in EnerTech at September 30, 2017, and 2016 was $558, and $919,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presents the reconciliation of the carrying value and unrealized gains (losses) to the fair value of the investment in EnerTech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2017, and 2016:</w:t>
      </w:r>
    </w:p>
    <w:p>
      <w:pPr>
        <w:spacing w:after="0" w:line="22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color w:val="auto"/>
              </w:rPr>
              <w:t>Years Ended September 30,</w:t>
            </w:r>
          </w:p>
        </w:tc>
      </w:tr>
      <w:tr>
        <w:trPr>
          <w:trHeight w:val="167"/>
        </w:trPr>
        <w:tc>
          <w:tcPr>
            <w:tcW w:w="20" w:type="dxa"/>
            <w:vAlign w:val="bottom"/>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Unrealized gains</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At each reporting date, the Company performs an evaluation of impairment for securities to determine if any unrealized losses are other-than-temporary. For equity securities, this evaluation considers a number of factors including, but not limited to, the length of time and extent to which the fair value has been less than cost, the financial condition and near term prospects of the issuer and management’s ability and intent to hold the securities until fair value recovers. The assessment of the ability and intent to hold these securities to recovery focuses on liquidity needs, asset and liability management objectives and securities portfolio objectives. Based on the results of this evaluation, we believe the unrealized gain at September 30, 2017 indicated our investment was not impaired.</w:t>
      </w:r>
    </w:p>
    <w:p>
      <w:pPr>
        <w:spacing w:after="0" w:line="19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December 2016, EnerTech’s general partner, with the consent of the fund’s investors, extended the fund through December 31, 2017. The fund is expected to terminate on this date unless extended by the fund’s valuation committee. The fund may be extended for another one-year period through December 31, 2018, with the consent of the fund’s valuation committee.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Debt consists of the following:</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0" w:type="dxa"/>
            <w:vAlign w:val="bottom"/>
            <w:gridSpan w:val="4"/>
          </w:tcPr>
          <w:p>
            <w:pPr>
              <w:jc w:val="right"/>
              <w:ind w:right="500"/>
              <w:spacing w:after="0"/>
              <w:rPr>
                <w:sz w:val="20"/>
                <w:szCs w:val="20"/>
                <w:color w:val="auto"/>
              </w:rPr>
            </w:pPr>
            <w:r>
              <w:rPr>
                <w:rFonts w:ascii="Arial" w:cs="Arial" w:eastAsia="Arial" w:hAnsi="Arial"/>
                <w:sz w:val="14"/>
                <w:szCs w:val="14"/>
                <w:color w:val="auto"/>
              </w:rPr>
              <w:t>September 30, 2017</w:t>
            </w:r>
          </w:p>
        </w:tc>
        <w:tc>
          <w:tcPr>
            <w:tcW w:w="1700" w:type="dxa"/>
            <w:vAlign w:val="bottom"/>
            <w:gridSpan w:val="4"/>
          </w:tcPr>
          <w:p>
            <w:pPr>
              <w:jc w:val="right"/>
              <w:ind w:right="120"/>
              <w:spacing w:after="0"/>
              <w:rPr>
                <w:sz w:val="20"/>
                <w:szCs w:val="20"/>
                <w:color w:val="auto"/>
              </w:rPr>
            </w:pPr>
            <w:r>
              <w:rPr>
                <w:rFonts w:ascii="Arial" w:cs="Arial" w:eastAsia="Arial" w:hAnsi="Arial"/>
                <w:sz w:val="14"/>
                <w:szCs w:val="14"/>
                <w:color w:val="auto"/>
              </w:rPr>
              <w:t>September 30, 2016</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loan (long-term debt)</w:t>
            </w:r>
          </w:p>
        </w:tc>
        <w:tc>
          <w:tcPr>
            <w:tcW w:w="1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30,257</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30,233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Debt issuance costs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29,434</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29,257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At September 30, 2017, we had $48,260 available to us under our revolving credit facility, $6,493 in outstanding letters of credit with Wells Fargo and $30,257 outstanding borrowings on our term loan facility under our revolving credit facility (our “revolving loan”). All amounts outstanding under our Revolving Loan are due and payable in 2021, upon expiration of our revolving credit facility, and all amounts described as available are available without triggering our financial covenant under the credit facility.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460"/>
        <w:spacing w:after="0" w:line="308" w:lineRule="auto"/>
        <w:rPr>
          <w:sz w:val="20"/>
          <w:szCs w:val="20"/>
          <w:color w:val="auto"/>
        </w:rPr>
      </w:pPr>
      <w:r>
        <w:rPr>
          <w:rFonts w:ascii="Arial" w:cs="Arial" w:eastAsia="Arial" w:hAnsi="Arial"/>
          <w:sz w:val="17"/>
          <w:szCs w:val="17"/>
          <w:color w:val="auto"/>
        </w:rPr>
        <w:t>Our weighted-average annual interest rate on these borrowings was 3.04% at September 30, 2017, and 2.73% at September 30, 2016. For the years ended September 30, 2017, 2016 and 2015, we incurred interest expense of $1,702, $1,282 and $1,130, respectively.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On April 10, 2017, we entered into a Second Amended and Restated Credit and Security Agreement with Wells Fargo Bank, N.A., which was further amended on August 2, 2017 (as amended, the “Amended Credit Agreement”). Pursuant to the Amended Credit Agreement, our maximum revolver amount increased from $70,000 to $100,000, and the maturity date of our revolving credit facility was extended from August 9, 2019 to August 9, 2021. The Amended Credit Agreement also modified our financial covenants by, among other items, implementing a new covenant that requires the Company to maintain a minimum EBITDA (as defined in the Amended Credit Agreement) that will be tested quarterly on a trailing twelve month basis; increasing the minimum Liquidity (as defined in the Amended Credit Agreement) requirement applicable to the Company from 12.5% to 30% of the maximum revolver amount; raising the Company’s required Fixed Charge Coverage Ratio (as defined in the Amended Credit Agreement) (the “FCCR”) to 1.1:1.0 from 1.0:1.0; and requiring that the FCCR be tested quarterly regardless of the Company’s Liquidity levels.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of the Amended Credit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Amended Credit Agreement contains other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September 30, 2017, we were in compliance with the financial covenants under the Amended Credit Agreement, requiring that we maintain:</w:t>
      </w:r>
    </w:p>
    <w:p>
      <w:pPr>
        <w:spacing w:after="0" w:line="142"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FCCR, measured quarterly on a trailing four-quarter basis at the end of each quarter, of at least 1.1 to 1.0;</w:t>
      </w:r>
    </w:p>
    <w:p>
      <w:pPr>
        <w:spacing w:after="0" w:line="130" w:lineRule="exact"/>
        <w:rPr>
          <w:rFonts w:ascii="Arial" w:cs="Arial" w:eastAsia="Arial" w:hAnsi="Arial"/>
          <w:sz w:val="18"/>
          <w:szCs w:val="18"/>
          <w:color w:val="auto"/>
        </w:rPr>
      </w:pPr>
    </w:p>
    <w:p>
      <w:pPr>
        <w:ind w:left="1060" w:right="24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minimum Liquidity of at least thirty percent (30%) of the Maximum Revolver Amount (as defined in the Amended Credit Agreement), or $30,000; with, for purposes of this covenant, at least fifty percent (50%) of our Liquidity comprised of Excess Availability; and</w:t>
      </w:r>
    </w:p>
    <w:p>
      <w:pPr>
        <w:spacing w:after="0" w:line="51" w:lineRule="exact"/>
        <w:rPr>
          <w:rFonts w:ascii="Arial" w:cs="Arial" w:eastAsia="Arial" w:hAnsi="Arial"/>
          <w:sz w:val="17"/>
          <w:szCs w:val="17"/>
          <w:color w:val="auto"/>
        </w:rPr>
      </w:pPr>
    </w:p>
    <w:p>
      <w:pPr>
        <w:ind w:left="1060" w:right="3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EBITDA, measured at the end of each quarter, of at least the required amount set forth in the following table for the applicable period set forth opposite thereto:</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100" w:type="dxa"/>
            <w:vAlign w:val="bottom"/>
            <w:gridSpan w:val="2"/>
          </w:tcPr>
          <w:p>
            <w:pPr>
              <w:spacing w:after="0"/>
              <w:rPr>
                <w:sz w:val="20"/>
                <w:szCs w:val="20"/>
                <w:color w:val="auto"/>
              </w:rPr>
            </w:pPr>
            <w:r>
              <w:rPr>
                <w:rFonts w:ascii="Arial" w:cs="Arial" w:eastAsia="Arial" w:hAnsi="Arial"/>
                <w:sz w:val="14"/>
                <w:szCs w:val="14"/>
                <w:color w:val="auto"/>
                <w:w w:val="99"/>
              </w:rPr>
              <w:t>Minimum Amount</w:t>
            </w:r>
          </w:p>
        </w:tc>
        <w:tc>
          <w:tcPr>
            <w:tcW w:w="780" w:type="dxa"/>
            <w:vAlign w:val="bottom"/>
          </w:tcPr>
          <w:p>
            <w:pPr>
              <w:spacing w:after="0"/>
              <w:rPr>
                <w:sz w:val="15"/>
                <w:szCs w:val="15"/>
                <w:color w:val="auto"/>
              </w:rPr>
            </w:pPr>
          </w:p>
        </w:tc>
        <w:tc>
          <w:tcPr>
            <w:tcW w:w="9160" w:type="dxa"/>
            <w:vAlign w:val="bottom"/>
          </w:tcPr>
          <w:p>
            <w:pPr>
              <w:ind w:left="4060"/>
              <w:spacing w:after="0"/>
              <w:rPr>
                <w:sz w:val="20"/>
                <w:szCs w:val="20"/>
                <w:color w:val="auto"/>
              </w:rPr>
            </w:pPr>
            <w:r>
              <w:rPr>
                <w:rFonts w:ascii="Arial" w:cs="Arial" w:eastAsia="Arial" w:hAnsi="Arial"/>
                <w:sz w:val="14"/>
                <w:szCs w:val="14"/>
                <w:color w:val="auto"/>
              </w:rPr>
              <w:t>Applicable Period</w:t>
            </w: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$30,000</w:t>
            </w:r>
          </w:p>
        </w:tc>
        <w:tc>
          <w:tcPr>
            <w:tcW w:w="780" w:type="dxa"/>
            <w:vAlign w:val="bottom"/>
            <w:tcBorders>
              <w:top w:val="single" w:sz="8" w:color="CCEEFF"/>
            </w:tcBorders>
            <w:shd w:val="clear" w:color="auto" w:fill="CCEEFF"/>
          </w:tcPr>
          <w:p>
            <w:pPr>
              <w:spacing w:after="0"/>
              <w:rPr>
                <w:sz w:val="18"/>
                <w:szCs w:val="18"/>
                <w:color w:val="auto"/>
              </w:rPr>
            </w:pPr>
          </w:p>
        </w:tc>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each four quarter period ending September 30, 2017, and December 31, 2017</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$32,500</w:t>
            </w:r>
          </w:p>
        </w:tc>
        <w:tc>
          <w:tcPr>
            <w:tcW w:w="9940" w:type="dxa"/>
            <w:vAlign w:val="bottom"/>
            <w:gridSpan w:val="2"/>
          </w:tcPr>
          <w:p>
            <w:pPr>
              <w:ind w:left="780"/>
              <w:spacing w:after="0"/>
              <w:rPr>
                <w:sz w:val="20"/>
                <w:szCs w:val="20"/>
                <w:color w:val="auto"/>
              </w:rPr>
            </w:pPr>
            <w:r>
              <w:rPr>
                <w:rFonts w:ascii="Arial" w:cs="Arial" w:eastAsia="Arial" w:hAnsi="Arial"/>
                <w:sz w:val="18"/>
                <w:szCs w:val="18"/>
                <w:color w:val="auto"/>
              </w:rPr>
              <w:t>For the four quarter period ending March 31, 2018</w:t>
            </w: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$35,000</w:t>
            </w:r>
          </w:p>
        </w:tc>
        <w:tc>
          <w:tcPr>
            <w:tcW w:w="9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For each four quarter period ending June 30, 2018 and each quarter-end thereafter</w:t>
            </w:r>
          </w:p>
        </w:tc>
      </w:tr>
    </w:tbl>
    <w:p>
      <w:pPr>
        <w:spacing w:after="0" w:line="202"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At September 30, 2017, our Liquidity was $76,549 and our Excess Availability was $48,260 (or greater than 50% of minimum Liquidity), our FCCR was 8.0:1.0; and our EBITDA, as defined in the Amended Credit Agreement for the year ended September 30, 2017 was $38,227.</w:t>
      </w:r>
    </w:p>
    <w:p>
      <w:pPr>
        <w:spacing w:after="0" w:line="147"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Our FCCR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 xml:space="preserve">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lender after the date of the Amended Credit Agreement, the components of the FCCR will be calculated for such fiscal period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increases in any change in LIFO reserves and losses from the wind-down of our Denver and Roanoke branches, up to a maximum exclusion of $5,000 for a given measurement period, in each case, determined on a consolidated basis in accordance with GAAP; provided, that if any acquisition is consented to by lender after the date of the Amended Credit Agreement, EBITDA for such fiscal period shall be calculated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18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If in the future our Liquidity falls below $30,000 (or Excess Availability falls below 50% of our minimum Liquidity), our FCCR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At September 30, 2017, the carrying value of amounts outstanding on our revolving credit facility approximated fair value, as debt incurs interest at a variable rate. The fair value of the debt is classified as a Level 2 measurement.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We enter into operating leases for many of our facilities, vehicle and equipment needs. These leases allow us to retain cash,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discussion of leases with certain related parties which are included below, see Note 12, “Related-Party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Rent expense was $6,990, $5,868 and $5,295 for the years ended September 30, 2017, 2016 and 2015,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600" w:type="dxa"/>
            <w:vAlign w:val="bottom"/>
            <w:gridSpan w:val="10"/>
          </w:tcPr>
          <w:p>
            <w:pPr>
              <w:spacing w:after="0"/>
              <w:rPr>
                <w:sz w:val="20"/>
                <w:szCs w:val="20"/>
                <w:color w:val="auto"/>
              </w:rPr>
            </w:pPr>
            <w:r>
              <w:rPr>
                <w:rFonts w:ascii="Arial" w:cs="Arial" w:eastAsia="Arial" w:hAnsi="Arial"/>
                <w:sz w:val="18"/>
                <w:szCs w:val="18"/>
                <w:color w:val="auto"/>
                <w:w w:val="95"/>
              </w:rPr>
              <w:t>Future minimum lease payments under these non-cancelable operating leases with terms in excess of one year are as follows: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93"/>
              </w:rPr>
              <w:t>8,553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3"/>
              </w:rPr>
              <w:t>7,325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93"/>
              </w:rPr>
              <w:t>5,627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3"/>
              </w:rPr>
              <w:t>3,457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93"/>
              </w:rPr>
              <w:t>2,320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3"/>
              </w:rPr>
              <w:t>4,461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400" w:type="dxa"/>
            <w:vAlign w:val="bottom"/>
            <w:gridSpan w:val="2"/>
          </w:tcPr>
          <w:p>
            <w:pPr>
              <w:ind w:left="9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31,743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3"/>
          </w:tcPr>
          <w:p>
            <w:pPr>
              <w:spacing w:after="0"/>
              <w:rPr>
                <w:sz w:val="20"/>
                <w:szCs w:val="20"/>
                <w:color w:val="auto"/>
              </w:rPr>
            </w:pPr>
            <w:r>
              <w:rPr>
                <w:rFonts w:ascii="Arial" w:cs="Arial" w:eastAsia="Arial" w:hAnsi="Arial"/>
                <w:sz w:val="18"/>
                <w:szCs w:val="18"/>
                <w:color w:val="auto"/>
              </w:rPr>
              <w:t>Federal and state income tax provisions for continuing operations are as follows: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gridSpan w:val="6"/>
          </w:tcPr>
          <w:p>
            <w:pPr>
              <w:spacing w:after="0"/>
              <w:rPr>
                <w:sz w:val="20"/>
                <w:szCs w:val="20"/>
                <w:color w:val="auto"/>
              </w:rPr>
            </w:pPr>
            <w:r>
              <w:rPr>
                <w:rFonts w:ascii="Arial" w:cs="Arial" w:eastAsia="Arial" w:hAnsi="Arial"/>
                <w:sz w:val="14"/>
                <w:szCs w:val="14"/>
                <w:color w:val="auto"/>
                <w:w w:val="97"/>
              </w:rPr>
              <w:t>Years Ended September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00" w:type="dxa"/>
            <w:vAlign w:val="bottom"/>
            <w:gridSpan w:val="2"/>
          </w:tcPr>
          <w:p>
            <w:pPr>
              <w:ind w:left="360"/>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w w:val="92"/>
              </w:rPr>
              <w:t>$(3,092)</w:t>
            </w:r>
          </w:p>
        </w:tc>
        <w:tc>
          <w:tcPr>
            <w:tcW w:w="220" w:type="dxa"/>
            <w:vAlign w:val="bottom"/>
          </w:tcPr>
          <w:p>
            <w:pPr>
              <w:jc w:val="right"/>
              <w:ind w:right="5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$ 417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6,384</w:t>
            </w:r>
          </w:p>
        </w:tc>
        <w:tc>
          <w:tcPr>
            <w:tcW w:w="8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(97,093)</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952</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00" w:type="dxa"/>
            <w:vAlign w:val="bottom"/>
            <w:gridSpan w:val="2"/>
          </w:tcPr>
          <w:p>
            <w:pPr>
              <w:ind w:left="360"/>
              <w:spacing w:after="0"/>
              <w:rPr>
                <w:sz w:val="20"/>
                <w:szCs w:val="20"/>
                <w:color w:val="auto"/>
              </w:rPr>
            </w:pPr>
            <w:r>
              <w:rPr>
                <w:rFonts w:ascii="Arial" w:cs="Arial" w:eastAsia="Arial" w:hAnsi="Arial"/>
                <w:sz w:val="18"/>
                <w:szCs w:val="18"/>
                <w:color w:val="auto"/>
              </w:rPr>
              <w:t>Deferred</w:t>
            </w: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(1,738)</w:t>
            </w:r>
          </w:p>
        </w:tc>
        <w:tc>
          <w:tcPr>
            <w:tcW w:w="3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$ 5,211</w:t>
            </w:r>
          </w:p>
        </w:tc>
        <w:tc>
          <w:tcPr>
            <w:tcW w:w="5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(97,117)</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$ 661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Actual income tax expense differs from income tax expense computed by applying the U.S. federal statutory corporate rate of 35 percent to income (loss) before income taxes as follows: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Years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16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at the statutory rate</w:t>
            </w:r>
          </w:p>
        </w:tc>
        <w:tc>
          <w:tcPr>
            <w:tcW w:w="2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$ 6,582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Increase resulting from:</w:t>
            </w:r>
          </w:p>
        </w:tc>
        <w:tc>
          <w:tcPr>
            <w:tcW w:w="2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Alternative minimum tax</w:t>
            </w:r>
          </w:p>
        </w:tc>
        <w:tc>
          <w:tcPr>
            <w:tcW w:w="2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Non-deductible expenses</w:t>
            </w:r>
          </w:p>
        </w:tc>
        <w:tc>
          <w:tcPr>
            <w:tcW w:w="3160" w:type="dxa"/>
            <w:vAlign w:val="bottom"/>
            <w:gridSpan w:val="2"/>
          </w:tcPr>
          <w:p>
            <w:pPr>
              <w:ind w:left="2880"/>
              <w:spacing w:after="0"/>
              <w:rPr>
                <w:sz w:val="20"/>
                <w:szCs w:val="20"/>
                <w:color w:val="auto"/>
              </w:rPr>
            </w:pPr>
            <w:r>
              <w:rPr>
                <w:rFonts w:ascii="Arial" w:cs="Arial" w:eastAsia="Arial" w:hAnsi="Arial"/>
                <w:sz w:val="18"/>
                <w:szCs w:val="18"/>
                <w:color w:val="auto"/>
                <w:w w:val="86"/>
              </w:rPr>
              <w:t>966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Long-lived assets</w:t>
            </w:r>
          </w:p>
        </w:tc>
        <w:tc>
          <w:tcPr>
            <w:tcW w:w="2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State income taxes, net of federal deduction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31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86"/>
              </w:rPr>
              <w:t>142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Contingent tax liabilities</w:t>
            </w:r>
          </w:p>
        </w:tc>
        <w:tc>
          <w:tcPr>
            <w:tcW w:w="26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Decrease resulting from:</w:t>
            </w:r>
          </w:p>
        </w:tc>
        <w:tc>
          <w:tcPr>
            <w:tcW w:w="2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2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(108,987)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Valuation allowance adjustment — acquisitions</w:t>
            </w:r>
          </w:p>
        </w:tc>
        <w:tc>
          <w:tcPr>
            <w:tcW w:w="26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tax liabilities</w:t>
            </w:r>
          </w:p>
        </w:tc>
        <w:tc>
          <w:tcPr>
            <w:tcW w:w="3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(97,117)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0" w:type="dxa"/>
            <w:vAlign w:val="bottom"/>
            <w:vMerge w:val="restart"/>
          </w:tcPr>
          <w:p>
            <w:pPr>
              <w:jc w:val="right"/>
              <w:ind w:right="1752"/>
              <w:spacing w:after="0"/>
              <w:rPr>
                <w:sz w:val="20"/>
                <w:szCs w:val="20"/>
                <w:color w:val="auto"/>
              </w:rPr>
            </w:pPr>
            <w:r>
              <w:rPr>
                <w:rFonts w:ascii="Arial" w:cs="Arial" w:eastAsia="Arial" w:hAnsi="Arial"/>
                <w:sz w:val="18"/>
                <w:szCs w:val="18"/>
                <w:color w:val="auto"/>
              </w:rPr>
              <w:t>74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459" w:right="8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spacing w:after="0" w:line="19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color w:val="auto"/>
              </w:rPr>
              <w:t>Years Ended September 30,</w:t>
            </w:r>
          </w:p>
        </w:tc>
      </w:tr>
      <w:tr>
        <w:trPr>
          <w:trHeight w:val="167"/>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12,915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operating loss carryforward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77,497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Various reserves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Equity losses in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Capital loss carryforward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97,646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60" w:type="dxa"/>
            <w:vAlign w:val="bottom"/>
            <w:shd w:val="clear" w:color="auto" w:fill="CCEEFF"/>
          </w:tcPr>
          <w:p>
            <w:pPr>
              <w:spacing w:after="0"/>
              <w:rPr>
                <w:sz w:val="18"/>
                <w:szCs w:val="18"/>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95,280</w:t>
            </w:r>
          </w:p>
        </w:tc>
        <w:tc>
          <w:tcPr>
            <w:tcW w:w="5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101,094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deferred income tax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86,211</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93,549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 fiscal 2017, the valuation allowance on our deferred tax assets increased by $142, which is included in “Provision (benefits) for income taxes” in our Consolidated Comprehensive Income Statement.</w:t>
      </w:r>
    </w:p>
    <w:p>
      <w:pPr>
        <w:spacing w:after="0" w:line="170"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2002, we adopted a tax accounting method change that allowed us to deduct goodwill for income tax purposes that had previously been classified as non-deductible. The accounting method change resulted in additional amortizable tax basis in goodwill. We believe the realization of the additional tax basis in goodwill is not more likely than not and have not recorded a deferred tax asset. Although a deferred tax asset has not been recorded through September 30, 2017, we have derived a cumulative cash tax reduction of $11,487 from the change in tax accounting method and the subsequent amortization of the additional tax goodwill. In addition, the amortization of the additional tax goodwill has resulted in additional federal net operating loss carry forwards of $142,052 and state net operating loss carry forwards of $6,188. We believe the realization of the additional net operating loss carry forwards is not more likely than not and have not recorded a deferred tax asset. We have a tax basis of $3,411 in additional tax goodwill that will be amortized during the year ended September 30, 2018.</w:t>
      </w:r>
    </w:p>
    <w:p>
      <w:pPr>
        <w:spacing w:after="0" w:line="7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As of September 30, 2017, we had available approximately $378,274 of federal net tax operating loss carry forward for federal income tax purposes, including $142,052 resulting from the additional amortization of tax goodwill. This carry forward, which may provide future tax benefits, will begin to expire in 2026. On May 12, 2006, we had a change in ownership as defined in Internal Revenue Code Section 382. As such, our utilization after the change in control date of our net operating loss in existence as of the change of control date was subject to Section 382 limitations for federal income taxes and some state income taxes. The annual limitation under Section 382 on the utilization of federal net operating losses was approximately $20,000 for the first five tax years subsequent to the change in ownership and $16,000 thereafter. Approximately $300,400 of federal net</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operating losses will not be subject to this limitation. Also, after applying the Section 382 limitation to available state net operating loss carry forwards, we had available approximately $77,373 state net tax operating loss carry forwards, including $6,188 resulting from the additional amortization of tax goodwill which begins to expire as of September 30, 2018. We have provided valuation allowances on all net operating losses where it is determined it is more likely than not that they will expire without being utilized.</w:t>
      </w:r>
    </w:p>
    <w:p>
      <w:pPr>
        <w:spacing w:after="0" w:line="18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In assessing the realizability of deferred tax assets at September 30, 2017,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We believe that $6,347 and $427 of federal and state deferred tax assets, respectively, will be realized by offsetting reversing deferred tax liabilities. In addition, we have $587 of net state deferred tax assets that we expect will be realized, and therefore valuation allowances were not provided for these assets. As a result, we have recorded a net deferred tax asset of $86,211 on our Consolidated Balance Sheets. We will continue to evaluate the appropriateness of our remaining deferred tax assets and need for valuation allowances on a quarterly basis. Further, any future reduction in the federal statutory tax rate could result in a charge to reduce the book value of the net deferred tax assets recorded on our Consolidated Balance Sheet.</w:t>
      </w:r>
    </w:p>
    <w:p>
      <w:pPr>
        <w:spacing w:after="0" w:line="179"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As a result of the reorganization and related adjustment to the book basis in goodwill, we have tax basis in excess of book basis in amortizable goodwill of approximately $24,012.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tax expense.</w:t>
      </w:r>
    </w:p>
    <w:p>
      <w:pPr>
        <w:spacing w:after="0" w:line="187"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balances of unrecognized tax benefit is as follows: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4"/>
                <w:szCs w:val="14"/>
                <w:color w:val="auto"/>
              </w:rPr>
              <w:t>Years Ended September 30,</w:t>
            </w:r>
          </w:p>
        </w:tc>
      </w:tr>
      <w:tr>
        <w:trPr>
          <w:trHeight w:val="167"/>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55,867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Additions for position related to current year</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positions of prior years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Reduction resulting from the lapse of the applicable statutes of limitations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3,707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Reduction resulting from positions of prior years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Reduction resulting from settlement of positions of prior years</w:t>
            </w: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As of September 30, 2017, and 2016, $51,968 and $55,867, respectively, of unrecognized tax benefits would result in a decrease in the provision for income tax expense, of which $50,180 and $50,581 for each of those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years, respectively, relates to net operating loss from additional goodwill resulting from the tax accounting method change discussed above. We believe the realization of the net operating losses resulting from the tax accounting method change is not more likely than not and have not recorded a deferred tax asset. However, if we are partially or fully successful in defending our tax accounting method change we may realize a portion or all of the deferred tax asset related to this net operating loss. We anticipate that approximately $3,284 in liabilities for unrecognized tax benefits, including accrued interest, may be reversed in the next twelve months. The reversal is predominately due to the expiration of the statutes of limitation for unrecognized tax benefits.</w:t>
      </w:r>
    </w:p>
    <w:p>
      <w:pPr>
        <w:spacing w:after="0" w:line="193"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We had approximately $14 and $11 accrued for the payment of interest and penalties at September 30, 2017, and 2016, respectively. We recognize interest and penalties related to unrecognized tax benefits as part of the provision for income taxes.</w:t>
      </w:r>
    </w:p>
    <w:p>
      <w:pPr>
        <w:spacing w:after="0" w:line="17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We are currently not under federal audit by the Internal Revenue Service. The tax years ended September 30, 2014, and forward are subject to federal audit as are tax years prior to September 30, 2014, to the extent of unutilized net operating losses generated in those years. The tax years ended September 30, 2013, and forward are subject to state audits as are tax years prior to September 30, 2013, to the extent of unutilized net operating losses generated in those years.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OPERATING SEGMENTS</w:t>
      </w:r>
    </w:p>
    <w:p>
      <w:pPr>
        <w:spacing w:after="0" w:line="12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purposes of allocating resources and assessing performance. The Company’s CODM is its President.</w:t>
      </w:r>
    </w:p>
    <w:p>
      <w:pPr>
        <w:spacing w:after="0" w:line="166"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information for the years ended September 30, 2017, 2016 and 2015 is as follows: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color w:val="auto"/>
                <w:w w:val="89"/>
              </w:rPr>
              <w:t>Years Ended September 30, 2017</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spacing w:after="0" w:line="123" w:lineRule="exact"/>
              <w:rPr>
                <w:sz w:val="20"/>
                <w:szCs w:val="20"/>
                <w:color w:val="auto"/>
              </w:rPr>
            </w:pPr>
            <w:r>
              <w:rPr>
                <w:rFonts w:ascii="Arial" w:cs="Arial" w:eastAsia="Arial" w:hAnsi="Arial"/>
                <w:sz w:val="14"/>
                <w:szCs w:val="14"/>
                <w:color w:val="auto"/>
              </w:rPr>
              <w:t>Commercial &amp;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Infrastructure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Industrial</w:t>
            </w:r>
          </w:p>
        </w:tc>
        <w:tc>
          <w:tcPr>
            <w:tcW w:w="1300" w:type="dxa"/>
            <w:vAlign w:val="bottom"/>
            <w:gridSpan w:val="4"/>
          </w:tcPr>
          <w:p>
            <w:pPr>
              <w:jc w:val="right"/>
              <w:ind w:right="108"/>
              <w:spacing w:after="0"/>
              <w:rPr>
                <w:sz w:val="20"/>
                <w:szCs w:val="20"/>
                <w:color w:val="auto"/>
              </w:rPr>
            </w:pPr>
            <w:r>
              <w:rPr>
                <w:rFonts w:ascii="Arial" w:cs="Arial" w:eastAsia="Arial" w:hAnsi="Arial"/>
                <w:sz w:val="14"/>
                <w:szCs w:val="14"/>
                <w:color w:val="auto"/>
              </w:rPr>
              <w:t>Communications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Solutions</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2"/>
              </w:rPr>
              <w:t>Residential</w:t>
            </w:r>
          </w:p>
        </w:tc>
        <w:tc>
          <w:tcPr>
            <w:tcW w:w="28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Corporate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274,039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810,744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services</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210,809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670,246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140,498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(14,433)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269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2,046</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w w:val="86"/>
              </w:rPr>
              <w:t>203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84,756</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117,713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424,494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color w:val="auto"/>
                <w:w w:val="94"/>
              </w:rPr>
              <w:t>Years Ended September 30, 2016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3"/>
          </w:tcPr>
          <w:p>
            <w:pPr>
              <w:jc w:val="right"/>
              <w:ind w:right="160"/>
              <w:spacing w:after="0" w:line="123" w:lineRule="exact"/>
              <w:rPr>
                <w:sz w:val="20"/>
                <w:szCs w:val="20"/>
                <w:color w:val="auto"/>
              </w:rPr>
            </w:pPr>
            <w:r>
              <w:rPr>
                <w:rFonts w:ascii="Arial" w:cs="Arial" w:eastAsia="Arial" w:hAnsi="Arial"/>
                <w:sz w:val="14"/>
                <w:szCs w:val="14"/>
                <w:color w:val="auto"/>
                <w:w w:val="95"/>
              </w:rPr>
              <w:t>Commercial &amp;</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Infrastructure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Industrial</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Communications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Solutions</w:t>
            </w:r>
          </w:p>
        </w:tc>
        <w:tc>
          <w:tcPr>
            <w:tcW w:w="3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w w:val="92"/>
              </w:rPr>
              <w:t>Residential</w:t>
            </w:r>
          </w:p>
        </w:tc>
        <w:tc>
          <w:tcPr>
            <w:tcW w:w="38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color w:val="auto"/>
                <w:w w:val="99"/>
              </w:rPr>
              <w:t>Corporate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189,635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225,889</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services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171,874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569,013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(12,561)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272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color w:val="auto"/>
                <w:w w:val="89"/>
              </w:rPr>
              <w:t>Years Ended September 30, 2015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Commercial &amp;</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Infrastructure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8"/>
              </w:rPr>
              <w:t>Industrial</w:t>
            </w:r>
          </w:p>
        </w:tc>
        <w:tc>
          <w:tcPr>
            <w:tcW w:w="1260" w:type="dxa"/>
            <w:vAlign w:val="bottom"/>
            <w:gridSpan w:val="4"/>
          </w:tcPr>
          <w:p>
            <w:pPr>
              <w:ind w:left="200"/>
              <w:spacing w:after="0"/>
              <w:rPr>
                <w:sz w:val="20"/>
                <w:szCs w:val="20"/>
                <w:color w:val="auto"/>
              </w:rPr>
            </w:pPr>
            <w:r>
              <w:rPr>
                <w:rFonts w:ascii="Arial" w:cs="Arial" w:eastAsia="Arial" w:hAnsi="Arial"/>
                <w:sz w:val="14"/>
                <w:szCs w:val="14"/>
                <w:color w:val="auto"/>
                <w:w w:val="99"/>
              </w:rPr>
              <w:t>Communications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Solutions</w:t>
            </w:r>
          </w:p>
        </w:tc>
        <w:tc>
          <w:tcPr>
            <w:tcW w:w="3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w w:val="92"/>
              </w:rPr>
              <w:t>Residential</w:t>
            </w:r>
          </w:p>
        </w:tc>
        <w:tc>
          <w:tcPr>
            <w:tcW w:w="3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141,858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206,307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573,857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services</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164,435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473,966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(9,279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86"/>
              </w:rPr>
              <w:t>277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164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44,156</w:t>
            </w:r>
          </w:p>
        </w:tc>
        <w:tc>
          <w:tcPr>
            <w:tcW w:w="240" w:type="dxa"/>
            <w:vAlign w:val="bottom"/>
          </w:tcPr>
          <w:p>
            <w:pPr>
              <w:spacing w:after="0"/>
              <w:rPr>
                <w:sz w:val="20"/>
                <w:szCs w:val="20"/>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49,500</w:t>
            </w:r>
          </w:p>
        </w:tc>
        <w:tc>
          <w:tcPr>
            <w:tcW w:w="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30,112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37,755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64,156</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225,679</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The Company’s 2006 Equity Incentive Plan, which was amended and restated effective February 9, 2016, following approval by shareholders at the Company’s 2016 Annual Shareholders’ Meeting, provides for grants of stock options as well as grants of stock, including restricted stock. Approximately 3.0 million shares of common stock are authorized for issuance under the amended and restated 2006 Equity Incentive Plan, of which approximately 1,060,191 shares are available for issuance at September 30,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The Company initiated the program in February 2015 and during the year ended</w:t>
      </w:r>
    </w:p>
    <w:p>
      <w:pPr>
        <w:spacing w:after="0" w:line="3" w:lineRule="exact"/>
        <w:rPr>
          <w:sz w:val="20"/>
          <w:szCs w:val="20"/>
          <w:color w:val="auto"/>
        </w:rPr>
      </w:pPr>
    </w:p>
    <w:p>
      <w:pPr>
        <w:ind w:left="200" w:right="160"/>
        <w:spacing w:after="0" w:line="361" w:lineRule="auto"/>
        <w:rPr>
          <w:sz w:val="20"/>
          <w:szCs w:val="20"/>
          <w:color w:val="auto"/>
        </w:rPr>
      </w:pPr>
      <w:r>
        <w:rPr>
          <w:rFonts w:ascii="Arial" w:cs="Arial" w:eastAsia="Arial" w:hAnsi="Arial"/>
          <w:sz w:val="15"/>
          <w:szCs w:val="15"/>
          <w:color w:val="auto"/>
        </w:rPr>
        <w:t>September 30, 2016, pursuant to the program, we repurchased 46,929 shares of common stock at an average price of $11.07 per share. We repurchased 145,484 shares of our common stock during the year ended September 30, 2017, in open market transactions at an average price of $15.37 per share.</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Treasury Stock</w:t>
      </w:r>
    </w:p>
    <w:p>
      <w:pPr>
        <w:spacing w:after="0" w:line="117"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During the year ended September 30, 2017, we repurchased 7,376 shares of common stock from our employees to satisfy minimum tax withholding requirements upon the vesting of restricted stock issued under the 2006 Equity Incentive Plan, 145,484 shares of common stock were repurchased on the open market pursuant to our share repurchase program, and 2,257 shares of common stock were forfeited by former employees and returned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to treasury stock. During the year ended September 30, 2017, we issued 1,803 unrestricted shares of common stock from treasury stock to members of our Board of Directors as part of their overall compensation, and 33,750 unrestricted shares of common stock to satisfy the exercise of outstanding options.</w:t>
      </w:r>
    </w:p>
    <w:p>
      <w:pPr>
        <w:spacing w:after="0" w:line="181"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During the year ended September 30, 2016, we repurchased 6,084 shares of common stock from our employees to satisfy minimum tax withholding requirements upon the vesting of restricted stock issued under the 2006 Equity Incentive Plan, 46,929 shares of common stock were repurchased on the open market pursuant to our share repurchase program, and 7,500 shares of common stock were forfeited by former employees and returned to treasury stock. The Company had 6,859 shares returned to treasury stock during the same period related to the satisfaction of an obligation in connection with a reconciliation of our shares of common stock offered in exchange for shares of MISCOR Group, Ltd during our 2013 acquisition of that company. During the year ended September 30, 2016, we issued 5,670 unrestricted shares of common stock from treasury stock to members of our Board of Directors as part of their overall compensation, and 42,500 unrestricted shares of common stock to satisfy the exercise of outstanding options.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Restricted Stock</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During the years ended September 30, 2017, 2016 and 2015, we recognized $538, $522, and $290, respectively, in compensation expense related to our restricted stock awards. At September 30, 2017, the unamortized compensation cost related to outstanding unvested restricted stock was $275. We expect to recognize the entire $275 of the unamortized compensation expense during the year ended September 30, 2018. A summary of restricted stock awards for the years ended September 30, 2017, 2016 and 2015 is provided in the table below:</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800" w:type="dxa"/>
            <w:vAlign w:val="bottom"/>
            <w:gridSpan w:val="6"/>
          </w:tcPr>
          <w:p>
            <w:pPr>
              <w:jc w:val="right"/>
              <w:ind w:right="660"/>
              <w:spacing w:after="0"/>
              <w:rPr>
                <w:sz w:val="20"/>
                <w:szCs w:val="20"/>
                <w:color w:val="auto"/>
              </w:rPr>
            </w:pPr>
            <w:r>
              <w:rPr>
                <w:rFonts w:ascii="Arial" w:cs="Arial" w:eastAsia="Arial" w:hAnsi="Arial"/>
                <w:sz w:val="14"/>
                <w:szCs w:val="14"/>
                <w:color w:val="auto"/>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174,334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207,166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(31,409)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(2,257)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Unvested at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140,668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174,334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fair value of shares vesting during the years ended September 30, 2017, 2016 and 2015 was $460, $304 and $353, respectively. Fair value was calculated as the number of shares vested times the market price of shares on the date of vesting. The weighted average grant date fair value of unvested restricted stock at September 30, 2017, was $8.62.</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the restricted shares granted under the Amended Plan (vested or unvested) participate in dividends issued to common shareholders, if any.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Phantom Stock Units</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For the years ended September 30, 2017, 2016 and 2015, we recognized $167, $136, and $224, respectively, in compensation expense related to these grants.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Performance Based Phantom Stock Units</w:t>
      </w:r>
    </w:p>
    <w:p>
      <w:pPr>
        <w:spacing w:after="0" w:line="117"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A performance based phantom stock unit (a “PPSU”) is a contractual right to receive one share of the Company’s common stock. The PPSUs will generally become vested, if at all, upon the achievement of certain specified performance objectives and continued performance of services through mid-December 2018. In the year ended September 30, 2016, the Company granted an aggregate of 420,000 three-year performance-based PPSUs. The vesting of these awards is subject to the achievement of specified levels of cumulative net income before taxes or specified stock price levels. For the years ended September 30, 2017, and 2016, we recognized $959, and $808, respectively, in compensation expense related to these grants.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Performance Cash Units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Performance based phantom cash units (“PPCUs”) are a contractual right to cash payment. The PPCUs will generally become vested, if at all, upon achievement of certain specified performance objectives. For the years ended September 30, 2017, and 2016</w:t>
      </w:r>
      <w:r>
        <w:rPr>
          <w:rFonts w:ascii="Arial" w:cs="Arial" w:eastAsia="Arial" w:hAnsi="Arial"/>
          <w:sz w:val="18"/>
          <w:szCs w:val="18"/>
          <w:b w:val="1"/>
          <w:bCs w:val="1"/>
          <w:color w:val="auto"/>
        </w:rPr>
        <w:t>,</w:t>
      </w:r>
      <w:r>
        <w:rPr>
          <w:rFonts w:ascii="Arial" w:cs="Arial" w:eastAsia="Arial" w:hAnsi="Arial"/>
          <w:sz w:val="18"/>
          <w:szCs w:val="18"/>
          <w:color w:val="auto"/>
        </w:rPr>
        <w:t xml:space="preserve"> we recognized compensation expense of $331 and zero, respectively, in compensation expense related to these grants.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utilized a binomial option pricing model to measure the fair value of stock options granted. Our determination of fair value of share-based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the risk-free rate of return, and actual and projected employee stock option exercise behaviors. The expected life of stock options is not considered under the binomial option pricing model that we utilize. We did not issue stock options during the years ended September 30, 2017, and 2016. The assumptions used in the fair value method calculation for the year ended September 30, 2015, are disclosed in the following table: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Year Ended</w:t>
            </w: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value per option granted during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Dividends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 volatility (2)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55.6 - 57.8%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Risk-free rate of return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1.34 - 1.48%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term</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10.0 years</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 years</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rate (3)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36"/>
        </w:trPr>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We do not currently pay dividends on our common stock.</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Based upon the Company’s historical volatility.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Based upon the Company’s historical data.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Upon adoption of ASU 2016-09 in the quarter ended December 31, 2016, which required us to reflect any adjustments as of October 1, 2016, we elected to account for forfeitures as they occur to determine the amount of compensation cost to be recognized. This election resulted in a cumulative effect adjustment of $59 to reduce retained earnings for the increase to stock compensation expense.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activity under our stock option plans.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color w:val="auto"/>
                <w:w w:val="93"/>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170,000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Options 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37,000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(74,000)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133,000</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options outstanding and exercisable at September 30, 2017:</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center"/>
              <w:ind w:left="419"/>
              <w:spacing w:after="0"/>
              <w:rPr>
                <w:sz w:val="20"/>
                <w:szCs w:val="20"/>
                <w:color w:val="auto"/>
              </w:rPr>
            </w:pPr>
            <w:r>
              <w:rPr>
                <w:rFonts w:ascii="Arial" w:cs="Arial" w:eastAsia="Arial" w:hAnsi="Arial"/>
                <w:sz w:val="14"/>
                <w:szCs w:val="14"/>
                <w:color w:val="auto"/>
                <w:w w:val="91"/>
              </w:rPr>
              <w:t>Outstanding as of</w:t>
            </w:r>
          </w:p>
        </w:tc>
        <w:tc>
          <w:tcPr>
            <w:tcW w:w="1020" w:type="dxa"/>
            <w:vAlign w:val="bottom"/>
          </w:tcPr>
          <w:p>
            <w:pPr>
              <w:spacing w:after="0"/>
              <w:rPr>
                <w:sz w:val="14"/>
                <w:szCs w:val="14"/>
                <w:color w:val="auto"/>
              </w:rPr>
            </w:pPr>
          </w:p>
        </w:tc>
        <w:tc>
          <w:tcPr>
            <w:tcW w:w="960" w:type="dxa"/>
            <w:vAlign w:val="bottom"/>
          </w:tcPr>
          <w:p>
            <w:pPr>
              <w:jc w:val="right"/>
              <w:ind w:right="102"/>
              <w:spacing w:after="0"/>
              <w:rPr>
                <w:sz w:val="20"/>
                <w:szCs w:val="20"/>
                <w:color w:val="auto"/>
              </w:rPr>
            </w:pPr>
            <w:r>
              <w:rPr>
                <w:rFonts w:ascii="Arial" w:cs="Arial" w:eastAsia="Arial" w:hAnsi="Arial"/>
                <w:sz w:val="14"/>
                <w:szCs w:val="14"/>
                <w:color w:val="auto"/>
              </w:rPr>
              <w:t>Remaining</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color w:val="auto"/>
              </w:rPr>
              <w:t>Weighted-</w:t>
            </w:r>
          </w:p>
        </w:tc>
        <w:tc>
          <w:tcPr>
            <w:tcW w:w="2020" w:type="dxa"/>
            <w:vAlign w:val="bottom"/>
            <w:gridSpan w:val="2"/>
          </w:tcPr>
          <w:p>
            <w:pPr>
              <w:jc w:val="center"/>
              <w:ind w:left="919"/>
              <w:spacing w:after="0"/>
              <w:rPr>
                <w:sz w:val="20"/>
                <w:szCs w:val="20"/>
                <w:color w:val="auto"/>
              </w:rPr>
            </w:pPr>
            <w:r>
              <w:rPr>
                <w:rFonts w:ascii="Arial" w:cs="Arial" w:eastAsia="Arial" w:hAnsi="Arial"/>
                <w:sz w:val="14"/>
                <w:szCs w:val="14"/>
                <w:color w:val="auto"/>
                <w:w w:val="91"/>
              </w:rPr>
              <w:t>Exercisable as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1400" w:type="dxa"/>
            <w:vAlign w:val="bottom"/>
            <w:gridSpan w:val="4"/>
            <w:vMerge w:val="restart"/>
          </w:tcPr>
          <w:p>
            <w:pPr>
              <w:spacing w:after="0"/>
              <w:rPr>
                <w:sz w:val="20"/>
                <w:szCs w:val="20"/>
                <w:color w:val="auto"/>
              </w:rPr>
            </w:pPr>
            <w:r>
              <w:rPr>
                <w:rFonts w:ascii="Arial" w:cs="Arial" w:eastAsia="Arial" w:hAnsi="Arial"/>
                <w:sz w:val="14"/>
                <w:szCs w:val="14"/>
                <w:color w:val="auto"/>
              </w:rPr>
              <w:t>Exercise Prices</w:t>
            </w: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1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Contractual Life</w:t>
            </w:r>
          </w:p>
        </w:tc>
        <w:tc>
          <w:tcPr>
            <w:tcW w:w="202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1"/>
              </w:rPr>
              <w:t>Average Exercise</w:t>
            </w: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September 30,</w:t>
            </w:r>
          </w:p>
        </w:tc>
        <w:tc>
          <w:tcPr>
            <w:tcW w:w="208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Average Exercise</w:t>
            </w:r>
          </w:p>
        </w:tc>
        <w:tc>
          <w:tcPr>
            <w:tcW w:w="0" w:type="dxa"/>
            <w:vAlign w:val="bottom"/>
          </w:tcPr>
          <w:p>
            <w:pPr>
              <w:spacing w:after="0"/>
              <w:rPr>
                <w:sz w:val="1"/>
                <w:szCs w:val="1"/>
                <w:color w:val="auto"/>
              </w:rPr>
            </w:pPr>
          </w:p>
        </w:tc>
      </w:tr>
      <w:tr>
        <w:trPr>
          <w:trHeight w:val="167"/>
        </w:trPr>
        <w:tc>
          <w:tcPr>
            <w:tcW w:w="1400" w:type="dxa"/>
            <w:vAlign w:val="bottom"/>
            <w:gridSpan w:val="4"/>
            <w:vMerge w:val="continue"/>
          </w:tcPr>
          <w:p>
            <w:pPr>
              <w:spacing w:after="0"/>
              <w:rPr>
                <w:sz w:val="14"/>
                <w:szCs w:val="14"/>
                <w:color w:val="auto"/>
              </w:rPr>
            </w:pPr>
          </w:p>
        </w:tc>
        <w:tc>
          <w:tcPr>
            <w:tcW w:w="1540" w:type="dxa"/>
            <w:vAlign w:val="bottom"/>
            <w:gridSpan w:val="2"/>
          </w:tcPr>
          <w:p>
            <w:pPr>
              <w:jc w:val="center"/>
              <w:ind w:left="419"/>
              <w:spacing w:after="0"/>
              <w:rPr>
                <w:sz w:val="20"/>
                <w:szCs w:val="20"/>
                <w:color w:val="auto"/>
              </w:rPr>
            </w:pPr>
            <w:r>
              <w:rPr>
                <w:rFonts w:ascii="Arial" w:cs="Arial" w:eastAsia="Arial" w:hAnsi="Arial"/>
                <w:sz w:val="14"/>
                <w:szCs w:val="14"/>
                <w:color w:val="auto"/>
                <w:w w:val="89"/>
              </w:rPr>
              <w:t>2017</w:t>
            </w:r>
          </w:p>
        </w:tc>
        <w:tc>
          <w:tcPr>
            <w:tcW w:w="1020" w:type="dxa"/>
            <w:vAlign w:val="bottom"/>
          </w:tcPr>
          <w:p>
            <w:pPr>
              <w:spacing w:after="0"/>
              <w:rPr>
                <w:sz w:val="14"/>
                <w:szCs w:val="14"/>
                <w:color w:val="auto"/>
              </w:rPr>
            </w:pPr>
          </w:p>
        </w:tc>
        <w:tc>
          <w:tcPr>
            <w:tcW w:w="960" w:type="dxa"/>
            <w:vAlign w:val="bottom"/>
          </w:tcPr>
          <w:p>
            <w:pPr>
              <w:jc w:val="right"/>
              <w:ind w:right="182"/>
              <w:spacing w:after="0"/>
              <w:rPr>
                <w:sz w:val="20"/>
                <w:szCs w:val="20"/>
                <w:color w:val="auto"/>
              </w:rPr>
            </w:pPr>
            <w:r>
              <w:rPr>
                <w:rFonts w:ascii="Arial" w:cs="Arial" w:eastAsia="Arial" w:hAnsi="Arial"/>
                <w:sz w:val="14"/>
                <w:szCs w:val="14"/>
                <w:color w:val="auto"/>
              </w:rPr>
              <w:t>in Years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color w:val="auto"/>
              </w:rPr>
              <w:t>Price</w:t>
            </w:r>
          </w:p>
        </w:tc>
        <w:tc>
          <w:tcPr>
            <w:tcW w:w="2020" w:type="dxa"/>
            <w:vAlign w:val="bottom"/>
            <w:gridSpan w:val="2"/>
          </w:tcPr>
          <w:p>
            <w:pPr>
              <w:jc w:val="center"/>
              <w:ind w:left="919"/>
              <w:spacing w:after="0"/>
              <w:rPr>
                <w:sz w:val="20"/>
                <w:szCs w:val="20"/>
                <w:color w:val="auto"/>
              </w:rPr>
            </w:pPr>
            <w:r>
              <w:rPr>
                <w:rFonts w:ascii="Arial" w:cs="Arial" w:eastAsia="Arial" w:hAnsi="Arial"/>
                <w:sz w:val="14"/>
                <w:szCs w:val="14"/>
                <w:color w:val="auto"/>
                <w:w w:val="96"/>
              </w:rPr>
              <w:t>2017</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5.76</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7.27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45,750</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45,750</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Our 2011 options vested over a three year period at a rate of one-third per year upon the annual anniversary date of the grant. Our 2013 and 2015 options cliff vested at the end of a two year period ending at the anniversary date of the grant. All options expire ten years from the grant date if they are not exercised. Upon exercise of stock options, it is our policy to first issue shares from treasury stock, then issue new shares. Unexercised stock options expire July 2021, May 2023, January 2025 and February 2025.</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During the years ended September 30, 2017, 2016 and 2015, we recognized $23, $70 and $(45), respectively, in compensation expense related to our stock option awards.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intrinsic value of stock options outstanding and exercisable was $306 and $286 at September 30, 2017, and 2016, respectively. The intrinsic value is calculated as the difference between the fair value as of the end of the period and the exercise price of the stock options.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jc w:val="both"/>
        <w:ind w:left="200" w:right="560"/>
        <w:spacing w:after="0" w:line="264" w:lineRule="auto"/>
        <w:rPr>
          <w:sz w:val="20"/>
          <w:szCs w:val="20"/>
          <w:color w:val="auto"/>
        </w:rPr>
      </w:pPr>
      <w:r>
        <w:rPr>
          <w:rFonts w:ascii="Arial" w:cs="Arial" w:eastAsia="Arial" w:hAnsi="Arial"/>
          <w:sz w:val="18"/>
          <w:szCs w:val="18"/>
          <w:color w:val="auto"/>
        </w:rPr>
        <w:t>The Company is a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landlord and the Company’s increased use of the corporate office space. The lease has terms at market rates and payments by the Company are at a rate consistent with that paid by Tontine Associates, L.L.C. to its landlord. See Note 3, “Controlling Shareholder” for additional information regarding Tontine.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$1,157, $737, and $387 in matching expenses in fiscal years 2017, 2016 and 2015, respectively.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Savings Plan</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2017, 2016 or 2015 was deferred under this plan.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as a non-current liability in our Consolidated Balance Sheet. Benefits vest 50% after ten years of service, which increases by 10% per annum until benefits are fully vested after 15 years of service. We had an unfunded benefit liability of $815 and $875 recorded as of September 30, 2017 and 2016, respectively. We recognized compensation expense related to these agreements of zero, $65, and $11 during the years ended September 30, 2017, 2016 and 2015,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Multiemployer Pension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Infrastructure Solutions participates in a multiemployer direct benefit pension plan for employees covered under our collective bargaining agreement.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administer the plan. We do not significantly participate in this plan. As of December 31, 2016, this plan was funded at 82.82%.</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7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September 30, 2017, are summarized in the following table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September 30, 2017</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6"/>
              <w:spacing w:after="0" w:line="123" w:lineRule="exact"/>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0"/>
                <w:szCs w:val="10"/>
                <w:color w:val="auto"/>
              </w:rPr>
            </w:pPr>
          </w:p>
        </w:tc>
      </w:tr>
      <w:tr>
        <w:trPr>
          <w:trHeight w:val="149"/>
        </w:trPr>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r>
      <w:tr>
        <w:trPr>
          <w:trHeight w:val="167"/>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Total Fair Value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color w:val="auto"/>
                <w:w w:val="99"/>
              </w:rPr>
              <w:t>(Level 1)</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(Level 3)</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(786)</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6"/>
              </w:rPr>
              <w:t>(786)</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September 30, 2016, are summarized in the following table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September 30, 2016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6"/>
              <w:spacing w:after="0" w:line="123" w:lineRule="exact"/>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0"/>
                <w:szCs w:val="10"/>
                <w:color w:val="auto"/>
              </w:rPr>
            </w:pPr>
          </w:p>
        </w:tc>
      </w:tr>
      <w:tr>
        <w:trPr>
          <w:trHeight w:val="149"/>
        </w:trPr>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Quoted Prices</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r>
      <w:tr>
        <w:trPr>
          <w:trHeight w:val="167"/>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Total Fair Value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599</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113</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Contingent consideration liabilities are related to our acquisitions of Calumet Armature &amp; Electric, LLC (“Calumet”) in October 2015, Freeman Enclosure Systems, LLC and its affiliate Strategic Edge LLC (together, “Freeman”) in March 2017, and Technical Services II, LLC (“Technical Services”) in June 2017. At September 30, 2017, we estimated the fair value of the contingent consideration liability at $786. The table below presents a reconciliation of the fair value of this obligation, which used significant unobservable inputs (Level 3).</w:t>
      </w:r>
    </w:p>
    <w:p>
      <w:pPr>
        <w:spacing w:after="0" w:line="214"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Contingent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00" w:type="dxa"/>
            <w:vAlign w:val="bottom"/>
            <w:gridSpan w:val="4"/>
          </w:tcPr>
          <w:p>
            <w:pPr>
              <w:ind w:left="1980"/>
              <w:spacing w:after="0"/>
              <w:rPr>
                <w:sz w:val="20"/>
                <w:szCs w:val="20"/>
                <w:color w:val="auto"/>
              </w:rPr>
            </w:pPr>
            <w:r>
              <w:rPr>
                <w:rFonts w:ascii="Arial" w:cs="Arial" w:eastAsia="Arial" w:hAnsi="Arial"/>
                <w:sz w:val="18"/>
                <w:szCs w:val="18"/>
                <w:color w:val="auto"/>
                <w:w w:val="99"/>
              </w:rPr>
              <w:t>Consideration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Agreement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2016</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Issuances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Adjustments to Fair Value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description of the inputs used to value the assets summarized in the preceding tables: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represent unadjusted quoted prices for identical assets exchanged in active markets.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INVENTORY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1700" w:type="dxa"/>
            <w:vAlign w:val="bottom"/>
            <w:gridSpan w:val="4"/>
          </w:tcPr>
          <w:p>
            <w:pPr>
              <w:ind w:left="820"/>
              <w:spacing w:after="0"/>
              <w:rPr>
                <w:sz w:val="20"/>
                <w:szCs w:val="20"/>
                <w:color w:val="auto"/>
              </w:rPr>
            </w:pPr>
            <w:r>
              <w:rPr>
                <w:rFonts w:ascii="Arial" w:cs="Arial" w:eastAsia="Arial" w:hAnsi="Arial"/>
                <w:sz w:val="14"/>
                <w:szCs w:val="14"/>
                <w:color w:val="auto"/>
                <w:w w:val="93"/>
              </w:rPr>
              <w:t>September 30,</w:t>
            </w:r>
          </w:p>
        </w:tc>
      </w:tr>
      <w:tr>
        <w:trPr>
          <w:trHeight w:val="167"/>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Work in process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Parts and supplies</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10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GOODWILL AND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progression of goodwill by segment for the years ended September 30, 2017, 2016 and 2015:</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rPr>
              <w:t>Commercial</w:t>
            </w:r>
          </w:p>
        </w:tc>
        <w:tc>
          <w:tcPr>
            <w:tcW w:w="1340" w:type="dxa"/>
            <w:vAlign w:val="bottom"/>
            <w:gridSpan w:val="4"/>
          </w:tcPr>
          <w:p>
            <w:pPr>
              <w:ind w:left="260"/>
              <w:spacing w:after="0"/>
              <w:rPr>
                <w:sz w:val="20"/>
                <w:szCs w:val="20"/>
                <w:color w:val="auto"/>
              </w:rPr>
            </w:pPr>
            <w:r>
              <w:rPr>
                <w:rFonts w:ascii="Arial" w:cs="Arial" w:eastAsia="Arial" w:hAnsi="Arial"/>
                <w:sz w:val="14"/>
                <w:szCs w:val="14"/>
                <w:color w:val="auto"/>
              </w:rPr>
              <w:t>Infrastructure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&amp; Industrial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Solutions</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Residential</w:t>
            </w:r>
          </w:p>
        </w:tc>
        <w:tc>
          <w:tcPr>
            <w:tcW w:w="6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Acquisitions “Note 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23,264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Divestitures “Note 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September 30, 2016</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8,631</w:t>
            </w:r>
          </w:p>
        </w:tc>
        <w:tc>
          <w:tcPr>
            <w:tcW w:w="6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“Note 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Divestitures “Note 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September 30, 2017</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w:t>
            </w: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46,693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Based upon the results of our annual impairment analysis, the fair value of our Infrastructure Solutions and Commercial &amp; Industrial segments exceeded the book value at September 30, 2017, and warranted no impairment. We evaluated goodwill attributable to our Residential segment qualitatively, and have concluded no impairment is indicated.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Estimated</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September 30, 2017</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20" w:type="dxa"/>
            <w:vAlign w:val="bottom"/>
            <w:gridSpan w:val="2"/>
          </w:tcPr>
          <w:p>
            <w:pPr>
              <w:jc w:val="center"/>
              <w:ind w:left="1553"/>
              <w:spacing w:after="0" w:line="123" w:lineRule="exact"/>
              <w:rPr>
                <w:sz w:val="20"/>
                <w:szCs w:val="20"/>
                <w:color w:val="auto"/>
              </w:rPr>
            </w:pPr>
            <w:r>
              <w:rPr>
                <w:rFonts w:ascii="Arial" w:cs="Arial" w:eastAsia="Arial" w:hAnsi="Arial"/>
                <w:sz w:val="14"/>
                <w:szCs w:val="14"/>
                <w:color w:val="auto"/>
                <w:w w:val="96"/>
              </w:rPr>
              <w:t>Useful Lives</w:t>
            </w:r>
          </w:p>
        </w:tc>
        <w:tc>
          <w:tcPr>
            <w:tcW w:w="660" w:type="dxa"/>
            <w:vAlign w:val="bottom"/>
          </w:tcPr>
          <w:p>
            <w:pPr>
              <w:spacing w:after="0"/>
              <w:rPr>
                <w:sz w:val="10"/>
                <w:szCs w:val="10"/>
                <w:color w:val="auto"/>
              </w:rPr>
            </w:pPr>
          </w:p>
        </w:tc>
        <w:tc>
          <w:tcPr>
            <w:tcW w:w="8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Gross Carrying</w:t>
            </w:r>
          </w:p>
        </w:tc>
        <w:tc>
          <w:tcPr>
            <w:tcW w:w="1780" w:type="dxa"/>
            <w:vAlign w:val="bottom"/>
            <w:gridSpan w:val="4"/>
          </w:tcPr>
          <w:p>
            <w:pPr>
              <w:ind w:left="66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color w:val="auto"/>
                <w:w w:val="95"/>
              </w:rPr>
              <w:t>Amount</w:t>
            </w:r>
          </w:p>
        </w:tc>
        <w:tc>
          <w:tcPr>
            <w:tcW w:w="178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Technical library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6 - 15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26,374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Construction contracts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40,969</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Estimated</w:t>
            </w: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September 30, 2016</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20" w:type="dxa"/>
            <w:vAlign w:val="bottom"/>
            <w:gridSpan w:val="2"/>
          </w:tcPr>
          <w:p>
            <w:pPr>
              <w:jc w:val="center"/>
              <w:ind w:left="1553"/>
              <w:spacing w:after="0" w:line="123" w:lineRule="exact"/>
              <w:rPr>
                <w:sz w:val="20"/>
                <w:szCs w:val="20"/>
                <w:color w:val="auto"/>
              </w:rPr>
            </w:pPr>
            <w:r>
              <w:rPr>
                <w:rFonts w:ascii="Arial" w:cs="Arial" w:eastAsia="Arial" w:hAnsi="Arial"/>
                <w:sz w:val="14"/>
                <w:szCs w:val="14"/>
                <w:color w:val="auto"/>
                <w:w w:val="96"/>
              </w:rPr>
              <w:t>Useful Lives</w:t>
            </w:r>
          </w:p>
        </w:tc>
        <w:tc>
          <w:tcPr>
            <w:tcW w:w="660" w:type="dxa"/>
            <w:vAlign w:val="bottom"/>
          </w:tcPr>
          <w:p>
            <w:pPr>
              <w:spacing w:after="0"/>
              <w:rPr>
                <w:sz w:val="10"/>
                <w:szCs w:val="10"/>
                <w:color w:val="auto"/>
              </w:rPr>
            </w:pPr>
          </w:p>
        </w:tc>
        <w:tc>
          <w:tcPr>
            <w:tcW w:w="8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Gross Carrying</w:t>
            </w:r>
          </w:p>
        </w:tc>
        <w:tc>
          <w:tcPr>
            <w:tcW w:w="1780" w:type="dxa"/>
            <w:vAlign w:val="bottom"/>
            <w:gridSpan w:val="4"/>
          </w:tcPr>
          <w:p>
            <w:pPr>
              <w:ind w:left="66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color w:val="auto"/>
                <w:w w:val="95"/>
              </w:rPr>
              <w:t>Amount</w:t>
            </w:r>
          </w:p>
        </w:tc>
        <w:tc>
          <w:tcPr>
            <w:tcW w:w="178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Technical library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6 - 15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25,411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Construction contracts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35,871</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31,723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360"/>
        <w:spacing w:after="0" w:line="277" w:lineRule="auto"/>
        <w:rPr>
          <w:sz w:val="20"/>
          <w:szCs w:val="20"/>
          <w:color w:val="auto"/>
        </w:rPr>
      </w:pPr>
      <w:r>
        <w:rPr>
          <w:rFonts w:ascii="Arial" w:cs="Arial" w:eastAsia="Arial" w:hAnsi="Arial"/>
          <w:sz w:val="18"/>
          <w:szCs w:val="18"/>
          <w:color w:val="auto"/>
        </w:rPr>
        <w:t>For the years ended September 30, 2017, 2016 and 2015, amortization expense of intangible assets was $5,766, $2,936 and $381, respectively. Our future amortization expense for years ended September 30, is as follows:</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1540" w:type="dxa"/>
            <w:vAlign w:val="bottom"/>
            <w:gridSpan w:val="2"/>
          </w:tcPr>
          <w:p>
            <w:pPr>
              <w:spacing w:after="0"/>
              <w:rPr>
                <w:sz w:val="20"/>
                <w:szCs w:val="20"/>
                <w:color w:val="auto"/>
              </w:rPr>
            </w:pPr>
            <w:r>
              <w:rPr>
                <w:rFonts w:ascii="Arial" w:cs="Arial" w:eastAsia="Arial" w:hAnsi="Arial"/>
                <w:sz w:val="14"/>
                <w:szCs w:val="14"/>
                <w:color w:val="auto"/>
                <w:w w:val="89"/>
              </w:rPr>
              <w:t>Year Ended September 30,</w:t>
            </w:r>
          </w:p>
        </w:tc>
        <w:tc>
          <w:tcPr>
            <w:tcW w:w="5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2018</w:t>
            </w:r>
          </w:p>
        </w:tc>
        <w:tc>
          <w:tcPr>
            <w:tcW w:w="53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2019</w:t>
            </w: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2021</w:t>
            </w: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15,467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24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Capstone Construction Claims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From 2003 to 2005, two of our former subsidiaries performed HVAC and electrical work under contract with Capstone Building Corporation (“Capstone”) on a university student housing project in Texas. In 2005, our subsidiaries filed for arbitration against Capstone, seeking payment for work performed, change orders and other impacts. The parties settled those claims, and the release included a waiver of warranties associated with any of the HVAC work. Several years later, the subsidiaries discontinued operations, and the Company sold their assets.</w:t>
      </w:r>
    </w:p>
    <w:p>
      <w:pPr>
        <w:spacing w:after="0" w:line="171" w:lineRule="exact"/>
        <w:rPr>
          <w:sz w:val="20"/>
          <w:szCs w:val="20"/>
          <w:color w:val="auto"/>
        </w:rPr>
      </w:pPr>
    </w:p>
    <w:p>
      <w:pPr>
        <w:ind w:left="200" w:right="360"/>
        <w:spacing w:after="0" w:line="297" w:lineRule="auto"/>
        <w:rPr>
          <w:sz w:val="20"/>
          <w:szCs w:val="20"/>
          <w:color w:val="auto"/>
        </w:rPr>
      </w:pPr>
      <w:r>
        <w:rPr>
          <w:rFonts w:ascii="Arial" w:cs="Arial" w:eastAsia="Arial" w:hAnsi="Arial"/>
          <w:sz w:val="16"/>
          <w:szCs w:val="16"/>
          <w:color w:val="auto"/>
        </w:rPr>
        <w:t>On October 24, 2013, Capstone filed a petition in the 12th Judicial District Court of Walker County, Texas against these subsidiaries, among other subcontractors, seeking contribution, defense, indemnity and damages for breach of contract in connection with alleged construction defect claims brought against Capstone by the owner of the student housing project. The owner claims $10,406 in damages, plus attorneys’ fees and costs against Capstone, which Capstone is seeking to recover from the subcontractors. The claims against the Company are based on alleged defects in the mechanical design, construction and installation of the HVAC and electrical systems performed by our former subsidiaries.</w:t>
      </w:r>
    </w:p>
    <w:p>
      <w:pPr>
        <w:spacing w:after="0" w:line="15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Based on the settlement reached in the 2005 arbitration, we moved for, and the District Court granted us, summary judgment, dismissing all of Capstone’s claims in the 2013 lawsuit. Capstone appealed, and in April 2016, the 10th Court of Appeals, Waco, Texas Division, reversed the ruling with respect to the indemnity claims and remanded the case back to the District Court. The Texas Supreme Court subsequently denied our petition to review this decision and our motion for rehearing, and our subsequent motion for summary judgment at the District Court level was denied.</w:t>
      </w:r>
    </w:p>
    <w:p>
      <w:pPr>
        <w:spacing w:after="0" w:line="154"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Company attended mediation in June 2017 and did not reach a settlement. The Company understands that the University reached a settlement in principle with all parties except IES, and that Capstone assigned its claims for indemnity against IES to the University as a part of the settlement agreement. The University has not formally asserted any damages against IES on that claim. In October 2017, the University and IES participated in a second mediation but no settlement was reached. There is no current trial setting in this matter, but it is likely to be set for trial during 2018 if no settlement is reached.</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 will defend the claims and expects ultimately to prevail on the merits, but there can be no assurance that the Company will prevail or that it will not incur costs and liability for indemnity in connection with resolution of the claims. To date, the Company has not established a reserve with respect to this matter, as we believe the likelihood of our responsibility for damages is not probable and a potential range of exposure is not reasonably estimable.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USAMRIID Claim</w:t>
      </w:r>
    </w:p>
    <w:p>
      <w:pPr>
        <w:spacing w:after="0" w:line="11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 xml:space="preserve">On December 6, 2017, IES Commercial, Inc. filed suit in the United States District Court of Maryland in the matter </w:t>
      </w:r>
      <w:r>
        <w:rPr>
          <w:rFonts w:ascii="Arial" w:cs="Arial" w:eastAsia="Arial" w:hAnsi="Arial"/>
          <w:sz w:val="17"/>
          <w:szCs w:val="17"/>
          <w:i w:val="1"/>
          <w:iCs w:val="1"/>
          <w:color w:val="auto"/>
        </w:rPr>
        <w:t>USA for the use and benefit of IES</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Inc. and IES Commercial, Inc. v. Manhattan Construction Co., Torcon, Inc., Manhattan Torcon A Joint Venture, Federal Ins. Co., Fidelity &amp; Deposit Co. of Maryland, Zurich American Ins. Co., and Travelers Casualty &amp; Surety Co</w:t>
      </w:r>
      <w:r>
        <w:rPr>
          <w:rFonts w:ascii="Arial" w:cs="Arial" w:eastAsia="Arial" w:hAnsi="Arial"/>
          <w:sz w:val="17"/>
          <w:szCs w:val="17"/>
          <w:color w:val="auto"/>
        </w:rPr>
        <w:t>. This suit relates to a large project which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since 2009, and was scheduled for completion in early 2013. As the Company previously disclosed, the Company entered into a subcontract in 2009 with Manhattan Torcon A Joint Venture to perform subcontracting services at the U.S. Army Medical Research Institute for Infectious Diseases (“USAMRIID”) replacement facility project for a contract value of approximately $61,146, subject to additions or deductions.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Because of delays on the project and additional work the Company performed, the Company believes it is owed approximately $21,000 for claims incurred as of August 31, 2017 and an additional approximate $4,500 for claims the Company expects to incur from August 31, 2017 through completion of the project.</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Given the uncertainty litigation poses, the Company has not recorded any recovery in connection with this claim. There can be no assurance that the Company will prevail in this litigation matter or that, if the Company does prevail, it will receive an amount substantially similar to the amount sought or not receive a significantly lower award.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retain the risk for workers’ compensation, employer’s liability, automobile liability, construction defects, general liability and employee group health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claims, as well as pollution coverage, resulting from uninsured deductibles per accident or occurrence which are generally subject to annual aggregate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limits. Our general liability program provides coverage for bodily injury and property damage. In many cases, we insure third parties, including general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contractors, as additional insureds under our insurance policies. Losses up to the deductible amounts, or losses that are not covered under our policies,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are accrued based upon our known claims incurred and an estimate of claims incurred but not reported. As a result, many of our claims are effectively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self-insured. Many claims against our insurance are in the form of litigation. At September 30, 2017 and September 30, 2016, we had $6,204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$5,464, respectively, accrued for insurance liabilities. We are also subject to construction defect liabilities, primarily within our Residential segment.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September 30, 2017 and September 30, 2016, we had $218 and $235, respectively, reserved for these claims. Because the reserves are based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judgment and estimates, and involve variables that are inherently uncertain, such as the outcome of litigation and an assessment of insurance coverage,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the ultimate liability will not be higher or lower than such estimates or that the timing of payments will not create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liquidity issues for the Company.</w:t>
      </w:r>
    </w:p>
    <w:p>
      <w:pPr>
        <w:spacing w:after="0" w:line="21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2017, $5,985 of our outstanding letters of credit was utilized to collateralize our insurance program.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September 30, 2017, the estimated cost to complete our bonded projects was approximately $35,389.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2017, $508 of our outstanding letters of credit were to collateralize our vendors.</w:t>
      </w:r>
    </w:p>
    <w:p>
      <w:pPr>
        <w:spacing w:after="0" w:line="14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than one year and require us to buy minimum quantities of materials at specific intervals at a fixed price over the term. As of September 30, 2017, we had no such commitments.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BUSINESS COMBINATIONS AND DIVESTITURES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Business Combinations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completed three acquisitions in the year ended September 30, 2017:</w:t>
      </w:r>
    </w:p>
    <w:p>
      <w:pPr>
        <w:spacing w:after="0" w:line="131" w:lineRule="exact"/>
        <w:rPr>
          <w:sz w:val="20"/>
          <w:szCs w:val="20"/>
          <w:color w:val="auto"/>
        </w:rPr>
      </w:pPr>
    </w:p>
    <w:p>
      <w:pPr>
        <w:ind w:left="1060" w:hanging="316"/>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Freeman Enclosure Systems, LLC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1060" w:right="20" w:hanging="316"/>
        <w:spacing w:after="0" w:line="276"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Technical Services II, LLC — STR Mechanical,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will operate as a subsidiary of STR Mechanical within the Company’s Commercial &amp; Industrial segment. The acquisition of Technical Services has expanded our geographic reach and diversified our customer base for mechanical maintenance services.</w:t>
      </w:r>
    </w:p>
    <w:p>
      <w:pPr>
        <w:spacing w:after="0" w:line="77" w:lineRule="exact"/>
        <w:rPr>
          <w:rFonts w:ascii="Arial" w:cs="Arial" w:eastAsia="Arial" w:hAnsi="Arial"/>
          <w:sz w:val="17"/>
          <w:szCs w:val="17"/>
          <w:color w:val="auto"/>
        </w:rPr>
      </w:pPr>
    </w:p>
    <w:p>
      <w:pPr>
        <w:ind w:left="1060" w:right="580" w:hanging="316"/>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NEXT Electric, LLC — On July 14, 2017, the Company acquired 80% of the membership interests of NEXT Electric, a Milwaukee, Wisconsin-based electrical contractor specializing in the design, installation and maintenance of electrical systems for commercial, industrial, healthcare, water treatment and education end markets. NEXT Electric will operate within the Company’s Commercial &amp; Industrial segment.</w:t>
      </w:r>
    </w:p>
    <w:p>
      <w:pPr>
        <w:spacing w:after="0" w:line="187"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total aggregate consideration of $20,979 for these three acquisitions includes aggregate cash consideration of $20,613 and contingent consideration in connection with the Freeman and Technical Services acquisitions with aggregate acquisition date fair value estimated at $366. Of the cash consideration, $20,213 was paid on the various acquisition dates, and the remaining $400 is payable within 18 months of the transaction date, after deducting certain seller liabilities. The fair value of the contingent consideration liability was estimated at $786 as of September 30, 2017 and is included in other non-current liabilities on our condensed consolidated balance sheets.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The Company accounted for the transactions under the acquisition method of accounting, which requires recording assets and liabilities at fair value (Level 3). The valuations derived from estimated fair value assessments and assumptions used by management are preliminary pending finalization of certain tangible and intangible asset valuations and assessment of deferred taxes. While management believes that its preliminary estimates and assumptions underlying the valuations are reasonable, different estimates and assumptions could result in different values being assigned to individual assets acquired and liabilities assumed. This may result in adjustments to the preliminary amounts recorded. The preliminary valuation of the assets acquired and liabilities assumed as of the various acquisition dates is as follows:</w:t>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$ 13,578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(primarily customer relationships)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(10,696)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 term liabilities</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(314)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5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r>
      <w:tr>
        <w:trPr>
          <w:trHeight w:val="27"/>
        </w:trPr>
        <w:tc>
          <w:tcPr>
            <w:tcW w:w="5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$ 20,979</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With regard to goodwill, the balance is attributable to the workforce of the acquired business and other intangibles that do not qualify for separate recognition. In connection with the Freeman, Technical Services and NEXT Electric transactions, we acquired goodwill of $7,121, of which $3,411 is tax deductible.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conjunction with these acquisitions, we acquired receivables totaling $11,223, of which we estimate none to be uncollectible at the date of acquisition.</w:t>
      </w:r>
    </w:p>
    <w:p>
      <w:pPr>
        <w:spacing w:after="0" w:line="248"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In the aggregate, these three acquisitions contributed $18,413 in additional revenue and $137 in additional operating income during the year ended September 30,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Our agreements governing the operations of STR and NEXT Electric contain a provision where, at any time after five years from the acquisition date, we may purchase all or a portion of the 20% noncontrolling interest. Pursuant to this provision, we may purchase the noncontrolling interest, or, with notice, the noncontrolling interest holders may cause us to purchase their interests, for a contractually determined price based on the trailing 2 year earnings before interest, taxes, depreciation, and amortization of STR and NEXT Electric, calculated at the time of the purchase.</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 of the acquisition date, the fair value of the noncontrolling interest in STR and NEXT Electric was equal to 20% of the overall fair value of STR and NEXT Electric.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Unaudited Pro Forma Information</w:t>
      </w:r>
    </w:p>
    <w:p>
      <w:pPr>
        <w:spacing w:after="0" w:line="117"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The following unaudited supplemental pro forma results of operations include the results of the three acquisitions completed during year ended September 30, 2017, as described above, as if each had been acquired as of October 1, 2015, and have been provided for illustrative purposes only and do not purport to be indicative of the actual results that would have been achieved by the combined companies for the periods presented or that may be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achieved by the combined companies in the future. Future results may vary significantly from the results reflected in the following pro forma financial information because of future events and transactions, finalization of the valuations of deferred taxes, fixed assets, and certain intangible assets, as well as other factors, many of which are beyond IES’s control. Cost savings and other synergy benefits resulting from the business combination have not been included in pro forma results.</w:t>
      </w:r>
    </w:p>
    <w:p>
      <w:pPr>
        <w:spacing w:after="0" w:line="18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unaudited pro forma financial information reflects certain adjustments related to the acquisition, such as the recording of depreciation expense in connection with fair value adjustments to property and equipment, amortization expense in connection with recording acquired identifiable intangible assets at fair value, and interest expense calculated on the $20,000 drawn on the Company’s available line of credit at a rate of 2.5%. The unaudited pro forma financial information also includes the effect of certain non-recurring items as of October 1, 2015 such as $665 of tax benefits and acquisition related costs of $458 incurred during the year ended September 30, 2017, which are shown as if they had been incurred on October 1, 2015.</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supplemental pro forma results of operations for the years ended September 30, 2017 and 2016, as if the acquisitions had been completed 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1, 2015, are as follows: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4"/>
                <w:szCs w:val="14"/>
                <w:color w:val="auto"/>
              </w:rPr>
              <w:t>Year Ended</w:t>
            </w:r>
          </w:p>
        </w:tc>
        <w:tc>
          <w:tcPr>
            <w:tcW w:w="1240" w:type="dxa"/>
            <w:vAlign w:val="bottom"/>
            <w:gridSpan w:val="2"/>
          </w:tcPr>
          <w:p>
            <w:pPr>
              <w:jc w:val="right"/>
              <w:ind w:right="325"/>
              <w:spacing w:after="0"/>
              <w:rPr>
                <w:sz w:val="20"/>
                <w:szCs w:val="20"/>
                <w:color w:val="auto"/>
              </w:rPr>
            </w:pPr>
            <w:r>
              <w:rPr>
                <w:rFonts w:ascii="Arial" w:cs="Arial" w:eastAsia="Arial" w:hAnsi="Arial"/>
                <w:sz w:val="14"/>
                <w:szCs w:val="14"/>
                <w:color w:val="auto"/>
              </w:rPr>
              <w:t>Unaudited</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0" w:type="dxa"/>
            <w:vAlign w:val="bottom"/>
            <w:gridSpan w:val="3"/>
          </w:tcPr>
          <w:p>
            <w:pPr>
              <w:ind w:left="2040"/>
              <w:spacing w:after="0"/>
              <w:rPr>
                <w:sz w:val="20"/>
                <w:szCs w:val="20"/>
                <w:color w:val="auto"/>
              </w:rPr>
            </w:pPr>
            <w:r>
              <w:rPr>
                <w:rFonts w:ascii="Arial" w:cs="Arial" w:eastAsia="Arial" w:hAnsi="Arial"/>
                <w:sz w:val="14"/>
                <w:szCs w:val="14"/>
                <w:color w:val="auto"/>
                <w:w w:val="89"/>
              </w:rPr>
              <w:t>September 30, 2017</w:t>
            </w:r>
          </w:p>
        </w:tc>
        <w:tc>
          <w:tcPr>
            <w:tcW w:w="2280" w:type="dxa"/>
            <w:vAlign w:val="bottom"/>
            <w:gridSpan w:val="4"/>
          </w:tcPr>
          <w:p>
            <w:pPr>
              <w:jc w:val="right"/>
              <w:ind w:right="60"/>
              <w:spacing w:after="0"/>
              <w:rPr>
                <w:sz w:val="20"/>
                <w:szCs w:val="20"/>
                <w:color w:val="auto"/>
              </w:rPr>
            </w:pPr>
            <w:r>
              <w:rPr>
                <w:rFonts w:ascii="Arial" w:cs="Arial" w:eastAsia="Arial" w:hAnsi="Arial"/>
                <w:sz w:val="14"/>
                <w:szCs w:val="14"/>
                <w:color w:val="auto"/>
              </w:rPr>
              <w:t>September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855,783</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778,781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13,676</w:t>
            </w:r>
          </w:p>
        </w:tc>
        <w:tc>
          <w:tcPr>
            <w:tcW w:w="1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118,071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Divestitures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In February 2016, our Board of Directors approved a plan for the sale of substantially all of the operating assets of HK Engine Components, LLC (“HK”), a wholly-owned subsidiary of the Company operating in the Infrastructure Solutions segment. In connection with the sale, we allocated $577 of goodwill to the disposal group. In conjunction with the write down of these assets to their net realizable value of $2,200, we then recognized a loss of $821, recorded within “(Gain) loss on sale of assets” within our Consolidated Statement of Comprehensive Income for the year ended September 30, 2016. The sale of these assets to a third party was completed on April 15, 2016.</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QUARTERLY RESULTS OF OPERATIONS (UNAUDITED)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Quarterly financial information for the years ended September 30, 2017 and 2016 are summarized as follows: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color w:val="auto"/>
                <w:w w:val="95"/>
              </w:rPr>
              <w:t>Fiscal Year Ended September 30, 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35"/>
              <w:spacing w:after="0" w:line="123" w:lineRule="exact"/>
              <w:rPr>
                <w:sz w:val="20"/>
                <w:szCs w:val="20"/>
                <w:color w:val="auto"/>
              </w:rPr>
            </w:pPr>
            <w:r>
              <w:rPr>
                <w:rFonts w:ascii="Arial" w:cs="Arial" w:eastAsia="Arial" w:hAnsi="Arial"/>
                <w:sz w:val="14"/>
                <w:szCs w:val="14"/>
                <w:color w:val="auto"/>
              </w:rPr>
              <w:t>First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5"/>
              <w:spacing w:after="0" w:line="123" w:lineRule="exact"/>
              <w:rPr>
                <w:sz w:val="20"/>
                <w:szCs w:val="20"/>
                <w:color w:val="auto"/>
              </w:rPr>
            </w:pPr>
            <w:r>
              <w:rPr>
                <w:rFonts w:ascii="Arial" w:cs="Arial" w:eastAsia="Arial" w:hAnsi="Arial"/>
                <w:sz w:val="14"/>
                <w:szCs w:val="14"/>
                <w:color w:val="auto"/>
                <w:w w:val="92"/>
              </w:rPr>
              <w:t>Second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rPr>
              <w:t>Third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8"/>
              </w:rPr>
              <w:t>Fourth</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color w:val="auto"/>
                <w:w w:val="96"/>
              </w:rPr>
              <w:t>Quarter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color w:val="auto"/>
                <w:w w:val="92"/>
              </w:rPr>
              <w:t>Quarter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Quarter</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192,178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203,662</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208,323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206,581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35,182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35,398</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40" w:type="dxa"/>
            <w:vAlign w:val="bottom"/>
            <w:shd w:val="clear" w:color="auto" w:fill="CCEEFF"/>
          </w:tcPr>
          <w:p>
            <w:pPr>
              <w:spacing w:after="0"/>
              <w:rPr>
                <w:sz w:val="18"/>
                <w:szCs w:val="18"/>
                <w:color w:val="auto"/>
              </w:rPr>
            </w:pP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3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sum of the individual quarterly earnings per share amounts may not agree with year-to-date earnings per share as each period’s computation is based on the weighted average number of shares outstanding during the period.</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color w:val="auto"/>
                <w:w w:val="95"/>
              </w:rPr>
              <w:t>Fiscal Year Ended September 30, 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35"/>
              <w:spacing w:after="0" w:line="123" w:lineRule="exact"/>
              <w:rPr>
                <w:sz w:val="20"/>
                <w:szCs w:val="20"/>
                <w:color w:val="auto"/>
              </w:rPr>
            </w:pPr>
            <w:r>
              <w:rPr>
                <w:rFonts w:ascii="Arial" w:cs="Arial" w:eastAsia="Arial" w:hAnsi="Arial"/>
                <w:sz w:val="14"/>
                <w:szCs w:val="14"/>
                <w:color w:val="auto"/>
              </w:rPr>
              <w:t>First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5"/>
              <w:spacing w:after="0" w:line="123" w:lineRule="exact"/>
              <w:rPr>
                <w:sz w:val="20"/>
                <w:szCs w:val="20"/>
                <w:color w:val="auto"/>
              </w:rPr>
            </w:pPr>
            <w:r>
              <w:rPr>
                <w:rFonts w:ascii="Arial" w:cs="Arial" w:eastAsia="Arial" w:hAnsi="Arial"/>
                <w:sz w:val="14"/>
                <w:szCs w:val="14"/>
                <w:color w:val="auto"/>
                <w:w w:val="92"/>
              </w:rPr>
              <w:t>Second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rPr>
              <w:t>Third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8"/>
              </w:rPr>
              <w:t>Fourth</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color w:val="auto"/>
                <w:w w:val="96"/>
              </w:rPr>
              <w:t>Quarter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color w:val="auto"/>
                <w:w w:val="92"/>
              </w:rPr>
              <w:t>Quarter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Quarter</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150,766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159,981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179,599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205,647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27,812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33,997</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37,538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101,980</w:t>
            </w:r>
          </w:p>
        </w:tc>
        <w:tc>
          <w:tcPr>
            <w:tcW w:w="40" w:type="dxa"/>
            <w:vAlign w:val="bottom"/>
            <w:shd w:val="clear" w:color="auto" w:fill="CCEEFF"/>
          </w:tcPr>
          <w:p>
            <w:pPr>
              <w:spacing w:after="0"/>
              <w:rPr>
                <w:sz w:val="18"/>
                <w:szCs w:val="18"/>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sum of the individual quarterly earnings per share amounts may not agree with year-to-date earnings per share as each period’s computation is based on the weighted average number of shares outstanding during the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34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ended September 30, 2017 that have materially affected, or are reasonably likely to materially affect, the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accordance with Rules 13a-15 and 15d-15 under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this evaluation, our President and Chief Financial Officer concluded that our disclosure controls and procedures were effective as of September 30, 2017,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Management, including the Company’s President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2017.</w:t>
      </w:r>
    </w:p>
    <w:p>
      <w:pPr>
        <w:spacing w:after="0" w:line="166"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In conducting management’s evaluation of the effectiveness of the Company’s internal controls over financial reporting, we have excluded Freeman Enclosure Systems, LLC and NEXT Electric, LLC because they were acquired during the year ended September 30, 2017. Excluding goodwill and intangible assets, these operations accounted for less than 6% of our total assets and less than 3% of our consolidated revenues for the year then ended.</w:t>
      </w:r>
    </w:p>
    <w:p>
      <w:pPr>
        <w:spacing w:after="0" w:line="147"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Ernst &amp; Young LLP, an independent registered public accounting firm that has audited the Company’s financial statements as of and for the three-year period ended September 30, 2017, has issued a report on their audit of management’s internal control over financial reporting, which is included herein.</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information required to be included Item 10 of Part III of this Annual Report on Form 10-K is incorporated by reference from the sections entitled “Security Ownership of Certain Beneficial Owners and Management;” “Section 16(a) Beneficial Ownership Reporting Compliance;” “Report of the Audit Committee” and “Election of Directors” in the Company’s definitive Proxy Statement for its 2018 Annual Meeting of Stockholders (the “Proxy Statement”) to be filed with the SEC no later than December 31, 2017.</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information required to be included in Item 11 of Part III of this Annual Report on Form 10-K is incorporated by reference from the section entitled “Executive Compensation” in the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Certain information required to be included in Item 12 of Part III of this Annual Report on Form 10-K is incorporated by reference from the section entitled “Security Ownership of Certain Beneficial Owners and Management” in the Proxy Statement.</w:t>
      </w:r>
    </w:p>
    <w:p>
      <w:pPr>
        <w:spacing w:after="0" w:line="275" w:lineRule="exact"/>
        <w:rPr>
          <w:sz w:val="20"/>
          <w:szCs w:val="20"/>
          <w:color w:val="auto"/>
        </w:rPr>
      </w:pPr>
    </w:p>
    <w:p>
      <w:pPr>
        <w:ind w:left="200" w:right="3700"/>
        <w:spacing w:after="0" w:line="378" w:lineRule="auto"/>
        <w:rPr>
          <w:sz w:val="20"/>
          <w:szCs w:val="20"/>
          <w:color w:val="auto"/>
        </w:rPr>
      </w:pPr>
      <w:r>
        <w:rPr>
          <w:rFonts w:ascii="Arial" w:cs="Arial" w:eastAsia="Arial" w:hAnsi="Arial"/>
          <w:sz w:val="18"/>
          <w:szCs w:val="18"/>
          <w:b w:val="1"/>
          <w:bCs w:val="1"/>
          <w:color w:val="auto"/>
        </w:rPr>
        <w:t>SECURITIES AUTHORIZED FOR ISSUANCE UNDER EQUITY COMPENSATION PLANS Equity Compensation Plan Information</w:t>
      </w:r>
    </w:p>
    <w:p>
      <w:pPr>
        <w:ind w:left="200" w:right="60"/>
        <w:spacing w:after="0" w:line="279" w:lineRule="auto"/>
        <w:rPr>
          <w:sz w:val="20"/>
          <w:szCs w:val="20"/>
          <w:color w:val="auto"/>
        </w:rPr>
      </w:pPr>
      <w:r>
        <w:rPr>
          <w:rFonts w:ascii="Arial" w:cs="Arial" w:eastAsia="Arial" w:hAnsi="Arial"/>
          <w:sz w:val="17"/>
          <w:szCs w:val="17"/>
          <w:color w:val="auto"/>
        </w:rPr>
        <w:t>The following table provides information as of September 30, 2017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11, “Stockholders’ Equity” in the notes to our Consolidated Financial Statements set forth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Annual Report on Form 10-K.</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80" w:type="dxa"/>
            <w:vAlign w:val="bottom"/>
            <w:gridSpan w:val="3"/>
          </w:tcPr>
          <w:p>
            <w:pPr>
              <w:jc w:val="center"/>
              <w:ind w:left="519"/>
              <w:spacing w:after="0"/>
              <w:rPr>
                <w:sz w:val="20"/>
                <w:szCs w:val="20"/>
                <w:color w:val="auto"/>
              </w:rPr>
            </w:pPr>
            <w:r>
              <w:rPr>
                <w:rFonts w:ascii="Arial" w:cs="Arial" w:eastAsia="Arial" w:hAnsi="Arial"/>
                <w:sz w:val="14"/>
                <w:szCs w:val="14"/>
                <w:color w:val="auto"/>
                <w:w w:val="95"/>
              </w:rPr>
              <w:t>(c) 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3"/>
              </w:rPr>
              <w:t>(a) Number of Securities to</w:t>
            </w:r>
          </w:p>
        </w:tc>
        <w:tc>
          <w:tcPr>
            <w:tcW w:w="1760" w:type="dxa"/>
            <w:vAlign w:val="bottom"/>
            <w:gridSpan w:val="3"/>
          </w:tcPr>
          <w:p>
            <w:pPr>
              <w:jc w:val="center"/>
              <w:ind w:left="379"/>
              <w:spacing w:after="0" w:line="149" w:lineRule="exact"/>
              <w:rPr>
                <w:sz w:val="20"/>
                <w:szCs w:val="20"/>
                <w:color w:val="auto"/>
              </w:rPr>
            </w:pPr>
            <w:r>
              <w:rPr>
                <w:rFonts w:ascii="Arial" w:cs="Arial" w:eastAsia="Arial" w:hAnsi="Arial"/>
                <w:sz w:val="14"/>
                <w:szCs w:val="14"/>
                <w:color w:val="auto"/>
                <w:w w:val="91"/>
              </w:rPr>
              <w:t>(b) Weighted-Average</w:t>
            </w:r>
          </w:p>
        </w:tc>
        <w:tc>
          <w:tcPr>
            <w:tcW w:w="92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2"/>
              </w:rPr>
              <w:t>be Issued Upon Exercise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Exercise Price of</w:t>
            </w:r>
          </w:p>
        </w:tc>
        <w:tc>
          <w:tcPr>
            <w:tcW w:w="92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Plans (Excluding</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color w:val="auto"/>
              </w:rPr>
              <w:t>Plan Category</w:t>
            </w:r>
          </w:p>
        </w:tc>
        <w:tc>
          <w:tcPr>
            <w:tcW w:w="580" w:type="dxa"/>
            <w:vAlign w:val="bottom"/>
          </w:tcPr>
          <w:p>
            <w:pPr>
              <w:spacing w:after="0"/>
              <w:rPr>
                <w:sz w:val="12"/>
                <w:szCs w:val="12"/>
                <w:color w:val="auto"/>
              </w:rPr>
            </w:pPr>
          </w:p>
        </w:tc>
        <w:tc>
          <w:tcPr>
            <w:tcW w:w="2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of Outstanding Options,</w:t>
            </w:r>
          </w:p>
        </w:tc>
        <w:tc>
          <w:tcPr>
            <w:tcW w:w="4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 Options,</w:t>
            </w:r>
          </w:p>
        </w:tc>
        <w:tc>
          <w:tcPr>
            <w:tcW w:w="92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Securities Reflected</w:t>
            </w:r>
          </w:p>
        </w:tc>
        <w:tc>
          <w:tcPr>
            <w:tcW w:w="0" w:type="dxa"/>
            <w:vAlign w:val="bottom"/>
          </w:tcPr>
          <w:p>
            <w:pPr>
              <w:spacing w:after="0"/>
              <w:rPr>
                <w:sz w:val="1"/>
                <w:szCs w:val="1"/>
                <w:color w:val="auto"/>
              </w:rPr>
            </w:pPr>
          </w:p>
        </w:tc>
      </w:tr>
      <w:tr>
        <w:trPr>
          <w:trHeight w:val="167"/>
        </w:trPr>
        <w:tc>
          <w:tcPr>
            <w:tcW w:w="37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gridSpan w:val="2"/>
          </w:tcPr>
          <w:p>
            <w:pPr>
              <w:jc w:val="center"/>
              <w:ind w:right="720"/>
              <w:spacing w:after="0"/>
              <w:rPr>
                <w:sz w:val="20"/>
                <w:szCs w:val="20"/>
                <w:color w:val="auto"/>
              </w:rPr>
            </w:pPr>
            <w:r>
              <w:rPr>
                <w:rFonts w:ascii="Arial" w:cs="Arial" w:eastAsia="Arial" w:hAnsi="Arial"/>
                <w:sz w:val="14"/>
                <w:szCs w:val="14"/>
                <w:color w:val="auto"/>
                <w:w w:val="90"/>
              </w:rPr>
              <w:t>Warrants and Rights</w:t>
            </w:r>
          </w:p>
        </w:tc>
        <w:tc>
          <w:tcPr>
            <w:tcW w:w="4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2"/>
              </w:rPr>
              <w:t>Warrants and Rights</w:t>
            </w:r>
          </w:p>
        </w:tc>
        <w:tc>
          <w:tcPr>
            <w:tcW w:w="92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58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center"/>
              <w:ind w:left="42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1,060,191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2860" w:type="dxa"/>
            <w:vAlign w:val="bottom"/>
            <w:gridSpan w:val="3"/>
          </w:tcPr>
          <w:p>
            <w:pPr>
              <w:jc w:val="right"/>
              <w:ind w:right="460"/>
              <w:spacing w:after="0"/>
              <w:rPr>
                <w:sz w:val="20"/>
                <w:szCs w:val="20"/>
                <w:color w:val="auto"/>
              </w:rPr>
            </w:pPr>
            <w:r>
              <w:rPr>
                <w:rFonts w:ascii="Arial" w:cs="Arial" w:eastAsia="Arial" w:hAnsi="Arial"/>
                <w:sz w:val="18"/>
                <w:szCs w:val="18"/>
                <w:color w:val="auto"/>
              </w:rPr>
              <w:t>453,750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6.42</w:t>
            </w:r>
          </w:p>
        </w:tc>
        <w:tc>
          <w:tcPr>
            <w:tcW w:w="920" w:type="dxa"/>
            <w:vAlign w:val="bottom"/>
          </w:tcPr>
          <w:p>
            <w:pPr>
              <w:spacing w:after="0"/>
              <w:rPr>
                <w:sz w:val="20"/>
                <w:szCs w:val="20"/>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68"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shares available for issuance under the Company’s 2006 Equity Incentive Plan, which was amended and restated effective February 9, 2016 (the “Amended Plan”), following approval by shareholders at the Company’s annual stockholders’ meeting. This plan provides for the granting or awarding of stock options, stock, restricted stock and other forms of equity to employees (including officers), consultants and directors of the Company. This also includes 408,000 shares that may be issued pursuant to outstanding PPSUs and PCUs based on reported financial results, where applicable, and otherwise assuming the target award is met.</w:t>
      </w:r>
    </w:p>
    <w:p>
      <w:pPr>
        <w:spacing w:after="0" w:line="3" w:lineRule="exact"/>
        <w:rPr>
          <w:rFonts w:ascii="Arial" w:cs="Arial" w:eastAsia="Arial" w:hAnsi="Arial"/>
          <w:sz w:val="17"/>
          <w:szCs w:val="17"/>
          <w:color w:val="auto"/>
        </w:rPr>
      </w:pPr>
    </w:p>
    <w:p>
      <w:pPr>
        <w:ind w:left="640" w:right="160" w:hanging="436"/>
        <w:spacing w:after="0" w:line="25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issuable upon exercise of outstanding options granted under the Company’s 2006 Equity Incentive Plan (amended and restated as of October 2007), which was in place prior to the Amended Plan. This includes 45,750 options with a weighted-average term of 6.35 years. This also includes 408,000 shares that may be issued pursuant to outstanding PPSUs, based on reported financial results, where applicable, and otherwise assuming the target award is met.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information required to be included in Item 13 of Part III of this Annual Report on Form 10-K is incorporated by reference from the section entitled “Certain Relationships and Related Person Transactions” in the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information required to be included in Item 14 of Part III of this Form 10-K is incorporated by reference from the section entitled “Audit Fees” in the Proxy Statement.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35"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Statements and Supplementary Data, Financial Statement Schedules and 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Index to Financial Statements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From 10-K.</w:t>
      </w:r>
    </w:p>
    <w:p>
      <w:pPr>
        <w:spacing w:after="0" w:line="154"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140"/>
          </w:cols>
          <w:pgMar w:left="240" w:top="459" w:right="519" w:bottom="1440" w:gutter="0" w:footer="0" w:header="0"/>
        </w:sectPr>
      </w:pPr>
    </w:p>
    <w:p>
      <w:pPr>
        <w:spacing w:after="0" w:line="244" w:lineRule="exact"/>
        <w:rPr>
          <w:sz w:val="20"/>
          <w:szCs w:val="20"/>
          <w:color w:val="auto"/>
        </w:rPr>
      </w:pPr>
    </w:p>
    <w:p>
      <w:pPr>
        <w:jc w:val="center"/>
        <w:ind w:left="52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5080</wp:posOffset>
            </wp:positionV>
            <wp:extent cx="2914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300"/>
        <w:spacing w:after="0" w:line="279" w:lineRule="auto"/>
        <w:rPr>
          <w:rFonts w:ascii="Arial" w:cs="Arial" w:eastAsia="Arial" w:hAnsi="Arial"/>
          <w:sz w:val="17"/>
          <w:szCs w:val="17"/>
          <w:u w:val="single" w:color="auto"/>
          <w:color w:val="0000EE"/>
        </w:rPr>
      </w:pPr>
      <w:hyperlink r:id="rId118">
        <w:r>
          <w:rPr>
            <w:rFonts w:ascii="Arial" w:cs="Arial" w:eastAsia="Arial" w:hAnsi="Arial"/>
            <w:sz w:val="17"/>
            <w:szCs w:val="17"/>
            <w:u w:val="single" w:color="auto"/>
            <w:color w:val="0000EE"/>
          </w:rPr>
          <w:t>Agreement and Plan of Merger effective as of March 13, 2013, by and among Integrated Electrical Services, Inc. (n/k/a IES</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Holdings, Inc.), IES Subsidiary Holdings, Inc. and MISCOR Group, Ltd. (Attached as part of Annex A to the joint proxy</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statement/prospectus that is part of Amendment No. 4 to the Company’s Registration Statement on Form S-4 filed on August 5,</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2013) (the schedules and annexes have been omitted pursuant to Item 601(b)(2) of Regulation S-K)</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1020" w:space="620"/>
            <w:col w:w="9500"/>
          </w:cols>
          <w:pgMar w:left="240" w:top="459" w:right="519" w:bottom="1440" w:gutter="0" w:footer="0" w:header="0"/>
          <w:type w:val="continuous"/>
        </w:sectPr>
      </w:pPr>
    </w:p>
    <w:p>
      <w:pPr>
        <w:ind w:left="1640" w:hanging="108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2.2 —</w:t>
      </w:r>
      <w:r>
        <w:rPr>
          <w:sz w:val="20"/>
          <w:szCs w:val="20"/>
          <w:color w:val="auto"/>
        </w:rPr>
        <w:tab/>
      </w:r>
      <w:hyperlink r:id="rId118">
        <w:r>
          <w:rPr>
            <w:rFonts w:ascii="Arial" w:cs="Arial" w:eastAsia="Arial" w:hAnsi="Arial"/>
            <w:sz w:val="18"/>
            <w:szCs w:val="18"/>
            <w:u w:val="single" w:color="auto"/>
            <w:color w:val="0000EE"/>
          </w:rPr>
          <w:t>First Amendment to Agreement and Plan of Merger, dated as of July 10, 2013, by and among Integrated Electrical Services, Inc.</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(n/k/a IES Holdings, Inc.), IES Subsidiary Holdings, Inc. and MISCOR Group, Ltd. (Attached as part of Annex A to the joint proxy</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statement/prospectus that is part of Amendment No. 4 to the Company’s Registration Statement on Form S-4 filed on August 5,</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2013)</w:t>
        </w:r>
      </w:hyperlink>
    </w:p>
    <w:p>
      <w:pPr>
        <w:spacing w:after="0" w:line="92" w:lineRule="exact"/>
        <w:rPr>
          <w:rFonts w:ascii="Arial" w:cs="Arial" w:eastAsia="Arial" w:hAnsi="Arial"/>
          <w:sz w:val="18"/>
          <w:szCs w:val="18"/>
          <w:u w:val="single" w:color="auto"/>
          <w:color w:val="0000EE"/>
        </w:rPr>
      </w:pPr>
    </w:p>
    <w:p>
      <w:pPr>
        <w:ind w:left="1640" w:right="20" w:hanging="1084"/>
        <w:spacing w:after="0" w:line="264"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2.3 —</w:t>
      </w:r>
      <w:r>
        <w:rPr>
          <w:sz w:val="20"/>
          <w:szCs w:val="20"/>
          <w:color w:val="auto"/>
        </w:rPr>
        <w:tab/>
      </w:r>
      <w:hyperlink r:id="rId119">
        <w:r>
          <w:rPr>
            <w:rFonts w:ascii="Arial" w:cs="Arial" w:eastAsia="Arial" w:hAnsi="Arial"/>
            <w:sz w:val="18"/>
            <w:szCs w:val="18"/>
            <w:u w:val="single" w:color="auto"/>
            <w:color w:val="0000EE"/>
          </w:rPr>
          <w:t>Stock Purchase Agreement dated as of June 1, 2016, by and among IES Infrastructure Solutions, LLC, IES Holdings, Inc.,</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Technibus, Inc. and Technibus, LLC. (Incorporated by reference to Exhibit 2.1 to the Company’s Current Report on Form 8-K filed</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June 15, 2016)</w:t>
        </w:r>
      </w:hyperlink>
    </w:p>
    <w:p>
      <w:pPr>
        <w:spacing w:after="0" w:line="73" w:lineRule="exact"/>
        <w:rPr>
          <w:rFonts w:ascii="Arial" w:cs="Arial" w:eastAsia="Arial" w:hAnsi="Arial"/>
          <w:sz w:val="18"/>
          <w:szCs w:val="18"/>
          <w:u w:val="single" w:color="auto"/>
          <w:color w:val="0000EE"/>
        </w:rPr>
      </w:pPr>
    </w:p>
    <w:p>
      <w:pPr>
        <w:ind w:left="1640" w:right="40" w:hanging="1084"/>
        <w:spacing w:after="0" w:line="264"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3.1 —</w:t>
      </w:r>
      <w:r>
        <w:rPr>
          <w:sz w:val="20"/>
          <w:szCs w:val="20"/>
          <w:color w:val="auto"/>
        </w:rPr>
        <w:tab/>
      </w:r>
      <w:hyperlink r:id="rId120">
        <w:r>
          <w:rPr>
            <w:rFonts w:ascii="Arial" w:cs="Arial" w:eastAsia="Arial" w:hAnsi="Arial"/>
            <w:sz w:val="18"/>
            <w:szCs w:val="18"/>
            <w:u w:val="single" w:color="auto"/>
            <w:color w:val="0000EE"/>
          </w:rPr>
          <w:t>Second Amended and Restated Certificate of Incorporation of IES Holdings, Inc., as amended by the Certificate of Amendment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thereto, effective May 24, 2016 (composite). (Incorporated by reference to Exhibit 3.1 to the Company’s Quarterly Report on Form</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10-Q filed on August 8, 2016)</w:t>
        </w:r>
      </w:hyperlink>
    </w:p>
    <w:p>
      <w:pPr>
        <w:spacing w:after="0" w:line="73" w:lineRule="exact"/>
        <w:rPr>
          <w:rFonts w:ascii="Arial" w:cs="Arial" w:eastAsia="Arial" w:hAnsi="Arial"/>
          <w:sz w:val="18"/>
          <w:szCs w:val="18"/>
          <w:u w:val="single" w:color="auto"/>
          <w:color w:val="0000EE"/>
        </w:rPr>
      </w:pPr>
    </w:p>
    <w:p>
      <w:pPr>
        <w:ind w:left="1640" w:right="620" w:hanging="1084"/>
        <w:spacing w:after="0" w:line="277"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r:id="rId121">
        <w:r>
          <w:rPr>
            <w:rFonts w:ascii="Arial" w:cs="Arial" w:eastAsia="Arial" w:hAnsi="Arial"/>
            <w:sz w:val="18"/>
            <w:szCs w:val="18"/>
            <w:u w:val="single" w:color="auto"/>
            <w:color w:val="0000EE"/>
          </w:rPr>
          <w:t>Certificate of Designations of Series A Junior Participating Preferred Stock (Incorporated by reference to Exhibit 3.1 to the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Company’s Current Report on From 8-K filed on January 28, 2013)</w:t>
        </w:r>
      </w:hyperlink>
    </w:p>
    <w:p>
      <w:pPr>
        <w:spacing w:after="0" w:line="62" w:lineRule="exact"/>
        <w:rPr>
          <w:sz w:val="20"/>
          <w:szCs w:val="20"/>
          <w:color w:val="auto"/>
        </w:rPr>
      </w:pPr>
    </w:p>
    <w:p>
      <w:pPr>
        <w:ind w:left="1640" w:right="400" w:hanging="1084"/>
        <w:spacing w:after="0" w:line="277"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3.3 —</w:t>
      </w:r>
      <w:r>
        <w:rPr>
          <w:sz w:val="20"/>
          <w:szCs w:val="20"/>
          <w:color w:val="auto"/>
        </w:rPr>
        <w:tab/>
      </w:r>
      <w:hyperlink r:id="rId122">
        <w:r>
          <w:rPr>
            <w:rFonts w:ascii="Arial" w:cs="Arial" w:eastAsia="Arial" w:hAnsi="Arial"/>
            <w:sz w:val="18"/>
            <w:szCs w:val="18"/>
            <w:u w:val="single" w:color="auto"/>
            <w:color w:val="0000EE"/>
          </w:rPr>
          <w:t>Amended and Restated Bylaws of IES Holdings, Inc., effective May 24, 2016 (Incorporated by reference to Exhibit 3.2 to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Company’s Current Report on Form 8-K, filed on May 24, 2016)</w:t>
        </w:r>
      </w:hyperlink>
    </w:p>
    <w:p>
      <w:pPr>
        <w:spacing w:after="0" w:line="62" w:lineRule="exact"/>
        <w:rPr>
          <w:sz w:val="20"/>
          <w:szCs w:val="20"/>
          <w:color w:val="auto"/>
        </w:rPr>
      </w:pPr>
    </w:p>
    <w:p>
      <w:pPr>
        <w:ind w:left="1640" w:hanging="1084"/>
        <w:spacing w:after="0" w:line="277"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4.1 —</w:t>
      </w:r>
      <w:r>
        <w:rPr>
          <w:sz w:val="20"/>
          <w:szCs w:val="20"/>
          <w:color w:val="auto"/>
        </w:rPr>
        <w:tab/>
      </w:r>
      <w:hyperlink r:id="rId123">
        <w:r>
          <w:rPr>
            <w:rFonts w:ascii="Arial" w:cs="Arial" w:eastAsia="Arial" w:hAnsi="Arial"/>
            <w:sz w:val="18"/>
            <w:szCs w:val="18"/>
            <w:u w:val="single" w:color="auto"/>
            <w:color w:val="0000EE"/>
          </w:rPr>
          <w:t>Specimen common stock certificate. (Incorporated by reference to Exhibit 4.1 to the Company’s Annual Report on Form 10-K filed</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on December 9, 2016)</w:t>
        </w:r>
      </w:hyperlink>
    </w:p>
    <w:p>
      <w:pPr>
        <w:spacing w:after="0" w:line="76" w:lineRule="exact"/>
        <w:rPr>
          <w:sz w:val="20"/>
          <w:szCs w:val="20"/>
          <w:color w:val="auto"/>
        </w:rPr>
      </w:pPr>
    </w:p>
    <w:p>
      <w:pPr>
        <w:ind w:left="1640" w:right="60" w:hanging="108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4.2 —</w:t>
      </w:r>
      <w:r>
        <w:rPr>
          <w:sz w:val="20"/>
          <w:szCs w:val="20"/>
          <w:color w:val="auto"/>
        </w:rPr>
        <w:tab/>
      </w:r>
      <w:hyperlink r:id="rId124">
        <w:r>
          <w:rPr>
            <w:rFonts w:ascii="Arial" w:cs="Arial" w:eastAsia="Arial" w:hAnsi="Arial"/>
            <w:sz w:val="18"/>
            <w:szCs w:val="18"/>
            <w:u w:val="single" w:color="auto"/>
            <w:color w:val="0000EE"/>
          </w:rPr>
          <w:t>Tax Benefit Protection Plan Agreement by and between IES Holdings, Inc. and American Stock Transfer &amp; Trust Company, LLC,</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as Rights Agent, dated as of November 8, 2016, including the form of Rights Certificate and Summary of Stockholder Rights Plan</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attached thereto as Exhibits A and B, respectively (Incorporated by reference to Exhibit 4.1 to the Company’s Current Report on</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Form 8-K filed on November 9, 2016)</w:t>
        </w:r>
      </w:hyperlink>
    </w:p>
    <w:p>
      <w:pPr>
        <w:spacing w:after="0" w:line="79" w:lineRule="exact"/>
        <w:rPr>
          <w:rFonts w:ascii="Arial" w:cs="Arial" w:eastAsia="Arial" w:hAnsi="Arial"/>
          <w:sz w:val="18"/>
          <w:szCs w:val="18"/>
          <w:u w:val="single" w:color="auto"/>
          <w:color w:val="0000EE"/>
        </w:rPr>
      </w:pPr>
    </w:p>
    <w:p>
      <w:pPr>
        <w:ind w:left="1640" w:right="80" w:hanging="1084"/>
        <w:spacing w:after="0" w:line="264"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4.3 —</w:t>
      </w:r>
      <w:r>
        <w:rPr>
          <w:sz w:val="20"/>
          <w:szCs w:val="20"/>
          <w:color w:val="auto"/>
        </w:rPr>
        <w:tab/>
      </w:r>
      <w:hyperlink r:id="rId125">
        <w:r>
          <w:rPr>
            <w:rFonts w:ascii="Arial" w:cs="Arial" w:eastAsia="Arial" w:hAnsi="Arial"/>
            <w:sz w:val="18"/>
            <w:szCs w:val="18"/>
            <w:u w:val="single" w:color="auto"/>
            <w:color w:val="0000EE"/>
          </w:rPr>
          <w:t>Registration Rights Agreement, dated May 12, 2006, by and among Integrated Electrical Services, Inc. (n/k/a IES Holdings, Inc.),</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Tontine Capital Partners, L.P. and certain of its affiliates and Southpoint Master Fund, L.P. (Incorporated by reference to Exhibit</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10.5 to the Company’s Current Report on Form 8-K filed on May 17, 2006)</w:t>
        </w:r>
      </w:hyperlink>
    </w:p>
    <w:p>
      <w:pPr>
        <w:spacing w:after="0" w:line="73" w:lineRule="exact"/>
        <w:rPr>
          <w:rFonts w:ascii="Arial" w:cs="Arial" w:eastAsia="Arial" w:hAnsi="Arial"/>
          <w:sz w:val="18"/>
          <w:szCs w:val="18"/>
          <w:u w:val="single" w:color="auto"/>
          <w:color w:val="0000EE"/>
        </w:rPr>
      </w:pPr>
    </w:p>
    <w:p>
      <w:pPr>
        <w:jc w:val="both"/>
        <w:ind w:left="1640" w:right="100" w:hanging="1084"/>
        <w:spacing w:after="0" w:line="264"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4.4 —</w:t>
      </w:r>
      <w:r>
        <w:rPr>
          <w:sz w:val="20"/>
          <w:szCs w:val="20"/>
          <w:color w:val="auto"/>
        </w:rPr>
        <w:tab/>
      </w:r>
      <w:hyperlink r:id="rId126">
        <w:r>
          <w:rPr>
            <w:rFonts w:ascii="Arial" w:cs="Arial" w:eastAsia="Arial" w:hAnsi="Arial"/>
            <w:sz w:val="18"/>
            <w:szCs w:val="18"/>
            <w:u w:val="single" w:color="auto"/>
            <w:color w:val="0000EE"/>
          </w:rPr>
          <w:t>First Amendment to Registration Rights Agreement, dated September 11, 2007, by and among Integrated Electrical Services, Inc.</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(n/k/a IES Holdings, Inc.), Tontine Capital Partners, L.P. and certain of its affiliates. (Incorporated by reference to Exhibit 10.24 to</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Company’s Annual Report on Form 10-K filed on December 14, 2012)</w:t>
        </w:r>
      </w:hyperlink>
    </w:p>
    <w:p>
      <w:pPr>
        <w:spacing w:after="0" w:line="114" w:lineRule="exact"/>
        <w:rPr>
          <w:rFonts w:ascii="Arial" w:cs="Arial" w:eastAsia="Arial" w:hAnsi="Arial"/>
          <w:sz w:val="18"/>
          <w:szCs w:val="18"/>
          <w:u w:val="single" w:color="auto"/>
          <w:color w:val="0000EE"/>
        </w:rPr>
      </w:pPr>
    </w:p>
    <w:p>
      <w:pPr>
        <w:jc w:val="center"/>
        <w:ind w:right="-2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240" w:top="459" w:right="519" w:bottom="1440" w:gutter="0" w:footer="0" w:header="0"/>
          <w:type w:val="continuous"/>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4"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5080</wp:posOffset>
            </wp:positionV>
            <wp:extent cx="2914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10.1 —</w:t>
      </w:r>
    </w:p>
    <w:p>
      <w:pPr>
        <w:spacing w:after="0" w:line="200" w:lineRule="exact"/>
        <w:rPr>
          <w:sz w:val="20"/>
          <w:szCs w:val="20"/>
          <w:color w:val="auto"/>
        </w:rPr>
      </w:pPr>
    </w:p>
    <w:p>
      <w:pPr>
        <w:spacing w:after="0" w:line="3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20"/>
        <w:spacing w:after="0" w:line="286" w:lineRule="auto"/>
        <w:rPr>
          <w:rFonts w:ascii="Arial" w:cs="Arial" w:eastAsia="Arial" w:hAnsi="Arial"/>
          <w:sz w:val="17"/>
          <w:szCs w:val="17"/>
          <w:u w:val="single" w:color="auto"/>
          <w:color w:val="0000EE"/>
        </w:rPr>
      </w:pPr>
      <w:hyperlink r:id="rId129">
        <w:r>
          <w:rPr>
            <w:rFonts w:ascii="Arial" w:cs="Arial" w:eastAsia="Arial" w:hAnsi="Arial"/>
            <w:sz w:val="17"/>
            <w:szCs w:val="17"/>
            <w:u w:val="single" w:color="auto"/>
            <w:color w:val="0000EE"/>
          </w:rPr>
          <w:t>Restated Underwriting, Continuing Indemnity and Security Agreement, dated May 12, 2006, by Integrated Electrical Services, Inc.</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(n/k/a IES Holdings, Inc.) and certain of its subsidiaries and affiliates in favor of Federal Insurance Company. (Incorporated by</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reference to Exhibit 10.4 to the Company’s Current Report on Form 8-K filed May 17, 2006)</w:t>
        </w:r>
      </w:hyperlink>
    </w:p>
    <w:p>
      <w:pPr>
        <w:spacing w:after="0" w:line="71" w:lineRule="exact"/>
        <w:rPr>
          <w:rFonts w:ascii="Arial" w:cs="Arial" w:eastAsia="Arial" w:hAnsi="Arial"/>
          <w:sz w:val="17"/>
          <w:szCs w:val="17"/>
          <w:u w:val="single" w:color="auto"/>
          <w:color w:val="0000EE"/>
        </w:rPr>
      </w:pPr>
    </w:p>
    <w:p>
      <w:pPr>
        <w:ind w:right="340"/>
        <w:spacing w:after="0" w:line="259"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First Amendment, dated as of October 30, 2006, to the Restated Underwriting, Continuing Indemnity, and Security Agreement,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dated May 12, 2006, by Integrated Electrical Services, Inc. (n/k/a IES Holdings, Inc.), certain of its subsidiaries and Federal</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Insurance Company and certain of its affiliates. (Incorporated by reference to Exhibit 10.1 to the Company’s Current Report 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Form 8-K filed November 6, 2006)</w:t>
        </w:r>
      </w:hyperlink>
    </w:p>
    <w:p>
      <w:pPr>
        <w:spacing w:after="0" w:line="79" w:lineRule="exact"/>
        <w:rPr>
          <w:rFonts w:ascii="Arial" w:cs="Arial" w:eastAsia="Arial" w:hAnsi="Arial"/>
          <w:sz w:val="18"/>
          <w:szCs w:val="18"/>
          <w:u w:val="single" w:color="auto"/>
          <w:color w:val="0000EE"/>
        </w:rPr>
      </w:pPr>
    </w:p>
    <w:p>
      <w:pPr>
        <w:sectPr>
          <w:pgSz w:w="11900" w:h="16838" w:orient="portrait"/>
          <w:cols w:equalWidth="0" w:num="2">
            <w:col w:w="1020" w:space="620"/>
            <w:col w:w="9560"/>
          </w:cols>
          <w:pgMar w:left="240" w:top="459" w:right="459" w:bottom="1440" w:gutter="0" w:footer="0" w:header="0"/>
          <w:type w:val="continuous"/>
        </w:sectPr>
      </w:pPr>
    </w:p>
    <w:p>
      <w:pPr>
        <w:ind w:left="164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10.3 —</w:t>
      </w:r>
      <w:r>
        <w:rPr>
          <w:sz w:val="20"/>
          <w:szCs w:val="20"/>
          <w:color w:val="auto"/>
        </w:rPr>
        <w:tab/>
      </w:r>
      <w:hyperlink r:id="rId131">
        <w:r>
          <w:rPr>
            <w:rFonts w:ascii="Arial" w:cs="Arial" w:eastAsia="Arial" w:hAnsi="Arial"/>
            <w:sz w:val="18"/>
            <w:szCs w:val="18"/>
            <w:u w:val="single" w:color="auto"/>
            <w:color w:val="0000EE"/>
          </w:rPr>
          <w:t>Third Amendment, dated May 1, 2007, to the Restated Underwriting, Continuing Indemnity and Security Agreement, dated May</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12, 2006, by Integrated Electrical Services, Inc. (n/k/a IES Holdings, Inc.), certain of its subsidiaries and Federal Insurance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Company and certain of its affiliates.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October 12, 2007)</w:t>
        </w:r>
      </w:hyperlink>
    </w:p>
    <w:p>
      <w:pPr>
        <w:spacing w:after="0" w:line="79" w:lineRule="exact"/>
        <w:rPr>
          <w:rFonts w:ascii="Arial" w:cs="Arial" w:eastAsia="Arial" w:hAnsi="Arial"/>
          <w:sz w:val="18"/>
          <w:szCs w:val="18"/>
          <w:u w:val="single" w:color="auto"/>
          <w:color w:val="0000EE"/>
        </w:rPr>
      </w:pPr>
    </w:p>
    <w:p>
      <w:pPr>
        <w:ind w:left="1640" w:right="60" w:hanging="1174"/>
        <w:spacing w:after="0" w:line="312" w:lineRule="auto"/>
        <w:tabs>
          <w:tab w:leader="none" w:pos="1620" w:val="left"/>
        </w:tabs>
        <w:rPr>
          <w:rFonts w:ascii="Arial" w:cs="Arial" w:eastAsia="Arial" w:hAnsi="Arial"/>
          <w:sz w:val="16"/>
          <w:szCs w:val="16"/>
          <w:u w:val="single" w:color="auto"/>
          <w:color w:val="0000EE"/>
        </w:rPr>
      </w:pPr>
      <w:r>
        <w:rPr>
          <w:rFonts w:ascii="Arial" w:cs="Arial" w:eastAsia="Arial" w:hAnsi="Arial"/>
          <w:sz w:val="18"/>
          <w:szCs w:val="18"/>
          <w:color w:val="auto"/>
        </w:rPr>
        <w:t>10.4 —</w:t>
      </w:r>
      <w:r>
        <w:rPr>
          <w:sz w:val="20"/>
          <w:szCs w:val="20"/>
          <w:color w:val="auto"/>
        </w:rPr>
        <w:tab/>
      </w:r>
      <w:hyperlink r:id="rId132">
        <w:r>
          <w:rPr>
            <w:rFonts w:ascii="Arial" w:cs="Arial" w:eastAsia="Arial" w:hAnsi="Arial"/>
            <w:sz w:val="16"/>
            <w:szCs w:val="16"/>
            <w:u w:val="single" w:color="auto"/>
            <w:color w:val="0000EE"/>
          </w:rPr>
          <w:t>Fourth Amendment to the Restated Underwriting, Continuing Indemnity and Security Agreement, dated May 12, 2006, by</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Integrated Electrical Services, Inc. (n/k/a IES Holdings, Inc.), certain of its subsidiaries and Federal Insurance Company and certain</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of its affiliates. (Incorporated by reference to Exhibit 10.2 to the Company’s Current Report on Form 8-K filed October 12, 2007)</w:t>
        </w:r>
      </w:hyperlink>
    </w:p>
    <w:p>
      <w:pPr>
        <w:spacing w:after="0" w:line="39" w:lineRule="exact"/>
        <w:rPr>
          <w:rFonts w:ascii="Arial" w:cs="Arial" w:eastAsia="Arial" w:hAnsi="Arial"/>
          <w:sz w:val="16"/>
          <w:szCs w:val="16"/>
          <w:u w:val="single" w:color="auto"/>
          <w:color w:val="0000EE"/>
        </w:rPr>
      </w:pPr>
    </w:p>
    <w:p>
      <w:pPr>
        <w:ind w:left="1640" w:right="12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10.5 —</w:t>
      </w:r>
      <w:r>
        <w:rPr>
          <w:sz w:val="20"/>
          <w:szCs w:val="20"/>
          <w:color w:val="auto"/>
        </w:rPr>
        <w:tab/>
      </w:r>
      <w:hyperlink r:id="rId133">
        <w:r>
          <w:rPr>
            <w:rFonts w:ascii="Arial" w:cs="Arial" w:eastAsia="Arial" w:hAnsi="Arial"/>
            <w:sz w:val="18"/>
            <w:szCs w:val="18"/>
            <w:u w:val="single" w:color="auto"/>
            <w:color w:val="0000EE"/>
          </w:rPr>
          <w:t>Rider to Add Principal/Indemnitor and Fifth Amendment, dated September 29, 2008, to Restated Underwriting, Continuing</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Indemnity, and Security Agreement, dated May 12, 2006, by Integrated Electrical Services, Inc. (n/k/a IES Holdings, Inc.), certain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of its subsidiaries and Federal Insurance Company and certain of its affiliates. (Incorporated by reference to Exhibit 10.1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Company’s Current Report on Form 8-K filed October 24, 2008)</w:t>
        </w:r>
      </w:hyperlink>
    </w:p>
    <w:p>
      <w:pPr>
        <w:spacing w:after="0" w:line="79" w:lineRule="exact"/>
        <w:rPr>
          <w:rFonts w:ascii="Arial" w:cs="Arial" w:eastAsia="Arial" w:hAnsi="Arial"/>
          <w:sz w:val="18"/>
          <w:szCs w:val="18"/>
          <w:u w:val="single" w:color="auto"/>
          <w:color w:val="0000EE"/>
        </w:rPr>
      </w:pPr>
    </w:p>
    <w:p>
      <w:pPr>
        <w:ind w:left="1640" w:right="180" w:hanging="1174"/>
        <w:spacing w:after="0" w:line="293" w:lineRule="auto"/>
        <w:tabs>
          <w:tab w:leader="none" w:pos="1620" w:val="left"/>
        </w:tabs>
        <w:rPr>
          <w:rFonts w:ascii="Arial" w:cs="Arial" w:eastAsia="Arial" w:hAnsi="Arial"/>
          <w:sz w:val="16"/>
          <w:szCs w:val="16"/>
          <w:u w:val="single" w:color="auto"/>
          <w:color w:val="0000EE"/>
        </w:rPr>
      </w:pPr>
      <w:r>
        <w:rPr>
          <w:rFonts w:ascii="Arial" w:cs="Arial" w:eastAsia="Arial" w:hAnsi="Arial"/>
          <w:sz w:val="18"/>
          <w:szCs w:val="18"/>
          <w:color w:val="auto"/>
        </w:rPr>
        <w:t>10.6 —</w:t>
      </w:r>
      <w:r>
        <w:rPr>
          <w:sz w:val="20"/>
          <w:szCs w:val="20"/>
          <w:color w:val="auto"/>
        </w:rPr>
        <w:tab/>
      </w:r>
      <w:hyperlink r:id="rId134">
        <w:r>
          <w:rPr>
            <w:rFonts w:ascii="Arial" w:cs="Arial" w:eastAsia="Arial" w:hAnsi="Arial"/>
            <w:sz w:val="16"/>
            <w:szCs w:val="16"/>
            <w:u w:val="single" w:color="auto"/>
            <w:color w:val="0000EE"/>
          </w:rPr>
          <w:t>Agreement of Indemnity, dated May 7, 2010, by Integrated Electrical Services, Inc. (n/k/a IES Holdings, Inc.) and certain of its</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present and future subsidiaries and affiliates and Chartis Property Casualty Company, Chartis Insurance Company of Canada,</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American Home Assurance Company, Commerce and Industry Insurance Company, Granite State Insurance Company, Lexington</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Insurance Company, National Union Fire Insurance Company of Pittsburgh, Pa., New Hampshire Insurance Company and The</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Insurance Company of the State of Pennsylvania and any and all of their affiliates, subsidiaries, successors and assigns.</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(Incorporated by reference to Exhibit 10.1 to the Company’s Current Report on Form 8-K filed May 13, 2010)</w:t>
        </w:r>
      </w:hyperlink>
    </w:p>
    <w:p>
      <w:pPr>
        <w:spacing w:after="0" w:line="57" w:lineRule="exact"/>
        <w:rPr>
          <w:rFonts w:ascii="Arial" w:cs="Arial" w:eastAsia="Arial" w:hAnsi="Arial"/>
          <w:sz w:val="16"/>
          <w:szCs w:val="16"/>
          <w:u w:val="single" w:color="auto"/>
          <w:color w:val="0000EE"/>
        </w:rPr>
      </w:pPr>
    </w:p>
    <w:p>
      <w:pPr>
        <w:ind w:left="1640" w:right="180" w:hanging="1174"/>
        <w:spacing w:after="0" w:line="255"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10.7 —</w:t>
      </w:r>
      <w:r>
        <w:rPr>
          <w:sz w:val="20"/>
          <w:szCs w:val="20"/>
          <w:color w:val="auto"/>
        </w:rPr>
        <w:tab/>
      </w:r>
      <w:hyperlink r:id="rId135">
        <w:r>
          <w:rPr>
            <w:rFonts w:ascii="Arial" w:cs="Arial" w:eastAsia="Arial" w:hAnsi="Arial"/>
            <w:sz w:val="18"/>
            <w:szCs w:val="18"/>
            <w:u w:val="single" w:color="auto"/>
            <w:color w:val="0000EE"/>
          </w:rPr>
          <w:t>Amendment No. 1 to Agreement of Indemnity, dated August 16, 2012, between Integrated Electrical Services, Inc. (n/k/a IES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Holdings, Inc.) and certain of its present and future subsidiaries and affiliates and Chartis Property Casualty Company, Chartis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Insurance Company of Canada, American Home Assurance Company, Commerce and Industry Insurance Company, Granite State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Insurance Company, Lexington Insurance Company, National Union Fire Insurance Company of Pittsburgh, Pa., New Hampshire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Insurance Company and The Insurance Company of the State of Pennsylvania, and any and all of their affiliates, subsidiaries,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successors and assigns (Incorporated by reference to Exhibit 10.1 to the Company’s Current Report on Form 8-K filed August 17,</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2012)</w:t>
        </w:r>
      </w:hyperlink>
    </w:p>
    <w:p>
      <w:pPr>
        <w:spacing w:after="0" w:line="81" w:lineRule="exact"/>
        <w:rPr>
          <w:rFonts w:ascii="Arial" w:cs="Arial" w:eastAsia="Arial" w:hAnsi="Arial"/>
          <w:sz w:val="18"/>
          <w:szCs w:val="18"/>
          <w:u w:val="single" w:color="auto"/>
          <w:color w:val="0000EE"/>
        </w:rPr>
      </w:pPr>
    </w:p>
    <w:p>
      <w:pPr>
        <w:ind w:left="1640" w:right="16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10.8 —</w:t>
      </w:r>
      <w:r>
        <w:rPr>
          <w:sz w:val="20"/>
          <w:szCs w:val="20"/>
          <w:color w:val="auto"/>
        </w:rPr>
        <w:tab/>
      </w:r>
      <w:hyperlink r:id="rId136">
        <w:r>
          <w:rPr>
            <w:rFonts w:ascii="Arial" w:cs="Arial" w:eastAsia="Arial" w:hAnsi="Arial"/>
            <w:sz w:val="18"/>
            <w:szCs w:val="18"/>
            <w:u w:val="single" w:color="auto"/>
            <w:color w:val="0000EE"/>
          </w:rPr>
          <w:t>Agreement of Indemnity, dated May 7, 2013, by Integrated Electrical Services, Inc. (n/k/a IES Holdings, Inc.) and certain of its</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present and future subsidiaries and affiliates and XL Specialty Insurance Company, XL Reinsurance America, Inc. and Greenwich</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Insurance Company and their affiliates, subsidiaries, successors and assigns. (Incorporated by reference to Exhibit 10.1 to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Company’s Quarterly Report on Form 10-Q filed May 13, 2013)</w:t>
        </w:r>
      </w:hyperlink>
    </w:p>
    <w:p>
      <w:pPr>
        <w:spacing w:after="0" w:line="119" w:lineRule="exact"/>
        <w:rPr>
          <w:rFonts w:ascii="Arial" w:cs="Arial" w:eastAsia="Arial" w:hAnsi="Arial"/>
          <w:sz w:val="18"/>
          <w:szCs w:val="18"/>
          <w:u w:val="single" w:color="auto"/>
          <w:color w:val="0000EE"/>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type w:val="continuous"/>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4"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5080</wp:posOffset>
            </wp:positionV>
            <wp:extent cx="2914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20"/>
        <w:spacing w:after="0" w:line="259"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Agreement of Indemnity, September 9, 2016, by IES Holdings, Inc. and certain of its present and future subsidiaries and affiliates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and Everest Reinsurance Company and Everest National Insurance Company, and their affiliated, associated and subsidiary</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companies, successors and assigns.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September 13, 2016)</w:t>
        </w:r>
      </w:hyperlink>
    </w:p>
    <w:p>
      <w:pPr>
        <w:spacing w:after="0" w:line="79" w:lineRule="exact"/>
        <w:rPr>
          <w:rFonts w:ascii="Arial" w:cs="Arial" w:eastAsia="Arial" w:hAnsi="Arial"/>
          <w:sz w:val="18"/>
          <w:szCs w:val="18"/>
          <w:u w:val="single" w:color="auto"/>
          <w:color w:val="0000EE"/>
        </w:rPr>
      </w:pPr>
    </w:p>
    <w:p>
      <w:pPr>
        <w:sectPr>
          <w:pgSz w:w="11900" w:h="16838" w:orient="portrait"/>
          <w:cols w:equalWidth="0" w:num="2">
            <w:col w:w="1020" w:space="620"/>
            <w:col w:w="9560"/>
          </w:cols>
          <w:pgMar w:left="240" w:top="459" w:right="459" w:bottom="1440" w:gutter="0" w:footer="0" w:header="0"/>
          <w:type w:val="continuous"/>
        </w:sectPr>
      </w:pPr>
    </w:p>
    <w:p>
      <w:pPr>
        <w:ind w:left="164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10.10 —</w:t>
      </w:r>
      <w:r>
        <w:rPr>
          <w:sz w:val="20"/>
          <w:szCs w:val="20"/>
          <w:color w:val="auto"/>
        </w:rPr>
        <w:tab/>
      </w:r>
      <w:hyperlink r:id="rId140">
        <w:r>
          <w:rPr>
            <w:rFonts w:ascii="Arial" w:cs="Arial" w:eastAsia="Arial" w:hAnsi="Arial"/>
            <w:sz w:val="18"/>
            <w:szCs w:val="18"/>
            <w:u w:val="single" w:color="auto"/>
            <w:color w:val="0000EE"/>
          </w:rPr>
          <w:t>General Agreement of Indemnity, July 14, 2017, by IES Holdings, Inc. and certain of its present and future subsidiaries and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affiliates and Travelers Casualty and Surety Company of America, St. Paul Fire and Marine Insurance Company, and their affiliated,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associated and subsidiary companies, successors and assigns. (Incorporated by reference to Exhibit 10.1 to the Company’s Current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Report on Form 8-K filed July 14, 2017)</w:t>
        </w:r>
      </w:hyperlink>
    </w:p>
    <w:p>
      <w:pPr>
        <w:spacing w:after="0" w:line="79" w:lineRule="exact"/>
        <w:rPr>
          <w:rFonts w:ascii="Arial" w:cs="Arial" w:eastAsia="Arial" w:hAnsi="Arial"/>
          <w:sz w:val="18"/>
          <w:szCs w:val="18"/>
          <w:u w:val="single" w:color="auto"/>
          <w:color w:val="0000EE"/>
        </w:rPr>
      </w:pPr>
    </w:p>
    <w:p>
      <w:pPr>
        <w:ind w:left="1640" w:right="220" w:hanging="1174"/>
        <w:spacing w:after="0" w:line="312" w:lineRule="auto"/>
        <w:tabs>
          <w:tab w:leader="none" w:pos="1620" w:val="left"/>
        </w:tabs>
        <w:rPr>
          <w:rFonts w:ascii="Arial" w:cs="Arial" w:eastAsia="Arial" w:hAnsi="Arial"/>
          <w:sz w:val="16"/>
          <w:szCs w:val="16"/>
          <w:u w:val="single" w:color="auto"/>
          <w:color w:val="0000EE"/>
        </w:rPr>
      </w:pPr>
      <w:r>
        <w:rPr>
          <w:rFonts w:ascii="Arial" w:cs="Arial" w:eastAsia="Arial" w:hAnsi="Arial"/>
          <w:sz w:val="18"/>
          <w:szCs w:val="18"/>
          <w:color w:val="auto"/>
        </w:rPr>
        <w:t>10.11 —</w:t>
      </w:r>
      <w:r>
        <w:rPr>
          <w:sz w:val="20"/>
          <w:szCs w:val="20"/>
          <w:color w:val="auto"/>
        </w:rPr>
        <w:tab/>
      </w:r>
      <w:hyperlink r:id="rId141">
        <w:r>
          <w:rPr>
            <w:rFonts w:ascii="Arial" w:cs="Arial" w:eastAsia="Arial" w:hAnsi="Arial"/>
            <w:sz w:val="16"/>
            <w:szCs w:val="16"/>
            <w:u w:val="single" w:color="auto"/>
            <w:color w:val="0000EE"/>
          </w:rPr>
          <w:t>Amended and Restated Credit and Security Agreement, dated September 24, 2014, by and among Integrated Electrical Services,</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Inc. (n/k/a IES Holdings, Inc.), each of the other Borrowers and Guarantors named therein and Wells Fargo Bank, National</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Association. (Incorporated by reference to Exhibit 10.1 to the Company’s Current Report on Form 8-K filed September 24, 2014)</w:t>
        </w:r>
      </w:hyperlink>
    </w:p>
    <w:p>
      <w:pPr>
        <w:spacing w:after="0" w:line="39" w:lineRule="exact"/>
        <w:rPr>
          <w:rFonts w:ascii="Arial" w:cs="Arial" w:eastAsia="Arial" w:hAnsi="Arial"/>
          <w:sz w:val="16"/>
          <w:szCs w:val="16"/>
          <w:u w:val="single" w:color="auto"/>
          <w:color w:val="0000EE"/>
        </w:rPr>
      </w:pPr>
    </w:p>
    <w:p>
      <w:pPr>
        <w:ind w:left="1640" w:right="18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10.12 —</w:t>
      </w:r>
      <w:r>
        <w:rPr>
          <w:sz w:val="20"/>
          <w:szCs w:val="20"/>
          <w:color w:val="auto"/>
        </w:rPr>
        <w:tab/>
      </w:r>
      <w:hyperlink r:id="rId142">
        <w:r>
          <w:rPr>
            <w:rFonts w:ascii="Arial" w:cs="Arial" w:eastAsia="Arial" w:hAnsi="Arial"/>
            <w:sz w:val="18"/>
            <w:szCs w:val="18"/>
            <w:u w:val="single" w:color="auto"/>
            <w:color w:val="0000EE"/>
          </w:rPr>
          <w:t>First Amendment, dated November 6, 2014, to Amended and Restated Credit and Security Agreement, dated as of September 24,</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2014, by and among Integrated Electrical Services, Inc. (n/k/a IES Holdings, Inc.), each of the other Borrowers and Guarantors</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named therein and Wells Fargo Bank, National Association. (Incorporated by reference to Exhibit 10.11 to the Company’s Annual</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Report on Form 10-K filed on December 9, 2016)</w:t>
        </w:r>
      </w:hyperlink>
    </w:p>
    <w:p>
      <w:pPr>
        <w:spacing w:after="0" w:line="92" w:lineRule="exact"/>
        <w:rPr>
          <w:rFonts w:ascii="Arial" w:cs="Arial" w:eastAsia="Arial" w:hAnsi="Arial"/>
          <w:sz w:val="18"/>
          <w:szCs w:val="18"/>
          <w:u w:val="single" w:color="auto"/>
          <w:color w:val="0000EE"/>
        </w:rPr>
      </w:pPr>
    </w:p>
    <w:p>
      <w:pPr>
        <w:ind w:left="1640" w:right="24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10.13 —</w:t>
      </w:r>
      <w:r>
        <w:rPr>
          <w:sz w:val="20"/>
          <w:szCs w:val="20"/>
          <w:color w:val="auto"/>
        </w:rPr>
        <w:tab/>
      </w:r>
      <w:hyperlink r:id="rId143">
        <w:r>
          <w:rPr>
            <w:rFonts w:ascii="Arial" w:cs="Arial" w:eastAsia="Arial" w:hAnsi="Arial"/>
            <w:sz w:val="18"/>
            <w:szCs w:val="18"/>
            <w:u w:val="single" w:color="auto"/>
            <w:color w:val="0000EE"/>
          </w:rPr>
          <w:t>Second Amendment, dated May 3, 2016, to Amended and Restated Credit and Security Agreement, dated as of September 24,</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2014, by and among Integrated Electrical Services, Inc. (n/k/a IES Holdings, Inc.), each of the other Borrowers and Guarantors</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named therein and Wells Fargo Bank, National Association. (Incorporated by reference to Exhibit 10.1 to the Company’s Current</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Report on Form 8-K filed May 3, 2016)</w:t>
        </w:r>
      </w:hyperlink>
    </w:p>
    <w:p>
      <w:pPr>
        <w:spacing w:after="0" w:line="79" w:lineRule="exact"/>
        <w:rPr>
          <w:rFonts w:ascii="Arial" w:cs="Arial" w:eastAsia="Arial" w:hAnsi="Arial"/>
          <w:sz w:val="18"/>
          <w:szCs w:val="18"/>
          <w:u w:val="single" w:color="auto"/>
          <w:color w:val="0000EE"/>
        </w:rPr>
      </w:pPr>
    </w:p>
    <w:p>
      <w:pPr>
        <w:ind w:left="1640" w:right="2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10.14 —</w:t>
      </w:r>
      <w:r>
        <w:rPr>
          <w:sz w:val="20"/>
          <w:szCs w:val="20"/>
          <w:color w:val="auto"/>
        </w:rPr>
        <w:tab/>
      </w:r>
      <w:hyperlink r:id="rId144">
        <w:r>
          <w:rPr>
            <w:rFonts w:ascii="Arial" w:cs="Arial" w:eastAsia="Arial" w:hAnsi="Arial"/>
            <w:sz w:val="18"/>
            <w:szCs w:val="18"/>
            <w:u w:val="single" w:color="auto"/>
            <w:color w:val="0000EE"/>
          </w:rPr>
          <w:t>Third Amendment, dated September 9, 2016, to Amended and Restated Credit and Security Agreement, dated as of September 24,</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2014, by and among IES Holdings, Inc., each of the other Borrowers and Guarantors named therein and Wells Fargo Bank, National</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Association. (Incorporated by reference to Exhibit 10.13 to the Company’s Annual Report on Form 10-K filed on December 9,</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2016)</w:t>
        </w:r>
      </w:hyperlink>
    </w:p>
    <w:p>
      <w:pPr>
        <w:spacing w:after="0" w:line="92" w:lineRule="exact"/>
        <w:rPr>
          <w:rFonts w:ascii="Arial" w:cs="Arial" w:eastAsia="Arial" w:hAnsi="Arial"/>
          <w:sz w:val="18"/>
          <w:szCs w:val="18"/>
          <w:u w:val="single" w:color="auto"/>
          <w:color w:val="0000EE"/>
        </w:rPr>
      </w:pPr>
    </w:p>
    <w:p>
      <w:pPr>
        <w:ind w:left="1640" w:right="80" w:hanging="1174"/>
        <w:spacing w:after="0" w:line="286" w:lineRule="auto"/>
        <w:tabs>
          <w:tab w:leader="none" w:pos="1620" w:val="left"/>
        </w:tabs>
        <w:rPr>
          <w:rFonts w:ascii="Arial" w:cs="Arial" w:eastAsia="Arial" w:hAnsi="Arial"/>
          <w:sz w:val="17"/>
          <w:szCs w:val="17"/>
          <w:u w:val="single" w:color="auto"/>
          <w:color w:val="0000EE"/>
        </w:rPr>
      </w:pPr>
      <w:r>
        <w:rPr>
          <w:rFonts w:ascii="Arial" w:cs="Arial" w:eastAsia="Arial" w:hAnsi="Arial"/>
          <w:sz w:val="18"/>
          <w:szCs w:val="18"/>
          <w:color w:val="auto"/>
        </w:rPr>
        <w:t>10.15 —</w:t>
      </w:r>
      <w:r>
        <w:rPr>
          <w:sz w:val="20"/>
          <w:szCs w:val="20"/>
          <w:color w:val="auto"/>
        </w:rPr>
        <w:tab/>
      </w:r>
      <w:hyperlink r:id="rId145">
        <w:r>
          <w:rPr>
            <w:rFonts w:ascii="Arial" w:cs="Arial" w:eastAsia="Arial" w:hAnsi="Arial"/>
            <w:sz w:val="17"/>
            <w:szCs w:val="17"/>
            <w:u w:val="single" w:color="auto"/>
            <w:color w:val="0000EE"/>
          </w:rPr>
          <w:t>Second Amended and Restated Credit and Security Agreement, dated as of April 10, 2017, by and among IES Holdings, Inc., each</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of the other Borrowers and Guarantors named therein and Wells Fargo Bank, National Association. (Incorporated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10.1 to the Company’s Current Report on Form 8-K filed April 10, 2017)</w:t>
        </w:r>
      </w:hyperlink>
    </w:p>
    <w:p>
      <w:pPr>
        <w:spacing w:after="0" w:line="57" w:lineRule="exact"/>
        <w:rPr>
          <w:rFonts w:ascii="Arial" w:cs="Arial" w:eastAsia="Arial" w:hAnsi="Arial"/>
          <w:sz w:val="17"/>
          <w:szCs w:val="17"/>
          <w:u w:val="single" w:color="auto"/>
          <w:color w:val="0000EE"/>
        </w:rPr>
      </w:pPr>
    </w:p>
    <w:p>
      <w:pPr>
        <w:ind w:left="1640" w:right="14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10.16 —</w:t>
      </w:r>
      <w:r>
        <w:rPr>
          <w:sz w:val="20"/>
          <w:szCs w:val="20"/>
          <w:color w:val="auto"/>
        </w:rPr>
        <w:tab/>
      </w:r>
      <w:hyperlink r:id="rId146">
        <w:r>
          <w:rPr>
            <w:rFonts w:ascii="Arial" w:cs="Arial" w:eastAsia="Arial" w:hAnsi="Arial"/>
            <w:sz w:val="18"/>
            <w:szCs w:val="18"/>
            <w:u w:val="single" w:color="auto"/>
            <w:color w:val="0000EE"/>
          </w:rPr>
          <w:t>Joinder, Limited Consent and First Amendment to Second Amended and Restated Credit and Security Agreement, dated as of July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14, 2017, by and among IES Holdings, Inc., each of the other Borrowers and Guarantors named therein and Wells Fargo Bank,</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National Association. (Incorporated by reference to Exhibit 10.2 to the Company’s Quarterly Report on Form 10-Q filed on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August 4, 2017)</w:t>
        </w:r>
      </w:hyperlink>
    </w:p>
    <w:p>
      <w:pPr>
        <w:spacing w:after="0" w:line="79" w:lineRule="exact"/>
        <w:rPr>
          <w:rFonts w:ascii="Arial" w:cs="Arial" w:eastAsia="Arial" w:hAnsi="Arial"/>
          <w:sz w:val="18"/>
          <w:szCs w:val="18"/>
          <w:u w:val="single" w:color="auto"/>
          <w:color w:val="0000EE"/>
        </w:rPr>
      </w:pPr>
    </w:p>
    <w:p>
      <w:pPr>
        <w:ind w:left="1640" w:right="100" w:hanging="1174"/>
        <w:spacing w:after="0" w:line="259"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10.17 —</w:t>
      </w:r>
      <w:r>
        <w:rPr>
          <w:sz w:val="20"/>
          <w:szCs w:val="20"/>
          <w:color w:val="auto"/>
        </w:rPr>
        <w:tab/>
      </w:r>
      <w:hyperlink r:id="rId147">
        <w:r>
          <w:rPr>
            <w:rFonts w:ascii="Arial" w:cs="Arial" w:eastAsia="Arial" w:hAnsi="Arial"/>
            <w:sz w:val="18"/>
            <w:szCs w:val="18"/>
            <w:u w:val="single" w:color="auto"/>
            <w:color w:val="0000EE"/>
          </w:rPr>
          <w:t>Second Amendment to the Amended Credit Agreement, dated as of August 2, 2017, to Second Amended and Restated Credit and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Security Agreement, dated as of April 10, 2017, by and among IES Holdings, Inc., each of the other Borrowers and Guarantors</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named therein and Wells Fargo Bank, National Association. (Incorporated by reference to Exhibit 10.4 to the Company’s Quarterly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Report on Form 10-Q filed on August 4, 2017)</w:t>
        </w:r>
      </w:hyperlink>
    </w:p>
    <w:p>
      <w:pPr>
        <w:spacing w:after="0" w:line="79" w:lineRule="exact"/>
        <w:rPr>
          <w:rFonts w:ascii="Arial" w:cs="Arial" w:eastAsia="Arial" w:hAnsi="Arial"/>
          <w:sz w:val="18"/>
          <w:szCs w:val="18"/>
          <w:u w:val="single" w:color="auto"/>
          <w:color w:val="0000EE"/>
        </w:rPr>
      </w:pPr>
    </w:p>
    <w:p>
      <w:pPr>
        <w:ind w:left="1640" w:right="300" w:hanging="1174"/>
        <w:spacing w:after="0" w:line="277" w:lineRule="auto"/>
        <w:tabs>
          <w:tab w:leader="none" w:pos="1620" w:val="left"/>
        </w:tabs>
        <w:rPr>
          <w:rFonts w:ascii="Arial" w:cs="Arial" w:eastAsia="Arial" w:hAnsi="Arial"/>
          <w:sz w:val="18"/>
          <w:szCs w:val="18"/>
          <w:u w:val="single" w:color="auto"/>
          <w:color w:val="0000EE"/>
        </w:rPr>
      </w:pPr>
      <w:r>
        <w:rPr>
          <w:rFonts w:ascii="Arial" w:cs="Arial" w:eastAsia="Arial" w:hAnsi="Arial"/>
          <w:sz w:val="18"/>
          <w:szCs w:val="18"/>
          <w:color w:val="auto"/>
        </w:rPr>
        <w:t>10.18 —</w:t>
      </w:r>
      <w:r>
        <w:rPr>
          <w:sz w:val="20"/>
          <w:szCs w:val="20"/>
          <w:color w:val="auto"/>
        </w:rPr>
        <w:tab/>
      </w:r>
      <w:hyperlink r:id="rId148">
        <w:r>
          <w:rPr>
            <w:rFonts w:ascii="Arial" w:cs="Arial" w:eastAsia="Arial" w:hAnsi="Arial"/>
            <w:sz w:val="18"/>
            <w:szCs w:val="18"/>
            <w:u w:val="single" w:color="auto"/>
            <w:color w:val="0000EE"/>
          </w:rPr>
          <w:t>Sublease Agreement between Tontine Associates, L.L.C. and IES Shared Services, Inc., dated March 29, 2012. (Incorporated by</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reference to Exhibit 10.1 to the Company’s Quarterly Report on Form 10-Q filed on May 15, 2012)</w:t>
        </w:r>
      </w:hyperlink>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type w:val="continuous"/>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5080</wp:posOffset>
            </wp:positionV>
            <wp:extent cx="2914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40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380"/>
        <w:spacing w:after="0" w:line="312" w:lineRule="auto"/>
        <w:rPr>
          <w:rFonts w:ascii="Arial" w:cs="Arial" w:eastAsia="Arial" w:hAnsi="Arial"/>
          <w:sz w:val="16"/>
          <w:szCs w:val="16"/>
          <w:u w:val="single" w:color="auto"/>
          <w:color w:val="0000EE"/>
        </w:rPr>
      </w:pPr>
      <w:hyperlink r:id="rId151">
        <w:r>
          <w:rPr>
            <w:rFonts w:ascii="Arial" w:cs="Arial" w:eastAsia="Arial" w:hAnsi="Arial"/>
            <w:sz w:val="16"/>
            <w:szCs w:val="16"/>
            <w:u w:val="single" w:color="auto"/>
            <w:color w:val="0000EE"/>
          </w:rPr>
          <w:t>First Amendment between Tontine Associates, L.L.C., IES Shared Services, Inc. and IES Management ROO, LP, dated as of</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March 31, 2016, to Sublease Agreement between Tontine Associates, L.L.C., and IES Shared Services, Inc., dated March 29,</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2012. (Incorporated by reference to Exhibit 10.5 to the Company’s Quarterly Report on Form 10-Q filed on May 9, 2016)</w:t>
        </w:r>
      </w:hyperlink>
    </w:p>
    <w:p>
      <w:pPr>
        <w:spacing w:after="0" w:line="39" w:lineRule="exact"/>
        <w:rPr>
          <w:rFonts w:ascii="Arial" w:cs="Arial" w:eastAsia="Arial" w:hAnsi="Arial"/>
          <w:sz w:val="16"/>
          <w:szCs w:val="16"/>
          <w:u w:val="single" w:color="auto"/>
          <w:color w:val="0000EE"/>
        </w:rPr>
      </w:pPr>
    </w:p>
    <w:p>
      <w:pPr>
        <w:sectPr>
          <w:pgSz w:w="11900" w:h="16838" w:orient="portrait"/>
          <w:cols w:equalWidth="0" w:num="2">
            <w:col w:w="1100" w:space="620"/>
            <w:col w:w="9480"/>
          </w:cols>
          <w:pgMar w:left="240" w:top="459" w:right="459" w:bottom="1440" w:gutter="0" w:footer="0" w:header="0"/>
          <w:type w:val="continuous"/>
        </w:sectPr>
      </w:pPr>
    </w:p>
    <w:p>
      <w:pPr>
        <w:ind w:left="1720" w:right="80" w:hanging="1242"/>
        <w:spacing w:after="0" w:line="277"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10.20 —</w:t>
      </w:r>
      <w:r>
        <w:rPr>
          <w:sz w:val="20"/>
          <w:szCs w:val="20"/>
          <w:color w:val="auto"/>
        </w:rPr>
        <w:tab/>
      </w:r>
      <w:hyperlink r:id="rId152">
        <w:r>
          <w:rPr>
            <w:rFonts w:ascii="Arial" w:cs="Arial" w:eastAsia="Arial" w:hAnsi="Arial"/>
            <w:sz w:val="18"/>
            <w:szCs w:val="18"/>
            <w:u w:val="single" w:color="auto"/>
            <w:color w:val="0000EE"/>
          </w:rPr>
          <w:t>Subcontract, dated June 17, 2009, by and between IES Commercial, Inc. and Manhattan Torcon A Joint Venture. (Incorporated by</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reference to Exhibit 10.1 to the Company’s Current Report on Form 8-K filed November 24, 2009)</w:t>
        </w:r>
      </w:hyperlink>
    </w:p>
    <w:p>
      <w:pPr>
        <w:spacing w:after="0" w:line="62" w:lineRule="exact"/>
        <w:rPr>
          <w:sz w:val="20"/>
          <w:szCs w:val="20"/>
          <w:color w:val="auto"/>
        </w:rPr>
      </w:pPr>
    </w:p>
    <w:p>
      <w:pPr>
        <w:jc w:val="both"/>
        <w:ind w:left="1720" w:right="280" w:hanging="1242"/>
        <w:spacing w:after="0" w:line="264"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10.21 —</w:t>
      </w:r>
      <w:r>
        <w:rPr>
          <w:sz w:val="20"/>
          <w:szCs w:val="20"/>
          <w:color w:val="auto"/>
        </w:rPr>
        <w:tab/>
      </w:r>
      <w:hyperlink r:id="rId153">
        <w:r>
          <w:rPr>
            <w:rFonts w:ascii="Arial" w:cs="Arial" w:eastAsia="Arial" w:hAnsi="Arial"/>
            <w:sz w:val="18"/>
            <w:szCs w:val="18"/>
            <w:u w:val="single" w:color="auto"/>
            <w:color w:val="0000EE"/>
          </w:rPr>
          <w:t>Letter Agreement, dated November 4, 2009, by and between Integrated Electrical Services, Inc. (n/k/a IES Holdings, Inc.), IES</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Commercial, Inc. and Manhattan Torcon A Joint Venture. (Incorporated by reference to Exhibit 10.2 to the Company’s Current</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Report on Form 8-K filed November 24, 2009)</w:t>
        </w:r>
      </w:hyperlink>
    </w:p>
    <w:p>
      <w:pPr>
        <w:spacing w:after="0" w:line="73" w:lineRule="exact"/>
        <w:rPr>
          <w:rFonts w:ascii="Arial" w:cs="Arial" w:eastAsia="Arial" w:hAnsi="Arial"/>
          <w:sz w:val="18"/>
          <w:szCs w:val="18"/>
          <w:u w:val="single" w:color="auto"/>
          <w:color w:val="0000EE"/>
        </w:rPr>
      </w:pPr>
    </w:p>
    <w:p>
      <w:pPr>
        <w:ind w:left="1720" w:right="720" w:hanging="1332"/>
        <w:spacing w:after="0" w:line="277"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*10.22 —</w:t>
      </w:r>
      <w:r>
        <w:rPr>
          <w:sz w:val="20"/>
          <w:szCs w:val="20"/>
          <w:color w:val="auto"/>
        </w:rPr>
        <w:tab/>
      </w:r>
      <w:hyperlink r:id="rId154">
        <w:r>
          <w:rPr>
            <w:rFonts w:ascii="Arial" w:cs="Arial" w:eastAsia="Arial" w:hAnsi="Arial"/>
            <w:sz w:val="18"/>
            <w:szCs w:val="18"/>
            <w:u w:val="single" w:color="auto"/>
            <w:color w:val="0000EE"/>
          </w:rPr>
          <w:t>Term Life Insurance Plan. (Incorporated by reference to Exhibit 10.3 to the Company’s Current Report on Form 8-K filed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October 17, 2007)</w:t>
        </w:r>
      </w:hyperlink>
    </w:p>
    <w:p>
      <w:pPr>
        <w:spacing w:after="0" w:line="62" w:lineRule="exact"/>
        <w:rPr>
          <w:sz w:val="20"/>
          <w:szCs w:val="20"/>
          <w:color w:val="auto"/>
        </w:rPr>
      </w:pPr>
    </w:p>
    <w:p>
      <w:pPr>
        <w:ind w:left="1720" w:right="180" w:hanging="1332"/>
        <w:spacing w:after="0" w:line="308" w:lineRule="auto"/>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*10.23 —</w:t>
      </w:r>
      <w:r>
        <w:rPr>
          <w:sz w:val="20"/>
          <w:szCs w:val="20"/>
          <w:color w:val="auto"/>
        </w:rPr>
        <w:tab/>
      </w:r>
      <w:hyperlink r:id="rId155">
        <w:r>
          <w:rPr>
            <w:rFonts w:ascii="Arial" w:cs="Arial" w:eastAsia="Arial" w:hAnsi="Arial"/>
            <w:sz w:val="17"/>
            <w:szCs w:val="17"/>
            <w:u w:val="single" w:color="auto"/>
            <w:color w:val="0000EE"/>
          </w:rPr>
          <w:t>Integrated Electrical Services, Inc. (n/k/a IES Holdings, Inc.) 2006 Equity Incentive Plan, as amended and restated through 2007.</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(Incorporated by reference to Exhibit 10.1 to the Company’s Current Report on Form 8-K filed October 17, 2007)</w:t>
        </w:r>
      </w:hyperlink>
    </w:p>
    <w:p>
      <w:pPr>
        <w:spacing w:after="0" w:line="38" w:lineRule="exact"/>
        <w:rPr>
          <w:sz w:val="20"/>
          <w:szCs w:val="20"/>
          <w:color w:val="auto"/>
        </w:rPr>
      </w:pPr>
    </w:p>
    <w:p>
      <w:pPr>
        <w:ind w:left="1720" w:right="40" w:hanging="1332"/>
        <w:spacing w:after="0" w:line="264"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*10.24 —</w:t>
      </w:r>
      <w:r>
        <w:rPr>
          <w:sz w:val="20"/>
          <w:szCs w:val="20"/>
          <w:color w:val="auto"/>
        </w:rPr>
        <w:tab/>
      </w:r>
      <w:hyperlink r:id="rId156">
        <w:r>
          <w:rPr>
            <w:rFonts w:ascii="Arial" w:cs="Arial" w:eastAsia="Arial" w:hAnsi="Arial"/>
            <w:sz w:val="18"/>
            <w:szCs w:val="18"/>
            <w:u w:val="single" w:color="auto"/>
            <w:color w:val="0000EE"/>
          </w:rPr>
          <w:t>Form of Performance-Based Phantom Stock Unit Award Agreement under the Company’s 2006 Equity Incentive Plan, as amended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and restated through 2007. (Incorporated by reference to Exhibit 10.1 to the Company’s Quarterly Report on Form 10-Q filed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February 8, 2016)</w:t>
        </w:r>
      </w:hyperlink>
    </w:p>
    <w:p>
      <w:pPr>
        <w:spacing w:after="0" w:line="73" w:lineRule="exact"/>
        <w:rPr>
          <w:rFonts w:ascii="Arial" w:cs="Arial" w:eastAsia="Arial" w:hAnsi="Arial"/>
          <w:sz w:val="18"/>
          <w:szCs w:val="18"/>
          <w:u w:val="single" w:color="auto"/>
          <w:color w:val="0000EE"/>
        </w:rPr>
      </w:pPr>
    </w:p>
    <w:p>
      <w:pPr>
        <w:ind w:left="380"/>
        <w:spacing w:after="0"/>
        <w:tabs>
          <w:tab w:leader="none" w:pos="1700" w:val="left"/>
        </w:tabs>
        <w:rPr>
          <w:rFonts w:ascii="Arial" w:cs="Arial" w:eastAsia="Arial" w:hAnsi="Arial"/>
          <w:sz w:val="16"/>
          <w:szCs w:val="16"/>
          <w:u w:val="single" w:color="auto"/>
          <w:color w:val="0000EE"/>
        </w:rPr>
      </w:pPr>
      <w:r>
        <w:rPr>
          <w:rFonts w:ascii="Arial" w:cs="Arial" w:eastAsia="Arial" w:hAnsi="Arial"/>
          <w:sz w:val="18"/>
          <w:szCs w:val="18"/>
          <w:color w:val="auto"/>
        </w:rPr>
        <w:t>*10.25 —</w:t>
      </w:r>
      <w:r>
        <w:rPr>
          <w:sz w:val="20"/>
          <w:szCs w:val="20"/>
          <w:color w:val="auto"/>
        </w:rPr>
        <w:tab/>
      </w:r>
      <w:hyperlink r:id="rId157">
        <w:r>
          <w:rPr>
            <w:rFonts w:ascii="Arial" w:cs="Arial" w:eastAsia="Arial" w:hAnsi="Arial"/>
            <w:sz w:val="16"/>
            <w:szCs w:val="16"/>
            <w:u w:val="single" w:color="auto"/>
            <w:color w:val="0000EE"/>
          </w:rPr>
          <w:t>Integrated Electrical Services, Inc. (n/k/a IES Holdings, Inc.) Amended and Restated 2006 Equity Incentive Plan (as of February 9,</w:t>
        </w:r>
      </w:hyperlink>
    </w:p>
    <w:p>
      <w:pPr>
        <w:spacing w:after="0" w:line="23" w:lineRule="exact"/>
        <w:rPr>
          <w:rFonts w:ascii="Arial" w:cs="Arial" w:eastAsia="Arial" w:hAnsi="Arial"/>
          <w:sz w:val="18"/>
          <w:szCs w:val="18"/>
          <w:u w:val="single" w:color="auto"/>
          <w:color w:val="0000EE"/>
        </w:rPr>
      </w:pPr>
    </w:p>
    <w:p>
      <w:pPr>
        <w:ind w:left="1720"/>
        <w:spacing w:after="0"/>
        <w:rPr>
          <w:rFonts w:ascii="Arial" w:cs="Arial" w:eastAsia="Arial" w:hAnsi="Arial"/>
          <w:sz w:val="17"/>
          <w:szCs w:val="17"/>
          <w:u w:val="single" w:color="auto"/>
          <w:color w:val="0000EE"/>
        </w:rPr>
      </w:pPr>
      <w:hyperlink r:id="rId157">
        <w:r>
          <w:rPr>
            <w:rFonts w:ascii="Arial" w:cs="Arial" w:eastAsia="Arial" w:hAnsi="Arial"/>
            <w:sz w:val="17"/>
            <w:szCs w:val="17"/>
            <w:u w:val="single" w:color="auto"/>
            <w:color w:val="0000EE"/>
          </w:rPr>
          <w:t>2016) (Incorporated by reference to Exhibit A to the Company’s Definitive Proxy Statement filed on December 28, 2015)</w:t>
        </w:r>
      </w:hyperlink>
    </w:p>
    <w:p>
      <w:pPr>
        <w:spacing w:after="0" w:line="114" w:lineRule="exact"/>
        <w:rPr>
          <w:rFonts w:ascii="Arial" w:cs="Arial" w:eastAsia="Arial" w:hAnsi="Arial"/>
          <w:sz w:val="18"/>
          <w:szCs w:val="18"/>
          <w:u w:val="single" w:color="auto"/>
          <w:color w:val="0000EE"/>
        </w:rPr>
      </w:pPr>
    </w:p>
    <w:p>
      <w:pPr>
        <w:ind w:left="380"/>
        <w:spacing w:after="0"/>
        <w:tabs>
          <w:tab w:leader="none" w:pos="1700" w:val="left"/>
        </w:tabs>
        <w:rPr>
          <w:rFonts w:ascii="Arial" w:cs="Arial" w:eastAsia="Arial" w:hAnsi="Arial"/>
          <w:sz w:val="16"/>
          <w:szCs w:val="16"/>
          <w:u w:val="single" w:color="auto"/>
          <w:color w:val="0000EE"/>
        </w:rPr>
      </w:pPr>
      <w:r>
        <w:rPr>
          <w:rFonts w:ascii="Arial" w:cs="Arial" w:eastAsia="Arial" w:hAnsi="Arial"/>
          <w:sz w:val="18"/>
          <w:szCs w:val="18"/>
          <w:color w:val="auto"/>
        </w:rPr>
        <w:t>*10.26 —</w:t>
      </w:r>
      <w:r>
        <w:rPr>
          <w:sz w:val="20"/>
          <w:szCs w:val="20"/>
          <w:color w:val="auto"/>
        </w:rPr>
        <w:tab/>
      </w:r>
      <w:hyperlink r:id="rId158">
        <w:r>
          <w:rPr>
            <w:rFonts w:ascii="Arial" w:cs="Arial" w:eastAsia="Arial" w:hAnsi="Arial"/>
            <w:sz w:val="16"/>
            <w:szCs w:val="16"/>
            <w:u w:val="single" w:color="auto"/>
            <w:color w:val="0000EE"/>
          </w:rPr>
          <w:t>Form of Phantom Stock Unit Award under the Company’s Amended and Restated 2006 Equity Incentive Plan (as of February 9,</w:t>
        </w:r>
      </w:hyperlink>
    </w:p>
    <w:p>
      <w:pPr>
        <w:spacing w:after="0" w:line="23" w:lineRule="exact"/>
        <w:rPr>
          <w:rFonts w:ascii="Arial" w:cs="Arial" w:eastAsia="Arial" w:hAnsi="Arial"/>
          <w:sz w:val="18"/>
          <w:szCs w:val="18"/>
          <w:u w:val="single" w:color="auto"/>
          <w:color w:val="0000EE"/>
        </w:rPr>
      </w:pPr>
    </w:p>
    <w:p>
      <w:pPr>
        <w:ind w:left="1720"/>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2016). (Incorporated by reference to Exhibit 10.4 to the Company’s Quarterly Report on Form 10-Q filed May 9, 2016)</w:t>
        </w:r>
      </w:hyperlink>
    </w:p>
    <w:p>
      <w:pPr>
        <w:spacing w:after="0" w:line="103" w:lineRule="exact"/>
        <w:rPr>
          <w:rFonts w:ascii="Arial" w:cs="Arial" w:eastAsia="Arial" w:hAnsi="Arial"/>
          <w:sz w:val="18"/>
          <w:szCs w:val="18"/>
          <w:u w:val="single" w:color="auto"/>
          <w:color w:val="0000EE"/>
        </w:rPr>
      </w:pPr>
    </w:p>
    <w:p>
      <w:pPr>
        <w:ind w:left="380"/>
        <w:spacing w:after="0"/>
        <w:tabs>
          <w:tab w:leader="none" w:pos="1700" w:val="left"/>
        </w:tabs>
        <w:rPr>
          <w:rFonts w:ascii="Arial" w:cs="Arial" w:eastAsia="Arial" w:hAnsi="Arial"/>
          <w:sz w:val="16"/>
          <w:szCs w:val="16"/>
          <w:u w:val="single" w:color="auto"/>
          <w:color w:val="0000EE"/>
        </w:rPr>
      </w:pPr>
      <w:r>
        <w:rPr>
          <w:rFonts w:ascii="Arial" w:cs="Arial" w:eastAsia="Arial" w:hAnsi="Arial"/>
          <w:sz w:val="18"/>
          <w:szCs w:val="18"/>
          <w:color w:val="auto"/>
        </w:rPr>
        <w:t>*10.27 —</w:t>
      </w:r>
      <w:r>
        <w:rPr>
          <w:sz w:val="20"/>
          <w:szCs w:val="20"/>
          <w:color w:val="auto"/>
        </w:rPr>
        <w:tab/>
      </w:r>
      <w:hyperlink r:id="rId159">
        <w:r>
          <w:rPr>
            <w:rFonts w:ascii="Arial" w:cs="Arial" w:eastAsia="Arial" w:hAnsi="Arial"/>
            <w:sz w:val="16"/>
            <w:szCs w:val="16"/>
            <w:u w:val="single" w:color="auto"/>
            <w:color w:val="0000EE"/>
          </w:rPr>
          <w:t>Form of Stock Option Award Agreement under the Company’s Amended and Restated 2006 Equity Incentive Plan (as of February</w:t>
        </w:r>
      </w:hyperlink>
    </w:p>
    <w:p>
      <w:pPr>
        <w:spacing w:after="0" w:line="23" w:lineRule="exact"/>
        <w:rPr>
          <w:rFonts w:ascii="Arial" w:cs="Arial" w:eastAsia="Arial" w:hAnsi="Arial"/>
          <w:sz w:val="18"/>
          <w:szCs w:val="18"/>
          <w:u w:val="single" w:color="auto"/>
          <w:color w:val="0000EE"/>
        </w:rPr>
      </w:pPr>
    </w:p>
    <w:p>
      <w:pPr>
        <w:ind w:left="1720"/>
        <w:spacing w:after="0"/>
        <w:rPr>
          <w:rFonts w:ascii="Arial" w:cs="Arial" w:eastAsia="Arial" w:hAnsi="Arial"/>
          <w:sz w:val="17"/>
          <w:szCs w:val="17"/>
          <w:u w:val="single" w:color="auto"/>
          <w:color w:val="0000EE"/>
        </w:rPr>
      </w:pPr>
      <w:hyperlink r:id="rId159">
        <w:r>
          <w:rPr>
            <w:rFonts w:ascii="Arial" w:cs="Arial" w:eastAsia="Arial" w:hAnsi="Arial"/>
            <w:sz w:val="17"/>
            <w:szCs w:val="17"/>
            <w:u w:val="single" w:color="auto"/>
            <w:color w:val="0000EE"/>
          </w:rPr>
          <w:t>9, 2016). (Incorporated by reference to Exhibit 10.3 to the Company’s Quarterly Report on Form 10-Q filed on May 9, 2016)</w:t>
        </w:r>
      </w:hyperlink>
    </w:p>
    <w:p>
      <w:pPr>
        <w:spacing w:after="0" w:line="114" w:lineRule="exact"/>
        <w:rPr>
          <w:rFonts w:ascii="Arial" w:cs="Arial" w:eastAsia="Arial" w:hAnsi="Arial"/>
          <w:sz w:val="18"/>
          <w:szCs w:val="18"/>
          <w:u w:val="single" w:color="auto"/>
          <w:color w:val="0000EE"/>
        </w:rPr>
      </w:pPr>
    </w:p>
    <w:p>
      <w:pPr>
        <w:ind w:left="1720" w:right="420" w:hanging="1332"/>
        <w:spacing w:after="0" w:line="264"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*10.28 —</w:t>
      </w:r>
      <w:r>
        <w:rPr>
          <w:sz w:val="20"/>
          <w:szCs w:val="20"/>
          <w:color w:val="auto"/>
        </w:rPr>
        <w:tab/>
      </w:r>
      <w:hyperlink r:id="rId160">
        <w:r>
          <w:rPr>
            <w:rFonts w:ascii="Arial" w:cs="Arial" w:eastAsia="Arial" w:hAnsi="Arial"/>
            <w:sz w:val="18"/>
            <w:szCs w:val="18"/>
            <w:u w:val="single" w:color="auto"/>
            <w:color w:val="0000EE"/>
          </w:rPr>
          <w:t>Form of Restricted Stock Award Agreement under the Company’s Amended and Restated 2006 Equity Incentive Plan (as of</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February 9, 2016). (Incorporated by reference to Exhibit 10.2 to the Company’s Quarterly Report on Form 10-Q filed May 9,</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2016)</w:t>
        </w:r>
      </w:hyperlink>
    </w:p>
    <w:p>
      <w:pPr>
        <w:spacing w:after="0" w:line="73" w:lineRule="exact"/>
        <w:rPr>
          <w:rFonts w:ascii="Arial" w:cs="Arial" w:eastAsia="Arial" w:hAnsi="Arial"/>
          <w:sz w:val="18"/>
          <w:szCs w:val="18"/>
          <w:u w:val="single" w:color="auto"/>
          <w:color w:val="0000EE"/>
        </w:rPr>
      </w:pPr>
    </w:p>
    <w:p>
      <w:pPr>
        <w:jc w:val="both"/>
        <w:ind w:left="1720" w:right="460" w:hanging="1332"/>
        <w:spacing w:after="0" w:line="286" w:lineRule="auto"/>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*10.29 —</w:t>
      </w:r>
      <w:r>
        <w:rPr>
          <w:sz w:val="20"/>
          <w:szCs w:val="20"/>
          <w:color w:val="auto"/>
        </w:rPr>
        <w:tab/>
      </w:r>
      <w:hyperlink r:id="rId161">
        <w:r>
          <w:rPr>
            <w:rFonts w:ascii="Arial" w:cs="Arial" w:eastAsia="Arial" w:hAnsi="Arial"/>
            <w:sz w:val="17"/>
            <w:szCs w:val="17"/>
            <w:u w:val="single" w:color="auto"/>
            <w:color w:val="0000EE"/>
          </w:rPr>
          <w:t>Performance-Based Phantom Stock Unit Award Agreement, dated as of June 6, 2016, by and between the Company and Mr.</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Santoni, under the Company’s Amended and Restated 2006 Equity Incentive Plan (as of February 9, 2016). (Incorporated by</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reference to Exhibit 10.1 to the Company’s Current Report on Form 8-K filed June 7, 2016)</w:t>
        </w:r>
      </w:hyperlink>
    </w:p>
    <w:p>
      <w:pPr>
        <w:spacing w:after="0" w:line="57" w:lineRule="exact"/>
        <w:rPr>
          <w:rFonts w:ascii="Arial" w:cs="Arial" w:eastAsia="Arial" w:hAnsi="Arial"/>
          <w:sz w:val="17"/>
          <w:szCs w:val="17"/>
          <w:u w:val="single" w:color="auto"/>
          <w:color w:val="0000EE"/>
        </w:rPr>
      </w:pPr>
    </w:p>
    <w:p>
      <w:pPr>
        <w:jc w:val="both"/>
        <w:ind w:left="1720" w:right="500" w:hanging="1332"/>
        <w:spacing w:after="0" w:line="286" w:lineRule="auto"/>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*10.30 —</w:t>
      </w:r>
      <w:r>
        <w:rPr>
          <w:sz w:val="20"/>
          <w:szCs w:val="20"/>
          <w:color w:val="auto"/>
        </w:rPr>
        <w:tab/>
      </w:r>
      <w:hyperlink r:id="rId162">
        <w:r>
          <w:rPr>
            <w:rFonts w:ascii="Arial" w:cs="Arial" w:eastAsia="Arial" w:hAnsi="Arial"/>
            <w:sz w:val="17"/>
            <w:szCs w:val="17"/>
            <w:u w:val="single" w:color="auto"/>
            <w:color w:val="0000EE"/>
          </w:rPr>
          <w:t>Performance-Based Phantom Cash Unit Award Agreement, dated as of June 6, 2016, by and between the Company and Mr.</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Santoni, under the Company’s Amended and Restated 2006 Equity Incentive Plan (as of February 9, 2016) (Incorporated by</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reference to Exhibit 10.2 to the Company’s Current Report on Form 8-K filed June 7, 2016)</w:t>
        </w:r>
      </w:hyperlink>
    </w:p>
    <w:p>
      <w:pPr>
        <w:spacing w:after="0" w:line="57" w:lineRule="exact"/>
        <w:rPr>
          <w:rFonts w:ascii="Arial" w:cs="Arial" w:eastAsia="Arial" w:hAnsi="Arial"/>
          <w:sz w:val="17"/>
          <w:szCs w:val="17"/>
          <w:u w:val="single" w:color="auto"/>
          <w:color w:val="0000EE"/>
        </w:rPr>
      </w:pPr>
    </w:p>
    <w:p>
      <w:pPr>
        <w:ind w:left="1720" w:right="820" w:hanging="1332"/>
        <w:spacing w:after="0" w:line="277"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*10.31 —</w:t>
      </w:r>
      <w:r>
        <w:rPr>
          <w:sz w:val="20"/>
          <w:szCs w:val="20"/>
          <w:color w:val="auto"/>
        </w:rPr>
        <w:tab/>
      </w:r>
      <w:hyperlink r:id="rId163">
        <w:r>
          <w:rPr>
            <w:rFonts w:ascii="Arial" w:cs="Arial" w:eastAsia="Arial" w:hAnsi="Arial"/>
            <w:sz w:val="18"/>
            <w:szCs w:val="18"/>
            <w:u w:val="single" w:color="auto"/>
            <w:color w:val="0000EE"/>
          </w:rPr>
          <w:t>Annual Management Incentive Plan. (Incorporated by reference to Exhibit 10.4 to the Current Report on Form 8-K filed</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November 19, 2007)</w:t>
        </w:r>
      </w:hyperlink>
    </w:p>
    <w:p>
      <w:pPr>
        <w:spacing w:after="0" w:line="62" w:lineRule="exact"/>
        <w:rPr>
          <w:sz w:val="20"/>
          <w:szCs w:val="20"/>
          <w:color w:val="auto"/>
        </w:rPr>
      </w:pPr>
    </w:p>
    <w:p>
      <w:pPr>
        <w:ind w:left="1720" w:right="120" w:hanging="1332"/>
        <w:spacing w:after="0" w:line="277" w:lineRule="auto"/>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*10.32 —</w:t>
      </w:r>
      <w:r>
        <w:rPr>
          <w:sz w:val="20"/>
          <w:szCs w:val="20"/>
          <w:color w:val="auto"/>
        </w:rPr>
        <w:tab/>
      </w:r>
      <w:hyperlink r:id="rId164">
        <w:r>
          <w:rPr>
            <w:rFonts w:ascii="Arial" w:cs="Arial" w:eastAsia="Arial" w:hAnsi="Arial"/>
            <w:sz w:val="18"/>
            <w:szCs w:val="18"/>
            <w:u w:val="single" w:color="auto"/>
            <w:color w:val="0000EE"/>
          </w:rPr>
          <w:t>Amended and Restated 2009 Deferred Compensation Plan. (Incorporated by reference to Exhibit 10.34 to the Company’s Annual</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Report on Form 10-K filed December 15, 2008)</w:t>
        </w:r>
      </w:hyperlink>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60"/>
          </w:cols>
          <w:pgMar w:left="240" w:top="459" w:right="499" w:bottom="1440" w:gutter="0" w:footer="0" w:header="0"/>
        </w:sectPr>
      </w:pPr>
    </w:p>
    <w:p>
      <w:pPr>
        <w:spacing w:after="0" w:line="32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5080</wp:posOffset>
            </wp:positionV>
            <wp:extent cx="291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*10.33 —</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*10.34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77" w:lineRule="auto"/>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Integrated Electrical Services, Inc. (n/k/a IES Holdings, Inc.) Long Term Incentive Plan, as amended and restated. (Incorporated</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by reference to Exhibit 10.2 to the Company’s Current Report on Form 8-K filed September 23, 2009)</w:t>
        </w:r>
      </w:hyperlink>
    </w:p>
    <w:p>
      <w:pPr>
        <w:spacing w:after="0" w:line="62" w:lineRule="exact"/>
        <w:rPr>
          <w:sz w:val="20"/>
          <w:szCs w:val="20"/>
          <w:color w:val="auto"/>
        </w:rPr>
      </w:pPr>
    </w:p>
    <w:p>
      <w:pPr>
        <w:ind w:right="20"/>
        <w:spacing w:after="0" w:line="264"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Amended and Restated Integrated Electrical Services, Inc. (n/k/a IES Holdings, Inc.) Executive Severance Benefit Plan,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effective January 12, 2016. (Incorporated by reference to Exhibit 10.30 to the Company’s Annual Report on Form 10-K filed on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December 9, 2016)</w:t>
        </w:r>
      </w:hyperlink>
    </w:p>
    <w:p>
      <w:pPr>
        <w:spacing w:after="0" w:line="70" w:lineRule="exact"/>
        <w:rPr>
          <w:rFonts w:ascii="Arial" w:cs="Arial" w:eastAsia="Arial" w:hAnsi="Arial"/>
          <w:sz w:val="18"/>
          <w:szCs w:val="18"/>
          <w:u w:val="single" w:color="auto"/>
          <w:color w:val="0000EE"/>
        </w:rPr>
      </w:pPr>
    </w:p>
    <w:p>
      <w:pPr>
        <w:sectPr>
          <w:pgSz w:w="11900" w:h="16838" w:orient="portrait"/>
          <w:cols w:equalWidth="0" w:num="2">
            <w:col w:w="1200" w:space="720"/>
            <w:col w:w="9240"/>
          </w:cols>
          <w:pgMar w:left="240" w:top="459" w:right="49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21.1 —</w:t>
            </w:r>
          </w:p>
        </w:tc>
        <w:tc>
          <w:tcPr>
            <w:tcW w:w="2380" w:type="dxa"/>
            <w:vAlign w:val="bottom"/>
            <w:tcBorders>
              <w:bottom w:val="single" w:sz="8" w:color="0000EE"/>
            </w:tcBorders>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Subsidiaries of the Registrant (1)</w:t>
              </w:r>
            </w:hyperlink>
          </w:p>
        </w:tc>
        <w:tc>
          <w:tcPr>
            <w:tcW w:w="4240" w:type="dxa"/>
            <w:vAlign w:val="bottom"/>
            <w:gridSpan w:val="5"/>
          </w:tcPr>
          <w:p>
            <w:pPr>
              <w:spacing w:after="0"/>
              <w:rPr>
                <w:sz w:val="17"/>
                <w:szCs w:val="17"/>
                <w:color w:val="auto"/>
              </w:rPr>
            </w:pPr>
          </w:p>
        </w:tc>
      </w:tr>
      <w:tr>
        <w:trPr>
          <w:trHeight w:val="304"/>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23.1 —</w:t>
            </w:r>
          </w:p>
        </w:tc>
        <w:tc>
          <w:tcPr>
            <w:tcW w:w="6620" w:type="dxa"/>
            <w:vAlign w:val="bottom"/>
            <w:gridSpan w:val="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Consent of Ernst &amp; Young LLP (1)</w:t>
              </w:r>
            </w:hyperlink>
          </w:p>
        </w:tc>
      </w:tr>
      <w:tr>
        <w:trPr>
          <w:trHeight w:val="20"/>
        </w:trPr>
        <w:tc>
          <w:tcPr>
            <w:tcW w:w="172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31.1 —</w:t>
            </w:r>
          </w:p>
        </w:tc>
        <w:tc>
          <w:tcPr>
            <w:tcW w:w="662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Rule 13a-14(a)/15d-14(a) Certification of Robert W. Lewey, President (1)</w:t>
              </w:r>
            </w:hyperlink>
          </w:p>
        </w:tc>
      </w:tr>
      <w:tr>
        <w:trPr>
          <w:trHeight w:val="20"/>
        </w:trPr>
        <w:tc>
          <w:tcPr>
            <w:tcW w:w="172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31.2 —</w:t>
            </w:r>
          </w:p>
        </w:tc>
        <w:tc>
          <w:tcPr>
            <w:tcW w:w="66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Rule 13a-14(a)/15d-14(a) Certification of Tracy A. McLauchlin, Chief Financial Officer (1)</w:t>
              </w:r>
            </w:hyperlink>
          </w:p>
        </w:tc>
      </w:tr>
      <w:tr>
        <w:trPr>
          <w:trHeight w:val="304"/>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32.1 —</w:t>
            </w:r>
          </w:p>
        </w:tc>
        <w:tc>
          <w:tcPr>
            <w:tcW w:w="662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Section 1350 Certification of Robert W. Lewey, President (1)</w:t>
              </w:r>
            </w:hyperlink>
          </w:p>
        </w:tc>
      </w:tr>
      <w:tr>
        <w:trPr>
          <w:trHeight w:val="20"/>
        </w:trPr>
        <w:tc>
          <w:tcPr>
            <w:tcW w:w="1720" w:type="dxa"/>
            <w:vAlign w:val="bottom"/>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720" w:type="dxa"/>
            <w:vAlign w:val="bottom"/>
          </w:tcPr>
          <w:p>
            <w:pPr>
              <w:jc w:val="right"/>
              <w:ind w:right="810"/>
              <w:spacing w:after="0"/>
              <w:rPr>
                <w:sz w:val="20"/>
                <w:szCs w:val="20"/>
                <w:color w:val="auto"/>
              </w:rPr>
            </w:pPr>
            <w:r>
              <w:rPr>
                <w:rFonts w:ascii="Arial" w:cs="Arial" w:eastAsia="Arial" w:hAnsi="Arial"/>
                <w:sz w:val="18"/>
                <w:szCs w:val="18"/>
                <w:color w:val="auto"/>
              </w:rPr>
              <w:t>32.2 —</w:t>
            </w:r>
          </w:p>
        </w:tc>
        <w:tc>
          <w:tcPr>
            <w:tcW w:w="57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Section 1350 Certification of Tracy A. McLauchlin, Chief Financial Officer (1)</w:t>
              </w:r>
            </w:hyperlink>
          </w:p>
        </w:tc>
        <w:tc>
          <w:tcPr>
            <w:tcW w:w="900" w:type="dxa"/>
            <w:vAlign w:val="bottom"/>
          </w:tcPr>
          <w:p>
            <w:pPr>
              <w:spacing w:after="0"/>
              <w:rPr>
                <w:sz w:val="24"/>
                <w:szCs w:val="24"/>
                <w:color w:val="auto"/>
              </w:rPr>
            </w:pPr>
          </w:p>
        </w:tc>
      </w:tr>
      <w:tr>
        <w:trPr>
          <w:trHeight w:val="345"/>
        </w:trPr>
        <w:tc>
          <w:tcPr>
            <w:tcW w:w="1720" w:type="dxa"/>
            <w:vAlign w:val="bottom"/>
          </w:tcPr>
          <w:p>
            <w:pPr>
              <w:jc w:val="right"/>
              <w:ind w:right="810"/>
              <w:spacing w:after="0"/>
              <w:rPr>
                <w:sz w:val="20"/>
                <w:szCs w:val="20"/>
                <w:color w:val="auto"/>
              </w:rPr>
            </w:pPr>
            <w:r>
              <w:rPr>
                <w:rFonts w:ascii="Arial" w:cs="Arial" w:eastAsia="Arial" w:hAnsi="Arial"/>
                <w:sz w:val="18"/>
                <w:szCs w:val="18"/>
                <w:color w:val="auto"/>
                <w:w w:val="91"/>
              </w:rPr>
              <w:t>(1)101.INS</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720" w:type="dxa"/>
            <w:vAlign w:val="bottom"/>
          </w:tcPr>
          <w:p>
            <w:pPr>
              <w:jc w:val="right"/>
              <w:ind w:right="750"/>
              <w:spacing w:after="0"/>
              <w:rPr>
                <w:sz w:val="20"/>
                <w:szCs w:val="20"/>
                <w:color w:val="auto"/>
              </w:rPr>
            </w:pPr>
            <w:r>
              <w:rPr>
                <w:rFonts w:ascii="Arial" w:cs="Arial" w:eastAsia="Arial" w:hAnsi="Arial"/>
                <w:sz w:val="18"/>
                <w:szCs w:val="18"/>
                <w:color w:val="auto"/>
                <w:w w:val="90"/>
              </w:rPr>
              <w:t>(1)101.SCH</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720" w:type="dxa"/>
            <w:vAlign w:val="bottom"/>
          </w:tcPr>
          <w:p>
            <w:pPr>
              <w:jc w:val="right"/>
              <w:ind w:right="750"/>
              <w:spacing w:after="0"/>
              <w:rPr>
                <w:sz w:val="20"/>
                <w:szCs w:val="20"/>
                <w:color w:val="auto"/>
              </w:rPr>
            </w:pPr>
            <w:r>
              <w:rPr>
                <w:rFonts w:ascii="Arial" w:cs="Arial" w:eastAsia="Arial" w:hAnsi="Arial"/>
                <w:sz w:val="18"/>
                <w:szCs w:val="18"/>
                <w:color w:val="auto"/>
                <w:w w:val="94"/>
              </w:rPr>
              <w:t>(1)101.LAB</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720" w:type="dxa"/>
            <w:vAlign w:val="bottom"/>
          </w:tcPr>
          <w:p>
            <w:pPr>
              <w:jc w:val="right"/>
              <w:ind w:right="770"/>
              <w:spacing w:after="0"/>
              <w:rPr>
                <w:sz w:val="20"/>
                <w:szCs w:val="20"/>
                <w:color w:val="auto"/>
              </w:rPr>
            </w:pPr>
            <w:r>
              <w:rPr>
                <w:rFonts w:ascii="Arial" w:cs="Arial" w:eastAsia="Arial" w:hAnsi="Arial"/>
                <w:sz w:val="18"/>
                <w:szCs w:val="18"/>
                <w:color w:val="auto"/>
                <w:w w:val="89"/>
              </w:rPr>
              <w:t>(1)101.PRE</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720" w:type="dxa"/>
            <w:vAlign w:val="bottom"/>
          </w:tcPr>
          <w:p>
            <w:pPr>
              <w:jc w:val="right"/>
              <w:ind w:right="770"/>
              <w:spacing w:after="0"/>
              <w:rPr>
                <w:sz w:val="20"/>
                <w:szCs w:val="20"/>
                <w:color w:val="auto"/>
              </w:rPr>
            </w:pPr>
            <w:r>
              <w:rPr>
                <w:rFonts w:ascii="Arial" w:cs="Arial" w:eastAsia="Arial" w:hAnsi="Arial"/>
                <w:sz w:val="18"/>
                <w:szCs w:val="18"/>
                <w:color w:val="auto"/>
                <w:w w:val="90"/>
              </w:rPr>
              <w:t>(1)101.DEF</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720" w:type="dxa"/>
            <w:vAlign w:val="bottom"/>
          </w:tcPr>
          <w:p>
            <w:pPr>
              <w:jc w:val="right"/>
              <w:ind w:right="750"/>
              <w:spacing w:after="0"/>
              <w:rPr>
                <w:sz w:val="20"/>
                <w:szCs w:val="20"/>
                <w:color w:val="auto"/>
              </w:rPr>
            </w:pPr>
            <w:r>
              <w:rPr>
                <w:rFonts w:ascii="Arial" w:cs="Arial" w:eastAsia="Arial" w:hAnsi="Arial"/>
                <w:sz w:val="18"/>
                <w:szCs w:val="18"/>
                <w:color w:val="auto"/>
                <w:w w:val="93"/>
              </w:rPr>
              <w:t>(1)101.CAL</w:t>
            </w:r>
          </w:p>
        </w:tc>
        <w:tc>
          <w:tcPr>
            <w:tcW w:w="662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5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 required to be filed herewith pursuant to Item 15(a)(3) of this Annual Report on Form 10-K.</w:t>
      </w:r>
    </w:p>
    <w:p>
      <w:pPr>
        <w:spacing w:after="0" w:line="1"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240" w:top="459" w:right="49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December 8, 2017.</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IES HOLDINGS, INC.</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 Robert W. Lewey</w:t>
            </w:r>
          </w:p>
        </w:tc>
      </w:tr>
      <w:tr>
        <w:trPr>
          <w:trHeight w:val="209"/>
        </w:trPr>
        <w:tc>
          <w:tcPr>
            <w:tcW w:w="4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Robert W. Lewey</w:t>
            </w:r>
          </w:p>
        </w:tc>
      </w:tr>
      <w:tr>
        <w:trPr>
          <w:trHeight w:val="230"/>
        </w:trPr>
        <w:tc>
          <w:tcPr>
            <w:tcW w:w="4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President and Director</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KNOW ALL MEN BY THESE PRESENTS, that each of the undersigned officers and directors of IES HOLDINGS, INC. hereby constitutes and appoints Robert W. Lewey and Gail D. Makode,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 agents, or either of them, or their or his substitutes or substitute, may lawfully do or cause to be done by virtue hereof.</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Robert W. Lewey</w:t>
            </w:r>
          </w:p>
        </w:tc>
        <w:tc>
          <w:tcPr>
            <w:tcW w:w="504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President and 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December 8, 2017</w:t>
            </w:r>
          </w:p>
        </w:tc>
        <w:tc>
          <w:tcPr>
            <w:tcW w:w="0" w:type="dxa"/>
            <w:vAlign w:val="bottom"/>
          </w:tcPr>
          <w:p>
            <w:pPr>
              <w:spacing w:after="0"/>
              <w:rPr>
                <w:sz w:val="1"/>
                <w:szCs w:val="1"/>
                <w:color w:val="auto"/>
              </w:rPr>
            </w:pP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Robert W. Lewey</w:t>
            </w:r>
          </w:p>
        </w:tc>
        <w:tc>
          <w:tcPr>
            <w:tcW w:w="504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56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/s/ Tracy A. McLauchlin</w:t>
            </w:r>
          </w:p>
        </w:tc>
        <w:tc>
          <w:tcPr>
            <w:tcW w:w="504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Senior Vice President, Chief Financial Officer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December 8, 2017</w:t>
            </w:r>
          </w:p>
        </w:tc>
        <w:tc>
          <w:tcPr>
            <w:tcW w:w="0" w:type="dxa"/>
            <w:vAlign w:val="bottom"/>
          </w:tcPr>
          <w:p>
            <w:pPr>
              <w:spacing w:after="0"/>
              <w:rPr>
                <w:sz w:val="1"/>
                <w:szCs w:val="1"/>
                <w:color w:val="auto"/>
              </w:rPr>
            </w:pPr>
          </w:p>
        </w:tc>
      </w:tr>
      <w:tr>
        <w:trPr>
          <w:trHeight w:val="222"/>
        </w:trPr>
        <w:tc>
          <w:tcPr>
            <w:tcW w:w="3560" w:type="dxa"/>
            <w:vAlign w:val="bottom"/>
            <w:tcBorders>
              <w:bottom w:val="single" w:sz="8" w:color="auto"/>
            </w:tcBorders>
            <w:gridSpan w:val="3"/>
            <w:vMerge w:val="continue"/>
          </w:tcPr>
          <w:p>
            <w:pPr>
              <w:spacing w:after="0"/>
              <w:rPr>
                <w:sz w:val="18"/>
                <w:szCs w:val="18"/>
                <w:color w:val="auto"/>
              </w:rPr>
            </w:pPr>
          </w:p>
        </w:tc>
        <w:tc>
          <w:tcPr>
            <w:tcW w:w="504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and Treasurer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gridSpan w:val="3"/>
          </w:tcPr>
          <w:p>
            <w:pPr>
              <w:jc w:val="center"/>
              <w:ind w:right="40"/>
              <w:spacing w:after="0" w:line="195" w:lineRule="exact"/>
              <w:rPr>
                <w:sz w:val="20"/>
                <w:szCs w:val="20"/>
                <w:color w:val="auto"/>
              </w:rPr>
            </w:pPr>
            <w:r>
              <w:rPr>
                <w:rFonts w:ascii="Arial" w:cs="Arial" w:eastAsia="Arial" w:hAnsi="Arial"/>
                <w:sz w:val="18"/>
                <w:szCs w:val="18"/>
                <w:color w:val="auto"/>
                <w:w w:val="95"/>
              </w:rPr>
              <w:t>Tracy A. McLauchlin</w:t>
            </w:r>
          </w:p>
        </w:tc>
        <w:tc>
          <w:tcPr>
            <w:tcW w:w="5040" w:type="dxa"/>
            <w:vAlign w:val="bottom"/>
            <w:gridSpan w:val="3"/>
          </w:tcPr>
          <w:p>
            <w:pPr>
              <w:jc w:val="center"/>
              <w:ind w:left="190"/>
              <w:spacing w:after="0" w:line="195" w:lineRule="exact"/>
              <w:rPr>
                <w:sz w:val="20"/>
                <w:szCs w:val="20"/>
                <w:color w:val="auto"/>
              </w:rPr>
            </w:pPr>
            <w:r>
              <w:rPr>
                <w:rFonts w:ascii="Arial" w:cs="Arial" w:eastAsia="Arial" w:hAnsi="Arial"/>
                <w:sz w:val="18"/>
                <w:szCs w:val="18"/>
                <w:color w:val="auto"/>
                <w:w w:val="94"/>
              </w:rPr>
              <w:t>(Principal Financial Officer)</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4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Todd M. Cleveland</w:t>
            </w:r>
          </w:p>
        </w:tc>
        <w:tc>
          <w:tcPr>
            <w:tcW w:w="50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December 8, 2017</w:t>
            </w:r>
          </w:p>
        </w:tc>
        <w:tc>
          <w:tcPr>
            <w:tcW w:w="0" w:type="dxa"/>
            <w:vAlign w:val="bottom"/>
          </w:tcPr>
          <w:p>
            <w:pPr>
              <w:spacing w:after="0"/>
              <w:rPr>
                <w:sz w:val="1"/>
                <w:szCs w:val="1"/>
                <w:color w:val="auto"/>
              </w:rPr>
            </w:pP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Todd M. Cleveland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Joseph L. Dowling III</w:t>
            </w:r>
          </w:p>
        </w:tc>
        <w:tc>
          <w:tcPr>
            <w:tcW w:w="50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December 8, 2017</w:t>
            </w:r>
          </w:p>
        </w:tc>
        <w:tc>
          <w:tcPr>
            <w:tcW w:w="0" w:type="dxa"/>
            <w:vAlign w:val="bottom"/>
          </w:tcPr>
          <w:p>
            <w:pPr>
              <w:spacing w:after="0"/>
              <w:rPr>
                <w:sz w:val="1"/>
                <w:szCs w:val="1"/>
                <w:color w:val="auto"/>
              </w:rPr>
            </w:pP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Joseph L. Dowling III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David B. Gendell</w:t>
            </w:r>
          </w:p>
        </w:tc>
        <w:tc>
          <w:tcPr>
            <w:tcW w:w="50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December 8, 2017</w:t>
            </w:r>
          </w:p>
        </w:tc>
        <w:tc>
          <w:tcPr>
            <w:tcW w:w="0" w:type="dxa"/>
            <w:vAlign w:val="bottom"/>
          </w:tcPr>
          <w:p>
            <w:pPr>
              <w:spacing w:after="0"/>
              <w:rPr>
                <w:sz w:val="1"/>
                <w:szCs w:val="1"/>
                <w:color w:val="auto"/>
              </w:rPr>
            </w:pP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David B. Gendell</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3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Jeffrey L. Gendell</w:t>
            </w:r>
          </w:p>
        </w:tc>
        <w:tc>
          <w:tcPr>
            <w:tcW w:w="48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Director and Chairman of the Board</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December 8, 2017</w:t>
            </w: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Jeffrey L. Gendell</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3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Joe D. Koshkin</w:t>
            </w:r>
          </w:p>
        </w:tc>
        <w:tc>
          <w:tcPr>
            <w:tcW w:w="486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December 8, 2017</w:t>
            </w:r>
          </w:p>
        </w:tc>
      </w:tr>
      <w:tr>
        <w:trPr>
          <w:trHeight w:val="224"/>
        </w:trPr>
        <w:tc>
          <w:tcPr>
            <w:tcW w:w="35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Joe D. Koshkin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3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Donald L. Luke</w:t>
            </w:r>
          </w:p>
        </w:tc>
        <w:tc>
          <w:tcPr>
            <w:tcW w:w="486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December 8, 2017</w:t>
            </w:r>
          </w:p>
        </w:tc>
      </w:tr>
      <w:tr>
        <w:trPr>
          <w:trHeight w:val="224"/>
        </w:trPr>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Donald L. Luke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880"/>
          </w:cols>
          <w:pgMar w:left="240" w:top="459" w:right="77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60" w:type="dxa"/>
            <w:vAlign w:val="bottom"/>
            <w:gridSpan w:val="2"/>
          </w:tcPr>
          <w:p>
            <w:pPr>
              <w:ind w:left="1900"/>
              <w:spacing w:after="0"/>
              <w:rPr>
                <w:sz w:val="20"/>
                <w:szCs w:val="20"/>
                <w:color w:val="auto"/>
              </w:rPr>
            </w:pPr>
            <w:r>
              <w:rPr>
                <w:rFonts w:ascii="Arial" w:cs="Arial" w:eastAsia="Arial" w:hAnsi="Arial"/>
                <w:sz w:val="18"/>
                <w:szCs w:val="18"/>
                <w:b w:val="1"/>
                <w:bCs w:val="1"/>
                <w:color w:val="auto"/>
                <w:w w:val="93"/>
              </w:rPr>
              <w:t>Exhibit 21.1</w:t>
            </w:r>
          </w:p>
        </w:tc>
      </w:tr>
      <w:tr>
        <w:trPr>
          <w:trHeight w:val="32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c>
          <w:tcPr>
            <w:tcW w:w="4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460" w:type="dxa"/>
            <w:vAlign w:val="bottom"/>
            <w:gridSpan w:val="3"/>
          </w:tcPr>
          <w:p>
            <w:pPr>
              <w:ind w:left="760"/>
              <w:spacing w:after="0"/>
              <w:rPr>
                <w:sz w:val="20"/>
                <w:szCs w:val="20"/>
                <w:color w:val="auto"/>
              </w:rPr>
            </w:pPr>
            <w:r>
              <w:rPr>
                <w:rFonts w:ascii="Arial" w:cs="Arial" w:eastAsia="Arial" w:hAnsi="Arial"/>
                <w:sz w:val="18"/>
                <w:szCs w:val="18"/>
                <w:b w:val="1"/>
                <w:bCs w:val="1"/>
                <w:color w:val="auto"/>
              </w:rPr>
              <w:t>As of September 30, 2017</w:t>
            </w:r>
          </w:p>
        </w:tc>
      </w:tr>
      <w:tr>
        <w:trPr>
          <w:trHeight w:val="412"/>
        </w:trPr>
        <w:tc>
          <w:tcPr>
            <w:tcW w:w="398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4600" w:type="dxa"/>
            <w:vAlign w:val="bottom"/>
          </w:tcPr>
          <w:p>
            <w:pPr>
              <w:spacing w:after="0"/>
              <w:rPr>
                <w:sz w:val="24"/>
                <w:szCs w:val="24"/>
                <w:color w:val="auto"/>
              </w:rPr>
            </w:pPr>
          </w:p>
        </w:tc>
        <w:tc>
          <w:tcPr>
            <w:tcW w:w="2860" w:type="dxa"/>
            <w:vAlign w:val="bottom"/>
            <w:gridSpan w:val="2"/>
          </w:tcPr>
          <w:p>
            <w:pPr>
              <w:ind w:left="600"/>
              <w:spacing w:after="0"/>
              <w:rPr>
                <w:sz w:val="20"/>
                <w:szCs w:val="20"/>
                <w:color w:val="auto"/>
              </w:rPr>
            </w:pPr>
            <w:r>
              <w:rPr>
                <w:rFonts w:ascii="Arial" w:cs="Arial" w:eastAsia="Arial" w:hAnsi="Arial"/>
                <w:sz w:val="14"/>
                <w:szCs w:val="14"/>
                <w:color w:val="auto"/>
              </w:rPr>
              <w:t>Jurisdiction of Incorporation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Calumet</w:t>
            </w:r>
          </w:p>
        </w:tc>
        <w:tc>
          <w:tcPr>
            <w:tcW w:w="3360" w:type="dxa"/>
            <w:vAlign w:val="bottom"/>
          </w:tcPr>
          <w:p>
            <w:pPr>
              <w:ind w:left="40"/>
              <w:spacing w:after="0" w:line="189" w:lineRule="exact"/>
              <w:rPr>
                <w:sz w:val="20"/>
                <w:szCs w:val="20"/>
                <w:color w:val="auto"/>
              </w:rPr>
            </w:pPr>
            <w:r>
              <w:rPr>
                <w:rFonts w:ascii="Arial" w:cs="Arial" w:eastAsia="Arial" w:hAnsi="Arial"/>
                <w:sz w:val="18"/>
                <w:szCs w:val="18"/>
                <w:color w:val="auto"/>
              </w:rPr>
              <w:t>Armature and Electric, L.L.C.</w:t>
            </w:r>
          </w:p>
        </w:tc>
        <w:tc>
          <w:tcPr>
            <w:tcW w:w="4600" w:type="dxa"/>
            <w:vAlign w:val="bottom"/>
          </w:tcPr>
          <w:p>
            <w:pPr>
              <w:spacing w:after="0"/>
              <w:rPr>
                <w:sz w:val="16"/>
                <w:szCs w:val="16"/>
                <w:color w:val="auto"/>
              </w:rPr>
            </w:pPr>
          </w:p>
        </w:tc>
        <w:tc>
          <w:tcPr>
            <w:tcW w:w="2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6"/>
                <w:szCs w:val="16"/>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Freeman Enclosure Systems,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HK Engine Components,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ICS Holdings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Commercial,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Communications,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Consolidation,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Infrastructure Solutions,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Management, LP</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Management ROO, LP</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Operations Group,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Properties,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Purchasing &amp; Materials,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Renewable Energy,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Residential,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Shared Services,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Subsidiary Holdings,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IES Tangible Properties,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Integrated Electrical Finance,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Key Electrical Supply,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Magnetech Industrial Services,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NEXT Electric,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Shanahan Mechanical and Electrical,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Nebraska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Southern Industrial Sales and Services,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STR Mechanical,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North Carolina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Technibus, Inc.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Technical Services II, LLC</w:t>
            </w:r>
          </w:p>
        </w:tc>
        <w:tc>
          <w:tcPr>
            <w:tcW w:w="46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Thomas Popp &amp; Company</w:t>
            </w:r>
          </w:p>
        </w:tc>
        <w:tc>
          <w:tcPr>
            <w:tcW w:w="46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900" w:right="3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Statement on Form S-8 (No. 333-209483) pertaining to the Amended and Restated 2006 Equity Incentive Plan of IES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Statement on Form S-8 (No. 333-1 34100) pertaining to the 2006 Equity Incentive Plan of IES Holdings, Inc.;</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Statement on Form S-3 (No. 333-186786) pertaining to the registration for resale of common stock of IES Holdings, Inc. by the selling stockholders named therein;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Statement on Form S-3 (No. 333-215071) pertaining to the registration for resale of common stock of IES Holdings, Inc. by the selling stockholders named therein;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our reports dated December 8, 2017, with respect to the consolidated financial statements of IES Holdings, Inc. and subsidiaries and the effectiveness of internal control over financial reporting of IES Holdings, Inc. and subsidiaries, included in this Annual Report (Form 10-K) for the year ended September 30, 2017.</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117"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6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President and Director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117"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6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connection with this Annual Report of IES Holdings, Inc. (the “Company”) on Form 10-K for the period ending September 30, 2017 (the “Report”), I, Robert W. Lewey, President of the Company, certify, pursuant to 18 U.S.C. § 1350, as adopted pursuant to § 906 of the Sarbanes-Oxley Act of 2002, that:</w:t>
      </w:r>
    </w:p>
    <w:p>
      <w:pPr>
        <w:spacing w:after="0" w:line="2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3"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5715</wp:posOffset>
            </wp:positionV>
            <wp:extent cx="26073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President and Director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this Annual Report of IES Holdings, Inc. (the “Company”) on Form 10-K for the period ending September 30, 2017 (the “Report”), I, Tracy A. McLauchlin, Senior Vice President, Chief Financial Officer and Treasurer of the Company, certify, pursuant to 18 U.S.C. § 1350, as adopted pursuant to §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3" w:lineRule="exact"/>
        <w:rPr>
          <w:sz w:val="20"/>
          <w:szCs w:val="20"/>
          <w:color w:val="auto"/>
        </w:rPr>
      </w:pPr>
    </w:p>
    <w:p>
      <w:pPr>
        <w:ind w:left="666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5715</wp:posOffset>
            </wp:positionV>
            <wp:extent cx="2769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32"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as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Roman"/>
      <w:start w:val="2"/>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18" Type="http://schemas.openxmlformats.org/officeDocument/2006/relationships/hyperlink" Target="http://www.sec.gov/Archives/edgar/data/1048268/000119312513319131/d528196ds4a.htm#toc528196_196" TargetMode="External"/><Relationship Id="rId119" Type="http://schemas.openxmlformats.org/officeDocument/2006/relationships/hyperlink" Target="http://www.sec.gov/Archives/edgar/data/1048268/000119312516621943/d148351dex21.htm" TargetMode="External"/><Relationship Id="rId120" Type="http://schemas.openxmlformats.org/officeDocument/2006/relationships/hyperlink" Target="http://www.sec.gov/Archives/edgar/data/1048268/000119312516674386/d211495dex31.htm" TargetMode="External"/><Relationship Id="rId121" Type="http://schemas.openxmlformats.org/officeDocument/2006/relationships/hyperlink" Target="http://www.sec.gov/Archives/edgar/data/1048268/000119312513026383/d474722dex31.htm" TargetMode="External"/><Relationship Id="rId122" Type="http://schemas.openxmlformats.org/officeDocument/2006/relationships/hyperlink" Target="http://www.sec.gov/Archives/edgar/data/1048268/000119312516600652/d197326dex32.htm" TargetMode="External"/><Relationship Id="rId123" Type="http://schemas.openxmlformats.org/officeDocument/2006/relationships/hyperlink" Target="http://www.sec.gov/Archives/edgar/data/1048268/000119312516789187/d310826dex41.htm" TargetMode="External"/><Relationship Id="rId124" Type="http://schemas.openxmlformats.org/officeDocument/2006/relationships/hyperlink" Target="http://www.sec.gov/Archives/edgar/data/1048268/000119312516763155/d487615dex41.htm" TargetMode="External"/><Relationship Id="rId125" Type="http://schemas.openxmlformats.org/officeDocument/2006/relationships/hyperlink" Target="http://www.sec.gov/Archives/edgar/data/1048268/000095012906005627/h36237exv10w5.htm" TargetMode="External"/><Relationship Id="rId126" Type="http://schemas.openxmlformats.org/officeDocument/2006/relationships/hyperlink" Target="http://www.sec.gov/Archives/edgar/data/1048268/000119312512503507/d452277dex1024.htm" TargetMode="External"/><Relationship Id="rId129" Type="http://schemas.openxmlformats.org/officeDocument/2006/relationships/hyperlink" Target="http://www.sec.gov/Archives/edgar/data/1048268/000095012906005627/h36237exv10w4.htm" TargetMode="External"/><Relationship Id="rId130" Type="http://schemas.openxmlformats.org/officeDocument/2006/relationships/hyperlink" Target="http://www.sec.gov/Archives/edgar/data/1048268/000116923206004252/d69762_ex10-1.htm" TargetMode="External"/><Relationship Id="rId131" Type="http://schemas.openxmlformats.org/officeDocument/2006/relationships/hyperlink" Target="http://www.sec.gov/Archives/edgar/data/1048268/000116923207003907/d72817_ex10-1.txt" TargetMode="External"/><Relationship Id="rId132" Type="http://schemas.openxmlformats.org/officeDocument/2006/relationships/hyperlink" Target="http://www.sec.gov/Archives/edgar/data/1048268/000116923207003907/d72817_ex10-2.txt" TargetMode="External"/><Relationship Id="rId133" Type="http://schemas.openxmlformats.org/officeDocument/2006/relationships/hyperlink" Target="http://www.sec.gov/Archives/edgar/data/1048268/000095012908005299/h64625exv10w1.htm" TargetMode="External"/><Relationship Id="rId134" Type="http://schemas.openxmlformats.org/officeDocument/2006/relationships/hyperlink" Target="http://www.sec.gov/Archives/edgar/data/1048268/000095012310049149/h73084exv10w1.htm" TargetMode="External"/><Relationship Id="rId135" Type="http://schemas.openxmlformats.org/officeDocument/2006/relationships/hyperlink" Target="http://www.sec.gov/Archives/edgar/data/1048268/000104826812000030/ies_amd1indemnityagmt-2012.htm" TargetMode="External"/><Relationship Id="rId136" Type="http://schemas.openxmlformats.org/officeDocument/2006/relationships/hyperlink" Target="http://www.sec.gov/Archives/edgar/data/1048268/000119312513215581/d535788dex101.htm" TargetMode="External"/><Relationship Id="rId139" Type="http://schemas.openxmlformats.org/officeDocument/2006/relationships/hyperlink" Target="http://www.sec.gov/Archives/edgar/data/1048268/000119312516708628/d258745dex101.htm" TargetMode="External"/><Relationship Id="rId140" Type="http://schemas.openxmlformats.org/officeDocument/2006/relationships/hyperlink" Target="http://www.sec.gov/Archives/edgar/data/1048268/000119312517227986/d419769dex101.htm" TargetMode="External"/><Relationship Id="rId141" Type="http://schemas.openxmlformats.org/officeDocument/2006/relationships/hyperlink" Target="http://www.sec.gov/Archives/edgar/data/1048268/000119312514351590/d794083dex101.htm" TargetMode="External"/><Relationship Id="rId142" Type="http://schemas.openxmlformats.org/officeDocument/2006/relationships/hyperlink" Target="http://www.sec.gov/Archives/edgar/data/1048268/000119312516789187/d310826dex1011.htm" TargetMode="External"/><Relationship Id="rId143" Type="http://schemas.openxmlformats.org/officeDocument/2006/relationships/hyperlink" Target="http://www.sec.gov/Archives/edgar/data/1048268/000119312516573932/d169500dex101.htm" TargetMode="External"/><Relationship Id="rId144" Type="http://schemas.openxmlformats.org/officeDocument/2006/relationships/hyperlink" Target="http://www.sec.gov/Archives/edgar/data/1048268/000119312516789187/d310826dex1013.htm" TargetMode="External"/><Relationship Id="rId145" Type="http://schemas.openxmlformats.org/officeDocument/2006/relationships/hyperlink" Target="http://www.sec.gov/Archives/edgar/data/1048268/000119312517118614/d375708dex101.htm" TargetMode="External"/><Relationship Id="rId146" Type="http://schemas.openxmlformats.org/officeDocument/2006/relationships/hyperlink" Target="http://www.sec.gov/Archives/edgar/data/1048268/000119312517248190/d437455dex102.htm" TargetMode="External"/><Relationship Id="rId147" Type="http://schemas.openxmlformats.org/officeDocument/2006/relationships/hyperlink" Target="http://www.sec.gov/Archives/edgar/data/1048268/000119312517248190/d437455dex104.htm" TargetMode="External"/><Relationship Id="rId148" Type="http://schemas.openxmlformats.org/officeDocument/2006/relationships/hyperlink" Target="http://www.sec.gov/Archives/edgar/data/1048268/000119312512232008/d351050dex101.htm" TargetMode="External"/><Relationship Id="rId151" Type="http://schemas.openxmlformats.org/officeDocument/2006/relationships/hyperlink" Target="http://www.sec.gov/Archives/edgar/data/1048268/000119312516582843/d193200dex105.htm" TargetMode="External"/><Relationship Id="rId152" Type="http://schemas.openxmlformats.org/officeDocument/2006/relationships/hyperlink" Target="http://www.sec.gov/Archives/edgar/data/1048268/000095012309065695/h68872exv10w1.htm" TargetMode="External"/><Relationship Id="rId153" Type="http://schemas.openxmlformats.org/officeDocument/2006/relationships/hyperlink" Target="http://www.sec.gov/Archives/edgar/data/1048268/000095012309065695/h68872exv10w2.htm" TargetMode="External"/><Relationship Id="rId154" Type="http://schemas.openxmlformats.org/officeDocument/2006/relationships/hyperlink" Target="http://www.sec.gov/Archives/edgar/data/1048268/000104826807000040/d72828_ex10-3.htm" TargetMode="External"/><Relationship Id="rId155" Type="http://schemas.openxmlformats.org/officeDocument/2006/relationships/hyperlink" Target="http://www.sec.gov/Archives/edgar/data/1048268/000104826807000040/d72828_ex10-1.htm" TargetMode="External"/><Relationship Id="rId156" Type="http://schemas.openxmlformats.org/officeDocument/2006/relationships/hyperlink" Target="http://www.sec.gov/Archives/edgar/data/1048268/000119312516453210/d133572dex101.htm" TargetMode="External"/><Relationship Id="rId157" Type="http://schemas.openxmlformats.org/officeDocument/2006/relationships/hyperlink" Target="http://www.sec.gov/Archives/edgar/data/1048268/000119312515413732/d103218ddef14a.htm" TargetMode="External"/><Relationship Id="rId158" Type="http://schemas.openxmlformats.org/officeDocument/2006/relationships/hyperlink" Target="http://www.sec.gov/Archives/edgar/data/1048268/000119312516582843/d193200dex104.htm" TargetMode="External"/><Relationship Id="rId159" Type="http://schemas.openxmlformats.org/officeDocument/2006/relationships/hyperlink" Target="http://www.sec.gov/Archives/edgar/data/1048268/000119312516582843/d193200dex103.htm" TargetMode="External"/><Relationship Id="rId160" Type="http://schemas.openxmlformats.org/officeDocument/2006/relationships/hyperlink" Target="http://www.sec.gov/Archives/edgar/data/1048268/000119312516582843/d193200dex102.htm" TargetMode="External"/><Relationship Id="rId161" Type="http://schemas.openxmlformats.org/officeDocument/2006/relationships/hyperlink" Target="http://www.sec.gov/Archives/edgar/data/1048268/000119312516615339/d173606dex101.htm" TargetMode="External"/><Relationship Id="rId162" Type="http://schemas.openxmlformats.org/officeDocument/2006/relationships/hyperlink" Target="http://www.sec.gov/Archives/edgar/data/1048268/000119312516615339/d173606dex102.htm" TargetMode="External"/><Relationship Id="rId163" Type="http://schemas.openxmlformats.org/officeDocument/2006/relationships/hyperlink" Target="http://www.sec.gov/Archives/edgar/data/1048268/000104826807000042/plan10_4.htm" TargetMode="External"/><Relationship Id="rId164" Type="http://schemas.openxmlformats.org/officeDocument/2006/relationships/hyperlink" Target="http://www.sec.gov/Archives/edgar/data/1048268/000104746908013171/a2188873zex-10_34.htm" TargetMode="External"/><Relationship Id="rId167" Type="http://schemas.openxmlformats.org/officeDocument/2006/relationships/hyperlink" Target="http://www.sec.gov/Archives/edgar/data/1048268/000104826809000014/ltipfy2009_2010.htm" TargetMode="External"/><Relationship Id="rId168" Type="http://schemas.openxmlformats.org/officeDocument/2006/relationships/hyperlink" Target="http://www.sec.gov/Archives/edgar/data/1048268/000119312516789187/d310826d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2019-12-29T02:58:36Z</dcterms:created>
  <dcterms:modified xsi:type="dcterms:W3CDTF">2019-12-29T02:58:36Z</dcterms:modified>
</cp:coreProperties>
</file>