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June 30, 2022</w:t>
      </w:r>
    </w:p>
    <w:p>
      <w:pPr>
        <w:spacing w:after="0" w:line="17"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2120" w:type="dxa"/>
        <w:tblCellMar>
          <w:top w:w="0" w:type="dxa"/>
          <w:left w:w="0" w:type="dxa"/>
          <w:bottom w:w="0" w:type="dxa"/>
          <w:right w:w="0" w:type="dxa"/>
        </w:tblCellMar>
      </w:tblPr>
      <w:tr>
        <w:trPr>
          <w:trHeight w:val="198"/>
        </w:trPr>
        <w:tc>
          <w:tcPr>
            <w:tcW w:w="3680" w:type="dxa"/>
            <w:vAlign w:val="bottom"/>
          </w:tcPr>
          <w:p>
            <w:pPr>
              <w:jc w:val="center"/>
              <w:ind w:right="1808"/>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960" w:type="dxa"/>
            <w:vAlign w:val="bottom"/>
          </w:tcPr>
          <w:p>
            <w:pPr>
              <w:jc w:val="center"/>
              <w:ind w:left="1788"/>
              <w:spacing w:after="0"/>
              <w:rPr>
                <w:sz w:val="20"/>
                <w:szCs w:val="20"/>
                <w:color w:val="auto"/>
              </w:rPr>
            </w:pPr>
            <w:r>
              <w:rPr>
                <w:rFonts w:ascii="Times New Roman" w:cs="Times New Roman" w:eastAsia="Times New Roman" w:hAnsi="Times New Roman"/>
                <w:sz w:val="15"/>
                <w:szCs w:val="15"/>
                <w:b w:val="1"/>
                <w:bCs w:val="1"/>
                <w:color w:val="auto"/>
              </w:rPr>
              <w:t>76-0542208</w:t>
            </w:r>
          </w:p>
        </w:tc>
      </w:tr>
      <w:tr>
        <w:trPr>
          <w:trHeight w:val="182"/>
        </w:trPr>
        <w:tc>
          <w:tcPr>
            <w:tcW w:w="368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296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93"/>
        </w:trPr>
        <w:tc>
          <w:tcPr>
            <w:tcW w:w="368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96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9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5433 Westheimer Road, Suite 500,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69" w:lineRule="exact"/>
        <w:rPr>
          <w:sz w:val="24"/>
          <w:szCs w:val="24"/>
          <w:color w:val="auto"/>
        </w:rPr>
      </w:pPr>
    </w:p>
    <w:p>
      <w:pPr>
        <w:ind w:right="4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3" w:lineRule="exact"/>
        <w:rPr>
          <w:sz w:val="24"/>
          <w:szCs w:val="24"/>
          <w:color w:val="auto"/>
        </w:rPr>
      </w:pPr>
    </w:p>
    <w:p>
      <w:pPr>
        <w:ind w:right="3360"/>
        <w:spacing w:after="0" w:line="25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August 2, 2022, there were 20,523,716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0"/>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June 30, 2022 and September 30,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Nine Months Ended June 30, 2022 and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 June 30, 2022 and 2021</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June 30, 2022 and 2021</w:t>
            </w:r>
          </w:p>
        </w:tc>
        <w:tc>
          <w:tcPr>
            <w:tcW w:w="1380" w:type="dxa"/>
            <w:vAlign w:val="bottom"/>
            <w:tcBorders>
              <w:top w:val="single" w:sz="8" w:color="0000FF"/>
              <w:bottom w:val="single" w:sz="8" w:color="0000FF"/>
            </w:tcBorders>
          </w:tcPr>
          <w:p>
            <w:pPr>
              <w:spacing w:after="0"/>
              <w:rPr>
                <w:sz w:val="18"/>
                <w:szCs w:val="18"/>
                <w:color w:val="auto"/>
              </w:rPr>
            </w:pPr>
          </w:p>
        </w:tc>
        <w:tc>
          <w:tcPr>
            <w:tcW w:w="74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520" w:type="dxa"/>
            <w:vAlign w:val="bottom"/>
            <w:gridSpan w:val="12"/>
          </w:tcPr>
          <w:p>
            <w:pPr>
              <w:jc w:val="right"/>
              <w:ind w:right="1060"/>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right="60" w:hanging="307"/>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0" w:lineRule="exact"/>
        <w:rPr>
          <w:rFonts w:ascii="Times New Roman" w:cs="Times New Roman" w:eastAsia="Times New Roman" w:hAnsi="Times New Roman"/>
          <w:sz w:val="17"/>
          <w:szCs w:val="17"/>
          <w:color w:val="auto"/>
        </w:rPr>
      </w:pPr>
    </w:p>
    <w:p>
      <w:pPr>
        <w:ind w:left="620" w:right="3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 w:name="page4"/>
    <w:bookmarkEnd w:id="3"/>
    <w:p>
      <w:pPr>
        <w:ind w:left="307" w:right="7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laws and regulations protecting the environment, including those laws related to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environmental laws and regulations, including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certain tax benefits of our net operating losses may be restricted or reduced in a change in ownership or a decrease in the federal tax rate;</w:t>
      </w:r>
    </w:p>
    <w:p>
      <w:pPr>
        <w:spacing w:after="0" w:line="177" w:lineRule="exact"/>
        <w:rPr>
          <w:rFonts w:ascii="Times New Roman" w:cs="Times New Roman" w:eastAsia="Times New Roman" w:hAnsi="Times New Roman"/>
          <w:sz w:val="17"/>
          <w:szCs w:val="17"/>
          <w:color w:val="auto"/>
        </w:rPr>
      </w:pPr>
    </w:p>
    <w:p>
      <w:pPr>
        <w:ind w:left="307" w:right="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77"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307" w:right="12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371"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7"/>
          </w:cols>
          <w:pgMar w:left="633" w:top="432" w:right="379" w:bottom="1440" w:gutter="0" w:footer="0" w:header="0"/>
        </w:sectPr>
      </w:pPr>
    </w:p>
    <w:bookmarkStart w:id="4" w:name="page5"/>
    <w:bookmarkEnd w:id="4"/>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2021,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June 30,</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Trade, net of allowance of $5,006 and $2,387,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286,707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41,341</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21,065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588,893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484,180</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85,619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19,009</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884,392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249,114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62,486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366,759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311,600</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504,538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396,075</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issued and 20,608,611 and 20,732,531 outstanding,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Treasury stock, at cost, 1,440,918 and 1,316,998 shares,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201,899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188,187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173,134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345,953</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884,392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766,622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color w:val="auto"/>
              </w:rPr>
              <w:t>Three Months Ended June 30,</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405,871</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484,501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333,042</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72,829</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50,342</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22,450</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2,640</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19,649</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20,718,195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20,829,165</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20,939,437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21,087,779</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1,549,403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1,052,670</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856,288</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196,382</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140,783</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55,481</w:t>
            </w:r>
          </w:p>
        </w:tc>
      </w:tr>
      <w:tr>
        <w:trPr>
          <w:trHeight w:val="19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55,092</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45,202</w:t>
            </w:r>
          </w:p>
        </w:tc>
      </w:tr>
      <w:tr>
        <w:trPr>
          <w:trHeight w:val="212"/>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20,730,900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20,780,975</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21,275,826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21,066,489</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ectPr>
          <w:pgSz w:w="11900" w:h="16838" w:orient="portrait"/>
          <w:cols w:equalWidth="0" w:num="1">
            <w:col w:w="11180"/>
          </w:cols>
          <w:pgMar w:left="380" w:top="6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March 31, 2022</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Option exercised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20" w:right="320" w:firstLine="142"/>
        <w:spacing w:after="0" w:line="371" w:lineRule="auto"/>
        <w:rPr>
          <w:sz w:val="20"/>
          <w:szCs w:val="20"/>
          <w:color w:val="auto"/>
        </w:rPr>
      </w:pPr>
      <w:r>
        <w:rPr>
          <w:rFonts w:ascii="Times New Roman" w:cs="Times New Roman" w:eastAsia="Times New Roman" w:hAnsi="Times New Roman"/>
          <w:sz w:val="14"/>
          <w:szCs w:val="14"/>
          <w:color w:val="auto"/>
        </w:rPr>
        <w:t>Net income attributable to IES Holdings, Inc. BALANCE,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 w:right="880" w:hanging="89"/>
        <w:spacing w:after="0" w:line="288" w:lineRule="auto"/>
        <w:rPr>
          <w:sz w:val="20"/>
          <w:szCs w:val="20"/>
          <w:color w:val="auto"/>
        </w:rPr>
      </w:pPr>
      <w:r>
        <w:rPr>
          <w:rFonts w:ascii="Times New Roman" w:cs="Times New Roman" w:eastAsia="Times New Roman" w:hAnsi="Times New Roman"/>
          <w:sz w:val="14"/>
          <w:szCs w:val="14"/>
          <w:color w:val="auto"/>
        </w:rPr>
        <w:t>BALANCE, March 31, 2021 Issuances under compensation plans Acquisition of treasury stock Non-cash compensation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Decease in noncontrolling interest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Net income attributable to IES Holdings,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right="820" w:hanging="128"/>
        <w:spacing w:after="0" w:line="288" w:lineRule="auto"/>
        <w:rPr>
          <w:sz w:val="20"/>
          <w:szCs w:val="20"/>
          <w:color w:val="auto"/>
        </w:rPr>
      </w:pPr>
      <w:r>
        <w:rPr>
          <w:rFonts w:ascii="Times New Roman" w:cs="Times New Roman" w:eastAsia="Times New Roman" w:hAnsi="Times New Roman"/>
          <w:sz w:val="14"/>
          <w:szCs w:val="14"/>
          <w:color w:val="auto"/>
        </w:rPr>
        <w:t>BALANCE, September 30, 2021 Issuances under compensation plans Acquisition of treasury stock Options exercised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 attributable to IES Holdings, Inc.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840" w:hanging="115"/>
        <w:spacing w:after="0" w:line="288" w:lineRule="auto"/>
        <w:rPr>
          <w:sz w:val="20"/>
          <w:szCs w:val="20"/>
          <w:color w:val="auto"/>
        </w:rPr>
      </w:pPr>
      <w:r>
        <w:rPr>
          <w:rFonts w:ascii="Times New Roman" w:cs="Times New Roman" w:eastAsia="Times New Roman" w:hAnsi="Times New Roman"/>
          <w:sz w:val="14"/>
          <w:szCs w:val="14"/>
          <w:color w:val="auto"/>
        </w:rPr>
        <w:t>BALANCE, September 30, 2020 Issuances under compensation plans Acquisition of treasury stock Non-cash compensation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4"/>
          <w:szCs w:val="14"/>
          <w:color w:val="auto"/>
        </w:rPr>
        <w:t>Cumulative effect adjustment from adoption of new accounting standard</w:t>
      </w:r>
    </w:p>
    <w:p>
      <w:pPr>
        <w:spacing w:after="0" w:line="15" w:lineRule="exact"/>
        <w:rPr>
          <w:sz w:val="20"/>
          <w:szCs w:val="20"/>
          <w:color w:val="auto"/>
        </w:rPr>
      </w:pPr>
    </w:p>
    <w:p>
      <w:pPr>
        <w:ind w:right="340" w:firstLine="116"/>
        <w:spacing w:after="0" w:line="371" w:lineRule="auto"/>
        <w:rPr>
          <w:sz w:val="20"/>
          <w:szCs w:val="20"/>
          <w:color w:val="auto"/>
        </w:rPr>
      </w:pPr>
      <w:r>
        <w:rPr>
          <w:rFonts w:ascii="Times New Roman" w:cs="Times New Roman" w:eastAsia="Times New Roman" w:hAnsi="Times New Roman"/>
          <w:sz w:val="14"/>
          <w:szCs w:val="14"/>
          <w:color w:val="auto"/>
        </w:rPr>
        <w:t>Net income attributable to IES Holdings, Inc. BALANCE, June 30, 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075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555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5"/>
          </w:tcPr>
          <w:p>
            <w:pPr>
              <w:jc w:val="right"/>
              <w:ind w:right="9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12"/>
          </w:tcPr>
          <w:p>
            <w:pPr>
              <w:jc w:val="right"/>
              <w:ind w:right="74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Additional Paid-In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8"/>
            <w:vMerge w:val="continue"/>
          </w:tcPr>
          <w:p>
            <w:pPr>
              <w:spacing w:after="0"/>
              <w:rPr>
                <w:sz w:val="24"/>
                <w:szCs w:val="24"/>
                <w:color w:val="auto"/>
              </w:rPr>
            </w:pPr>
          </w:p>
        </w:tc>
        <w:tc>
          <w:tcPr>
            <w:tcW w:w="11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18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(1,264,031)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200,159</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181,256</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351,048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(185,887)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(1,440,918)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200,993</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188,187</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353,461</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Three Months Ended June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2"/>
          </w:tcPr>
          <w:p>
            <w:pPr>
              <w:jc w:val="right"/>
              <w:ind w:right="68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(1,210,685)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(23,639)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200,732</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131,222</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33,333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19,301</w:t>
            </w:r>
          </w:p>
        </w:tc>
        <w:tc>
          <w:tcPr>
            <w:tcW w:w="0" w:type="dxa"/>
            <w:vAlign w:val="bottom"/>
          </w:tcPr>
          <w:p>
            <w:pPr>
              <w:spacing w:after="0"/>
              <w:rPr>
                <w:sz w:val="1"/>
                <w:szCs w:val="1"/>
                <w:color w:val="auto"/>
              </w:rPr>
            </w:pPr>
          </w:p>
        </w:tc>
      </w:tr>
      <w:tr>
        <w:trPr>
          <w:trHeight w:val="22"/>
        </w:trPr>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(1,192,793)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(23,783)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201,126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150,626</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328,189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20"/>
          </w:tcPr>
          <w:p>
            <w:pPr>
              <w:ind w:left="20"/>
              <w:spacing w:after="0"/>
              <w:rPr>
                <w:sz w:val="20"/>
                <w:szCs w:val="20"/>
                <w:color w:val="auto"/>
              </w:rPr>
            </w:pPr>
            <w:r>
              <w:rPr>
                <w:rFonts w:ascii="Times New Roman" w:cs="Times New Roman" w:eastAsia="Times New Roman" w:hAnsi="Times New Roman"/>
                <w:sz w:val="14"/>
                <w:szCs w:val="14"/>
                <w:color w:val="auto"/>
              </w:rPr>
              <w:t>Nine Months Ended June 30,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bottom w:val="single" w:sz="8" w:color="auto"/>
            </w:tcBorders>
            <w:gridSpan w:val="5"/>
          </w:tcPr>
          <w:p>
            <w:pPr>
              <w:jc w:val="right"/>
              <w:ind w:right="7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10"/>
          </w:tcPr>
          <w:p>
            <w:pPr>
              <w:jc w:val="right"/>
              <w:ind w:right="611"/>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2"/>
                <w:szCs w:val="22"/>
                <w:color w:val="auto"/>
              </w:rPr>
            </w:pPr>
          </w:p>
        </w:tc>
        <w:tc>
          <w:tcPr>
            <w:tcW w:w="88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4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6"/>
        </w:trPr>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(1,316,998)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201,899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345,953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157,167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(290,087)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9,000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18,517</w:t>
            </w:r>
          </w:p>
        </w:tc>
        <w:tc>
          <w:tcPr>
            <w:tcW w:w="0" w:type="dxa"/>
            <w:vAlign w:val="bottom"/>
          </w:tcPr>
          <w:p>
            <w:pPr>
              <w:spacing w:after="0"/>
              <w:rPr>
                <w:sz w:val="1"/>
                <w:szCs w:val="1"/>
                <w:color w:val="auto"/>
              </w:rPr>
            </w:pPr>
          </w:p>
        </w:tc>
      </w:tr>
      <w:tr>
        <w:trPr>
          <w:trHeight w:val="22"/>
        </w:trPr>
        <w:tc>
          <w:tcPr>
            <w:tcW w:w="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(1,440,918)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188,187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353,461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Nine Months Ended June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1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3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bottom w:val="single" w:sz="8" w:color="auto"/>
            </w:tcBorders>
            <w:gridSpan w:val="11"/>
          </w:tcPr>
          <w:p>
            <w:pPr>
              <w:jc w:val="right"/>
              <w:ind w:right="640"/>
              <w:spacing w:after="0"/>
              <w:rPr>
                <w:sz w:val="20"/>
                <w:szCs w:val="20"/>
                <w:color w:val="auto"/>
              </w:rPr>
            </w:pPr>
            <w:r>
              <w:rPr>
                <w:rFonts w:ascii="Times New Roman" w:cs="Times New Roman" w:eastAsia="Times New Roman" w:hAnsi="Times New Roman"/>
                <w:sz w:val="14"/>
                <w:szCs w:val="14"/>
                <w:color w:val="auto"/>
              </w:rPr>
              <w:t>Treasury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7"/>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40" w:type="dxa"/>
            <w:vAlign w:val="bottom"/>
            <w:gridSpan w:val="2"/>
          </w:tcPr>
          <w:p>
            <w:pPr>
              <w:spacing w:after="0"/>
              <w:rPr>
                <w:sz w:val="15"/>
                <w:szCs w:val="15"/>
                <w:color w:val="auto"/>
              </w:rPr>
            </w:pPr>
          </w:p>
        </w:tc>
        <w:tc>
          <w:tcPr>
            <w:tcW w:w="10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(1,287,134)</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(24,499)</w:t>
            </w: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200,587</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107,005</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140,660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(2,737)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(46,319)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44,235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44,235</w:t>
            </w:r>
          </w:p>
        </w:tc>
        <w:tc>
          <w:tcPr>
            <w:tcW w:w="0" w:type="dxa"/>
            <w:vAlign w:val="bottom"/>
          </w:tcPr>
          <w:p>
            <w:pPr>
              <w:spacing w:after="0"/>
              <w:rPr>
                <w:sz w:val="1"/>
                <w:szCs w:val="1"/>
                <w:color w:val="auto"/>
              </w:rPr>
            </w:pPr>
          </w:p>
        </w:tc>
      </w:tr>
      <w:tr>
        <w:trPr>
          <w:trHeight w:val="22"/>
        </w:trPr>
        <w:tc>
          <w:tcPr>
            <w:tcW w:w="1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gridSpan w:val="2"/>
          </w:tcPr>
          <w:p>
            <w:pPr>
              <w:spacing w:after="0"/>
              <w:rPr>
                <w:sz w:val="15"/>
                <w:szCs w:val="15"/>
                <w:color w:val="auto"/>
              </w:rPr>
            </w:pP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(1,192,793)</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(23,783)</w:t>
            </w: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201,126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150,626</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328,189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-6409055</wp:posOffset>
            </wp:positionV>
            <wp:extent cx="7122160" cy="13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-6155690</wp:posOffset>
            </wp:positionV>
            <wp:extent cx="7122160"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-5909945</wp:posOffset>
            </wp:positionV>
            <wp:extent cx="712216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-5664200</wp:posOffset>
            </wp:positionV>
            <wp:extent cx="712216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-4731385</wp:posOffset>
            </wp:positionV>
            <wp:extent cx="71386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-4477385</wp:posOffset>
            </wp:positionV>
            <wp:extent cx="7138670"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-4231640</wp:posOffset>
            </wp:positionV>
            <wp:extent cx="713867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-3985895</wp:posOffset>
            </wp:positionV>
            <wp:extent cx="7138670"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-2921635</wp:posOffset>
            </wp:positionV>
            <wp:extent cx="7113905" cy="130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3905" cy="1308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-2668270</wp:posOffset>
            </wp:positionV>
            <wp:extent cx="7113905"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-2422525</wp:posOffset>
            </wp:positionV>
            <wp:extent cx="7113905"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-2176780</wp:posOffset>
            </wp:positionV>
            <wp:extent cx="711390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-1112520</wp:posOffset>
            </wp:positionV>
            <wp:extent cx="7138670" cy="130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-859155</wp:posOffset>
            </wp:positionV>
            <wp:extent cx="7138670"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-613410</wp:posOffset>
            </wp:positionV>
            <wp:extent cx="7138670"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-285750</wp:posOffset>
            </wp:positionV>
            <wp:extent cx="7138670"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2960" w:space="220"/>
            <w:col w:w="8000"/>
          </w:cols>
          <w:pgMar w:left="380" w:top="622" w:right="339" w:bottom="1440" w:gutter="0" w:footer="0" w:header="0"/>
          <w:type w:val="continuous"/>
        </w:sectPr>
      </w:pPr>
    </w:p>
    <w:p>
      <w:pPr>
        <w:spacing w:after="0" w:line="2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80" w:top="622"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22,094</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45,202</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(10,686)</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(33,761)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11,496</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1,642</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35,149</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business combinations</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(92,694)</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(97,919)</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1,383,745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947,057</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(1,327,209)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(915,928)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noncontrolling interest</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Options exercised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27,717</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(35,053)</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53,577</w:t>
            </w: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r>
    </w:tbl>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48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2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4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2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2021.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(“Edmonson”)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1" w:name="page12"/>
    <w:bookmarkEnd w:id="11"/>
    <w:p>
      <w:pPr>
        <w:ind w:right="220"/>
        <w:spacing w:after="0" w:line="287" w:lineRule="auto"/>
        <w:rPr>
          <w:sz w:val="20"/>
          <w:szCs w:val="20"/>
          <w:color w:val="auto"/>
        </w:rPr>
      </w:pPr>
      <w:r>
        <w:rPr>
          <w:rFonts w:ascii="Times New Roman" w:cs="Times New Roman" w:eastAsia="Times New Roman" w:hAnsi="Times New Roman"/>
          <w:sz w:val="17"/>
          <w:szCs w:val="17"/>
          <w:color w:val="auto"/>
        </w:rPr>
        <w:t>amounts assuming the noncontrolling interests were redeemable at the balance sheet date. If all of the noncontrolling interests remaining outstanding at June 30, 2022 had been redeemable at that date, the redemption amount would have been $23,947.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Times New Roman" w:cs="Times New Roman" w:eastAsia="Times New Roman" w:hAnsi="Times New Roman"/>
          <w:sz w:val="17"/>
          <w:szCs w:val="17"/>
          <w:i w:val="1"/>
          <w:iCs w:val="1"/>
          <w:color w:val="auto"/>
        </w:rPr>
        <w:t>Note 9 - Fair Value Measurements</w:t>
      </w:r>
      <w:r>
        <w:rPr>
          <w:rFonts w:ascii="Times New Roman" w:cs="Times New Roman" w:eastAsia="Times New Roman" w:hAnsi="Times New Roman"/>
          <w:sz w:val="17"/>
          <w:szCs w:val="17"/>
          <w:color w:val="auto"/>
        </w:rPr>
        <w:t xml:space="preserve">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Condensed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57 percent of the Company’s outstanding common stock based on the Form 4 filed by Tontine with the SEC on December 3, 2021 and the Company's shares outstanding as of August 2, 2022.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20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6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2022 and 2021 was derived from the following activities. See details in the following tables:</w:t>
      </w: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3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144,748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402,776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309,460</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224,556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102,105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274,707</w:t>
            </w:r>
          </w:p>
        </w:tc>
      </w:tr>
      <w:tr>
        <w:trPr>
          <w:trHeight w:val="21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77,207</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84,344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181,569</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301,763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186,449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456,276</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32,560</w:t>
            </w:r>
          </w:p>
        </w:tc>
      </w:tr>
      <w:tr>
        <w:trPr>
          <w:trHeight w:val="21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Custom Power Solutions</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24,520</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75,674</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108,234</w:t>
            </w:r>
          </w:p>
        </w:tc>
      </w:tr>
      <w:tr>
        <w:trPr>
          <w:trHeight w:val="219"/>
        </w:trPr>
        <w:tc>
          <w:tcPr>
            <w:tcW w:w="38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80,953</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64,087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178,700</w:t>
            </w:r>
          </w:p>
        </w:tc>
      </w:tr>
      <w:tr>
        <w:trPr>
          <w:trHeight w:val="237"/>
        </w:trPr>
        <w:tc>
          <w:tcPr>
            <w:tcW w:w="38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567,301</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405,871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1,549,403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1,052,670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7"/>
                <w:szCs w:val="17"/>
                <w:color w:val="auto"/>
              </w:rPr>
              <w:t>Three Months Ended June 30, 2022</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60" w:type="dxa"/>
            <w:vAlign w:val="bottom"/>
            <w:gridSpan w:val="5"/>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Communications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4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94,109</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301,763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38,126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509,777</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1,711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57,524</w:t>
            </w:r>
          </w:p>
        </w:tc>
      </w:tr>
      <w:tr>
        <w:trPr>
          <w:trHeight w:val="237"/>
        </w:trPr>
        <w:tc>
          <w:tcPr>
            <w:tcW w:w="38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144,748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301,763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567,301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7"/>
                <w:szCs w:val="17"/>
                <w:color w:val="auto"/>
              </w:rPr>
              <w:t>Three Months Ended June 30, 2021</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60" w:type="dxa"/>
            <w:vAlign w:val="bottom"/>
            <w:gridSpan w:val="5"/>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Communications</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81,521</w:t>
            </w: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37,241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365,655</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40,216</w:t>
            </w:r>
          </w:p>
        </w:tc>
      </w:tr>
      <w:tr>
        <w:trPr>
          <w:trHeight w:val="237"/>
        </w:trPr>
        <w:tc>
          <w:tcPr>
            <w:tcW w:w="38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405,871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Nine Months Ended June 30, 2022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4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268,253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803,945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118,503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204,985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1,395,686</w:t>
            </w:r>
          </w:p>
        </w:tc>
      </w:tr>
      <w:tr>
        <w:trPr>
          <w:trHeight w:val="219"/>
        </w:trPr>
        <w:tc>
          <w:tcPr>
            <w:tcW w:w="3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134,523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153,717</w:t>
            </w:r>
          </w:p>
        </w:tc>
      </w:tr>
      <w:tr>
        <w:trPr>
          <w:trHeight w:val="237"/>
        </w:trPr>
        <w:tc>
          <w:tcPr>
            <w:tcW w:w="37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402,776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803,945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1,549,403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Nine Months Ended June 30,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4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226,086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456,276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170,134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955,360</w:t>
            </w:r>
          </w:p>
        </w:tc>
      </w:tr>
      <w:tr>
        <w:trPr>
          <w:trHeight w:val="219"/>
        </w:trPr>
        <w:tc>
          <w:tcPr>
            <w:tcW w:w="3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83,374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97,310</w:t>
            </w:r>
          </w:p>
        </w:tc>
      </w:tr>
      <w:tr>
        <w:trPr>
          <w:trHeight w:val="232"/>
        </w:trPr>
        <w:tc>
          <w:tcPr>
            <w:tcW w:w="37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309,460</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456,276</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108,234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178,700</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1,052,670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June 30, 2022, Accounts receivable included $17,651 of unbilled receivables for which we have an unconditional right to bill.</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trade receivables due in one year or less, we do not have any other financial assets that are past due or are on non-accrual status.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20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7"/>
          <w:szCs w:val="17"/>
          <w:color w:val="auto"/>
        </w:rPr>
        <w:t>During the three months ended June 30, 2022 and 2021, we recognized revenue of $30,204 and $25,851 related to our contract liabilities at April 1, 2022 and 2021, respectively. During the nine months ended June 30, 2022 and 2021, we recognized revenue of $46,703 and $41,121 related to our contract liabilities at October 1, 2021 and 2020,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2022, we had remaining performance obligations of $893,923. The Company expects to recognize revenue on approximately $852,181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nine months ended June 30, 2022, net revenue recognized from our performance obligations satisfied in previous periods was not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On April 28, 2022 we entered into the Third Amended and Restated Credit and Security Agreement with Wells Fargo Bank, N.A. ("Wells Fargo") (the "Amended Credit Agreement"), which, among other things, increased the maximum borrowing amount under our revolving credit facility from $125,000 to $150,000. The Amended Credit Agreement also removed the aggregate cap on Company investments in certain securities and the cap on the Company’s ability to make stock repurchases, in each case subject to the satisfaction of certain liquidity requirements. The Amended Credit Agreement, which matures on September 30, 2026, contains customary affirmative, negative and financial covenants as disclosed in Item 7 of our Annual Report on Form 10-K for the fiscal year ended September 30, 2021. As of June 30, 2022, the Company was in compliance with the financial covenants under the Amended Credit Agreement.</w:t>
      </w:r>
    </w:p>
    <w:p>
      <w:pPr>
        <w:spacing w:after="0" w:line="19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June 30, 2022 and September 30, 2021, we had $96,874 and $40,339, respectively, in borrowings outstanding under our revolving credit facility with Wells Fargo, and $1 and $63, respectively, of long-term debt related to loans on capital expenditures. At June 30, 2022, we also had $4,077 in outstanding letters of credit and total availability of $49,049 under our revolving credit facility without triggering the financial covenants under the Amended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(loss) per share for the three and nine months ended June 30,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Three Months Ended June 30,</w:t>
            </w:r>
          </w:p>
        </w:tc>
      </w:tr>
      <w:tr>
        <w:trPr>
          <w:trHeight w:val="212"/>
        </w:trPr>
        <w:tc>
          <w:tcPr>
            <w:tcW w:w="8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9,465</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19,301</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20,718,195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20,829,165</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258,614</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20,939,437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21,087,779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563"/>
        </w:trPr>
        <w:tc>
          <w:tcPr>
            <w:tcW w:w="8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8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18,517</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44,235</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20,730,900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20,780,975</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544,926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285,514</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21,275,826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21,066,489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bl>
    <w:p>
      <w:pPr>
        <w:spacing w:after="0" w:line="289"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7"/>
          <w:szCs w:val="17"/>
          <w:color w:val="auto"/>
        </w:rPr>
        <w:t>For the three and nine months ended June 30, 2022 and 2021, the average price of our common shares exceeded the exercise price of all of our outstanding stock options; therefore, all of our outstanding stock options and other potentially dilutive equity instruments were included in the computation of diluted earnings per share.</w:t>
      </w: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ind w:right="40"/>
        <w:spacing w:after="0" w:line="287"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between segments for selling, general and administrative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and nine months ended June 30, 2022 and 2021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5"/>
                <w:szCs w:val="15"/>
                <w:color w:val="auto"/>
              </w:rPr>
              <w:t>Three Months Ended June 30, 2022</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144,748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301,763</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567,301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128,952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248,928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33,726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72,895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484,501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52,835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82,800</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11,544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37,237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67,090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424</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376,328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47,357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884,392</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5"/>
                <w:szCs w:val="15"/>
                <w:color w:val="auto"/>
              </w:rPr>
              <w:t>Three Months Ended June 30,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116,218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186,449</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39,117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405,871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95,582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152,778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28,374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56,308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333,042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33,671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72,829</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10,783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6,781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50,342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10,960</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(4,183)</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22,450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308,411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136,741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53,496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715,930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5"/>
                <w:szCs w:val="15"/>
                <w:color w:val="auto"/>
              </w:rPr>
              <w:t>Nine Months Ended June 30, 2022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1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402,776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803,945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123,666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219,016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1,549,403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355,360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662,928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102,774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207,307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1,328,369</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47,416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20,892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221,034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33,907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101,808</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18,933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23,504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11,770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189,922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(11,770)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1,768</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14,210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26,609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152,405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884,392</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5"/>
                <w:szCs w:val="15"/>
                <w:color w:val="auto"/>
              </w:rPr>
              <w:t>Nine Months Ended June 30, 2021</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309,460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456,276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108,234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1,052,670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250,738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368,887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76,999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159,664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856,288</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58,722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31,235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196,382</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29,739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61,570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17,787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19,949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140,783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2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28,990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25,617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15,910</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1,542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5,391</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136,741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715,930</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711,657 shares were available for issuance at June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185,887 and 244,889 shares, respectively, of our common stock during the three and nine months ended June 30, 2022 in open market transactions at an average price of $29.94 and $34.01, respectively, per share. We repurchased no shares of our common stock during the three and nine months ended June 30, 2021 in open market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During the nine months ended June 30, 2022, we issued 73,627 shares of common stock from treasury stock to employees and repurchased 45,198 shares of common stock from our employees to satisfy statutory tax withholding requirements upon the vesting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right="600"/>
        <w:spacing w:after="0" w:line="287" w:lineRule="auto"/>
        <w:rPr>
          <w:sz w:val="20"/>
          <w:szCs w:val="20"/>
          <w:color w:val="auto"/>
        </w:rPr>
      </w:pPr>
      <w:r>
        <w:rPr>
          <w:rFonts w:ascii="Times New Roman" w:cs="Times New Roman" w:eastAsia="Times New Roman" w:hAnsi="Times New Roman"/>
          <w:sz w:val="17"/>
          <w:szCs w:val="17"/>
          <w:color w:val="auto"/>
        </w:rPr>
        <w:t>certain performance phantom stock units under the Equity Incentive Plan. In addition, we issued 83,540 shares from treasury stock to satisfy the vesting of Director PSUs (as defined below) in conjunction with the departure of a Board member.</w:t>
      </w:r>
    </w:p>
    <w:p>
      <w:pPr>
        <w:spacing w:after="0" w:line="16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7"/>
          <w:szCs w:val="17"/>
          <w:color w:val="auto"/>
        </w:rPr>
        <w:t>During the nine months ended June 30, 2021, we issued 71,420 shares of common stock from treasury stock to employees and repurchased 32,323 shares of common stock from our employees to satisfy statutory tax withholding requirements upon the vesting of certain performance phantom stock units under the Equity Incentive Plan. In addition, 13,996 restricted shares were forfeited by certain former employees upon their departure and returned to treasury stock. We also issued 380 unrestricted shares of common stock from treasury to members of our Board of Directors as part of their overall compensation, and we issued 68,860 shares from treasury stock to satisfy the vesting of Director PSUs in conjunction with the departure of a Board member.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granted no restricted shares to executives during the nine months ended June 30, 2022. Of the awards previously granted, 3,118 shares vested. The remaining restricted shares either vest subject to the achievement of specified levels of cumulative net income before taxes or vest based on the passage of time. During the three months ended June 30, 2022 and 2021, we recognized $36 and $36, respectively, in compensation expense related to all restricted stock awards. During the nine months ended June 30, 2022 and 2021, we recognized $107 and $109, respectively, in compensation expense related to all restricted stock awards. At June 30, 2022, the unamortized compensation cost related to outstanding unvested restricted stock was $60.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June 30, 2022 and 2021, we recognized $96 and $93, respectively, in compensation expense related to these grants. During the nine months ended June 30, 2022 and 2021, we recognized $289 and $280, respectively, in compensation expense related to these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As of June 30, 2022, the Company had outstanding Employee PSUs, which, subject to the achievement of certain performance metrics, could result in the issuance of 320,559 shares of common stock. During the nine months ended June 30, 2022, we granted 150,447 Employee PSUs, 5,866 were forfeited, and 106,964 vested. During the three months ended June 30, 2022 and 2021, we recognized $866 and $928, respectively, in compensation expense related to Employee PSU grants. During the nine months ended June 30, 2022 and 2021, we recognized $2,498 and $2,336, respectively, in compensation expense related to Employee PSU grants.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8.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June 30, 2022 and 2021, we recognized $1,215 and $847, respectively, in matching expense. During the nine months ended June 30, 2022 and 2021, we recognized $3,331 and $2,326, respectively, in matching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At June 30, 2022,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19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Financial assets and liabilities measured at fair value on a recurring basis as of June 30, 2022 and September 30, 2021,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June 30,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(4,287)</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September 30, 2021</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At June 30, 2022, we estimated the fair value of this contingent consideration liability at $4,287. The table below presents the fair value of this obligation, which used significant unobservable inputs (Level 3).</w:t>
      </w:r>
    </w:p>
    <w:p>
      <w:pPr>
        <w:spacing w:after="0" w:line="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Contingent</w:t>
      </w:r>
    </w:p>
    <w:p>
      <w:pPr>
        <w:ind w:left="7640"/>
        <w:spacing w:after="0" w:line="209" w:lineRule="auto"/>
        <w:rPr>
          <w:sz w:val="20"/>
          <w:szCs w:val="20"/>
          <w:color w:val="auto"/>
        </w:rPr>
      </w:pPr>
      <w:r>
        <w:rPr>
          <w:rFonts w:ascii="Times New Roman" w:cs="Times New Roman" w:eastAsia="Times New Roman" w:hAnsi="Times New Roman"/>
          <w:sz w:val="17"/>
          <w:szCs w:val="17"/>
          <w:color w:val="auto"/>
        </w:rPr>
        <w:t>Consideration</w:t>
      </w:r>
    </w:p>
    <w:p>
      <w:pPr>
        <w:ind w:left="7700"/>
        <w:spacing w:after="0"/>
        <w:rPr>
          <w:sz w:val="20"/>
          <w:szCs w:val="20"/>
          <w:color w:val="auto"/>
        </w:rPr>
      </w:pPr>
      <w:r>
        <w:rPr>
          <w:rFonts w:ascii="Times New Roman" w:cs="Times New Roman" w:eastAsia="Times New Roman" w:hAnsi="Times New Roman"/>
          <w:sz w:val="17"/>
          <w:szCs w:val="17"/>
          <w:color w:val="auto"/>
        </w:rPr>
        <w:t>Agreements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2021</w:t>
            </w:r>
          </w:p>
        </w:tc>
        <w:tc>
          <w:tcPr>
            <w:tcW w:w="218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21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June 30, 2022</w:t>
            </w:r>
          </w:p>
        </w:tc>
        <w:tc>
          <w:tcPr>
            <w:tcW w:w="2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(4,287)</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414"/>
              <w:spacing w:after="0"/>
              <w:rPr>
                <w:sz w:val="20"/>
                <w:szCs w:val="20"/>
                <w:color w:val="auto"/>
              </w:rPr>
            </w:pPr>
            <w:r>
              <w:rPr>
                <w:rFonts w:ascii="Times New Roman" w:cs="Times New Roman" w:eastAsia="Times New Roman" w:hAnsi="Times New Roman"/>
                <w:sz w:val="17"/>
                <w:szCs w:val="17"/>
                <w:color w:val="auto"/>
              </w:rPr>
              <w:t>21</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INVENTORY</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54,352</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June 30, 2022, which was unchanged from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Infrastructure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6"/>
          </w:tcPr>
          <w:p>
            <w:pPr>
              <w:jc w:val="center"/>
              <w:ind w:right="540"/>
              <w:spacing w:after="0"/>
              <w:rPr>
                <w:sz w:val="20"/>
                <w:szCs w:val="20"/>
                <w:color w:val="auto"/>
              </w:rPr>
            </w:pPr>
            <w:r>
              <w:rPr>
                <w:rFonts w:ascii="Times New Roman" w:cs="Times New Roman" w:eastAsia="Times New Roman" w:hAnsi="Times New Roman"/>
                <w:sz w:val="17"/>
                <w:szCs w:val="17"/>
                <w:color w:val="auto"/>
              </w:rPr>
              <w:t>Commercial &amp;</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ind w:left="20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Solutions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6"/>
          </w:tcPr>
          <w:p>
            <w:pPr>
              <w:jc w:val="center"/>
              <w:ind w:right="520"/>
              <w:spacing w:after="0"/>
              <w:rPr>
                <w:sz w:val="20"/>
                <w:szCs w:val="20"/>
                <w:color w:val="auto"/>
              </w:rPr>
            </w:pPr>
            <w:r>
              <w:rPr>
                <w:rFonts w:ascii="Times New Roman" w:cs="Times New Roman" w:eastAsia="Times New Roman" w:hAnsi="Times New Roman"/>
                <w:sz w:val="17"/>
                <w:szCs w:val="17"/>
                <w:color w:val="auto"/>
              </w:rPr>
              <w:t>Industrial</w:t>
            </w:r>
          </w:p>
        </w:tc>
        <w:tc>
          <w:tcPr>
            <w:tcW w:w="36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7"/>
        </w:trPr>
        <w:tc>
          <w:tcPr>
            <w:tcW w:w="30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June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7"/>
                <w:szCs w:val="17"/>
                <w:color w:val="auto"/>
              </w:rPr>
              <w:t>June 30, 2022</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19"/>
                <w:szCs w:val="19"/>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63,991</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117,538</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(42,222)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75,316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7"/>
                <w:szCs w:val="17"/>
                <w:color w:val="auto"/>
              </w:rPr>
              <w:t>September 30, 2021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6"/>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5"/>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20"/>
                <w:szCs w:val="20"/>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12,371</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72,858</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117,538</w:t>
            </w:r>
          </w:p>
        </w:tc>
        <w:tc>
          <w:tcPr>
            <w:tcW w:w="6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(31,919)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85,619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11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right="400"/>
        <w:spacing w:after="0" w:line="287" w:lineRule="auto"/>
        <w:rPr>
          <w:sz w:val="20"/>
          <w:szCs w:val="20"/>
          <w:color w:val="auto"/>
        </w:rPr>
      </w:pPr>
      <w:r>
        <w:rPr>
          <w:rFonts w:ascii="Times New Roman" w:cs="Times New Roman" w:eastAsia="Times New Roman" w:hAnsi="Times New Roman"/>
          <w:sz w:val="17"/>
          <w:szCs w:val="17"/>
          <w:color w:val="auto"/>
        </w:rPr>
        <w:t>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4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On June 22, 2021, the United States Department of Labor Wage and Hour Division (the “DOL”) notified IES Residential, Inc. (“IESR”), a wholly-owned subsidiary of the Company, that the DOL had commenced an administrative investigation of IESR’s compliance with laws regulating employee wage payment. The inquiry concerned overtime calculations and record keeping with respect to certain Arizona employees who are paid on a piece rate basis. In response to certain DOL requests, IESR produced documents and made employees available for interviews.</w:t>
      </w:r>
    </w:p>
    <w:p>
      <w:pPr>
        <w:spacing w:after="0" w:line="19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November 10, 2021, the DOL indicated that it believes IESR piece rate employees did not record all hours worked, and therefore, IESR was not in compliance with the Fair Labor Standards Act. The Company is continuing its internal investigation into this matter, and is in ongoing discussions with the DOL regarding these allegations. We have established a reserve of $500 related to this matter. At this time, it is not possible for us to estimate a range of costs we expect to incur.</w:t>
      </w:r>
    </w:p>
    <w:p>
      <w:pPr>
        <w:spacing w:after="0" w:line="1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June 30, 2022, we had an aggregate $10,861 of trade accounts receivable where payment has been delayed as a result of contractual disputes. We believe that we are contractually entitled to all of these amounts, and intend to vigorously pursue recovery. However, based on uncertainty around the timing and amount of recovery, at June 30, 2022, we have recorded a reserve of $3,096 against these receivables.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June 30, 2022 and September 30, 2021, we had $6,745 and $5,787,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2022 and September 30, 2021, $3,878 and $4,327, respectively, of our outstanding letters of credit was utilized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As of June 30, 2022, the estimated cost to complete our bonded projects was approximately $115,797.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2022, we had commitments of $12,058 outstanding under agreements to purchase copper wire and other materials over the next 12 months in the ordinary course of business.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Current operating and finance liabilities of $14,919 and $1,998, respectively, as of June 30, 2022, and $13,973 and $1,033, respectively, as of September 30, 2021,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June 30, 2022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5"/>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9,135</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15,164</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8,603</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4,898</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54,725</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4,756</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42,875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June 30, 2022 is $804.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5"/>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7"/>
          </w:tcPr>
          <w:p>
            <w:pPr>
              <w:jc w:val="right"/>
              <w:ind w:right="1160"/>
              <w:spacing w:after="0"/>
              <w:rPr>
                <w:sz w:val="20"/>
                <w:szCs w:val="20"/>
                <w:color w:val="auto"/>
              </w:rPr>
            </w:pPr>
            <w:r>
              <w:rPr>
                <w:rFonts w:ascii="Times New Roman" w:cs="Times New Roman" w:eastAsia="Times New Roman" w:hAnsi="Times New Roman"/>
                <w:sz w:val="17"/>
                <w:szCs w:val="17"/>
                <w:color w:val="auto"/>
              </w:rPr>
              <w:t>Three Months Ended</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gridSpan w:val="6"/>
          </w:tcPr>
          <w:p>
            <w:pPr>
              <w:jc w:val="right"/>
              <w:ind w:right="91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12"/>
        </w:trPr>
        <w:tc>
          <w:tcPr>
            <w:tcW w:w="4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June 30, 2022</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June 30, 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June 30, 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June 30, 2021</w:t>
            </w:r>
          </w:p>
        </w:tc>
      </w:tr>
      <w:tr>
        <w:trPr>
          <w:trHeight w:val="212"/>
        </w:trPr>
        <w:tc>
          <w:tcPr>
            <w:tcW w:w="4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10,337</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1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2"/>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w:t>
            </w:r>
          </w:p>
        </w:tc>
      </w:tr>
      <w:tr>
        <w:trPr>
          <w:trHeight w:val="21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r>
      <w:tr>
        <w:trPr>
          <w:trHeight w:val="212"/>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15,857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12,670</w:t>
            </w:r>
          </w:p>
        </w:tc>
      </w:tr>
      <w:tr>
        <w:trPr>
          <w:trHeight w:val="20"/>
        </w:trPr>
        <w:tc>
          <w:tcPr>
            <w:tcW w:w="4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8"/>
        </w:trPr>
        <w:tc>
          <w:tcPr>
            <w:tcW w:w="95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5"/>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7"/>
          </w:tcPr>
          <w:p>
            <w:pPr>
              <w:jc w:val="center"/>
              <w:ind w:right="280"/>
              <w:spacing w:after="0"/>
              <w:rPr>
                <w:sz w:val="20"/>
                <w:szCs w:val="20"/>
                <w:color w:val="auto"/>
              </w:rPr>
            </w:pPr>
            <w:r>
              <w:rPr>
                <w:rFonts w:ascii="Times New Roman" w:cs="Times New Roman" w:eastAsia="Times New Roman" w:hAnsi="Times New Roman"/>
                <w:sz w:val="17"/>
                <w:szCs w:val="17"/>
                <w:color w:val="auto"/>
              </w:rPr>
              <w:t>Three Months Ended</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gridSpan w:val="6"/>
          </w:tcPr>
          <w:p>
            <w:pPr>
              <w:jc w:val="right"/>
              <w:ind w:right="93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12"/>
        </w:trPr>
        <w:tc>
          <w:tcPr>
            <w:tcW w:w="4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June 30, 2022</w:t>
            </w: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June 30, 2021</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June 30, 2022</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June 30, 2021</w:t>
            </w:r>
          </w:p>
        </w:tc>
      </w:tr>
      <w:tr>
        <w:trPr>
          <w:trHeight w:val="212"/>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14,307</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11,051</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177"/>
        </w:trPr>
        <w:tc>
          <w:tcPr>
            <w:tcW w:w="4260" w:type="dxa"/>
            <w:vAlign w:val="bottom"/>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3"/>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2,790</w:t>
            </w:r>
          </w:p>
        </w:tc>
        <w:tc>
          <w:tcPr>
            <w:tcW w:w="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20,799</w:t>
            </w:r>
          </w:p>
        </w:tc>
      </w:tr>
      <w:tr>
        <w:trPr>
          <w:trHeight w:val="177"/>
        </w:trPr>
        <w:tc>
          <w:tcPr>
            <w:tcW w:w="426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3"/>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1,686</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w:t>
            </w:r>
          </w:p>
        </w:tc>
      </w:tr>
      <w:tr>
        <w:trPr>
          <w:trHeight w:val="567"/>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gridSpan w:val="8"/>
          </w:tcPr>
          <w:p>
            <w:pPr>
              <w:jc w:val="right"/>
              <w:ind w:right="1000"/>
              <w:spacing w:after="0"/>
              <w:rPr>
                <w:sz w:val="20"/>
                <w:szCs w:val="20"/>
                <w:color w:val="auto"/>
              </w:rPr>
            </w:pPr>
            <w:r>
              <w:rPr>
                <w:rFonts w:ascii="Times New Roman" w:cs="Times New Roman" w:eastAsia="Times New Roman" w:hAnsi="Times New Roman"/>
                <w:sz w:val="17"/>
                <w:szCs w:val="17"/>
                <w:color w:val="auto"/>
              </w:rPr>
              <w:t>June 30, 2022</w:t>
            </w:r>
          </w:p>
        </w:tc>
        <w:tc>
          <w:tcPr>
            <w:tcW w:w="17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w w:val="99"/>
              </w:rPr>
              <w:t>September 30, 2021</w:t>
            </w:r>
          </w:p>
        </w:tc>
      </w:tr>
      <w:tr>
        <w:trPr>
          <w:trHeight w:val="21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years</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years</w:t>
            </w: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4.0 years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years</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938"/>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8"/>
        </w:trPr>
        <w:tc>
          <w:tcPr>
            <w:tcW w:w="4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14. BUSINESS COMBINATIONS AND DIVESTITURES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completed no acquisitions during the nine months ended June 30, 2022. We completed four acquisitions in fiscal year 2021 for total aggregate cash consideration of $92,462. In November 2020, we acquired both Wedlake Fabricating, Inc., a Tulsa, Oklahoma-based manufacturer of custom generator enclosures that are primarily used by data centers and large commercial and industrial facilities, and K.E.P. Electric, Inc., a Batavia, Ohio-based electrical contractor specializing in the design and installation of electrical systems for single-family housing and multi-family developments. In December 2020, we acquired an 80% interest in Bayonet Plumbing, Heating &amp; Air-Conditioning, LLC, a Hudson, Florida-based provider of residential heating, ventilation and air conditioning ("HVAC") and plumbing installation and maintenance services. In May 2021, we acquired an 80% ownership interest in Edmonson Electric, LLC, a Land O'Lakes, Florida-based provider of residential electric, low voltage, and HVAC installation services.</w:t>
      </w:r>
    </w:p>
    <w:p>
      <w:pPr>
        <w:spacing w:after="0" w:line="20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to the cash consideration, the purchase price included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2021,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2021, for a discussion of the Company’s services and corporate strategy. IES Holdings, Inc., a Delaware corporation, designs and installs integrated electrical and technology systems and provides infrastructure products and services to a variety of end markets. Our operations are organized into four principal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 and Current Market Conditions on Our Business</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coronavirus disease 2019 (“COVID-19”) pandemic and its ongoing impact on markets, the supply chain and the labor force continue to influence trends affecting our business. While commodity prices for some of the materials we procure recently have begun to stabilize, concerns remain around limited availability or delays in deliveries for certain materials necessary for our projects, notably copper, steel, aluminum, electronic components, and certain plastics. Reduced availability of certain materials has resulted in a continuing need to take actions such as carrying higher levels of inventory than we typically hold, or, in some cases, substituting higher-cost materials or sourcing materials from new suppliers which may offer less favorable terms or pricing than our usual suppliers. Such actions have resulted in an increase in working capital through the first nine months of fiscal 2022. We seek to mitigate supply chain risk by maintaining relationships with multiple vendors, and to recoup higher materials costs through adjusted pricing. However, we are not able to pass on all increased costs, and our suppliers are facing challenges in providing the materials we require. We are also continuing to experience workforce disruptions related to exposure to, or illness from, COVID-19, which have resulted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Factors related to the COVID-19 pandemic that we expect will continue to affect our results of operations in the future include, but are not limited to, the potential impacts on our workforce of either illness or the shut-down of job sites; the impact of any vaccine mandates or testing requirements on employee recruiting and retention; a reduced demand for our services; increases in operating costs due to disruptions, personal protective equipment requirements and other increased employment-related costs; supply chain disruptions; increased material prices; and limitations on the ability of our customers to pay us on a timely basis. With respect to employees working remotely, we may also be more vulnerable to security breaches, cyber-attacks, computer viruses, ransomware, or other similar events. Although we have implemented policies, procedures and security software intended to protect our information technology systems, networks and infrastructure, these measures may not be effective against all potential cybersecurity threats.</w:t>
      </w:r>
    </w:p>
    <w:p>
      <w:pPr>
        <w:spacing w:after="0" w:line="2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operations and financial condition are difficult to predict and depend on numerous evolving factors outside our control including: emergence of new variants of the virus; government, social, business and other actions taken in response to the pandemic; any additional waves of COVID-19 infections; vaccine efficacy on new variants of the virus; the impact of vaccine mandates or testing requirements on employee recruiting and retention; and the effect of the pandemic on short- and long-term general economic conditions, including the supply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color w:val="212529"/>
        </w:rPr>
        <w:t>" of our Annual Report on Form 10-K for the fiscal year ended September 30, 2021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426" w:right="3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10"/>
          </w:tcPr>
          <w:p>
            <w:pPr>
              <w:jc w:val="center"/>
              <w:ind w:left="474"/>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484,501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85.4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333,042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82.1</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17.9</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w:t>
            </w:r>
          </w:p>
        </w:tc>
        <w:tc>
          <w:tcPr>
            <w:tcW w:w="260" w:type="dxa"/>
            <w:vAlign w:val="bottom"/>
          </w:tcPr>
          <w:p>
            <w:pPr>
              <w:spacing w:after="0"/>
              <w:rPr>
                <w:sz w:val="19"/>
                <w:szCs w:val="19"/>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June 30, 2022, were $161.4 million higher than for the three months ended June 30, 2021, an increase of 39.8%, with increases at all four of our operating segments driven by strong demand and the contribution of Edmonson Electric, LLC ("Edmonson"), which was acquired during the third quarter of fiscal 2021.</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June 30, 2022 increased $10.0 million compared to the three months ended June 30, 2021. Our overall gross profit percentage decreased to 14.6% during the three months ended June 30, 2022, as compared to 17.9% during the three months ended June 30, 2021. Gross profit as a percentage of revenue decreased at all four of our operating segments. See further discussion below of changes in gross margin for our individual segments.</w:t>
      </w:r>
    </w:p>
    <w:p>
      <w:pPr>
        <w:spacing w:after="0" w:line="197"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2022, our selling, general and administrative expenses were $67.1 million, an increase of $16.7 million, or 33.3%, over the three months ended June 30, 2021, driven largely by increased personnel costs at our Residential operating segment in connection with its growth, including higher incentive compensation at the division level driven by higher earnings, and by expenses incurred at Edmonson, including amortization of intangible assets. Selling, general and administrative expense as a percent of revenue decreased from 12.4% for the three months ended June 30, 2021 to 11.8% for the three months ended June 30, 2022,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6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ind w:right="58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2"/>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2021</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3"/>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r>
      <w:tr>
        <w:trPr>
          <w:trHeight w:val="203"/>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00" w:type="dxa"/>
            <w:vAlign w:val="bottom"/>
            <w:gridSpan w:val="10"/>
          </w:tcPr>
          <w:p>
            <w:pPr>
              <w:jc w:val="center"/>
              <w:ind w:left="535"/>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85.7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81.3</w:t>
            </w:r>
          </w:p>
        </w:tc>
        <w:tc>
          <w:tcPr>
            <w:tcW w:w="260" w:type="dxa"/>
            <w:vAlign w:val="bottom"/>
            <w:tcBorders>
              <w:bottom w:val="single" w:sz="8" w:color="auto"/>
            </w:tcBorders>
          </w:tcPr>
          <w:p>
            <w:pPr>
              <w:spacing w:after="0"/>
              <w:rPr>
                <w:sz w:val="19"/>
                <w:szCs w:val="19"/>
                <w:color w:val="auto"/>
              </w:rPr>
            </w:pPr>
          </w:p>
        </w:tc>
      </w:tr>
      <w:tr>
        <w:trPr>
          <w:trHeight w:val="21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260" w:type="dxa"/>
            <w:vAlign w:val="bottom"/>
            <w:shd w:val="clear" w:color="auto" w:fill="CCEEFF"/>
          </w:tcPr>
          <w:p>
            <w:pPr>
              <w:spacing w:after="0"/>
              <w:rPr>
                <w:sz w:val="18"/>
                <w:szCs w:val="18"/>
                <w:color w:val="auto"/>
              </w:rPr>
            </w:pPr>
          </w:p>
        </w:tc>
      </w:tr>
      <w:tr>
        <w:trPr>
          <w:trHeight w:val="219"/>
        </w:trPr>
        <w:tc>
          <w:tcPr>
            <w:tcW w:w="61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13.4</w:t>
            </w:r>
          </w:p>
        </w:tc>
        <w:tc>
          <w:tcPr>
            <w:tcW w:w="260" w:type="dxa"/>
            <w:vAlign w:val="bottom"/>
          </w:tcPr>
          <w:p>
            <w:pPr>
              <w:spacing w:after="0"/>
              <w:rPr>
                <w:sz w:val="19"/>
                <w:szCs w:val="19"/>
                <w:color w:val="auto"/>
              </w:rPr>
            </w:pPr>
          </w:p>
        </w:tc>
      </w:tr>
      <w:tr>
        <w:trPr>
          <w:trHeight w:val="219"/>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r>
      <w:tr>
        <w:trPr>
          <w:trHeight w:val="21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260" w:type="dxa"/>
            <w:vAlign w:val="bottom"/>
            <w:shd w:val="clear" w:color="auto" w:fill="CCEEFF"/>
          </w:tcPr>
          <w:p>
            <w:pPr>
              <w:spacing w:after="0"/>
              <w:rPr>
                <w:sz w:val="18"/>
                <w:szCs w:val="18"/>
                <w:color w:val="auto"/>
              </w:rPr>
            </w:pPr>
          </w:p>
        </w:tc>
      </w:tr>
      <w:tr>
        <w:trPr>
          <w:trHeight w:val="258"/>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260" w:type="dxa"/>
            <w:vAlign w:val="bottom"/>
            <w:tcBorders>
              <w:bottom w:val="single" w:sz="8" w:color="auto"/>
            </w:tcBorders>
          </w:tcPr>
          <w:p>
            <w:pPr>
              <w:spacing w:after="0"/>
              <w:rPr>
                <w:sz w:val="22"/>
                <w:szCs w:val="22"/>
                <w:color w:val="auto"/>
              </w:rPr>
            </w:pPr>
          </w:p>
        </w:tc>
      </w:tr>
      <w:tr>
        <w:trPr>
          <w:trHeight w:val="21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tcPr>
          <w:p>
            <w:pPr>
              <w:spacing w:after="0"/>
              <w:rPr>
                <w:sz w:val="18"/>
                <w:szCs w:val="18"/>
                <w:color w:val="auto"/>
              </w:rPr>
            </w:pPr>
          </w:p>
        </w:tc>
      </w:tr>
      <w:tr>
        <w:trPr>
          <w:trHeight w:val="237"/>
        </w:trPr>
        <w:tc>
          <w:tcPr>
            <w:tcW w:w="6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Consolidated revenues for the nine months ended June 30, 2022, were $496.7 million higher than for the nine months ended June 30, 2021, an increase of 47.2%, with increases at all four of our operating segments, driven by strong demand and the contribution of businesses acquired in fiscal 2021.</w:t>
      </w:r>
    </w:p>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decreased to 14.3% during the nine months ended June 30, 2022, as compared to 18.7% during the nine months ended June 30, 2021. Gross profit as a percentage of revenue decreased at all four of our operating segments. See further discussion below of changes in gross margin for our individual segments.</w:t>
      </w:r>
    </w:p>
    <w:p>
      <w:pPr>
        <w:spacing w:after="0" w:line="16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7"/>
          <w:szCs w:val="17"/>
          <w:color w:val="auto"/>
        </w:rPr>
        <w:t>During the nine months ended June 30, 2022, our selling, general and administrative expenses were $189.9 million, an increase of $49.1 million, or 34.9%, over the nine months ended June 30, 2021, driven by increased personnel costs, primarily at our Residential operating segment, in connection with its growth, and the impact of businesses acquired during fiscal 2021, including amortization of intangible assets. Selling, general and administrative expense as a percent of revenue decreased from 13.4% for the nine months ended June 30, 2021, to 12.3% for the nine months ended June 30, 2022, as we benefited from the increased scale of our operations.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auto"/>
              </w:rPr>
              <w:t>2022</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82.2</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17.8</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$28.5 million during the three months ended June 30, 2022, or 24.5%,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The increase primarily resulted from increased demand from our data center customers.</w:t>
      </w:r>
    </w:p>
    <w:p>
      <w:pPr>
        <w:spacing w:after="0" w:line="15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June 30, 2022 decreased by $4.8 million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2021. Gross profit as a percentage of revenue decreased from 17.8% to 10.9%. We recently expanded our offerings to our data center customers into a new, adjacent service area; however, we had execution issues and recorded a combined loss of $7.8 million on a series of these projects in the three months ended June 30, 2022. As a result of this loss and related losses in the quarter ended March 31, 2022, we are no longer pursuing work in this service area. As of June 30, 2022, we had $2.3 million of backlog remaining on such projects. Our operating margins for the third quarter were also negatively impacted by a shift in our mix of customers, as well as a more competitive bidding environment in the distribution center and warehouse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8" w:name="page29"/>
    <w:bookmarkEnd w:id="28"/>
    <w:p>
      <w:pPr>
        <w:jc w:val="both"/>
        <w:ind w:right="200"/>
        <w:spacing w:after="0" w:line="254" w:lineRule="auto"/>
        <w:rPr>
          <w:sz w:val="20"/>
          <w:szCs w:val="20"/>
          <w:color w:val="auto"/>
        </w:rPr>
      </w:pPr>
      <w:r>
        <w:rPr>
          <w:rFonts w:ascii="Times New Roman" w:cs="Times New Roman" w:eastAsia="Times New Roman" w:hAnsi="Times New Roman"/>
          <w:sz w:val="17"/>
          <w:szCs w:val="17"/>
          <w:color w:val="auto"/>
        </w:rPr>
        <w:t>which has experienced slowing activity following a period of significant pandemic-related growth. Supply chain challenges and workforce disruptions related to COVID-19 have also continued to affect project efficiency. Finally, we continue to invest in hiring and training personnel, particularly in estimating and project management, to grow the business.</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$0.8 million, or 7.1%,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June 30, 2022, compared to the three months ended June 30, 2021. The increase is a result of higher personnel cost in connection with the growth of our business, as well as higher wages in an increasingly competitive labor market. We also experienced a more typical level of selling expense for the three months ended June 30, 2022 as compared to the same period in 2021, when travel and other activities were curtailed due to the pandemic. Selling, general and administrative expenses as a percentage of revenue in the Communications segment were 8.0% during the three months ended June 30, 2022, compared to 9.3% for the three months ended June 30, 2021, as we have benefited from the scale of our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0"/>
          </w:tcPr>
          <w:p>
            <w:pPr>
              <w:jc w:val="right"/>
              <w:ind w:right="46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402,776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81.0</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19.0</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$93.3 million during the nine months ended June 30, 2022, or 30.2%,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The increase primarily resulted from increased demand from our data center customers.</w:t>
      </w:r>
    </w:p>
    <w:p>
      <w:pPr>
        <w:spacing w:after="0" w:line="1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nine months ended June 30, 2022 decreased $11.3 million, or 19.3%, as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Gross profit as a percentage of revenue decreased from 19.0% to 11.8%. The decrease was driven primarily by certain project losses incurred in the nine months ended June 30, 2022, as discussed above which negatively impacted our gross profit by $17.1 million year to date. Supply chain challenges and workforce disruptions related to COVID-19 have also continued to affect project efficiency. Finally, we continue to invest in hiring and training personnel, particularly in estimating and project management, to grow the business.</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$4.2 million, or 14.0%,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June 30, 2022, compared to the nine months ended June 30, 2021. The increase is a result of higher personnel cost in connection with the growth of our business, as well as higher wages in an increasingly competitive labor market. We also experienced a more typical level of selling expense for the nine months ended June 30, 2022 as compared to the same period in 2021, when travel and other activities were curtailed due to the pandemic. Selling, general and administrative expenses as a percentage of revenues in the Communications segment decreased from 9.6% to 8.4% during the nine months ended June 30, 2022, compared to the nine months ended June 30, 2021, as we have benefited from the scale of our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56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248,928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82.5</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152,778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81.9</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18.1</w:t>
            </w:r>
          </w:p>
        </w:tc>
        <w:tc>
          <w:tcPr>
            <w:tcW w:w="280" w:type="dxa"/>
            <w:vAlign w:val="bottom"/>
            <w:shd w:val="clear" w:color="auto" w:fill="CCEEFF"/>
          </w:tcPr>
          <w:p>
            <w:pPr>
              <w:spacing w:after="0"/>
              <w:rPr>
                <w:sz w:val="18"/>
                <w:szCs w:val="18"/>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12.1</w:t>
            </w:r>
          </w:p>
        </w:tc>
        <w:tc>
          <w:tcPr>
            <w:tcW w:w="280" w:type="dxa"/>
            <w:vAlign w:val="bottom"/>
          </w:tcPr>
          <w:p>
            <w:pPr>
              <w:spacing w:after="0"/>
              <w:rPr>
                <w:sz w:val="19"/>
                <w:szCs w:val="19"/>
                <w:color w:val="auto"/>
              </w:rPr>
            </w:pPr>
          </w:p>
        </w:tc>
      </w:tr>
      <w:tr>
        <w:trPr>
          <w:trHeight w:val="219"/>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$115.3 million, or 61.8%, during the three months ended June 30, 2022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2021. The increase was driven by the revenue contributed by the acquisition of Edmonson in May 2021, strong demand for single-family housing and the impact of price increases in connection with a higher cost of materials. Edmonson contributed $32.0 million of the total increase in revenue for the three months ended June 30, 2022 compared to the three months ended June 30, 2021. Inclusive of Edmonson, single-family revenues increased by $122.5 million and multi-family and other revenues decreased $7.1 million, respectively, for the three months ended June 30, 2022 compared to 2021.</w:t>
      </w:r>
    </w:p>
    <w:p>
      <w:pPr>
        <w:spacing w:after="0" w:line="19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June 30, 2022, our Residential segment's gross profit increased by $19.2 million, or 56.9%,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months ended June 30, 2021. The increase in gross profit was driven primarily by contributions from Edmonson, as well as the impact of price increases. Gross profit as a percentage of revenue decreased to 17.5% during the three months ended June 30, 2022, from 18.1% for the three months ended June 30, 2021, primarily as a result of increased commodity prices and a reduction in project efficiency related to supply-chain challenges and the COVID-19 pandemic. </w:t>
      </w: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$14.6 million, or 64.5%,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June 30, 2022, compared to the three months ended June 30, 2021. Selling, general and administrative expenses incurred at Edmonson, including amortization of intangible assets, contributed $2.9 million of the net increase. The remaining increase was driven by higher personnel cost in connection with business growth, including incentive profit sharing for division management. Selling, general and administrative expenses as a percentage of revenue in the Residential segment increased slightly to 12.3% during the three months ended June 30, 2022, compared to 12.1% in the three months ended June 30, 2021, in conjunction with the growth of our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803,945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662,928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82.5</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368,887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80.8</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w:t>
            </w:r>
          </w:p>
        </w:tc>
        <w:tc>
          <w:tcPr>
            <w:tcW w:w="280" w:type="dxa"/>
            <w:vAlign w:val="bottom"/>
            <w:shd w:val="clear" w:color="auto" w:fill="CCEEFF"/>
          </w:tcPr>
          <w:p>
            <w:pPr>
              <w:spacing w:after="0"/>
              <w:rPr>
                <w:sz w:val="18"/>
                <w:szCs w:val="18"/>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r>
      <w:tr>
        <w:trPr>
          <w:trHeight w:val="219"/>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$347.7 million, or 76.2%, during the nine months ended June 30, 2022, compared to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2021, reflecting the revenue contribution of businesses acquired in fiscal 2021, strong demand for single-family and multi-family housing and the impact of price increases in connection with a higher cost of materials. Businesses acquired in fiscal 2021 contributed $199.2 million of the total increase in revenue for the nine months ended June 30, 2022 compared to the nine months ended June 30, 2021. Inclusive of these acquired businesses, revenue in our single-family business increased by $315.7 million for the nine months ended June 30, 2022, compared to the nine months ended June 30, 2021, while multi-family and other revenue increased by $31.9 million.</w:t>
      </w:r>
    </w:p>
    <w:p>
      <w:pPr>
        <w:spacing w:after="0" w:line="194"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nine months ended June 30, 2022, our Residential segment's gross profit increased by $53.6 million, or 61.4%, as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The increase in gross profit was driven primarily by contributions from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ind w:right="100"/>
        <w:spacing w:after="0" w:line="260" w:lineRule="auto"/>
        <w:rPr>
          <w:sz w:val="20"/>
          <w:szCs w:val="20"/>
          <w:color w:val="auto"/>
        </w:rPr>
      </w:pPr>
      <w:r>
        <w:rPr>
          <w:rFonts w:ascii="Times New Roman" w:cs="Times New Roman" w:eastAsia="Times New Roman" w:hAnsi="Times New Roman"/>
          <w:sz w:val="17"/>
          <w:szCs w:val="17"/>
          <w:color w:val="auto"/>
        </w:rPr>
        <w:t>the businesses acquired in fiscal 2021 and higher volumes, partly offset by increased commodity prices. Gross margin as a percentage of revenue decreased to 17.5% during the nine months ended June 30, 2022, from 19.2% during the nine months ended June 30, 2021, primarily as a result of increased commodity prices and a reduction in project efficiency related to supply-chain challenges and the COVID-19 pandemic.</w:t>
      </w:r>
    </w:p>
    <w:p>
      <w:pPr>
        <w:ind w:right="20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$40.2 million, or 65.4%,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June 30, 2022, compared to the nine months ended June 30, 2021. Selling, general and administrative expenses incurred at the businesses acquired during fiscal 2021, including amortization of intangible assets, contributed $17.8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to 12.7% during the nine months ended June 30, 2022, from 13.5% during the nine months ended June 30, 2021, as we benefited from the increased scale of our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33,726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84.7</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28,374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72.5</w:t>
            </w:r>
          </w:p>
        </w:tc>
        <w:tc>
          <w:tcPr>
            <w:tcW w:w="28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27.5</w:t>
            </w:r>
          </w:p>
        </w:tc>
        <w:tc>
          <w:tcPr>
            <w:tcW w:w="280" w:type="dxa"/>
            <w:vAlign w:val="bottom"/>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15.2</w:t>
            </w:r>
          </w:p>
        </w:tc>
        <w:tc>
          <w:tcPr>
            <w:tcW w:w="28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4,783</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$0.7 million during the three months ended June 30, 2022, an increase of 1.8%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June 30, 2021 as continued strong demand in our generator enclosures business was partially offset by lower revenues in other manufacturing operations.</w:t>
      </w:r>
    </w:p>
    <w:p>
      <w:pPr>
        <w:spacing w:after="0" w:line="1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June 30, 2022 decreased $4.6 million as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reflecting the impact of supply chain disruptions on our generator enclosure business, COVID-19 related labor inefficiencies, and operating inefficiencies in connection with the relocation of the Wedlake Fabricating Inc. ("Wedlake") business to a new, larger facility that will expand capacity while allowing for improved workflow and process efficiency. The transition and setup of the new facility was completed during the three months ended June 30, 2022. Gross profit as a percentage of revenue decreased from 27.5% to 15.3%.</w:t>
      </w:r>
    </w:p>
    <w:p>
      <w:pPr>
        <w:spacing w:after="0" w:line="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2022 increased $0.5 million when compared to the three months ended June 30, 2021, primarily as a result of an increase in medical claims cost. Selling, general and administrative expenses as a percent of revenue increased from 15.2% to 16.3%.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320" w:type="dxa"/>
            <w:vAlign w:val="bottom"/>
            <w:gridSpan w:val="9"/>
          </w:tcPr>
          <w:p>
            <w:pPr>
              <w:jc w:val="center"/>
              <w:ind w:right="2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108,234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83.1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76,999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71.1</w:t>
            </w:r>
          </w:p>
        </w:tc>
        <w:tc>
          <w:tcPr>
            <w:tcW w:w="280" w:type="dxa"/>
            <w:vAlign w:val="bottom"/>
            <w:tcBorders>
              <w:bottom w:val="single" w:sz="8" w:color="auto"/>
            </w:tcBorders>
          </w:tcPr>
          <w:p>
            <w:pPr>
              <w:spacing w:after="0"/>
              <w:rPr>
                <w:sz w:val="19"/>
                <w:szCs w:val="19"/>
                <w:color w:val="auto"/>
              </w:rPr>
            </w:pPr>
          </w:p>
        </w:tc>
      </w:tr>
      <w:tr>
        <w:trPr>
          <w:trHeight w:val="212"/>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28.9</w:t>
            </w:r>
          </w:p>
        </w:tc>
        <w:tc>
          <w:tcPr>
            <w:tcW w:w="280" w:type="dxa"/>
            <w:vAlign w:val="bottom"/>
            <w:shd w:val="clear" w:color="auto" w:fill="CCEEFF"/>
          </w:tcPr>
          <w:p>
            <w:pPr>
              <w:spacing w:after="0"/>
              <w:rPr>
                <w:sz w:val="18"/>
                <w:szCs w:val="18"/>
                <w:color w:val="auto"/>
              </w:rPr>
            </w:pPr>
          </w:p>
        </w:tc>
      </w:tr>
      <w:tr>
        <w:trPr>
          <w:trHeight w:val="219"/>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16.4</w:t>
            </w:r>
          </w:p>
        </w:tc>
        <w:tc>
          <w:tcPr>
            <w:tcW w:w="280" w:type="dxa"/>
            <w:vAlign w:val="bottom"/>
          </w:tcPr>
          <w:p>
            <w:pPr>
              <w:spacing w:after="0"/>
              <w:rPr>
                <w:sz w:val="19"/>
                <w:szCs w:val="19"/>
                <w:color w:val="auto"/>
              </w:rPr>
            </w:pPr>
          </w:p>
        </w:tc>
      </w:tr>
      <w:tr>
        <w:trPr>
          <w:trHeight w:val="219"/>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$15.4 million, or 14.3%, during the nine months ended June 30, 2022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The increase in revenue was driven primarily by increased demand at our generator enclosure business as well as the acquisition of Wedlake during the first quarter of fiscal 2021, which contributed $10.1 million of the increase.</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nine months ended June 30, 2022 decreased $10.3 million as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reflecting the impact of supply chain disruptions on our generator enclosure business, COVID-19 related labor inefficiencies, and operating inefficiencies in connection with the relocation of the Wedlake business to a new, larger facility as discussed above. Gross profit as a percentage of revenues decreased to 16.9% for the nine months ended June 30, 2022 compared to 28.9% for the nine months ended June 30, 2021. Additionally, during the nine months ended June 30, 2021, we benefited from workers' compensation refunds received from the State of Ohio.</w:t>
      </w:r>
    </w:p>
    <w:p>
      <w:pPr>
        <w:spacing w:after="0" w:line="19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2022 increased $1.1 million compared to the nine months ended June 30, 2021, primarily as a result of expenses incurred at the Wedlake business acquired during the first fiscal quarter of 2021, including amortization of intangible assets. Selling, general and administrative expenses as a percent of revenue decreased from 16.4% for the nine months ended June 30, 2021 to 15.3% for the nine months ended June 30, 2022, as we benefited from the scale of our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2022</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9"/>
          </w:tcPr>
          <w:p>
            <w:pPr>
              <w:jc w:val="center"/>
              <w:ind w:right="28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72,895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90.0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87.9</w:t>
            </w:r>
          </w:p>
        </w:tc>
        <w:tc>
          <w:tcPr>
            <w:tcW w:w="280" w:type="dxa"/>
            <w:vAlign w:val="bottom"/>
            <w:tcBorders>
              <w:bottom w:val="single" w:sz="8" w:color="auto"/>
            </w:tcBorders>
          </w:tcPr>
          <w:p>
            <w:pPr>
              <w:spacing w:after="0"/>
              <w:rPr>
                <w:sz w:val="19"/>
                <w:szCs w:val="19"/>
                <w:color w:val="auto"/>
              </w:rPr>
            </w:pPr>
          </w:p>
        </w:tc>
      </w:tr>
      <w:tr>
        <w:trPr>
          <w:trHeight w:val="212"/>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12.1</w:t>
            </w:r>
          </w:p>
        </w:tc>
        <w:tc>
          <w:tcPr>
            <w:tcW w:w="280" w:type="dxa"/>
            <w:vAlign w:val="bottom"/>
            <w:shd w:val="clear" w:color="auto" w:fill="CCEEFF"/>
          </w:tcPr>
          <w:p>
            <w:pPr>
              <w:spacing w:after="0"/>
              <w:rPr>
                <w:sz w:val="18"/>
                <w:szCs w:val="18"/>
                <w:color w:val="auto"/>
              </w:rPr>
            </w:pPr>
          </w:p>
        </w:tc>
      </w:tr>
      <w:tr>
        <w:trPr>
          <w:trHeight w:val="219"/>
        </w:trPr>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10.6</w:t>
            </w:r>
          </w:p>
        </w:tc>
        <w:tc>
          <w:tcPr>
            <w:tcW w:w="280" w:type="dxa"/>
            <w:vAlign w:val="bottom"/>
          </w:tcPr>
          <w:p>
            <w:pPr>
              <w:spacing w:after="0"/>
              <w:rPr>
                <w:sz w:val="19"/>
                <w:szCs w:val="19"/>
                <w:color w:val="auto"/>
              </w:rPr>
            </w:pPr>
          </w:p>
        </w:tc>
      </w:tr>
      <w:tr>
        <w:trPr>
          <w:trHeight w:val="219"/>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$16.9 million, or 26.3%, during the three months ended June 30, 2022,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June 30, 2021. During the quarter ended June 30, 2022, we benefited from the start-up of projects that were delayed in fiscal 2021. While activity in this segment has been curtailed during the COVID-19 pandemic, many customers have returned to more typical levels of activity. However, this market remains highly competitive.</w:t>
      </w:r>
    </w:p>
    <w:p>
      <w:pPr>
        <w:spacing w:after="0" w:line="190"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June 30, 2022, increased by $0.3 million,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June 30, 2021. Gross profit as a percentage of revenue decreased from 12.1% for the quarter ended June 30, 2021 to 10.0% for the quarter ended June 30, 2022 as a result of continuing inefficiencies on certain projects.</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2022 increased $1.0 million, or 14.8%, compared to the three months ended June 30, 2021. The increase was driven primarily by higher pay rates in an increasingly competitive labor market, as well as $0.9 million of reserves in connection with legal matters related to certain contractual disputes. Selling, general and administrative expenses as a percentage of revenue decreased from 10.6% to 9.6% for the three months ended June 30, 2022 compared to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8"/>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32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2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$40.3 million during the nine months ended June 30, 2022, or 22.6%,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During the nine months ended June 30, 2022, we benefited from the start-up of projects that were delayed in fiscal 2021. While activity in this segment was curtailed earlier in the COVID-19 pandemic, many customers have returned to more typical levels of activity. However, this market remains highly competitive.</w:t>
      </w:r>
    </w:p>
    <w:p>
      <w:pPr>
        <w:spacing w:after="0" w:line="1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nine months ended June 30, 2022 decreased by $7.3 million, or 38.5%,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nine months ended June 30, 2021. During the nine months ended June 30, 2022, one of our Commercial &amp; Industrial branches experienced execution issues on a large contract, resulting in significant project rework. As a result, we incurred additional expense related to this project including the accrual of estimated costs to complete the project, including demolition, purchase of replacement materials, and performance of the rework. Additionally, a second job at that same branch was affected by costs associated with a delay in receiving materials from a supplier. These two projects collectively impacted our year to date gross profit by $13.2 million. As a result, gross profit as a percentage of revenue decreased from 10.7% for the nine months ended June 30, 2021 to 5.3% for the nine months ended June 30, 2022.</w:t>
      </w:r>
    </w:p>
    <w:p>
      <w:pPr>
        <w:spacing w:after="0" w:line="19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2022 increased $3.6 million, or 17.8%, compared to the nine months ended June 30, 2021. The increase was driven primarily by higher pay rates in an increasingly competitive labor market, as well as $3.1 million of reserves in connection with legal matters related to certain contractual disputes. Selling, general and administrative expenses as a percentage of revenue decreased slightly, from 11.2% for the nine months ended June 30, 2021 to 10.7% for the nine months ended June 30,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00" w:type="dxa"/>
            <w:vAlign w:val="bottom"/>
            <w:gridSpan w:val="2"/>
          </w:tcPr>
          <w:p>
            <w:pPr>
              <w:jc w:val="center"/>
              <w:ind w:right="8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2021</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3"/>
          </w:tcPr>
          <w:p>
            <w:pPr>
              <w:jc w:val="right"/>
              <w:ind w:right="634"/>
              <w:spacing w:after="0"/>
              <w:rPr>
                <w:sz w:val="20"/>
                <w:szCs w:val="20"/>
                <w:color w:val="auto"/>
              </w:rPr>
            </w:pPr>
            <w:r>
              <w:rPr>
                <w:rFonts w:ascii="Times New Roman" w:cs="Times New Roman" w:eastAsia="Times New Roman" w:hAnsi="Times New Roman"/>
                <w:sz w:val="15"/>
                <w:szCs w:val="15"/>
                <w:color w:val="auto"/>
              </w:rPr>
              <w:t>(In thousands)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50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4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1974"/>
              <w:spacing w:after="0"/>
              <w:rPr>
                <w:sz w:val="20"/>
                <w:szCs w:val="20"/>
                <w:color w:val="auto"/>
              </w:rPr>
            </w:pPr>
            <w:r>
              <w:rPr>
                <w:rFonts w:ascii="Times New Roman" w:cs="Times New Roman" w:eastAsia="Times New Roman" w:hAnsi="Times New Roman"/>
                <w:sz w:val="17"/>
                <w:szCs w:val="17"/>
                <w:color w:val="auto"/>
              </w:rPr>
              <w:t>33</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33" w:name="page34"/>
    <w:bookmarkEnd w:id="33"/>
    <w:p>
      <w:pPr>
        <w:ind w:right="200"/>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2022, we incurred interest expense of $0.8 million primarily comprised of interest expense from our revolving credit facility and fees on an average letter of credit balance of $4.2 million under our revolving credit facility and an average unused line of credit balance of $51.4 million. This compares to interest expense of $0.2 million for the three months ended June 30, 2021, primarily comprised of interest expense from our revolving credit facility and fees on an average letter of credit balance of $5.8 million under our revolving credit facility and an average unused line of credit balance of $76.9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Nine Months Ended June 30,</w:t>
            </w:r>
          </w:p>
        </w:tc>
        <w:tc>
          <w:tcPr>
            <w:tcW w:w="50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2021</w:t>
            </w:r>
          </w:p>
        </w:tc>
        <w:tc>
          <w:tcPr>
            <w:tcW w:w="50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right"/>
              <w:ind w:right="594"/>
              <w:spacing w:after="0"/>
              <w:rPr>
                <w:sz w:val="20"/>
                <w:szCs w:val="20"/>
                <w:color w:val="auto"/>
              </w:rPr>
            </w:pPr>
            <w:r>
              <w:rPr>
                <w:rFonts w:ascii="Times New Roman" w:cs="Times New Roman" w:eastAsia="Times New Roman" w:hAnsi="Times New Roman"/>
                <w:sz w:val="15"/>
                <w:szCs w:val="15"/>
                <w:color w:val="auto"/>
              </w:rPr>
              <w:t>(In thousands)</w:t>
            </w:r>
          </w:p>
        </w:tc>
        <w:tc>
          <w:tcPr>
            <w:tcW w:w="50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492</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7"/>
                <w:szCs w:val="17"/>
                <w:color w:val="auto"/>
              </w:rPr>
              <w:t>145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637</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389</w:t>
            </w:r>
          </w:p>
        </w:tc>
      </w:tr>
    </w:tbl>
    <w:p>
      <w:pPr>
        <w:spacing w:after="0" w:line="3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During the nine months ended June 30, 2022, we incurred interest expense of $1.7 million primarily comprised of interest expense from our revolving credit facility and fees on an average letter of credit balance of $4.7 million under our revolving credit facility and an average unused line of credit balance of $46.8 million. This compares to interest expense of $0.6 million for the nine months ended June 30, 2021, primarily comprised of interest expense from our revolving credit facility and fees on an average letter of credit balance of $6.1 million under our revolving credit facility and an average unused line of credit balance of $85.0 million.</w:t>
      </w:r>
    </w:p>
    <w:p>
      <w:pPr>
        <w:spacing w:after="0" w:line="20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increase in other expense for the nine months ended June 30, 2022 as compared with June 30, 2021 is the result of unrealized losses on investments in equity securities of $1.0 million.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We recorded income tax expense of $3.6 million for the three months ended June 30, 2022, compared to income tax expense of $2.6 million for the three months ended June 30, 2021. For the three months ended June 30, 2022 and 2021, our income tax expense was partly offset by benefits of $0.3 million and $3.3 million, respectively, associated with the recognition of previously unrecognized tax benefits.</w:t>
      </w:r>
    </w:p>
    <w:p>
      <w:pPr>
        <w:spacing w:after="0" w:line="19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We recorded income tax expense of $6.3 million for the nine months ended June 30, 2022, compared to income tax expense of $9.9 million for the nine months ended June 30, 2021. For the nine months ended June 30, 2022 and 2021, our income tax expense was partly offset by benefit of $0.4 million and $4.2 million, respectively, associated with the recognition of previously unrecognized tax benefits.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2021. Some of the more significant estimates include revenue recognition, business combinations, valuation allowance for deferred tax assets and income taxes.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4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Recent accounting pronouncements are described in Note 1, "Business and Accounting Policies - Accounting Standards Recently Adopted" in the Notes to our Condensed Consolidated Financial Statements set forth in Part I, Item 1 of this Quarterly Report on Form 10-Q and at relevant sections in this discussion and analysis.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June 30,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2022</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108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108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1,208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bl>
    <w:p>
      <w:pPr>
        <w:spacing w:after="0" w:line="1" w:lineRule="exact"/>
        <w:rPr>
          <w:sz w:val="20"/>
          <w:szCs w:val="20"/>
          <w:color w:val="auto"/>
        </w:rPr>
      </w:pPr>
    </w:p>
    <w:p>
      <w:pPr>
        <w:ind w:left="120" w:right="380" w:firstLine="10"/>
        <w:spacing w:after="0" w:line="253" w:lineRule="auto"/>
        <w:tabs>
          <w:tab w:leader="none" w:pos="33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-222885</wp:posOffset>
            </wp:positionV>
            <wp:extent cx="40360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During the nine months ended June 30, 2022, working capital exclusive of cash increased by $55.6 million from September 30, 2021, reflecting a $110.8 million increase in current assets excluding cash and a $55.2 million increase in current liabilities during the period.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nine months ended June 30, 2022, our current assets exclusive of cash increased to $571.8 million, as compared to $461.1 million as of September 30, 2021. An increase in business activity drove a $58.2 million increase in trade accounts receivable. Days sales outstanding increased to 61 at June 30, 2022 from 57 at September 30, 2021. While the rate of collections may vary, our typically secured position, resulting from our ability in general to secure liens against our customers’ overdue receivables, offers some protection that collection will occur eventually to the extent that our security retains value. Additionally, inventory increased by $24.2 million in connection with rising commodity prices as well as growth of our business. Further, we have increased the quantity of inventory we are currently carrying to manage procurement risks. Costs and estimated earnings in excess of billings increased by $15.3 million as a result of increased levels of activity at our Communications business, as well as supply chain disruptions in our Infrastructure Solutions business.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nine months ended June 30, 2022, our total current liabilities increased by $55.2 million to $366.8 million, compared to $311.6 million as of September 30, 2021, driven by increased levels of business activity, offset in part by remittance of payroll taxes deferred under the CARES Act, and the timing of payment of certain year-end accruals.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the estimated cost to complete our bonded projects was approximately $115.8 million.</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28, 2022, we entered into a Third Amended and Restated Credit and Security Agreement (the "Amended Credit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35" w:name="page36"/>
    <w:bookmarkEnd w:id="35"/>
    <w:p>
      <w:pPr>
        <w:ind w:right="20"/>
        <w:spacing w:after="0" w:line="264" w:lineRule="auto"/>
        <w:rPr>
          <w:sz w:val="20"/>
          <w:szCs w:val="20"/>
          <w:color w:val="auto"/>
        </w:rPr>
      </w:pPr>
      <w:r>
        <w:rPr>
          <w:rFonts w:ascii="Times New Roman" w:cs="Times New Roman" w:eastAsia="Times New Roman" w:hAnsi="Times New Roman"/>
          <w:sz w:val="17"/>
          <w:szCs w:val="17"/>
          <w:color w:val="auto"/>
        </w:rPr>
        <w:t>with Wells Fargo Bank N.A. ("Wells Fargo"), which increased our maximum borrowing amount from $125 million to $150 million.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w:t>
      </w:r>
    </w:p>
    <w:p>
      <w:pPr>
        <w:spacing w:after="0" w:line="19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that is determined monthly by Wells Fargo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At June 30, 2022, our Liquidity was $66.1 million, our Excess Availability was $49.0 million (or greater than 50% of minimum Liquidity), and our Fixed Charge Coverage Ratio was 2.1:1.0.</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320"/>
        <w:spacing w:after="0" w:line="287" w:lineRule="auto"/>
        <w:rPr>
          <w:sz w:val="20"/>
          <w:szCs w:val="20"/>
          <w:color w:val="auto"/>
        </w:rPr>
      </w:pPr>
      <w:r>
        <w:rPr>
          <w:rFonts w:ascii="Times New Roman" w:cs="Times New Roman" w:eastAsia="Times New Roman" w:hAnsi="Times New Roman"/>
          <w:sz w:val="17"/>
          <w:szCs w:val="17"/>
          <w:color w:val="auto"/>
        </w:rPr>
        <w:t>At June 30, 2022, we had $4.1 million in outstanding letters of credit with Wells Fargo and outstanding borrowings of $96.9 million under our 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rising commodity prices, and the impact of supply chain disruptions.</w:t>
      </w:r>
    </w:p>
    <w:p>
      <w:pPr>
        <w:spacing w:after="0" w:line="20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Operating activities used net cash of $17.8 million during the nine months ended June 30, 2022, as compared to $35.1 million of net cash provided in the nine months ended June 30, 2021. The decrease in operating cash flow resulted from lower earnings and an increase in working capital, including an increase in inventory, during the nine months ended June 30, 2022. In addition to the impact on inventory of higher commodity prices, supply chain disruptions have resulted in longer lead times for deliveries, and reduced availability for certain products we procure, particularly copper wire. As a result, we have increased the amount of inventory we are currently carrying in an effort to ensure the availability of materials to serve our customers. Both trade accounts receivable and costs in excess of billings also increased due to business activity growth. We also remitted $7.0 million of payroll taxes previously deferred under the CARES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$26.9 million for the nine months ended June 30, 2022, compared to $97.9 million for the nine months ended June 30, 2021. We used $26.6 million for capital expenditures in the nine months ended June 30, 2022, primarily related to the acquisition of a new operating facility for our Wedlake business, as well as an additional facility to support the growth of our Residential business in Florida. During the nine months ended June 30, 2021, we used $92.7 million to complete three acquisitions and $5.4 million for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Net cash provided by financing activities for the nine months ended June 30, 2022 was $38.7 million, compared to $27.7 million for the nine months ended June 30, 2021. Net cash provided by financing activities for the nine months ended June 30, 2022 included net borrowings on our credit facility of $56.5 million, partly offset by $10.5 million used for repurchases of our common stock, including repurchases to satisfy statutory withholding requirements upon the vesting of employee stock compensation. Additionally, we distributed $6.4 million to noncontrolling interests under operating agreements in connection with certain acquisitions. For the nine months ended June 30, 2021, net borrowings of $31.1 million were partially offset by $1.5 million used to repurchase our shares to satisfy statutory withholding requirements upon the vesting of employee stock compensation and $1.2 million to purchase a noncontrolling interest.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244,889 shares pursuant to this program during the nine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2022, we had commitments of $12.1 million outstanding under agreements to purchase copper wire and other materials over the next 12 months in the ordinary course of business. There have been no other material changes in our material cash requirements from those disclosed in our Annual Report on Form 10-K for the fiscal year ended September 30, 2021.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Our credit agreement uses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as of June 30, 2022 would cause a $0.9 million pre-tax annual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2022,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gridSpan w:val="3"/>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 Number of Shares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Purchased as Part of a  Maximum Number of Shares That May</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2160" w:type="dxa"/>
            <w:vAlign w:val="bottom"/>
          </w:tcPr>
          <w:p>
            <w:pPr>
              <w:jc w:val="right"/>
              <w:ind w:right="134"/>
              <w:spacing w:after="0" w:line="181" w:lineRule="exact"/>
              <w:rPr>
                <w:sz w:val="20"/>
                <w:szCs w:val="20"/>
                <w:color w:val="auto"/>
              </w:rPr>
            </w:pPr>
            <w:r>
              <w:rPr>
                <w:rFonts w:ascii="Times New Roman" w:cs="Times New Roman" w:eastAsia="Times New Roman" w:hAnsi="Times New Roman"/>
                <w:sz w:val="17"/>
                <w:szCs w:val="17"/>
                <w:color w:val="auto"/>
              </w:rPr>
              <w:t>Total Number of</w:t>
            </w:r>
          </w:p>
        </w:tc>
        <w:tc>
          <w:tcPr>
            <w:tcW w:w="120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color w:val="auto"/>
              </w:rPr>
              <w:t>Average Price</w:t>
            </w:r>
          </w:p>
        </w:tc>
        <w:tc>
          <w:tcPr>
            <w:tcW w:w="18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Publicly Announced</w:t>
            </w:r>
          </w:p>
        </w:tc>
        <w:tc>
          <w:tcPr>
            <w:tcW w:w="2760" w:type="dxa"/>
            <w:vAlign w:val="bottom"/>
          </w:tcPr>
          <w:p>
            <w:pPr>
              <w:jc w:val="right"/>
              <w:ind w:right="34"/>
              <w:spacing w:after="0" w:line="181" w:lineRule="exact"/>
              <w:rPr>
                <w:sz w:val="20"/>
                <w:szCs w:val="20"/>
                <w:color w:val="auto"/>
              </w:rPr>
            </w:pPr>
            <w:r>
              <w:rPr>
                <w:rFonts w:ascii="Times New Roman" w:cs="Times New Roman" w:eastAsia="Times New Roman" w:hAnsi="Times New Roman"/>
                <w:sz w:val="17"/>
                <w:szCs w:val="17"/>
                <w:color w:val="auto"/>
              </w:rPr>
              <w:t>Yet Be Purchased Under the Publicly</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2160" w:type="dxa"/>
            <w:vAlign w:val="bottom"/>
          </w:tcPr>
          <w:p>
            <w:pPr>
              <w:jc w:val="right"/>
              <w:ind w:right="34"/>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Paid 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Plan</w:t>
            </w:r>
          </w:p>
        </w:tc>
        <w:tc>
          <w:tcPr>
            <w:tcW w:w="2760" w:type="dxa"/>
            <w:vAlign w:val="bottom"/>
          </w:tcPr>
          <w:p>
            <w:pPr>
              <w:jc w:val="right"/>
              <w:ind w:right="654"/>
              <w:spacing w:after="0" w:line="219" w:lineRule="exact"/>
              <w:rPr>
                <w:sz w:val="20"/>
                <w:szCs w:val="20"/>
                <w:color w:val="auto"/>
              </w:rPr>
            </w:pPr>
            <w:r>
              <w:rPr>
                <w:rFonts w:ascii="Times New Roman" w:cs="Times New Roman" w:eastAsia="Times New Roman" w:hAnsi="Times New Roman"/>
                <w:sz w:val="17"/>
                <w:szCs w:val="17"/>
                <w:color w:val="auto"/>
              </w:rPr>
              <w:t xml:space="preserve">Announced Plan </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2022 – April 30, 2022</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810,618</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 2022 – May 31, 2022</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85,887</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85,887</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724,731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2022 – June 30, 2022</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624,731</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185,887</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185,887</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624,731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plan described in footnote (2) below.</w:t>
      </w:r>
    </w:p>
    <w:p>
      <w:pPr>
        <w:spacing w:after="0" w:line="58" w:lineRule="exact"/>
        <w:rPr>
          <w:rFonts w:ascii="Times New Roman" w:cs="Times New Roman" w:eastAsia="Times New Roman" w:hAnsi="Times New Roman"/>
          <w:sz w:val="14"/>
          <w:szCs w:val="14"/>
          <w:color w:val="auto"/>
        </w:rPr>
      </w:pPr>
    </w:p>
    <w:p>
      <w:pPr>
        <w:ind w:left="620" w:hanging="385"/>
        <w:spacing w:after="0" w:line="333" w:lineRule="auto"/>
        <w:tabs>
          <w:tab w:leader="none" w:pos="56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2015, our Board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426"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81">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81">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82">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82">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84">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2016).</w:t>
        </w:r>
      </w:hyperlink>
    </w:p>
    <w:p>
      <w:pPr>
        <w:spacing w:after="0" w:line="33" w:lineRule="exact"/>
        <w:rPr>
          <w:sz w:val="20"/>
          <w:szCs w:val="20"/>
          <w:color w:val="auto"/>
        </w:rPr>
      </w:pPr>
    </w:p>
    <w:p>
      <w:pPr>
        <w:jc w:val="right"/>
        <w:ind w:left="500" w:right="12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 — </w:t>
      </w:r>
      <w:hyperlink r:id="rId85">
        <w:r>
          <w:rPr>
            <w:rFonts w:ascii="Times New Roman" w:cs="Times New Roman" w:eastAsia="Times New Roman" w:hAnsi="Times New Roman"/>
            <w:sz w:val="17"/>
            <w:szCs w:val="17"/>
            <w:u w:val="single" w:color="auto"/>
            <w:color w:val="0000FF"/>
          </w:rPr>
          <w:t>Third Amended and Restated Credit and Security Agreement, dated April 28, 2022 by and among IES Holdings, Inc., each of the other Borrowers</w:t>
        </w:r>
      </w:hyperlink>
      <w:r>
        <w:rPr>
          <w:rFonts w:ascii="Times New Roman" w:cs="Times New Roman" w:eastAsia="Times New Roman" w:hAnsi="Times New Roman"/>
          <w:sz w:val="15"/>
          <w:szCs w:val="15"/>
          <w:color w:val="auto"/>
        </w:rPr>
        <w:t xml:space="preserve"> </w:t>
      </w:r>
      <w:hyperlink r:id="rId85">
        <w:r>
          <w:rPr>
            <w:rFonts w:ascii="Times New Roman" w:cs="Times New Roman" w:eastAsia="Times New Roman" w:hAnsi="Times New Roman"/>
            <w:sz w:val="17"/>
            <w:szCs w:val="17"/>
            <w:u w:val="single" w:color="auto"/>
            <w:color w:val="0000FF"/>
          </w:rPr>
          <w:t>and Guarantors named therein and Wells Fargo Bank, National Association, as Administrative Agent. (Incorporated by reference to Exhibit 10.1 to</w:t>
        </w:r>
      </w:hyperlink>
    </w:p>
    <w:p>
      <w:pPr>
        <w:spacing w:after="0" w:line="1"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the Company's Quarterly Report on Form 10-Q filed 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20" w:lineRule="auto"/>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500"/>
        <w:spacing w:after="0" w:line="219"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54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August 4, 2022.</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42</w:t>
            </w:r>
          </w:p>
        </w:tc>
      </w:tr>
    </w:tbl>
    <w:p>
      <w:pPr>
        <w:sectPr>
          <w:pgSz w:w="11900" w:h="16838" w:orient="portrait"/>
          <w:cols w:equalWidth="0" w:num="1">
            <w:col w:w="11240"/>
          </w:cols>
          <w:pgMar w:left="320" w:top="42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June 30, 2022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August 4,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June 30, 2022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August 4,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amp;"/>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5">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
    <w:nsid w:val="628C895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lvl w:ilvl="1">
      <w:lvlJc w:val="left"/>
      <w:lvlText w:val="(%2)"/>
      <w:numFmt w:val="lowerLetter"/>
      <w:start w:val="2"/>
    </w:lvl>
  </w:abstractNum>
  <w:abstractNum w:abstractNumId="19">
    <w:nsid w:val="2443A8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
    <w:nsid w:val="2D1D5AE9"/>
    <w:multiLevelType w:val="hybridMultilevel"/>
    <w:lvl w:ilvl="0">
      <w:lvlJc w:val="left"/>
      <w:lvlText w:val="(%1)"/>
      <w:numFmt w:val="lowerLetter"/>
      <w:start w:val="3"/>
    </w:lvl>
    <w:lvl w:ilvl="1">
      <w:lvlJc w:val="left"/>
      <w:lvlText w:val="(%2)"/>
      <w:numFmt w:val="lowerLetter"/>
      <w:start w:val="4"/>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lvl w:ilvl="1">
      <w:lvlJc w:val="left"/>
      <w:lvlText w:val="(%2)"/>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1" Type="http://schemas.openxmlformats.org/officeDocument/2006/relationships/hyperlink" Target="http://www.sec.gov/Archives/edgar/data/1048268/000119312516674386/d211495dex31.htm" TargetMode="External"/><Relationship Id="rId82" Type="http://schemas.openxmlformats.org/officeDocument/2006/relationships/hyperlink" Target="http://www.sec.gov/Archives/edgar/data/1048268/000104826821000065/amendedandrestatedbylawsof.htm" TargetMode="External"/><Relationship Id="rId84" Type="http://schemas.openxmlformats.org/officeDocument/2006/relationships/hyperlink" Target="http://www.sec.gov/Archives/edgar/data/1048268/000119312516789187/d310826dex41.htm" TargetMode="External"/><Relationship Id="rId85" Type="http://schemas.openxmlformats.org/officeDocument/2006/relationships/hyperlink" Target="https://www.sec.gov/Archives/edgar/data/1048268/000104826822000048/thirdamendedandrestatedc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2022-08-04T06:54:33Z</dcterms:created>
  <dcterms:modified xsi:type="dcterms:W3CDTF">2022-08-04T06:54:33Z</dcterms:modified>
</cp:coreProperties>
</file>