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March 31, 2025</w:t>
      </w:r>
    </w:p>
    <w:p>
      <w:pPr>
        <w:spacing w:after="0" w:line="13"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50" w:lineRule="exact"/>
        <w:rPr>
          <w:sz w:val="24"/>
          <w:szCs w:val="24"/>
          <w:color w:val="auto"/>
        </w:rPr>
      </w:pPr>
    </w:p>
    <w:p>
      <w:pPr>
        <w:ind w:right="480"/>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4" w:lineRule="exact"/>
        <w:rPr>
          <w:sz w:val="24"/>
          <w:szCs w:val="24"/>
          <w:color w:val="auto"/>
        </w:rPr>
      </w:pPr>
    </w:p>
    <w:p>
      <w:pPr>
        <w:ind w:right="31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April 30, 2025, there were 19,854,416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2025 and September 30, 2024</w:t>
            </w:r>
          </w:p>
        </w:tc>
        <w:tc>
          <w:tcPr>
            <w:tcW w:w="324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March 31, 2025 and 2024</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March 31, 2025 and 2024</w:t>
            </w:r>
          </w:p>
        </w:tc>
        <w:tc>
          <w:tcPr>
            <w:tcW w:w="700" w:type="dxa"/>
            <w:vAlign w:val="bottom"/>
            <w:gridSpan w:val="2"/>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March 31, 2025 and 2024</w:t>
            </w:r>
          </w:p>
        </w:tc>
        <w:tc>
          <w:tcPr>
            <w:tcW w:w="210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660" w:type="dxa"/>
            <w:vAlign w:val="bottom"/>
            <w:gridSpan w:val="12"/>
          </w:tcPr>
          <w:p>
            <w:pPr>
              <w:jc w:val="right"/>
              <w:ind w:right="1200"/>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86" w:lineRule="exact"/>
        <w:rPr>
          <w:sz w:val="20"/>
          <w:szCs w:val="20"/>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04" w:lineRule="exact"/>
        <w:rPr>
          <w:rFonts w:ascii="Times New Roman" w:cs="Times New Roman" w:eastAsia="Times New Roman" w:hAnsi="Times New Roman"/>
          <w:sz w:val="17"/>
          <w:szCs w:val="17"/>
          <w:color w:val="auto"/>
        </w:rPr>
      </w:pPr>
    </w:p>
    <w:p>
      <w:pPr>
        <w:ind w:left="620" w:right="2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supply chain constraints, high rates of inflation, tariffs, changes in consumer sentiment, elevated interest rates, and market disruptions resulting from a number of factors, including geo-political events such as the Ukraine-Russia war, the conflict in the Middle East, and trade tensions between the U.S. and China;</w:t>
      </w:r>
    </w:p>
    <w:p>
      <w:pPr>
        <w:spacing w:after="0" w:line="189" w:lineRule="exact"/>
        <w:rPr>
          <w:rFonts w:ascii="Times New Roman" w:cs="Times New Roman" w:eastAsia="Times New Roman" w:hAnsi="Times New Roman"/>
          <w:sz w:val="17"/>
          <w:szCs w:val="17"/>
          <w:color w:val="auto"/>
        </w:rPr>
      </w:pPr>
    </w:p>
    <w:p>
      <w:pPr>
        <w:ind w:left="620" w:right="8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90" w:lineRule="exact"/>
        <w:rPr>
          <w:rFonts w:ascii="Times New Roman" w:cs="Times New Roman" w:eastAsia="Times New Roman" w:hAnsi="Times New Roman"/>
          <w:sz w:val="17"/>
          <w:szCs w:val="17"/>
          <w:color w:val="auto"/>
        </w:rPr>
      </w:pPr>
    </w:p>
    <w:p>
      <w:pPr>
        <w:jc w:val="both"/>
        <w:ind w:left="620" w:right="40" w:hanging="462"/>
        <w:spacing w:after="0" w:line="23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91"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small number of customers from whom we derive a meaningful portion of our revenues;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including subcontractors and suppliers, to complete our projects;</w:t>
      </w:r>
    </w:p>
    <w:p>
      <w:pPr>
        <w:spacing w:after="0" w:line="204" w:lineRule="exact"/>
        <w:rPr>
          <w:rFonts w:ascii="Times New Roman" w:cs="Times New Roman" w:eastAsia="Times New Roman" w:hAnsi="Times New Roman"/>
          <w:sz w:val="17"/>
          <w:szCs w:val="17"/>
          <w:color w:val="auto"/>
        </w:rPr>
      </w:pPr>
    </w:p>
    <w:p>
      <w:pPr>
        <w:ind w:left="620" w:right="6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04"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17" w:lineRule="exact"/>
        <w:rPr>
          <w:rFonts w:ascii="Times New Roman" w:cs="Times New Roman" w:eastAsia="Times New Roman" w:hAnsi="Times New Roman"/>
          <w:sz w:val="17"/>
          <w:szCs w:val="17"/>
          <w:color w:val="auto"/>
        </w:rPr>
      </w:pPr>
    </w:p>
    <w:p>
      <w:pPr>
        <w:ind w:left="620" w:right="6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jc w:val="both"/>
        <w:ind w:left="620" w:right="30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176" w:lineRule="exact"/>
        <w:rPr>
          <w:rFonts w:ascii="Times New Roman" w:cs="Times New Roman" w:eastAsia="Times New Roman" w:hAnsi="Times New Roman"/>
          <w:sz w:val="17"/>
          <w:szCs w:val="17"/>
          <w:color w:val="auto"/>
        </w:rPr>
      </w:pPr>
    </w:p>
    <w:p>
      <w:pPr>
        <w:ind w:left="620" w:right="42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collateral at their discretion;</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17" w:lineRule="exact"/>
        <w:rPr>
          <w:rFonts w:ascii="Times New Roman" w:cs="Times New Roman" w:eastAsia="Times New Roman" w:hAnsi="Times New Roman"/>
          <w:sz w:val="17"/>
          <w:szCs w:val="17"/>
          <w:color w:val="auto"/>
        </w:rPr>
      </w:pPr>
    </w:p>
    <w:p>
      <w:pPr>
        <w:ind w:left="620" w:right="44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factors such as cyclicality, downturns in levels of construction or the housing market, and differing regional economic conditions;</w:t>
      </w:r>
    </w:p>
    <w:p>
      <w:pPr>
        <w:spacing w:after="0" w:line="190"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our billings and collections;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ectPr>
          <w:pgSz w:w="11900" w:h="16838" w:orient="portrait"/>
          <w:cols w:equalWidth="0" w:num="1">
            <w:col w:w="11200"/>
          </w:cols>
          <w:pgMar w:left="320" w:top="6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type w:val="continuous"/>
        </w:sectPr>
      </w:pPr>
    </w:p>
    <w:bookmarkStart w:id="3" w:name="page4"/>
    <w:bookmarkEnd w:id="3"/>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17" w:lineRule="exact"/>
        <w:rPr>
          <w:rFonts w:ascii="Times New Roman" w:cs="Times New Roman" w:eastAsia="Times New Roman" w:hAnsi="Times New Roman"/>
          <w:sz w:val="17"/>
          <w:szCs w:val="17"/>
          <w:color w:val="auto"/>
        </w:rPr>
      </w:pPr>
    </w:p>
    <w:p>
      <w:pPr>
        <w:ind w:left="620" w:right="22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90" w:lineRule="exact"/>
        <w:rPr>
          <w:rFonts w:ascii="Times New Roman" w:cs="Times New Roman" w:eastAsia="Times New Roman" w:hAnsi="Times New Roman"/>
          <w:sz w:val="17"/>
          <w:szCs w:val="17"/>
          <w:color w:val="auto"/>
        </w:rPr>
      </w:pPr>
    </w:p>
    <w:p>
      <w:pPr>
        <w:ind w:left="620" w:right="2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cybersecurity or data breaches;</w:t>
      </w:r>
    </w:p>
    <w:p>
      <w:pPr>
        <w:spacing w:after="0" w:line="204"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conduct environmental remediation activities required by certain environmental laws and regulations;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general labor constraints;</w:t>
      </w:r>
    </w:p>
    <w:p>
      <w:pPr>
        <w:spacing w:after="0" w:line="217" w:lineRule="exact"/>
        <w:rPr>
          <w:rFonts w:ascii="Times New Roman" w:cs="Times New Roman" w:eastAsia="Times New Roman" w:hAnsi="Times New Roman"/>
          <w:sz w:val="17"/>
          <w:szCs w:val="17"/>
          <w:color w:val="auto"/>
        </w:rPr>
      </w:pPr>
    </w:p>
    <w:p>
      <w:pPr>
        <w:ind w:left="620" w:right="22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spacing w:after="0" w:line="190" w:lineRule="exact"/>
        <w:rPr>
          <w:rFonts w:ascii="Times New Roman" w:cs="Times New Roman" w:eastAsia="Times New Roman" w:hAnsi="Times New Roman"/>
          <w:sz w:val="17"/>
          <w:szCs w:val="17"/>
          <w:color w:val="auto"/>
        </w:rPr>
      </w:pPr>
    </w:p>
    <w:p>
      <w:pPr>
        <w:ind w:left="620" w:right="48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access capital markets and generate cash from operations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our effective tax rate or cash paid for taxes from changes in tax positions we have taken or changes in tax laws;</w:t>
      </w:r>
    </w:p>
    <w:p>
      <w:pPr>
        <w:spacing w:after="0" w:line="204" w:lineRule="exact"/>
        <w:rPr>
          <w:rFonts w:ascii="Times New Roman" w:cs="Times New Roman" w:eastAsia="Times New Roman" w:hAnsi="Times New Roman"/>
          <w:sz w:val="17"/>
          <w:szCs w:val="17"/>
          <w:color w:val="auto"/>
        </w:rPr>
      </w:pPr>
    </w:p>
    <w:p>
      <w:pPr>
        <w:ind w:left="620" w:right="1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certain estimates and assumptions that may differ from actual results in the preparation of our financial statements;</w:t>
      </w:r>
    </w:p>
    <w:p>
      <w:pPr>
        <w:spacing w:after="0" w:line="217" w:lineRule="exact"/>
        <w:rPr>
          <w:rFonts w:ascii="Times New Roman" w:cs="Times New Roman" w:eastAsia="Times New Roman" w:hAnsi="Times New Roman"/>
          <w:sz w:val="17"/>
          <w:szCs w:val="17"/>
          <w:color w:val="auto"/>
        </w:rPr>
      </w:pPr>
    </w:p>
    <w:p>
      <w:pPr>
        <w:ind w:left="620" w:right="56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the use of percentage-of-completion accounting, which could result in the reduction or elimination of previously recorded revenues and profits;</w:t>
      </w:r>
    </w:p>
    <w:p>
      <w:pPr>
        <w:spacing w:after="0" w:line="190"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17" w:lineRule="exact"/>
        <w:rPr>
          <w:rFonts w:ascii="Times New Roman" w:cs="Times New Roman" w:eastAsia="Times New Roman" w:hAnsi="Times New Roman"/>
          <w:sz w:val="17"/>
          <w:szCs w:val="17"/>
          <w:color w:val="auto"/>
        </w:rPr>
      </w:pPr>
    </w:p>
    <w:p>
      <w:pPr>
        <w:jc w:val="both"/>
        <w:ind w:left="620" w:right="40" w:hanging="462"/>
        <w:spacing w:after="0" w:line="23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620" w:right="62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spacing w:after="0" w:line="164" w:lineRule="exact"/>
        <w:rPr>
          <w:rFonts w:ascii="Times New Roman" w:cs="Times New Roman" w:eastAsia="Times New Roman" w:hAnsi="Times New Roman"/>
          <w:sz w:val="17"/>
          <w:szCs w:val="17"/>
          <w:color w:val="auto"/>
        </w:rPr>
      </w:pPr>
    </w:p>
    <w:p>
      <w:pPr>
        <w:ind w:left="620" w:right="8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04" w:lineRule="exact"/>
        <w:rPr>
          <w:rFonts w:ascii="Times New Roman" w:cs="Times New Roman" w:eastAsia="Times New Roman" w:hAnsi="Times New Roman"/>
          <w:sz w:val="17"/>
          <w:szCs w:val="17"/>
          <w:color w:val="auto"/>
        </w:rPr>
      </w:pPr>
    </w:p>
    <w:p>
      <w:pPr>
        <w:ind w:left="620" w:right="4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620" w:right="1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164" w:lineRule="exact"/>
        <w:rPr>
          <w:rFonts w:ascii="Times New Roman" w:cs="Times New Roman" w:eastAsia="Times New Roman" w:hAnsi="Times New Roman"/>
          <w:sz w:val="17"/>
          <w:szCs w:val="17"/>
          <w:color w:val="auto"/>
        </w:rPr>
      </w:pPr>
    </w:p>
    <w:p>
      <w:pPr>
        <w:ind w:left="620" w:right="12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2024,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100,832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Trade, net of allowance of $1,902 and $1,818,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469,833</w:t>
            </w: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101,728</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14,366</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871,694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134,197</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22,458</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61,956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1,364,559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363,582</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163,605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158,972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522,554</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tax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618,028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591,917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40,996</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issued and 19,888,316 and 19,971,670 outstanding,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Treasury stock, at cost, 2,161,213 and 2,077,859 shares,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(90,325)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203,458</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623,657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497,760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611,113</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1,364,559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833,960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625,091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534,120</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171,613</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76,172</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19,372</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72,592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56,800</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(3,891)</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19,969,618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20,227,342</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20,213,442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20,479,755</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1,583,507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1,196,611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1,024,760</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315,417</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181,122</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12"/>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167,314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135,704</w:t>
            </w:r>
          </w:p>
        </w:tc>
      </w:tr>
      <w:tr>
        <w:trPr>
          <w:trHeight w:val="19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135,158</w:t>
            </w:r>
          </w:p>
        </w:tc>
      </w:tr>
      <w:tr>
        <w:trPr>
          <w:trHeight w:val="219"/>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34,770</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130,273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100,388</w:t>
            </w:r>
          </w:p>
        </w:tc>
      </w:tr>
      <w:tr>
        <w:trPr>
          <w:trHeight w:val="212"/>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(6,523)</w:t>
            </w:r>
          </w:p>
        </w:tc>
      </w:tr>
      <w:tr>
        <w:trPr>
          <w:trHeight w:val="237"/>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8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19,979,896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20,213,421</w:t>
            </w:r>
          </w:p>
        </w:tc>
      </w:tr>
      <w:tr>
        <w:trPr>
          <w:trHeight w:val="219"/>
        </w:trPr>
        <w:tc>
          <w:tcPr>
            <w:tcW w:w="7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20,229,877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20,449,691</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ectPr>
          <w:pgSz w:w="11900" w:h="16838" w:orient="portrait"/>
          <w:cols w:equalWidth="0" w:num="1">
            <w:col w:w="11140"/>
          </w:cols>
          <w:pgMar w:left="400" w:top="6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December 31, 2024</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Decrease in noncontrolling interest</w:t>
      </w:r>
    </w:p>
    <w:p>
      <w:pPr>
        <w:spacing w:after="0" w:line="32" w:lineRule="exact"/>
        <w:rPr>
          <w:sz w:val="20"/>
          <w:szCs w:val="20"/>
          <w:color w:val="auto"/>
        </w:rPr>
      </w:pPr>
    </w:p>
    <w:p>
      <w:pPr>
        <w:ind w:left="20" w:firstLine="142"/>
        <w:spacing w:after="0" w:line="371" w:lineRule="auto"/>
        <w:rPr>
          <w:sz w:val="20"/>
          <w:szCs w:val="20"/>
          <w:color w:val="auto"/>
        </w:rPr>
      </w:pPr>
      <w:r>
        <w:rPr>
          <w:rFonts w:ascii="Times New Roman" w:cs="Times New Roman" w:eastAsia="Times New Roman" w:hAnsi="Times New Roman"/>
          <w:sz w:val="14"/>
          <w:szCs w:val="14"/>
          <w:color w:val="auto"/>
        </w:rPr>
        <w:t>Net income attributable to IES Holdings, Inc. BALANCE,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right="540" w:hanging="89"/>
        <w:spacing w:after="0" w:line="288" w:lineRule="auto"/>
        <w:rPr>
          <w:sz w:val="20"/>
          <w:szCs w:val="20"/>
          <w:color w:val="auto"/>
        </w:rPr>
      </w:pPr>
      <w:r>
        <w:rPr>
          <w:rFonts w:ascii="Times New Roman" w:cs="Times New Roman" w:eastAsia="Times New Roman" w:hAnsi="Times New Roman"/>
          <w:sz w:val="14"/>
          <w:szCs w:val="14"/>
          <w:color w:val="auto"/>
        </w:rPr>
        <w:t>BALANCE, December 31, 2023 Issuances under compensation plans Acquisition of treasury stock Options exercised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right="540" w:hanging="128"/>
        <w:spacing w:after="0" w:line="288" w:lineRule="auto"/>
        <w:rPr>
          <w:sz w:val="20"/>
          <w:szCs w:val="20"/>
          <w:color w:val="auto"/>
        </w:rPr>
      </w:pPr>
      <w:r>
        <w:rPr>
          <w:rFonts w:ascii="Times New Roman" w:cs="Times New Roman" w:eastAsia="Times New Roman" w:hAnsi="Times New Roman"/>
          <w:sz w:val="14"/>
          <w:szCs w:val="14"/>
          <w:color w:val="auto"/>
        </w:rPr>
        <w:t>BALANCE, September 30, 2024 Issuances under compensation plans Acquisition of treasury stock Non-cash compensation</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right="500" w:hanging="115"/>
        <w:spacing w:after="0" w:line="288" w:lineRule="auto"/>
        <w:rPr>
          <w:sz w:val="20"/>
          <w:szCs w:val="20"/>
          <w:color w:val="auto"/>
        </w:rPr>
      </w:pPr>
      <w:r>
        <w:rPr>
          <w:rFonts w:ascii="Times New Roman" w:cs="Times New Roman" w:eastAsia="Times New Roman" w:hAnsi="Times New Roman"/>
          <w:sz w:val="14"/>
          <w:szCs w:val="14"/>
          <w:color w:val="auto"/>
        </w:rPr>
        <w:t>BALANCE, September 30, 2023 Issuances under compensation plans Acquisition of treasury stock Options exercised</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 attributable to IES Holdings, Inc.</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2024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25400</wp:posOffset>
            </wp:positionV>
            <wp:extent cx="5034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3491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12"/>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5"/>
                <w:szCs w:val="15"/>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 Paid-In</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3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(2,042,899)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(101,838)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201,138</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652,439</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(118,314)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(2,161,213)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(122,372)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204,278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623,657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705,783</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46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(1,835,553)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(49,521)</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333,958</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(21,518)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(1,806,071)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380,926</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2025</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(2,077,859)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(90,325)</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497,760</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611,113</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94,752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(178,106)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126,955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126,955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(2,161,213)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(122,372)</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623,657</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705,783</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Six Months Ended March 31, 2024</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bottom w:val="single" w:sz="8" w:color="auto"/>
            </w:tcBorders>
            <w:gridSpan w:val="1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10"/>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12"/>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20" w:type="dxa"/>
            <w:vAlign w:val="bottom"/>
          </w:tcPr>
          <w:p>
            <w:pPr>
              <w:spacing w:after="0"/>
              <w:rPr>
                <w:sz w:val="19"/>
                <w:szCs w:val="19"/>
                <w:color w:val="auto"/>
              </w:rPr>
            </w:pPr>
          </w:p>
        </w:tc>
        <w:tc>
          <w:tcPr>
            <w:tcW w:w="2280" w:type="dxa"/>
            <w:vAlign w:val="bottom"/>
            <w:gridSpan w:val="10"/>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15"/>
                <w:szCs w:val="15"/>
                <w:color w:val="auto"/>
              </w:rPr>
            </w:pPr>
          </w:p>
        </w:tc>
        <w:tc>
          <w:tcPr>
            <w:tcW w:w="9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(1,855,311)</w:t>
            </w:r>
          </w:p>
        </w:tc>
        <w:tc>
          <w:tcPr>
            <w:tcW w:w="20" w:type="dxa"/>
            <w:vAlign w:val="bottom"/>
            <w:tcBorders>
              <w:top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(49,450)</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449,985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82,180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(33,940)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(1,806,071)</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(50,428)</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380,926</w:t>
            </w: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534,806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-5607050</wp:posOffset>
            </wp:positionV>
            <wp:extent cx="7080885"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0885" cy="13081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-5353050</wp:posOffset>
            </wp:positionV>
            <wp:extent cx="7080885"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-5107940</wp:posOffset>
            </wp:positionV>
            <wp:extent cx="7080885"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088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-4199255</wp:posOffset>
            </wp:positionV>
            <wp:extent cx="7056755" cy="130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-3945255</wp:posOffset>
            </wp:positionV>
            <wp:extent cx="7056755" cy="122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-3699510</wp:posOffset>
            </wp:positionV>
            <wp:extent cx="7056755"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-3453765</wp:posOffset>
            </wp:positionV>
            <wp:extent cx="7056755"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-2561590</wp:posOffset>
            </wp:positionV>
            <wp:extent cx="7105650"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13081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-2308225</wp:posOffset>
            </wp:positionV>
            <wp:extent cx="7105650"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-2062480</wp:posOffset>
            </wp:positionV>
            <wp:extent cx="710565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12255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-1816735</wp:posOffset>
            </wp:positionV>
            <wp:extent cx="7105650"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4732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-1030605</wp:posOffset>
            </wp:positionV>
            <wp:extent cx="7056755"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6755" cy="13081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-777240</wp:posOffset>
            </wp:positionV>
            <wp:extent cx="705675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-531495</wp:posOffset>
            </wp:positionV>
            <wp:extent cx="705675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6755" cy="12255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-285750</wp:posOffset>
            </wp:positionV>
            <wp:extent cx="7056755"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6755"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520"/>
            <w:col w:w="7960"/>
          </w:cols>
          <w:pgMar w:left="400" w:top="622" w:right="359" w:bottom="1440" w:gutter="0" w:footer="0" w:header="0"/>
          <w:type w:val="continuous"/>
        </w:sectPr>
      </w:pPr>
    </w:p>
    <w:p>
      <w:pPr>
        <w:spacing w:after="0" w:line="8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400" w:top="622"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130,273</w:t>
            </w:r>
          </w:p>
        </w:tc>
        <w:tc>
          <w:tcPr>
            <w:tcW w:w="1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100,388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15,438</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 and other non-cash tax adjustments,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Unrealized (gain) loss on trading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Marketable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(8,957)</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23,996</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58,693</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(13,359)</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equity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business combinations, net of cash acquired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(22,609)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(11,364)</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976,400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1,346,388</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(976,400)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(1,346,388)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Settlement of contingent consideration liability</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Options exercised</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(43,405)</w:t>
            </w: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30,199</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100,832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75,770</w:t>
            </w: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105,969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480" w:hanging="307"/>
        <w:spacing w:after="0" w:line="26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28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4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hanging="307"/>
        <w:spacing w:after="0" w:line="26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2024.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24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We account for investments using the equity method of accounting if the investment gives us the ability to exercise significant influence over an investee but does not grant us control. Significant influence generally exists when an investor owns 20% or more of 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are recorded in earnings on our Condensed Consolidated Statements of Comprehensive Income.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16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On June 28, 2024, we acquired the remaining 20 percent noncontrolling interest in Bayonet for $32,000.</w:t>
      </w:r>
    </w:p>
    <w:p>
      <w:pPr>
        <w:spacing w:after="0" w:line="12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Under the terms of each entity’s operating agreement, after five years from the date of the acquisition, we may elect to purchase, or the third-party seller may require us to purchase, part or all of the remaining 20 percent interest in the applicable entity. In each case, the purchase price is variable, based on a multiple of earnings as defined in the applicable operating agreement. Therefore, each noncontrolling interest is carried at the greater of the balance determined under Accounting Standards Codification (“ASC”) 810 and the redemption amounts assuming the noncontrolling interest was redeemable at the balance sheet date. If all of the noncontrolling interests remaining outstanding at March 31, 2025 had been redeemable at that date, the aggregate redemption amount would have been $40,748.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activity in redeemable noncontrolling interest for the six months ended March 31, 2025 and 2024 is summarized in the table below.</w:t>
      </w:r>
    </w:p>
    <w:p>
      <w:pPr>
        <w:spacing w:after="0" w:line="204" w:lineRule="exact"/>
        <w:rPr>
          <w:sz w:val="20"/>
          <w:szCs w:val="20"/>
          <w:color w:val="auto"/>
        </w:rPr>
      </w:pPr>
    </w:p>
    <w:tbl>
      <w:tblPr>
        <w:tblLayout w:type="fixed"/>
        <w:tblInd w:w="1100" w:type="dxa"/>
        <w:tblCellMar>
          <w:top w:w="0" w:type="dxa"/>
          <w:left w:w="0" w:type="dxa"/>
          <w:bottom w:w="0" w:type="dxa"/>
          <w:right w:w="0" w:type="dxa"/>
        </w:tblCellMar>
      </w:tblPr>
      <w:tr>
        <w:trPr>
          <w:trHeight w:val="223"/>
        </w:trPr>
        <w:tc>
          <w:tcPr>
            <w:tcW w:w="6080" w:type="dxa"/>
            <w:vAlign w:val="bottom"/>
          </w:tcPr>
          <w:p>
            <w:pPr>
              <w:spacing w:after="0"/>
              <w:rPr>
                <w:sz w:val="19"/>
                <w:szCs w:val="19"/>
                <w:color w:val="auto"/>
              </w:rPr>
            </w:pPr>
          </w:p>
        </w:tc>
        <w:tc>
          <w:tcPr>
            <w:tcW w:w="2960" w:type="dxa"/>
            <w:vAlign w:val="bottom"/>
            <w:tcBorders>
              <w:bottom w:val="single" w:sz="8" w:color="auto"/>
            </w:tcBorders>
            <w:gridSpan w:val="5"/>
          </w:tcPr>
          <w:p>
            <w:pPr>
              <w:jc w:val="right"/>
              <w:ind w:right="37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60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40,996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r>
      <w:tr>
        <w:trPr>
          <w:trHeight w:val="219"/>
        </w:trPr>
        <w:tc>
          <w:tcPr>
            <w:tcW w:w="6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6,523</w:t>
            </w: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(7,865)</w:t>
            </w:r>
          </w:p>
        </w:tc>
      </w:tr>
      <w:tr>
        <w:trPr>
          <w:trHeight w:val="219"/>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Adjustments to record noncontrolling interests at redemption value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11,549</w:t>
            </w:r>
          </w:p>
        </w:tc>
      </w:tr>
      <w:tr>
        <w:trPr>
          <w:trHeight w:val="237"/>
        </w:trPr>
        <w:tc>
          <w:tcPr>
            <w:tcW w:w="6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40,748</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impacts how we account for business combinations completed after its adoption.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 and Disclosure Rules Not Yet Adopted</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are evaluating the impact this update will have on our annual disclosures; however, it will not impact our financial condition, results of operations, or cash flows.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financial condition, results of operations, or cash flows.</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Accounting Standard Update No. 2024-03, Income Statement—Reporting Comprehensive Income—Expense Disaggregation Disclosures (Subtopic 220-40): Disaggregation of Income Statement Expenses (“ASU 2024-03”). This standard requires additional disclosures of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55 percent of the Company’s outstanding common stock based on a Form 4 filed by Tontine with the SEC on December 18, 2024 and the Company's shares outstanding as of April 30, 2025.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Should Tontine sell or otherwise dispose of all or a significant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On August 1, 2024, the Company entered into an amendment of the sublease agreement, which was set to terminate on August 31, 2024, to extend the term of the agreement through September 30, 2025 effective September 1, 2024, while maintaining monthly payments due in the amount of approximately $9.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16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Given the nature of the Company's services, our contracts with customers have historically been comprised of a single performance obligation.</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generally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 Certain divisions in the Residential and Infrastructure Solutions segments recognize revenue under the right to invoice practical expedient because the duration of their contracts is short. We recognize revenue on such contracts when amounts are billable to the customer, generally when the project is complete.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34"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2025 and 2024 was derived from the following activities. Certain prior period amounts have been reclassified to conform with the current period presentation, where applicable. See details in the following tables: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11"/>
          </w:tcPr>
          <w:p>
            <w:pPr>
              <w:jc w:val="right"/>
              <w:ind w:right="66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212"/>
        </w:trPr>
        <w:tc>
          <w:tcPr>
            <w:tcW w:w="3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273,016</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193,503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505,976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364,251</w:t>
            </w:r>
          </w:p>
        </w:tc>
      </w:tr>
      <w:tr>
        <w:trPr>
          <w:trHeight w:val="219"/>
        </w:trPr>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19"/>
        </w:trPr>
        <w:tc>
          <w:tcPr>
            <w:tcW w:w="30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 Electrical</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160,065</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170,606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329,282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344,587</w:t>
            </w:r>
          </w:p>
        </w:tc>
      </w:tr>
      <w:tr>
        <w:trPr>
          <w:trHeight w:val="219"/>
        </w:trPr>
        <w:tc>
          <w:tcPr>
            <w:tcW w:w="30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Single-family Plumbing &amp; HVAC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79,168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81,686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153,351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154,272</w:t>
            </w:r>
          </w:p>
        </w:tc>
      </w:tr>
      <w:tr>
        <w:trPr>
          <w:trHeight w:val="219"/>
        </w:trPr>
        <w:tc>
          <w:tcPr>
            <w:tcW w:w="30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78,733</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87,080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155,304</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156,369</w:t>
            </w:r>
          </w:p>
        </w:tc>
      </w:tr>
      <w:tr>
        <w:trPr>
          <w:trHeight w:val="212"/>
        </w:trPr>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317,966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339,372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637,937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655,228</w:t>
            </w:r>
          </w:p>
        </w:tc>
      </w:tr>
      <w:tr>
        <w:trPr>
          <w:trHeight w:val="219"/>
        </w:trPr>
        <w:tc>
          <w:tcPr>
            <w:tcW w:w="3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9"/>
        </w:trPr>
        <w:tc>
          <w:tcPr>
            <w:tcW w:w="30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29,178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47,846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23,174</w:t>
            </w:r>
          </w:p>
        </w:tc>
      </w:tr>
      <w:tr>
        <w:trPr>
          <w:trHeight w:val="219"/>
        </w:trPr>
        <w:tc>
          <w:tcPr>
            <w:tcW w:w="30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 Engineered Solutions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88,442</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63,713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177,899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115,503</w:t>
            </w:r>
          </w:p>
        </w:tc>
      </w:tr>
      <w:tr>
        <w:trPr>
          <w:trHeight w:val="212"/>
        </w:trPr>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75,789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225,745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138,677</w:t>
            </w:r>
          </w:p>
        </w:tc>
      </w:tr>
      <w:tr>
        <w:trPr>
          <w:trHeight w:val="219"/>
        </w:trPr>
        <w:tc>
          <w:tcPr>
            <w:tcW w:w="30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125,358</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97,069</w:t>
            </w:r>
          </w:p>
        </w:tc>
        <w:tc>
          <w:tcPr>
            <w:tcW w:w="360" w:type="dxa"/>
            <w:vAlign w:val="bottom"/>
            <w:gridSpan w:val="5"/>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182,021</w:t>
            </w:r>
          </w:p>
        </w:tc>
      </w:tr>
      <w:tr>
        <w:trPr>
          <w:trHeight w:val="212"/>
        </w:trPr>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833,960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705,733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1,583,507</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1,340,177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46"/>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center"/>
              <w:ind w:left="414"/>
              <w:spacing w:after="0"/>
              <w:rPr>
                <w:sz w:val="20"/>
                <w:szCs w:val="20"/>
                <w:color w:val="auto"/>
              </w:rPr>
            </w:pPr>
            <w:r>
              <w:rPr>
                <w:rFonts w:ascii="Times New Roman" w:cs="Times New Roman" w:eastAsia="Times New Roman" w:hAnsi="Times New Roman"/>
                <w:sz w:val="17"/>
                <w:szCs w:val="17"/>
                <w:color w:val="auto"/>
              </w:rPr>
              <w:t>Three Months Ended March 31, 2025</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70"/>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Solutions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100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254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30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202,412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317,966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106,477</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107,516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734,371</w:t>
            </w: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70,604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11,143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17,842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99,589</w:t>
            </w:r>
          </w:p>
        </w:tc>
        <w:tc>
          <w:tcPr>
            <w:tcW w:w="50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254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273,016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317,966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117,620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125,358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833,960</w:t>
            </w: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center"/>
              <w:ind w:left="414"/>
              <w:spacing w:after="0"/>
              <w:rPr>
                <w:sz w:val="20"/>
                <w:szCs w:val="20"/>
                <w:color w:val="auto"/>
              </w:rPr>
            </w:pPr>
            <w:r>
              <w:rPr>
                <w:rFonts w:ascii="Times New Roman" w:cs="Times New Roman" w:eastAsia="Times New Roman" w:hAnsi="Times New Roman"/>
                <w:sz w:val="17"/>
                <w:szCs w:val="17"/>
                <w:color w:val="auto"/>
              </w:rPr>
              <w:t>Three Months Ended March 31, 2024</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70"/>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Solutions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100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2540" w:type="dxa"/>
            <w:vAlign w:val="bottom"/>
            <w:tcBorders>
              <w:top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30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141,144</w:t>
            </w: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339,372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73,543</w:t>
            </w:r>
          </w:p>
        </w:tc>
        <w:tc>
          <w:tcPr>
            <w:tcW w:w="360" w:type="dxa"/>
            <w:vAlign w:val="bottom"/>
            <w:tcBorders>
              <w:top w:val="single" w:sz="8" w:color="auto"/>
            </w:tcBorders>
            <w:gridSpan w:val="5"/>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82,972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637,031</w:t>
            </w: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52,359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gridSpan w:val="6"/>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14,097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68,702</w:t>
            </w:r>
          </w:p>
        </w:tc>
        <w:tc>
          <w:tcPr>
            <w:tcW w:w="50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254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339,372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75,789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97,069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705,733</w:t>
            </w: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6"/>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center"/>
              <w:ind w:left="434"/>
              <w:spacing w:after="0"/>
              <w:rPr>
                <w:sz w:val="20"/>
                <w:szCs w:val="20"/>
                <w:color w:val="auto"/>
              </w:rPr>
            </w:pPr>
            <w:r>
              <w:rPr>
                <w:rFonts w:ascii="Times New Roman" w:cs="Times New Roman" w:eastAsia="Times New Roman" w:hAnsi="Times New Roman"/>
                <w:sz w:val="17"/>
                <w:szCs w:val="17"/>
                <w:color w:val="auto"/>
              </w:rPr>
              <w:t>Six Months Ended March 31, 2025</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0"/>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2"/>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Solutions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10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368,745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637,937</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206,677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183,706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1,397,065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137,231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19,068</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30,143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505,976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637,937</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225,745</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213,849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1,583,507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4"/>
          </w:tcPr>
          <w:p>
            <w:pPr>
              <w:spacing w:after="0" w:line="20" w:lineRule="exact"/>
              <w:rPr>
                <w:sz w:val="1"/>
                <w:szCs w:val="1"/>
                <w:color w:val="auto"/>
              </w:rPr>
            </w:pPr>
          </w:p>
        </w:tc>
        <w:tc>
          <w:tcPr>
            <w:tcW w:w="14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gridSpan w:val="3"/>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center"/>
              <w:ind w:left="434"/>
              <w:spacing w:after="0"/>
              <w:rPr>
                <w:sz w:val="20"/>
                <w:szCs w:val="20"/>
                <w:color w:val="auto"/>
              </w:rPr>
            </w:pPr>
            <w:r>
              <w:rPr>
                <w:rFonts w:ascii="Times New Roman" w:cs="Times New Roman" w:eastAsia="Times New Roman" w:hAnsi="Times New Roman"/>
                <w:sz w:val="17"/>
                <w:szCs w:val="17"/>
                <w:color w:val="auto"/>
              </w:rPr>
              <w:t>Six Months Ended March 31, 2024</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0"/>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2"/>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Communications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Solutions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10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266,367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134,423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156,882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1,212,900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97,884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25,139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2"/>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364,251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138,677</w:t>
            </w:r>
          </w:p>
        </w:tc>
        <w:tc>
          <w:tcPr>
            <w:tcW w:w="80" w:type="dxa"/>
            <w:vAlign w:val="bottom"/>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3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6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8"/>
        </w:trPr>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March 31, 2025, Accounts receivable included $18,758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spacing w:after="0" w:line="20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2025 and 2024, we recognized revenue of $140,390 and $92,970 related to our contract liabilities at September 30,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2025, we had remaining performance obligations of $1,225,985. The Company expects to recognize revenue on approximately $1,067,317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six months ended March 31, 2025,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14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Prior to January 21, 2025, we were a party to the Third Amended and Restated Credit and Security Agreement (the “Third Credit Agreement”), which provided for a maximum borrowing amount of $150,000 under our revolving credit facility. Borrowings were limited by a borrowing base determined based on available collateral. The Third Credit Agreement, which was scheduled to mature on September 30, 2026, contained customary affirmative, negative and financial covenants.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Fourth Amended and Restated Credit and Security Agreement</w:t>
      </w:r>
    </w:p>
    <w:p>
      <w:pPr>
        <w:spacing w:after="0" w:line="16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On January 21, 2025 we entered into the Fourth Amended and Restated Credit Agreement (the “Amended Credit Agreement”). Pursuant to the Amended Credit Agreement, our revolver amount increased from $150,000 to $300,000, and the maturity date was extended from September 30, 2026, to January 21, 2030. In addition, the limitation on borrowings based on available collateral was eliminated under the Amended Credit Agreement.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March 31, 2025, the Company was in compliance with the financial covenants under the Amended Credit Agreement.</w:t>
      </w:r>
    </w:p>
    <w:p>
      <w:pPr>
        <w:spacing w:after="0" w:line="114"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At March 31, 2025 and September 30, 2024, we had no outstanding borrowings under our revolving credit facility. At March 31, 2025, we had $5,545 in outstanding letters of credit and total availability of $294,455 under our revolving credit facility.</w:t>
      </w:r>
    </w:p>
    <w:p>
      <w:pPr>
        <w:spacing w:after="0" w:line="10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an interest rate margin, which is determined quarterly based on our Consolidated Total Leverage Ratio, in accordance with the following thresholds: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Pricing</w:t>
            </w:r>
          </w:p>
        </w:tc>
        <w:tc>
          <w:tcPr>
            <w:tcW w:w="558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7"/>
                <w:szCs w:val="17"/>
                <w:color w:val="auto"/>
              </w:rPr>
              <w:t>Consolidated Total Leverage Ratio</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0" w:type="dxa"/>
            <w:vAlign w:val="bottom"/>
          </w:tcPr>
          <w:p>
            <w:pPr>
              <w:spacing w:after="0"/>
              <w:rPr>
                <w:sz w:val="1"/>
                <w:szCs w:val="1"/>
                <w:color w:val="auto"/>
              </w:rPr>
            </w:pPr>
          </w:p>
        </w:tc>
      </w:tr>
      <w:tr>
        <w:trPr>
          <w:trHeight w:val="228"/>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w:t>
            </w:r>
          </w:p>
        </w:tc>
        <w:tc>
          <w:tcPr>
            <w:tcW w:w="5580" w:type="dxa"/>
            <w:vAlign w:val="bottom"/>
            <w:gridSpan w:val="2"/>
            <w:vMerge w:val="continue"/>
          </w:tcPr>
          <w:p>
            <w:pPr>
              <w:spacing w:after="0"/>
              <w:rPr>
                <w:sz w:val="19"/>
                <w:szCs w:val="19"/>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Daily Simple SOFR/Term SOFR</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Base Rate</w:t>
            </w:r>
          </w:p>
        </w:tc>
        <w:tc>
          <w:tcPr>
            <w:tcW w:w="0" w:type="dxa"/>
            <w:vAlign w:val="bottom"/>
          </w:tcPr>
          <w:p>
            <w:pPr>
              <w:spacing w:after="0"/>
              <w:rPr>
                <w:sz w:val="1"/>
                <w:szCs w:val="1"/>
                <w:color w:val="auto"/>
              </w:rPr>
            </w:pPr>
          </w:p>
        </w:tc>
      </w:tr>
      <w:tr>
        <w:trPr>
          <w:trHeight w:val="220"/>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1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Greater than or equal to 2.50 to 1.00</w:t>
            </w:r>
          </w:p>
        </w:tc>
        <w:tc>
          <w:tcPr>
            <w:tcW w:w="14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 percentage points</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1.25 percentage points</w:t>
            </w:r>
          </w:p>
        </w:tc>
        <w:tc>
          <w:tcPr>
            <w:tcW w:w="0" w:type="dxa"/>
            <w:vAlign w:val="bottom"/>
          </w:tcPr>
          <w:p>
            <w:pPr>
              <w:spacing w:after="0"/>
              <w:rPr>
                <w:sz w:val="1"/>
                <w:szCs w:val="1"/>
                <w:color w:val="auto"/>
              </w:rPr>
            </w:pPr>
          </w:p>
        </w:tc>
      </w:tr>
      <w:tr>
        <w:trPr>
          <w:trHeight w:val="293"/>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1.75 to 1.00, but less than 2.50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2.00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III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1.00 to 1.00, but less than 1.75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1.75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0.75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IV</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than 1.00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1.50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 percentage points</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In addition, we are charged monthly in arrears for an unused commitment fee of 0.25% to 0.35% per annum on any unused portion of the revolving credit facility based on the Company's Consolidated Total Leverage Ratio.</w:t>
      </w:r>
    </w:p>
    <w:p>
      <w:pPr>
        <w:spacing w:after="0" w:line="100"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components of basic and diluted earnings per share for the three and six months ended March 31, 2025 and 2024:</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(Increase) decrease in noncontrolling interest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Three Months Ended March</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2"/>
        </w:trPr>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color w:val="auto"/>
                <w:w w:val="93"/>
              </w:rPr>
              <w:t>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r>
      <w:tr>
        <w:trPr>
          <w:trHeight w:val="41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70,652</w:t>
            </w:r>
          </w:p>
        </w:tc>
        <w:tc>
          <w:tcPr>
            <w:tcW w:w="38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52,909</w:t>
            </w:r>
          </w:p>
        </w:tc>
        <w:tc>
          <w:tcPr>
            <w:tcW w:w="10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126,955</w:t>
            </w:r>
          </w:p>
        </w:tc>
        <w:tc>
          <w:tcPr>
            <w:tcW w:w="10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93,865</w:t>
            </w:r>
          </w:p>
        </w:tc>
      </w:tr>
      <w:tr>
        <w:trPr>
          <w:trHeight w:val="223"/>
        </w:trPr>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(5,941)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(8,723)</w:t>
            </w:r>
          </w:p>
        </w:tc>
      </w:tr>
      <w:tr>
        <w:trPr>
          <w:trHeight w:val="212"/>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70,738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46,968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125,897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85,142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120" w:space="720"/>
            <w:col w:w="4400"/>
          </w:cols>
          <w:pgMar w:left="320" w:top="432"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9"/>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19,969,618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20,227,342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19,979,896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20,213,421</w:t>
            </w:r>
          </w:p>
        </w:tc>
      </w:tr>
      <w:tr>
        <w:trPr>
          <w:trHeight w:val="219"/>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243,824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252,413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249,981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236,270</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20,213,442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20,479,755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20,229,877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20,449,691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1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58"/>
        </w:trPr>
        <w:tc>
          <w:tcPr>
            <w:tcW w:w="7880" w:type="dxa"/>
            <w:vAlign w:val="bottom"/>
            <w:gridSpan w:val="3"/>
          </w:tcPr>
          <w:p>
            <w:pPr>
              <w:spacing w:after="0"/>
              <w:rPr>
                <w:sz w:val="22"/>
                <w:szCs w:val="22"/>
                <w:color w:val="auto"/>
              </w:rPr>
            </w:pPr>
          </w:p>
        </w:tc>
        <w:tc>
          <w:tcPr>
            <w:tcW w:w="1120" w:type="dxa"/>
            <w:vAlign w:val="bottom"/>
            <w:gridSpan w:val="3"/>
          </w:tcPr>
          <w:p>
            <w:pPr>
              <w:spacing w:after="0"/>
              <w:rPr>
                <w:sz w:val="22"/>
                <w:szCs w:val="22"/>
                <w:color w:val="auto"/>
              </w:rPr>
            </w:pPr>
          </w:p>
        </w:tc>
        <w:tc>
          <w:tcPr>
            <w:tcW w:w="1120" w:type="dxa"/>
            <w:vAlign w:val="bottom"/>
            <w:gridSpan w:val="3"/>
          </w:tcPr>
          <w:p>
            <w:pPr>
              <w:spacing w:after="0"/>
              <w:rPr>
                <w:sz w:val="22"/>
                <w:szCs w:val="22"/>
                <w:color w:val="auto"/>
              </w:rPr>
            </w:pPr>
          </w:p>
        </w:tc>
        <w:tc>
          <w:tcPr>
            <w:tcW w:w="1120" w:type="dxa"/>
            <w:vAlign w:val="bottom"/>
            <w:gridSpan w:val="3"/>
          </w:tcPr>
          <w:p>
            <w:pPr>
              <w:spacing w:after="0"/>
              <w:rPr>
                <w:sz w:val="22"/>
                <w:szCs w:val="22"/>
                <w:color w:val="auto"/>
              </w:rPr>
            </w:pPr>
          </w:p>
        </w:tc>
      </w:tr>
      <w:tr>
        <w:trPr>
          <w:trHeight w:val="219"/>
        </w:trPr>
        <w:tc>
          <w:tcPr>
            <w:tcW w:w="112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Potentially dilutive securities excluded from the computation of diluted earnings per share as the effect of their inclusion would have been anti-dilutive:</w:t>
            </w:r>
          </w:p>
        </w:tc>
      </w:tr>
      <w:tr>
        <w:trPr>
          <w:trHeight w:val="223"/>
        </w:trPr>
        <w:tc>
          <w:tcPr>
            <w:tcW w:w="6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phantom stock units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21,584</w:t>
            </w:r>
          </w:p>
        </w:tc>
      </w:tr>
    </w:tbl>
    <w:p>
      <w:pPr>
        <w:spacing w:after="0" w:line="21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For the three and six months ended March 31, 2024, the average price of our common shares exceeded the exercise price of all of our outstanding stock options. As a result, all of our outstanding stock options were included in the computation of diluted earnings per share. We had no remaining outstanding unvested stock options during the three and six months ended March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720" w:firstLine="3"/>
        <w:spacing w:after="0" w:line="266" w:lineRule="auto"/>
        <w:tabs>
          <w:tab w:leader="none" w:pos="17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CODM reviews operating results for the purpose of allocating resources and assessing performance. The Company’s CODM is its Chief Executive Officer.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6" w:name="page17"/>
    <w:bookmarkEnd w:id="16"/>
    <w:p>
      <w:pPr>
        <w:ind w:right="12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office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and six months ended March 31, 2025 and 2024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2025</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273,016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317,966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117,620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125,358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833,960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209,973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238,294</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78,319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98,505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625,091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63,043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79,672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208,869</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23,441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57,151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12,487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11,941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116,044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39,623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92,695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6,372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3,748</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1,685</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343,356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379,510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1,364,559</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right="320"/>
              <w:spacing w:after="0"/>
              <w:rPr>
                <w:sz w:val="20"/>
                <w:szCs w:val="20"/>
                <w:color w:val="auto"/>
              </w:rPr>
            </w:pPr>
            <w:r>
              <w:rPr>
                <w:rFonts w:ascii="Times New Roman" w:cs="Times New Roman" w:eastAsia="Times New Roman" w:hAnsi="Times New Roman"/>
                <w:sz w:val="15"/>
                <w:szCs w:val="15"/>
                <w:color w:val="auto"/>
              </w:rPr>
              <w:t>Three Months Ended March 31,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193,503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339,372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75,789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705,733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154,568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250,702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52,044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76,806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534,120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38,935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88,670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171,613</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16,988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55,258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7,627</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8,707</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95,272</w:t>
            </w: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21,963</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34,687</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(6,678)</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77,714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5,012</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7,821</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6,844</w:t>
            </w:r>
          </w:p>
        </w:tc>
        <w:tc>
          <w:tcPr>
            <w:tcW w:w="0" w:type="dxa"/>
            <w:vAlign w:val="bottom"/>
          </w:tcPr>
          <w:p>
            <w:pPr>
              <w:spacing w:after="0"/>
              <w:rPr>
                <w:sz w:val="1"/>
                <w:szCs w:val="1"/>
                <w:color w:val="auto"/>
              </w:rPr>
            </w:pPr>
          </w:p>
        </w:tc>
      </w:tr>
      <w:tr>
        <w:trPr>
          <w:trHeight w:val="201"/>
        </w:trPr>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230,386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396,760</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200,476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174,697</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1,101,164</w:t>
            </w:r>
          </w:p>
        </w:tc>
        <w:tc>
          <w:tcPr>
            <w:tcW w:w="0" w:type="dxa"/>
            <w:vAlign w:val="bottom"/>
          </w:tcPr>
          <w:p>
            <w:pPr>
              <w:spacing w:after="0"/>
              <w:rPr>
                <w:sz w:val="1"/>
                <w:szCs w:val="1"/>
                <w:color w:val="auto"/>
              </w:rPr>
            </w:pPr>
          </w:p>
        </w:tc>
      </w:tr>
      <w:tr>
        <w:trPr>
          <w:trHeight w:val="544"/>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5"/>
                <w:szCs w:val="15"/>
                <w:color w:val="auto"/>
              </w:rPr>
              <w:t>Six Months Ended March 31, 2025</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505,976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637,937</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213,849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1,583,507</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394,122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479,137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151,472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171,880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1,196,611</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111,854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158,800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386,896</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43,679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112,463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23,755</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19,088</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219,083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46,500</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22,908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(20,098)</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167,314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23,035</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11,052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6,089</w:t>
            </w:r>
          </w:p>
        </w:tc>
        <w:tc>
          <w:tcPr>
            <w:tcW w:w="1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343,356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379,510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5"/>
                <w:szCs w:val="15"/>
                <w:color w:val="auto"/>
              </w:rPr>
              <w:t>Six Months Ended March 31, 2024</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364,251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655,228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138,677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182,021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1,340,177</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289,041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491,127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96,741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147,851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1,024,760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41,936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34,170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315,417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31,889</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106,636</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14,912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15,554</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12,131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43,341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135,704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15,438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1,936</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2,035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2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230,386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396,760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200,476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1,101,164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phantom stock units, performance awards and stock options as well as grants of stock, including restricted stock. The Equity Incentive Plan was amended and restated effective February 20, 2025 following approval by stockholders at the Company's 2025 Annual Meeting of Stockholders to, among other things, authorize the issuance of an additional 750,000 shares under the Equity Incentive Plan and extend its term to February 19, 2035. As of March 31, 2025, approximately 3.75 million shares of common stock were authorized for issuance under the Equity Incentive Plan, of which approximately 1,291,991 shares were available for issuance.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On July 31, 2024, our Board authorized a stock repurchase program for the purchase from time to time of up to $200,000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118,314 and 139,362 shares of our common stock during the three and six months ended March 31, 2025 in open market transactions at an average price of $172.80 and $178.40 per share, respectively. We had no repurchases of common stock in open market transactions during the three and six months ended March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During the six months ended March 31, 2025, we issued 94,752 shares of common stock from treasury stock to employees and repurchased 38,744 shares of common stock from our employees to satisfy statutory tax withholding requirements upon the vesting of certain phantom stock units under the Equity Incentive Plan.</w:t>
      </w:r>
    </w:p>
    <w:p>
      <w:pPr>
        <w:spacing w:after="0" w:line="19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2024, we issued 82,180 shares of common stock from treasury stock to employees and repurchased 33,940 shares of common stock from our employees to satisfy statutory tax withholding requirements upon the vesting of certain phantom stock units under the Equity Incentive Plan. During the six months ended March 31, 2024, we issued 1,000 unrestricted shares to satisfy the exercise of certain outstanding option awards under the Equity Incentive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Employee PSU activity for the six months ended March 31, 2025 is provided in the table below:</w:t>
            </w:r>
          </w:p>
        </w:tc>
        <w:tc>
          <w:tcPr>
            <w:tcW w:w="1560" w:type="dxa"/>
            <w:vAlign w:val="bottom"/>
          </w:tcPr>
          <w:p>
            <w:pPr>
              <w:spacing w:after="0"/>
              <w:rPr>
                <w:sz w:val="19"/>
                <w:szCs w:val="19"/>
                <w:color w:val="auto"/>
              </w:rPr>
            </w:pPr>
          </w:p>
        </w:tc>
      </w:tr>
      <w:tr>
        <w:trPr>
          <w:trHeight w:val="180"/>
        </w:trPr>
        <w:tc>
          <w:tcPr>
            <w:tcW w:w="18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19"/>
        </w:trPr>
        <w:tc>
          <w:tcPr>
            <w:tcW w:w="1800" w:type="dxa"/>
            <w:vAlign w:val="bottom"/>
          </w:tcPr>
          <w:p>
            <w:pPr>
              <w:spacing w:after="0"/>
              <w:rPr>
                <w:sz w:val="19"/>
                <w:szCs w:val="19"/>
                <w:color w:val="auto"/>
              </w:rPr>
            </w:pPr>
          </w:p>
        </w:tc>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September 30,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300,301</w:t>
            </w:r>
          </w:p>
        </w:tc>
      </w:tr>
      <w:tr>
        <w:trPr>
          <w:trHeight w:val="219"/>
        </w:trPr>
        <w:tc>
          <w:tcPr>
            <w:tcW w:w="180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78,120</w:t>
            </w:r>
          </w:p>
        </w:tc>
      </w:tr>
      <w:tr>
        <w:trPr>
          <w:trHeight w:val="219"/>
        </w:trPr>
        <w:tc>
          <w:tcPr>
            <w:tcW w:w="1800" w:type="dxa"/>
            <w:vAlign w:val="bottom"/>
          </w:tcPr>
          <w:p>
            <w:pPr>
              <w:spacing w:after="0"/>
              <w:rPr>
                <w:sz w:val="19"/>
                <w:szCs w:val="19"/>
                <w:color w:val="auto"/>
              </w:rPr>
            </w:pPr>
          </w:p>
        </w:tc>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(94,752)</w:t>
            </w:r>
          </w:p>
        </w:tc>
      </w:tr>
      <w:tr>
        <w:trPr>
          <w:trHeight w:val="219"/>
        </w:trPr>
        <w:tc>
          <w:tcPr>
            <w:tcW w:w="1800" w:type="dxa"/>
            <w:vAlign w:val="bottom"/>
          </w:tcPr>
          <w:p>
            <w:pPr>
              <w:spacing w:after="0"/>
              <w:rPr>
                <w:sz w:val="19"/>
                <w:szCs w:val="19"/>
                <w:color w:val="auto"/>
              </w:rPr>
            </w:pPr>
          </w:p>
        </w:tc>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r>
      <w:tr>
        <w:trPr>
          <w:trHeight w:val="237"/>
        </w:trPr>
        <w:tc>
          <w:tcPr>
            <w:tcW w:w="180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March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282,114</w:t>
            </w:r>
          </w:p>
        </w:tc>
      </w:tr>
      <w:tr>
        <w:trPr>
          <w:trHeight w:val="20"/>
        </w:trPr>
        <w:tc>
          <w:tcPr>
            <w:tcW w:w="180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three and six months ended March 31, 2025 and 2024 is provided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00" w:type="dxa"/>
            <w:vAlign w:val="bottom"/>
            <w:tcBorders>
              <w:bottom w:val="single" w:sz="8" w:color="auto"/>
            </w:tcBorders>
          </w:tcPr>
          <w:p>
            <w:pPr>
              <w:spacing w:after="0"/>
              <w:rPr>
                <w:sz w:val="19"/>
                <w:szCs w:val="19"/>
                <w:color w:val="auto"/>
              </w:rPr>
            </w:pPr>
          </w:p>
        </w:tc>
      </w:tr>
      <w:tr>
        <w:trPr>
          <w:trHeight w:val="212"/>
        </w:trPr>
        <w:tc>
          <w:tcPr>
            <w:tcW w:w="4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18"/>
                <w:szCs w:val="18"/>
                <w:color w:val="auto"/>
              </w:rPr>
            </w:pPr>
          </w:p>
        </w:tc>
      </w:tr>
      <w:tr>
        <w:trPr>
          <w:trHeight w:val="212"/>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23"/>
        </w:trPr>
        <w:tc>
          <w:tcPr>
            <w:tcW w:w="4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8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1,380</w:t>
            </w:r>
          </w:p>
        </w:tc>
        <w:tc>
          <w:tcPr>
            <w:tcW w:w="8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Marketable Securities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Investments in marketable equity and debt securities classified as trading securities, which were included in “Marketable securities” in our Condensed Consolidated Balance Sheets, are measured at fair value on a recurring basis and classified within Level 1 of the fair value hierarchy, because we use quoted prices of identical assets in active markets. For more information, refer to Note 9, “Fair Value Measurements.” The balance of our marketable securities was as follows: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March 31, 2025</w:t>
            </w:r>
          </w:p>
        </w:tc>
        <w:tc>
          <w:tcPr>
            <w:tcW w:w="15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September 30, 2024</w:t>
            </w:r>
          </w:p>
        </w:tc>
      </w:tr>
      <w:tr>
        <w:trPr>
          <w:trHeight w:val="212"/>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62,339</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r>
      <w:tr>
        <w:trPr>
          <w:trHeight w:val="21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3,364</w:t>
            </w:r>
          </w:p>
        </w:tc>
      </w:tr>
      <w:tr>
        <w:trPr>
          <w:trHeight w:val="237"/>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65,848</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Gains and losses to measure our investments in marketable equity and debt securities at fair value were included in “Other income, net” on our Condensed Consolidated Statements of Comprehensive Income. Our unrealized net gains (losses), which are calculated as total net gains (losses) recognized during the period less net gains (losses) recognized on securities sold during the period, were as follows:</w:t>
      </w:r>
    </w:p>
    <w:tbl>
      <w:tblPr>
        <w:tblLayout w:type="fixed"/>
        <w:tblInd w:w="24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292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260" w:type="dxa"/>
            <w:vAlign w:val="bottom"/>
          </w:tcPr>
          <w:p>
            <w:pPr>
              <w:spacing w:after="0"/>
              <w:rPr>
                <w:sz w:val="19"/>
                <w:szCs w:val="19"/>
                <w:color w:val="auto"/>
              </w:rPr>
            </w:pPr>
          </w:p>
        </w:tc>
        <w:tc>
          <w:tcPr>
            <w:tcW w:w="25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50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Unrealized gain (loss) on marketable equity securities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w:t>
            </w:r>
          </w:p>
        </w:tc>
      </w:tr>
      <w:tr>
        <w:trPr>
          <w:trHeight w:val="219"/>
        </w:trPr>
        <w:tc>
          <w:tcPr>
            <w:tcW w:w="5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Unrealized gain (loss) on marketable debt securities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7"/>
        </w:trPr>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unrealized gain (loss) on trading securities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our debt securities classified as trading securities at March 31, 2025 mature after one year and before five years.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formerly owned by McDermott International, Ltd. Our investment, which was included in “Investments” on our Condensed Consolidated Balance Sheets, is measured using the equity method of accounting, wherein the carrying value of our investment is initially recorded at cost basis and subsequently adjusted for our proportionate share of earnings or losses, additional investments, and distributions. We recorded no earnings or loss on our investment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in Jett in the three and six months ended March 31, 2025 and the carrying value of our investment in Jett was $44,900 at March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At March 31, 2025 and September 30, 2024, financial assets and liabilities measured at fair value on a recurring basis were limited to investments in marketable equity and debt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spacing w:after="0" w:line="19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March 31, 2025 and September 30, 2024,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9"/>
              </w:rPr>
              <w:t>March 31, 2025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38"/>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62,339</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0" w:type="dxa"/>
            <w:vAlign w:val="bottom"/>
          </w:tcPr>
          <w:p>
            <w:pPr>
              <w:spacing w:after="0"/>
              <w:rPr>
                <w:sz w:val="1"/>
                <w:szCs w:val="1"/>
                <w:color w:val="auto"/>
              </w:rPr>
            </w:pP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61,831</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65,977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September 30, 2024</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31,669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35,137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2024, we entered into a contingent consideration arrangement under which we are obligated to pay up to $5,000 upon achievement of certain future earnings targets in connection with the acquisition of Greiner Industries, Inc. (“Greiner”) valued at $2,790 on the acquisition date. The fair value of this liability, which was included in “Other non-current liabilities” in our Condensed Consolidated Balance Sheets, is measured on a recurring basis classified within Level 3 of the fair value hierarchy. Net adjustments to its fair value were included in “Contingent consideration” in our Condensed Consolidated Statements of Comprehensive Income.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The table below presents the change in fair value of liabilities measured using significant unobservable inputs (Level 3).</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34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Contingent consideration liability</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2024</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 included in “Contingent consideration”</w:t>
            </w: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March 31, 2025</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INVENTORY</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1"/>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March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70,767</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changes in the carrying value of goodwill by segment during the six months ended March 31, 2025:</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Infrastructure</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20"/>
                <w:szCs w:val="20"/>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Solutions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2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Goodwill at September 30,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39,774</w:t>
            </w:r>
          </w:p>
        </w:tc>
        <w:tc>
          <w:tcPr>
            <w:tcW w:w="3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2"/>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0" w:type="dxa"/>
            <w:vAlign w:val="bottom"/>
          </w:tcPr>
          <w:p>
            <w:pPr>
              <w:spacing w:after="0"/>
              <w:rPr>
                <w:sz w:val="1"/>
                <w:szCs w:val="1"/>
                <w:color w:val="auto"/>
              </w:rPr>
            </w:pPr>
          </w:p>
        </w:tc>
      </w:tr>
      <w:tr>
        <w:trPr>
          <w:trHeight w:val="219"/>
        </w:trPr>
        <w:tc>
          <w:tcPr>
            <w:tcW w:w="2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Acquisitions</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-466090</wp:posOffset>
            </wp:positionV>
            <wp:extent cx="6892925"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2925" cy="147320"/>
                    </a:xfrm>
                    <a:prstGeom prst="rect">
                      <a:avLst/>
                    </a:prstGeom>
                    <a:noFill/>
                  </pic:spPr>
                </pic:pic>
              </a:graphicData>
            </a:graphic>
          </wp:anchor>
        </w:drawing>
      </w:r>
    </w:p>
    <w:p>
      <w:pPr>
        <w:spacing w:after="0" w:line="88" w:lineRule="exact"/>
        <w:rPr>
          <w:sz w:val="20"/>
          <w:szCs w:val="20"/>
          <w:color w:val="auto"/>
        </w:rPr>
      </w:pPr>
    </w:p>
    <w:p>
      <w:pPr>
        <w:ind w:left="620" w:right="80" w:hanging="230"/>
        <w:spacing w:after="0" w:line="295"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the Company acquired all of the equity interests of Arrow Engine Company for a purchase price of $22,067. The fair value of the total consideration for this transaction and the amount of goodwill acquired remains subject to post-closing adjustments as of the date of this report.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7"/>
                <w:szCs w:val="17"/>
                <w:color w:val="auto"/>
                <w:w w:val="99"/>
              </w:rPr>
              <w:t>March 31, 2025</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70"/>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19"/>
                <w:szCs w:val="19"/>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6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34,201</w:t>
            </w:r>
          </w:p>
        </w:tc>
      </w:tr>
      <w:tr>
        <w:trPr>
          <w:trHeight w:val="219"/>
        </w:trPr>
        <w:tc>
          <w:tcPr>
            <w:tcW w:w="48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37"/>
        </w:trPr>
        <w:tc>
          <w:tcPr>
            <w:tcW w:w="48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111,017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(68,936)</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6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7"/>
                <w:szCs w:val="17"/>
                <w:color w:val="auto"/>
              </w:rPr>
              <w:t>September 30, 2024</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2"/>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center"/>
              <w:ind w:right="3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20"/>
                <w:szCs w:val="20"/>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38,318</w:t>
            </w:r>
          </w:p>
        </w:tc>
      </w:tr>
      <w:tr>
        <w:trPr>
          <w:trHeight w:val="219"/>
        </w:trPr>
        <w:tc>
          <w:tcPr>
            <w:tcW w:w="48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37"/>
        </w:trPr>
        <w:tc>
          <w:tcPr>
            <w:tcW w:w="48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March 31, 2025 and September 30, 2024, we had $11,182 and $11,158,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w:t>
      </w:r>
    </w:p>
    <w:p>
      <w:pPr>
        <w:spacing w:after="0" w:line="2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2025 and September 30, 2024, $5,545 and $4,756, respectively, of our outstanding letters of credit was utilized to collateralize our insurance program.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As of March 31, 2025, the estimated cost to complete our bonded projects was approximately $139,032.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2025, we did not have any such firm commitments to purchase materials outstanding.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7"/>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13. SUPPLEMENTAL CASH FLOW INFORMATION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61"/>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cash and noncash activities in the six months ended March 31, 2025 and 2024 were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240" w:type="dxa"/>
            <w:vAlign w:val="bottom"/>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8"/>
                <w:szCs w:val="18"/>
                <w:color w:val="auto"/>
              </w:rPr>
            </w:pPr>
          </w:p>
        </w:tc>
      </w:tr>
      <w:tr>
        <w:trPr>
          <w:trHeight w:val="199"/>
        </w:trPr>
        <w:tc>
          <w:tcPr>
            <w:tcW w:w="240" w:type="dxa"/>
            <w:vAlign w:val="bottom"/>
          </w:tcPr>
          <w:p>
            <w:pPr>
              <w:spacing w:after="0"/>
              <w:rPr>
                <w:sz w:val="17"/>
                <w:szCs w:val="17"/>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ACTIVITIES: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2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37,449</w:t>
            </w:r>
          </w:p>
        </w:tc>
        <w:tc>
          <w:tcPr>
            <w:tcW w:w="220" w:type="dxa"/>
            <w:vAlign w:val="bottom"/>
          </w:tcPr>
          <w:p>
            <w:pPr>
              <w:spacing w:after="0"/>
              <w:rPr>
                <w:sz w:val="19"/>
                <w:szCs w:val="19"/>
                <w:color w:val="auto"/>
              </w:rPr>
            </w:pPr>
          </w:p>
        </w:tc>
      </w:tr>
      <w:tr>
        <w:trPr>
          <w:trHeight w:val="258"/>
        </w:trPr>
        <w:tc>
          <w:tcPr>
            <w:tcW w:w="2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27,795</w:t>
            </w:r>
          </w:p>
        </w:tc>
        <w:tc>
          <w:tcPr>
            <w:tcW w:w="10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7,575</w:t>
            </w:r>
          </w:p>
        </w:tc>
        <w:tc>
          <w:tcPr>
            <w:tcW w:w="220" w:type="dxa"/>
            <w:vAlign w:val="bottom"/>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20" w:type="dxa"/>
            <w:vAlign w:val="bottom"/>
          </w:tcPr>
          <w:p>
            <w:pPr>
              <w:spacing w:after="0"/>
              <w:rPr>
                <w:sz w:val="19"/>
                <w:szCs w:val="19"/>
                <w:color w:val="auto"/>
              </w:rPr>
            </w:pPr>
          </w:p>
        </w:tc>
      </w:tr>
      <w:tr>
        <w:trPr>
          <w:trHeight w:val="864"/>
        </w:trPr>
        <w:tc>
          <w:tcPr>
            <w:tcW w:w="7820" w:type="dxa"/>
            <w:vAlign w:val="bottom"/>
            <w:gridSpan w:val="2"/>
          </w:tcPr>
          <w:p>
            <w:pPr>
              <w:jc w:val="right"/>
              <w:ind w:right="2034"/>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8"/>
        </w:trPr>
        <w:tc>
          <w:tcPr>
            <w:tcW w:w="24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2024,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2024,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As we enter the second half of fiscal 2025, we see strong demand continuing across many of our key end markets. However, our business segments each have their own unique set of factors influencing demand for our services. The continuing impacts of elevated mortgage rates and inflation on housing affordability, as well as the impact of current U.S. tariff policy and general economic conditions on consumer sentiment, have dampened consumer demand for housing in certain markets. In response to this, some large home builders are offering customer incentives as they focus on maintaining volume through fluctuations in consumer demand.</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These incentives may put pressure on bid margins on the services that we provide to home builders. In the multi-family residential business, higher borrowing costs for project owners during fiscal 2024 resulted in a reduction in backlog entering fiscal 2025, which in turn drove a reduction in multi-family residential revenues for the quarter ended March 31, 2025. We are beginning to see an increase in multi-family bid activity, and we expect that new projects booked in the second half of fiscal 2025 will benefit us in fiscal 2026. Backlog across our business segments as a whole remains high, reflecting strong demand in key end markets. Demand with respect to data centers, a key end market served by our Communications, Infrastructure Solutions, and Commercial &amp; Industrial segments, remains particularly strong. However, availability of labor and capacity could constrain the rate at which we are able to grow this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2025</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gridSpan w:val="9"/>
          </w:tcPr>
          <w:p>
            <w:pPr>
              <w:jc w:val="center"/>
              <w:ind w:right="3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14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625,091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75.0</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75.7</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24.3</w:t>
            </w:r>
          </w:p>
        </w:tc>
        <w:tc>
          <w:tcPr>
            <w:tcW w:w="2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10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11.0</w:t>
            </w: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2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10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10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6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4" w:name="page25"/>
    <w:bookmarkEnd w:id="24"/>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March 31, 2025, were $128.2 million higher than for the three months ended March 31, 2024, an increase of 18.2%, with increases at our Communications, Infrastructure Solutions and Commercial &amp; Industrial segments and a decrease at our Residential segment. See further discussion below of changes in revenues for our individual segments.</w:t>
      </w:r>
    </w:p>
    <w:p>
      <w:pPr>
        <w:spacing w:after="0" w:line="19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March 31, 2025 increased $37.3 million compared to the three months ended March 31, 2024. Our overall gross profit percentage was 25.0% during the three months ended March 31, 2025, as compared to 24.3% during the three months ended March 31, 2024. Gross profit as a percentage of revenue increased at our Communications, Infrastructure Solutions and Commercial &amp; Industrial segments and decreased at our Residential segment. See further discussion below of changes in gross margin for our individual segments.</w:t>
      </w:r>
    </w:p>
    <w:p>
      <w:pPr>
        <w:spacing w:after="0" w:line="197"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2025, our selling, general and administrative expenses were $116.0 million, an increase of $20.8 million, or 21.8%, over the three months ended March 31, 2024. As a percentage of revenue, selling, general and administrative expenses increased from 13.5% for the three months ended March 31, 2024 to 13.9% for the three months ended March 31, 2025. The increase in selling, general and administrative expenses was generally consistent with revenue growth.</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gridSpan w:val="10"/>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1,196,611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1,024,760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76.5</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23.5</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10.6</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130,273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8.2</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100,388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Consolidated revenues for the six months ended March 31, 2025, were $243.3 million higher than for the six months ended March 31, 2024, an increase of 18.2%, with increases at our Communications, Infrastructure Solutions and Commercial &amp; Industrial segments and a decrease at our Residential segment. See further discussion below of changes in revenues for our individual segments.</w:t>
      </w:r>
    </w:p>
    <w:p>
      <w:pPr>
        <w:spacing w:after="0" w:line="19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six months ended March 31, 2025 increased $71.5 million compared to the six months ended March 31, 2024. Our overall gross profit percentage increased to 24.4% during the six months ended March 31, 2025, as compared to 23.5% during the six months ended March 31, 2024. Gross profit increased at our Communications, Infrastructure Solutions and Commercial &amp; Industrial segments and decreased at our Residential segment. See further discussion below of changes in gross margin for our individual segments.</w:t>
      </w:r>
    </w:p>
    <w:p>
      <w:pPr>
        <w:spacing w:after="0" w:line="17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2025, our selling, general and administrative expenses were $219.1 million, an increase of $38.0 million, or 21.0%, over the six months ended March 31, 2024. Selling, general and administrative expenses as a percentage of revenue increased from 13.5% for the six months ended March 31, 2024 to 13.8% for the six months ended March 31, 2025. The increase in selling, general and administrative expenses was generally consistent with revenue growth.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2025</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2024</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209,973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79.9</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20.1</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8.8</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$79.5 million during the three months ended March 31, 2025, or 41.1%,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2024. The increase primarily resulted from an increase in demand, particularly in the data center market.</w:t>
      </w:r>
    </w:p>
    <w:p>
      <w:pPr>
        <w:spacing w:after="0" w:line="1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March 31, 2025 increased by $24.1 million, or 61.9%,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2024. Gross profit as a percentage of revenue was 23.1% in the three months ended March 31, 2025 compared to 20.1% in the three months ended March 31, 2024. The increase in gross profit and gross margin primarily reflects increased volume as discussed above and successful project execution.</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$6.5 million, or 38.0%,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2025 compared to the three months ended March 31, 2024. The increase primarily reflects higher personnel cost to support business growth and higher incentive compensation as a result of higher earnings. Selling, general and administrative expenses as a percentage of revenue was 8.6% during the three months ended March 31, 2025, compared to 8.8% during the three months ended March 31, 2024 as the increase in selling, general and administrative expenses was generally consistent with the Communications segment's revenue growth during the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2024</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394,122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79.4</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20.6</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8.8</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$141.7 million, or 38.9%, during the six months ended March 31, 2025,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2024. The increase primarily resulted from an increase in demand, particularly in the data center market.</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six months ended March 31, 2025 increased by $36.6 million, or 48.7%,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2024. Gross profit as a percentage of revenue increased from 20.6% to 22.1%. The increase in gross profit and gross margin primarily reflects increased volume as discussed above and successful project execution.</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$11.8 million, or 37.0%,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2025, compared to the six months ended March 31, 2024. The increase primarily reflects higher personnel cost to support business growth and higher incentive compensation as a result of higher earnings. Selling, general and administrative expenses as a percentage of revenue was 8.6% during the six months ended March 31, 2025 compared to 8.8% during the six months ended March 31, 2024 as the increase in selling, general and administrative expenses was generally consistent with the Communications segment's revenue growth during the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2025</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2024</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74.9</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250,702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73.9</w:t>
            </w:r>
          </w:p>
        </w:tc>
        <w:tc>
          <w:tcPr>
            <w:tcW w:w="28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88,670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26.1</w:t>
            </w:r>
          </w:p>
        </w:tc>
        <w:tc>
          <w:tcPr>
            <w:tcW w:w="28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decreased by $21.4 million, or 6.3%, during the three months ended March 31, 2025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2024. Our single-family electrical revenues decreased by $10.5 million and our single-family plumbing and HVAC revenues decreased by $2.5 million compared to the prior year period, with expansion of the plumbing and HVAC trades into new markets partly offsetting the impact of slowing demand.</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Consumer demand in the single-family housing market was impacted by concerns over housing affordability and general economic conditions, leading to a decline in construction volumes during the period. Our multi-family revenues also decreased by $8.3 million, or 9.6%, driven by a reduction in backlog from fiscal years 2023 and 2024 due to the impact of continued elevated interest rates on demand.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March 31, 2025, our Residential segment's gross profit decreased by $9.0 million, or 10.1%,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2024. Gross profit as a percentage of revenue decreased to 25.1% during the three months ended March 31, 2025, compared to 26.1% for the three months ended March 31, 2024. The decrease in profitability was driven primarily by lower volume as discussed above and reduced pricing to our customers to reflect the cost of incentives they are offering to homebuyers and the impact of lower demand on our ability to recover increased costs through pricing actions.</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$1.9 million, or 3.4%,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2025, compared to the three months ended March 31, 2024. Selling, general and administrative expenses as a percentage of revenue in the Residential segment increased to 18.0% during the three months ended March 31, 2025, compared to 16.3% in the three months ended March 31, 2024. The increase as a percentage of revenue was driven by the decrease in revenues combined with increases in personnel and other administrative costs to support the growth of our business.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center"/>
              <w:ind w:right="7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2025</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2024</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8"/>
          </w:tcPr>
          <w:p>
            <w:pPr>
              <w:jc w:val="center"/>
              <w:ind w:right="4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637,937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491,127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75.0</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25.0</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shd w:val="clear" w:color="auto" w:fill="CCEEFF"/>
          </w:tcPr>
          <w:p>
            <w:pPr>
              <w:spacing w:after="0"/>
              <w:rPr>
                <w:sz w:val="19"/>
                <w:szCs w:val="19"/>
                <w:color w:val="auto"/>
              </w:rPr>
            </w:pPr>
          </w:p>
        </w:tc>
      </w:tr>
      <w:tr>
        <w:trPr>
          <w:trHeight w:val="219"/>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decreased by $17.3 million, or 2.6%, during the six months ended March 31, 2025, compared to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2024. The decrease in revenues was primarily driven by a decrease of $15.3 million, or 4.4%, in our single-family electrical business revenues compared to the prior year period as consumer demand in the single-family housing market was impacted by concerns over housing affordability and general economic conditions, leading to a decline in construction volumes during the period.</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six months ended March 31, 2025, our Residential segment's gross profit decreased by $5.3 million, or 3.2%, compared to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2024. Gross profit as a percentage of revenue decreased to 24.9% during the six months ended March 31, 2025, compared to 25.0% during the six months ended March 31, 2024. The decrease in gross profit reflects the decline in volume as discussed above and reduced pricing to our customers, partially offset by reduced material costs in the first quarter of fiscal 2025 and improved project execution.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27" w:name="page28"/>
    <w:bookmarkEnd w:id="27"/>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$5.8 million, or 5.5%,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March 31, 2025, compared to the six months ended March 31, 2024. Selling, general and administrative expenses as a percentage of revenue increased to 17.6% during the six months ended March 31, 2025, compared to 16.3% during the six months ended March 31, 2024. The increase was driven by higher personnel and other administrative costs to support the growth of our business.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1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2025</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754"/>
              <w:spacing w:after="0"/>
              <w:rPr>
                <w:sz w:val="20"/>
                <w:szCs w:val="20"/>
                <w:color w:val="auto"/>
              </w:rPr>
            </w:pPr>
            <w:r>
              <w:rPr>
                <w:rFonts w:ascii="Times New Roman" w:cs="Times New Roman" w:eastAsia="Times New Roman" w:hAnsi="Times New Roman"/>
                <w:sz w:val="17"/>
                <w:szCs w:val="17"/>
                <w:color w:val="auto"/>
                <w:w w:val="93"/>
              </w:rPr>
              <w:t>2024</w:t>
            </w:r>
          </w:p>
        </w:tc>
        <w:tc>
          <w:tcPr>
            <w:tcW w:w="300" w:type="dxa"/>
            <w:vAlign w:val="bottom"/>
            <w:tcBorders>
              <w:bottom w:val="single" w:sz="8" w:color="auto"/>
            </w:tcBorders>
          </w:tcPr>
          <w:p>
            <w:pPr>
              <w:spacing w:after="0"/>
              <w:rPr>
                <w:sz w:val="18"/>
                <w:szCs w:val="18"/>
                <w:color w:val="auto"/>
              </w:rPr>
            </w:pPr>
          </w:p>
        </w:tc>
      </w:tr>
      <w:tr>
        <w:trPr>
          <w:trHeight w:val="212"/>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9"/>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75,789</w:t>
            </w:r>
          </w:p>
        </w:tc>
        <w:tc>
          <w:tcPr>
            <w:tcW w:w="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52,044</w:t>
            </w:r>
          </w:p>
        </w:tc>
        <w:tc>
          <w:tcPr>
            <w:tcW w:w="60" w:type="dxa"/>
            <w:vAlign w:val="bottom"/>
          </w:tcPr>
          <w:p>
            <w:pPr>
              <w:spacing w:after="0"/>
              <w:rPr>
                <w:sz w:val="19"/>
                <w:szCs w:val="19"/>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33.4</w:t>
            </w: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31.3</w:t>
            </w:r>
          </w:p>
        </w:tc>
        <w:tc>
          <w:tcPr>
            <w:tcW w:w="300" w:type="dxa"/>
            <w:vAlign w:val="bottom"/>
            <w:tcBorders>
              <w:top w:val="single" w:sz="8" w:color="auto"/>
            </w:tcBorders>
            <w:shd w:val="clear" w:color="auto" w:fill="CCEEFF"/>
          </w:tcPr>
          <w:p>
            <w:pPr>
              <w:spacing w:after="0"/>
              <w:rPr>
                <w:sz w:val="18"/>
                <w:szCs w:val="18"/>
                <w:color w:val="auto"/>
              </w:rPr>
            </w:pP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60" w:type="dxa"/>
            <w:vAlign w:val="bottom"/>
          </w:tcPr>
          <w:p>
            <w:pPr>
              <w:spacing w:after="0"/>
              <w:rPr>
                <w:sz w:val="19"/>
                <w:szCs w:val="19"/>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21.3</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$41.8 million during the three months ended March 31, 2025, an increase of 55.2%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March 31, 2024, driven primarily by continued strong demand in our custom engineered solutions manufacturing businesses, including generator enclosures for data center customers, as well as expansion of our field services offerings. Greiner Industries, Inc. (“Greiner”) and Arrow Engine Company (“Arrow”), which were acquired on April 1, 2024 and January 31, 2025, respectively, contributed $15.7 million in revenues in the three months ended March 31, 2025.</w:t>
      </w:r>
    </w:p>
    <w:p>
      <w:pPr>
        <w:spacing w:after="0" w:line="19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March 31, 2025 increased $15.6 million, or 65.5%,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2024, and gross profit as a percentage of revenue increased from 31.3% to 33.4%. The improvement in gross profit and gross margin was primarily driven by higher volumes, improved pricing, operating efficiencies at our facilities, and the impact of investments to increase capacity we have made over the last several years.</w:t>
      </w:r>
    </w:p>
    <w:p>
      <w:pPr>
        <w:spacing w:after="0" w:line="11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2025 increased by $4.9 million, or 63.7%, compared to the three months ended March 31, 2024, primarily as a result of $2.2 million of expense incurred at Greiner and Arrow, increased employee compensation cost to support growth in the business and higher incentive compensation as a result of higher earnings. Selling, general and administrative expenses as a percentage of revenue increased from 10.1% for the three months ended March 31, 2024 to 10.6% for the three months ended March 31, 2025.</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2025</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60" w:type="dxa"/>
            <w:vAlign w:val="bottom"/>
            <w:gridSpan w:val="9"/>
          </w:tcPr>
          <w:p>
            <w:pPr>
              <w:jc w:val="center"/>
              <w:ind w:right="3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67.1</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96,741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69.8</w:t>
            </w:r>
          </w:p>
        </w:tc>
        <w:tc>
          <w:tcPr>
            <w:tcW w:w="300" w:type="dxa"/>
            <w:vAlign w:val="bottom"/>
            <w:tcBorders>
              <w:bottom w:val="single" w:sz="8" w:color="auto"/>
            </w:tcBorders>
          </w:tcPr>
          <w:p>
            <w:pPr>
              <w:spacing w:after="0"/>
              <w:rPr>
                <w:sz w:val="19"/>
                <w:szCs w:val="19"/>
                <w:color w:val="auto"/>
              </w:rPr>
            </w:pPr>
          </w:p>
        </w:tc>
      </w:tr>
      <w:tr>
        <w:trPr>
          <w:trHeight w:val="212"/>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30.2</w:t>
            </w:r>
          </w:p>
        </w:tc>
        <w:tc>
          <w:tcPr>
            <w:tcW w:w="300" w:type="dxa"/>
            <w:vAlign w:val="bottom"/>
            <w:shd w:val="clear" w:color="auto" w:fill="CCEEFF"/>
          </w:tcPr>
          <w:p>
            <w:pPr>
              <w:spacing w:after="0"/>
              <w:rPr>
                <w:sz w:val="18"/>
                <w:szCs w:val="18"/>
                <w:color w:val="auto"/>
              </w:rPr>
            </w:pPr>
          </w:p>
        </w:tc>
      </w:tr>
      <w:tr>
        <w:trPr>
          <w:trHeight w:val="219"/>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10.8</w:t>
            </w:r>
          </w:p>
        </w:tc>
        <w:tc>
          <w:tcPr>
            <w:tcW w:w="300" w:type="dxa"/>
            <w:vAlign w:val="bottom"/>
          </w:tcPr>
          <w:p>
            <w:pPr>
              <w:spacing w:after="0"/>
              <w:rPr>
                <w:sz w:val="19"/>
                <w:szCs w:val="19"/>
                <w:color w:val="auto"/>
              </w:rPr>
            </w:pPr>
          </w:p>
        </w:tc>
      </w:tr>
      <w:tr>
        <w:trPr>
          <w:trHeight w:val="219"/>
        </w:trPr>
        <w:tc>
          <w:tcPr>
            <w:tcW w:w="5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5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r>
      <w:tr>
        <w:trPr>
          <w:trHeight w:val="212"/>
        </w:trPr>
        <w:tc>
          <w:tcPr>
            <w:tcW w:w="55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22.0</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27,024</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19.5</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$87.1 million, or 62.8%, during the six months ended March 31, 2025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2024. The increase in revenue was driven primarily by continued strong demand in our custom engineered solutions manufacturing businesses, including generator enclosures for data center customers, as well as expansion of our field services offerings. Greiner and Arrow contributed $27.9 million in revenue in the six months ended March 31,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six months ended March 31, 2025 increased by $32.3 million, or 77.1%,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March 31, 2024, and gross profit as a percentage of revenue increased to 32.9% for the six months ended March 31, 2025 compared to 30.2% for the six months ended March 31, 2024. The improvement in gross profit and gross margin was primarily driven by higher volumes, improved pricing, operating efficiencies at our facilities, and the impact of investments to increase capacity we have made over the last several years.</w:t>
      </w:r>
    </w:p>
    <w:p>
      <w:pPr>
        <w:spacing w:after="0" w:line="19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2025 increased by $8.8 million, or 59.3%, compared to the six months ended March 31, 2024, primarily as a result of $4.0 million of expense incurred at Greiner and Arrow, increased employee compensation cost to support growth in the business and higher incentive compensation as a result of higher earnings. Selling, general and administrative expenses as a percentage of revenue decreased from 10.8% for the six months ended March 31, 2024 to 10.5% for the six months ended March 31, 2025 as we benefited from the scale of our operations.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14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ind w:right="1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894"/>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814"/>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Borders>
              <w:bottom w:val="single" w:sz="8" w:color="auto"/>
            </w:tcBorders>
          </w:tcPr>
          <w:p>
            <w:pPr>
              <w:spacing w:after="0"/>
              <w:rPr>
                <w:sz w:val="18"/>
                <w:szCs w:val="18"/>
                <w:color w:val="auto"/>
              </w:rPr>
            </w:pPr>
          </w:p>
        </w:tc>
      </w:tr>
      <w:tr>
        <w:trPr>
          <w:trHeight w:val="212"/>
        </w:trPr>
        <w:tc>
          <w:tcPr>
            <w:tcW w:w="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80" w:type="dxa"/>
            <w:vAlign w:val="bottom"/>
            <w:gridSpan w:val="8"/>
          </w:tcPr>
          <w:p>
            <w:pPr>
              <w:jc w:val="right"/>
              <w:ind w:right="1054"/>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280" w:type="dxa"/>
            <w:vAlign w:val="bottom"/>
          </w:tcPr>
          <w:p>
            <w:pPr>
              <w:spacing w:after="0"/>
              <w:rPr>
                <w:sz w:val="17"/>
                <w:szCs w:val="17"/>
                <w:color w:val="auto"/>
              </w:rPr>
            </w:pPr>
          </w:p>
        </w:tc>
      </w:tr>
      <w:tr>
        <w:trPr>
          <w:trHeight w:val="222"/>
        </w:trPr>
        <w:tc>
          <w:tcPr>
            <w:tcW w:w="1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125,358</w:t>
            </w:r>
          </w:p>
        </w:tc>
        <w:tc>
          <w:tcPr>
            <w:tcW w:w="1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97,069</w:t>
            </w:r>
          </w:p>
        </w:tc>
        <w:tc>
          <w:tcPr>
            <w:tcW w:w="1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98,505</w:t>
            </w: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78.6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76,806</w:t>
            </w:r>
          </w:p>
        </w:tc>
        <w:tc>
          <w:tcPr>
            <w:tcW w:w="1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79.1</w:t>
            </w:r>
          </w:p>
        </w:tc>
        <w:tc>
          <w:tcPr>
            <w:tcW w:w="280" w:type="dxa"/>
            <w:vAlign w:val="bottom"/>
          </w:tcPr>
          <w:p>
            <w:pPr>
              <w:spacing w:after="0"/>
              <w:rPr>
                <w:sz w:val="19"/>
                <w:szCs w:val="19"/>
                <w:color w:val="auto"/>
              </w:rPr>
            </w:pPr>
          </w:p>
        </w:tc>
      </w:tr>
      <w:tr>
        <w:trPr>
          <w:trHeight w:val="212"/>
        </w:trPr>
        <w:tc>
          <w:tcPr>
            <w:tcW w:w="14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26,853</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21.4</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20.9</w:t>
            </w:r>
          </w:p>
        </w:tc>
        <w:tc>
          <w:tcPr>
            <w:tcW w:w="280" w:type="dxa"/>
            <w:vAlign w:val="bottom"/>
            <w:tcBorders>
              <w:top w:val="single" w:sz="8" w:color="auto"/>
            </w:tcBorders>
            <w:shd w:val="clear" w:color="auto" w:fill="CCEEFF"/>
          </w:tcPr>
          <w:p>
            <w:pPr>
              <w:spacing w:after="0"/>
              <w:rPr>
                <w:sz w:val="18"/>
                <w:szCs w:val="18"/>
                <w:color w:val="auto"/>
              </w:rPr>
            </w:pPr>
          </w:p>
        </w:tc>
      </w:tr>
      <w:tr>
        <w:trPr>
          <w:trHeight w:val="219"/>
        </w:trPr>
        <w:tc>
          <w:tcPr>
            <w:tcW w:w="14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11,024</w:t>
            </w: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8,707</w:t>
            </w:r>
          </w:p>
        </w:tc>
        <w:tc>
          <w:tcPr>
            <w:tcW w:w="1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on sale of assets</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shd w:val="clear" w:color="auto" w:fill="CCEEFF"/>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12.6</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11,624</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$28.3 million, or 29.1%, during the three months ended March 31, 2025,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2024. The increase was primarily driven by continued strong demand, particularly in the data center and education end markets, and successful execution of backlog.</w:t>
      </w:r>
    </w:p>
    <w:p>
      <w:pPr>
        <w:spacing w:after="0" w:line="1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March 31, 2025 increased by $6.6 million, or 32.5%,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March 31, 2024. Gross profit as a percentage of revenue increased from 20.9% for the quarter ended March 31, 2024 to 21.4% for the quarter ended March 31, 2025 as we benefited from improved volumes, project execution and bid margins.</w:t>
      </w:r>
    </w:p>
    <w:p>
      <w:pPr>
        <w:spacing w:after="0" w:line="10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2025 increased by $2.3 million, or 26.6%, compared to the three months ended March 31, 2024 primarily as a result of increased employee compensation cost, including higher incentive compensation as a result of successful project execution. Selling, general and administrative expenses as a percentage of revenue decreased from 9.0% for the three months ended March 31, 2024 to 8.8% for the three months ended March 31, 2025 as we benefited from the scale of our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2025</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147,851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34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34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bl>
    <w:p>
      <w:pPr>
        <w:spacing w:after="0" w:line="27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$31.8 million, or 17.5%, during the six months ended March 31, 2025,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six months ended March 31, 2024. The increase was primarily driven by continued strong demand, particularly in the data center and education end markets, and successful execution of backlog.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six months ended March 31, 2025 increased by $7.8 million, or 22.8%,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six months ended March 31, 2024. Gross profit as a percentage of revenue increased from 18.8% for the six months ended March 31, 2024 to 19.6% for the six months ended March 31, 2025 as we benefited from improved volumes, project execution and bid margins across the business.</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2025 increased by $3.5 million, or 22.7%, compared to the six months ended March 31, 2024 primarily as a result of increased employee compensation cost, including higher incentive compensation as a result of successful project execution. Selling, general and administrative expenses as a percentage of revenue increased from 8.5% for the six months ended March 31, 2024 to 8.9% for the six months ended March 31, 2025.</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508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540" w:type="dxa"/>
            <w:vAlign w:val="bottom"/>
            <w:tcBorders>
              <w:bottom w:val="single" w:sz="8" w:color="auto"/>
            </w:tcBorders>
          </w:tcPr>
          <w:p>
            <w:pPr>
              <w:spacing w:after="0"/>
              <w:rPr>
                <w:sz w:val="21"/>
                <w:szCs w:val="21"/>
                <w:color w:val="auto"/>
              </w:rPr>
            </w:pPr>
          </w:p>
        </w:tc>
      </w:tr>
      <w:tr>
        <w:trPr>
          <w:trHeight w:val="212"/>
        </w:trPr>
        <w:tc>
          <w:tcPr>
            <w:tcW w:w="3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8"/>
                <w:szCs w:val="18"/>
                <w:color w:val="auto"/>
              </w:rPr>
            </w:pPr>
          </w:p>
        </w:tc>
      </w:tr>
      <w:tr>
        <w:trPr>
          <w:trHeight w:val="196"/>
        </w:trPr>
        <w:tc>
          <w:tcPr>
            <w:tcW w:w="3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594"/>
              <w:spacing w:after="0"/>
              <w:rPr>
                <w:sz w:val="20"/>
                <w:szCs w:val="20"/>
                <w:color w:val="auto"/>
              </w:rPr>
            </w:pPr>
            <w:r>
              <w:rPr>
                <w:rFonts w:ascii="Times New Roman" w:cs="Times New Roman" w:eastAsia="Times New Roman" w:hAnsi="Times New Roman"/>
                <w:sz w:val="15"/>
                <w:szCs w:val="15"/>
                <w:color w:val="auto"/>
              </w:rPr>
              <w:t>(In thousands)</w:t>
            </w:r>
          </w:p>
        </w:tc>
        <w:tc>
          <w:tcPr>
            <w:tcW w:w="54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08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0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r>
      <w:tr>
        <w:trPr>
          <w:trHeight w:val="20"/>
        </w:trPr>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2025, we incurred interest expense of $0.3 million primarily comprised of interest on our finance lease agreements and fees on an average letter of credit balance of $5.5 million under our revolving credit facility and an average unused line of credit balance of $264.9 million. This compares to interest expense of $0.4 million for the three months ended March 31, 2024, primarily comprised of interest on our finance lease agreements and fees on an average letter of credit balance of $5.6 million under our revolving credit facility and an average unused line of credit balance of $142.7 million.</w:t>
      </w:r>
    </w:p>
    <w:p>
      <w:pPr>
        <w:spacing w:after="0" w:line="19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change in total other (income) expense, net for the three months ended March 31, 2025, compared to the three months ended March 31, 2024 is primarily the result of unrealized gains on investments in trading securities of $5.5 million in the three months ended March 31, 2025 compared to unrealized losses of $1.8 million on investments in trading securities in the three months ended March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6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5"/>
                <w:szCs w:val="15"/>
                <w:color w:val="auto"/>
              </w:rPr>
              <w:t>(In thousands)</w:t>
            </w:r>
          </w:p>
        </w:tc>
        <w:tc>
          <w:tcPr>
            <w:tcW w:w="56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45"/>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(8,196)</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(9,032)</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2025, we incurred interest expense of $0.8 million primarily comprised of interest on our finance lease agreements and fees on an average letter of credit balance of $5.5 million under our revolving credit facility and an average unused line of credit balance of $203.6 million. This compares to interest expense of $0.8 million for the six months ended March 31, 2024, primarily comprised of interest on our finance lease agreements and fees on an average letter of credit balance of $5.5 million under our revolving credit facility and an average unused line of credit balance of $142.5 million.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The increase in total other income, net for the six months ended March 31, 2025, compared with March 31, 2024 is primarily the result of unrealized gains 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in trading securities of $7.8 million in the six months ended March 31, 2025 compared to unrealized losses on investments in trading securities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 million in the six months ended March 31, 2024, partially offset by a decrease in interest income from $2.3 million in the six months ended March 31, 2024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 million in the six months ended March 31, 2025.</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$26.1 million for the three months ended March 31, 2025, compared to $19.4 million for the three months ended March 31, 2024, driven by increased pretax income.</w:t>
      </w:r>
    </w:p>
    <w:p>
      <w:pPr>
        <w:spacing w:after="0" w:line="1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$46.1 million for the six months ended March 31, 2025, compared to $34.8 million for the six months ended March 31, 2024, driven by increased pretax income.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2024. Some of the more significant estimates include revenue recognition, business combinations, and income taxes.</w:t>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2024.</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plumbing and HVAC installation services for single-family housing at our Residential segment are completed on a short-term basis and are therefore excluded from backlog. The table below summarizes our remaining performance obligations and backlog (in thousands):</w:t>
      </w:r>
    </w:p>
    <w:p>
      <w:pPr>
        <w:spacing w:after="0" w:line="375"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June 30,</w:t>
            </w: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1,225,985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1,214,828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1,175,695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1,177,184</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586,724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539,164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610,459</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519,973</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1,812,709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1,753,992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1,786,154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1,697,157</w:t>
            </w:r>
          </w:p>
        </w:tc>
      </w:tr>
    </w:tbl>
    <w:p>
      <w:pPr>
        <w:spacing w:after="0" w:line="1" w:lineRule="exact"/>
        <w:rPr>
          <w:sz w:val="20"/>
          <w:szCs w:val="20"/>
          <w:color w:val="auto"/>
        </w:rPr>
      </w:pPr>
    </w:p>
    <w:p>
      <w:pPr>
        <w:ind w:left="120" w:right="420" w:firstLine="10"/>
        <w:spacing w:after="0" w:line="253" w:lineRule="auto"/>
        <w:tabs>
          <w:tab w:leader="none" w:pos="33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2025, working capital exclusive of cash increased by $105.6 million from September 30, 2024, reflecting a $121.2 million increase in current assets excluding cash partially offset by a $15.6 million increase in current liabilities during the period.</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2025, our current assets exclusive of cash increased to $892.1 million, as compared to $770.9 million as of September 30, 2024. The increase was primarily driven by a $30.8 million increase in marketable securities as a portion of our excess cash was invested in trading securities and a $45.8 million increase in trade accounts receivable due to the timing of customer billings at the end of the period. In addition, costs and estimated earnings in excess of billings increased $27.3 million, driven by the timing of contract billings.</w:t>
      </w:r>
    </w:p>
    <w:p>
      <w:pPr>
        <w:spacing w:after="0" w:line="19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During the six months ended March 31, 2025, our total current liabilities increased by $15.6 million to $538.2 million, compared to $522.6 million as of September 30, 2024, driven by a $11.0 million increase in accounts payable and accrued expenses primarily as a result of the timing of vendor payments at all of our operating segments and a $4.6 million increase in billings in excess of costs and estimated earnings driven by the timing of contract billings on projects on which revenue is recognized using the percentage of completion method.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2025, the estimated cost to complete our bonded projects was approximately $139.0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January 21, 2025 we entered into the Fourth Amended and Restated Credit Agreement (the “Amended Credit Agreement”). Pursuant to the Amended Credit Agreement, our maximum revolver amount increased from $150 million to $300 million, and the maturity date was extended from September 30, 2026 to January 21, 2030. In addition, the limitation on borrowings based on available collateral under the previous credit agreement was eliminated under the Amended Credit Agreement.</w:t>
      </w:r>
    </w:p>
    <w:p>
      <w:pPr>
        <w:spacing w:after="0" w:line="19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March 31, 2025, the Company was in compliance with the financial covenants under the Amended Credit Agreement.</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Pricing</w:t>
            </w:r>
          </w:p>
        </w:tc>
        <w:tc>
          <w:tcPr>
            <w:tcW w:w="558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7"/>
                <w:szCs w:val="17"/>
                <w:color w:val="auto"/>
              </w:rPr>
              <w:t>Consolidated Total Leverage Ratio</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0" w:type="dxa"/>
            <w:vAlign w:val="bottom"/>
          </w:tcPr>
          <w:p>
            <w:pPr>
              <w:spacing w:after="0"/>
              <w:rPr>
                <w:sz w:val="1"/>
                <w:szCs w:val="1"/>
                <w:color w:val="auto"/>
              </w:rPr>
            </w:pPr>
          </w:p>
        </w:tc>
      </w:tr>
      <w:tr>
        <w:trPr>
          <w:trHeight w:val="228"/>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w:t>
            </w:r>
          </w:p>
        </w:tc>
        <w:tc>
          <w:tcPr>
            <w:tcW w:w="5580" w:type="dxa"/>
            <w:vAlign w:val="bottom"/>
            <w:gridSpan w:val="2"/>
            <w:vMerge w:val="continue"/>
          </w:tcPr>
          <w:p>
            <w:pPr>
              <w:spacing w:after="0"/>
              <w:rPr>
                <w:sz w:val="19"/>
                <w:szCs w:val="19"/>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Daily Simple SOFR/Term SOFR</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Base Rate</w:t>
            </w:r>
          </w:p>
        </w:tc>
        <w:tc>
          <w:tcPr>
            <w:tcW w:w="0" w:type="dxa"/>
            <w:vAlign w:val="bottom"/>
          </w:tcPr>
          <w:p>
            <w:pPr>
              <w:spacing w:after="0"/>
              <w:rPr>
                <w:sz w:val="1"/>
                <w:szCs w:val="1"/>
                <w:color w:val="auto"/>
              </w:rPr>
            </w:pPr>
          </w:p>
        </w:tc>
      </w:tr>
      <w:tr>
        <w:trPr>
          <w:trHeight w:val="220"/>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1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Greater than or equal to 2.50 to 1.00</w:t>
            </w:r>
          </w:p>
        </w:tc>
        <w:tc>
          <w:tcPr>
            <w:tcW w:w="14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 percentage points</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1.25 percentage points</w:t>
            </w:r>
          </w:p>
        </w:tc>
        <w:tc>
          <w:tcPr>
            <w:tcW w:w="0" w:type="dxa"/>
            <w:vAlign w:val="bottom"/>
          </w:tcPr>
          <w:p>
            <w:pPr>
              <w:spacing w:after="0"/>
              <w:rPr>
                <w:sz w:val="1"/>
                <w:szCs w:val="1"/>
                <w:color w:val="auto"/>
              </w:rPr>
            </w:pPr>
          </w:p>
        </w:tc>
      </w:tr>
      <w:tr>
        <w:trPr>
          <w:trHeight w:val="293"/>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1.75 to 1.00, but less than 2.50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2.00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III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1.00 to 1.00, but less than 1.75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1.75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0.75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IV</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than 1.00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1.50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 percentage points</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In addition, we are charged monthly in arrears for an unused commitment fee of 0.25% to 0.35% per annum on any unused portion of the revolving credit facility based on the Company's Consolidated Total Leverage Ratio.</w:t>
      </w:r>
    </w:p>
    <w:p>
      <w:pPr>
        <w:spacing w:after="0" w:line="100"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2" w:name="page33"/>
    <w:bookmarkEnd w:id="32"/>
    <w:p>
      <w:pPr>
        <w:ind w:right="220"/>
        <w:spacing w:after="0" w:line="264" w:lineRule="auto"/>
        <w:rPr>
          <w:sz w:val="20"/>
          <w:szCs w:val="20"/>
          <w:color w:val="auto"/>
        </w:rPr>
      </w:pPr>
      <w:r>
        <w:rPr>
          <w:rFonts w:ascii="Times New Roman" w:cs="Times New Roman" w:eastAsia="Times New Roman" w:hAnsi="Times New Roman"/>
          <w:sz w:val="17"/>
          <w:szCs w:val="17"/>
          <w:color w:val="auto"/>
        </w:rPr>
        <w:t>Under the Amended Credit Agreement, if in the future our Consolidated Total Leverage Ratio is greater than 3.00:1.00, or our Consolidated Interest Coverage Ratio is less than 3.00:1.00,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ind w:right="1780"/>
        <w:spacing w:after="0" w:line="477" w:lineRule="auto"/>
        <w:rPr>
          <w:sz w:val="20"/>
          <w:szCs w:val="20"/>
          <w:color w:val="auto"/>
        </w:rPr>
      </w:pPr>
      <w:r>
        <w:rPr>
          <w:rFonts w:ascii="Times New Roman" w:cs="Times New Roman" w:eastAsia="Times New Roman" w:hAnsi="Times New Roman"/>
          <w:sz w:val="17"/>
          <w:szCs w:val="17"/>
          <w:color w:val="auto"/>
        </w:rPr>
        <w:t xml:space="preserve">At March 31, 2025, we had $5.5 million in outstanding letters of credit and no outstanding borrowings under our revolving credit facility. </w:t>
      </w:r>
      <w:r>
        <w:rPr>
          <w:rFonts w:ascii="Times New Roman" w:cs="Times New Roman" w:eastAsia="Times New Roman" w:hAnsi="Times New Roman"/>
          <w:sz w:val="17"/>
          <w:szCs w:val="17"/>
          <w:i w:val="1"/>
          <w:iCs w:val="1"/>
          <w:color w:val="auto"/>
        </w:rPr>
        <w:t>Operating Activities</w:t>
      </w:r>
    </w:p>
    <w:p>
      <w:pPr>
        <w:spacing w:after="0" w:line="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w:t>
      </w:r>
    </w:p>
    <w:p>
      <w:pPr>
        <w:spacing w:after="0" w:line="200"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$62.1 million during the six months ended March 31, 2025, as compared to $58.7 million in the six months ended March 31, 2024. The increase in operating cash flow resulted from increased earnings in the six months ended March 31, 2025, partially offset by an increase in cash used in working capital during the six months ended March 31, 2025 as compared with the six months ended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Net cash used in investing activities was $97.1 million for the six months ended March 31, 2025, compared to $11.4 million used in investing activities in the six months ended March 31, 2024. During the six months ended March 31, 2025, we paid $44.9 million to acquire a membership interest in Jett Texas Company LLC (“Jett”), an investment company, as part of the financing of Jett's investment in the CB&amp;I storage solutions business formerly owned by McDermott International, Ltd. We also made capital expenditures of $30.1 million as we continued to purchase new assets instead of entering into new lease agreements at our Communications segment and made other capital expenditures to support the growth of our business. Additionally, we paid $22.6 million in conjunction with business combinations, primarily related to the acquisition of Arrow in January 2025. During the six months ended March 31, 2024, we used $13.4 million for capital expenditures to support the growth of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for the six months ended March 31, 2025 was $43.4 million, compared to $17.1 million for the six months ended March 31, 2024. Net cash used in financing activities for the six months ended March 31, 2025 included $36.3 million used to repurchase our common stock, including repurchases to satisfy statutory withholding requirements upon the vesting of employee stock compensation, and $5.0 million in distributions to noncontrolling interests under operating agreements in connection with certain acquisitions. Net cash used in financing activities for the six months ended March 31, 2024 included $4.1 million to settle our contingent consideration liability related to prior year acquisitions, $7.9 million in distributions to noncontrolling interests under operating agreements in connection with certain acquisitions, and $3.2 million in repurchases of our common stock to satisfy statutory withholding requirements upon the vesting of employee stock compensation.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July 31, 2024, our Board authorized a stock repurchase program for the purchase from time to time of up to $200.0 million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139,362 shares pursuant to our repurchase programs during the six months ended March 31, 2025.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2025, we did not have any such firm commitments to purchase materials outstanding. In connection with expected growth in our business, we are planning to expand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spacing w:after="0" w:line="260" w:lineRule="auto"/>
        <w:rPr>
          <w:sz w:val="20"/>
          <w:szCs w:val="20"/>
          <w:color w:val="auto"/>
        </w:rPr>
      </w:pPr>
      <w:r>
        <w:rPr>
          <w:rFonts w:ascii="Times New Roman" w:cs="Times New Roman" w:eastAsia="Times New Roman" w:hAnsi="Times New Roman"/>
          <w:sz w:val="17"/>
          <w:szCs w:val="17"/>
          <w:color w:val="auto"/>
        </w:rPr>
        <w:t>capacity in certain areas. Further, based on the relative costs and benefits of purchasing certain assets compared with leasing, we expect to satisfy an increased proportion of our vehicle and equipment needs through purchasing and to reduce our reliance on leasing. As a result, we have updated our capital expenditure expectations for the current fiscal year, and now expect our capital expenditures for the year ending September 30, 2025 will range from $70 million to $80 million, compared to $45.2 million for the year ended September 30, 2024. There have been no other material changes in our material cash requirements from those disclosed in our Annual Report on Form 10-K for the fiscal year ended September 30, 2024.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0"/>
          </w:cols>
          <w:pgMar w:left="320" w:top="432"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any debt obligations we may incur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2024.</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among other things, copper, aluminum, steel, electrical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Risk</w:t>
      </w:r>
    </w:p>
    <w:p>
      <w:pPr>
        <w:spacing w:after="0" w:line="23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We are exposed to market price volatility for our investments in marketable securities which are carried at fair value measured using market prices, with gains and losses included in “Other (income) expense, net” on our Condensed Consolidated Statements of Comprehensive Income. Changes in the market value of these investments could create volatility in our reported earnings from period to period, and a decline in value of our investments could have an adverse impact on our reported earnings. Changes in market value of these investments measured at fair value resulted in an unrealized gain of $7.8 million in the six months ended March 31, 2025. As of March 31, 2025, we had investments in marketable securities with a fair value of $65.8 million, and a 10% increase or decrease in the market value of these investments would cause a $6.6 million increase or decrease, respectively, to the carrying value of our investments in marketable securities and our pre-tax income. The hypothetical 10% increase or decrease does not represent the maximum extent to which the fair value of our investments could be affected by changes in market conditions. Our investments could decline in value by a far greater amount as a result of volatility in the equity markets and the concentrated nature of our investment portfolio.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Under the Amended Credit Agreement, we have the option to use SOFR as the benchmark for establishing the interest rate charged on our borrowings. If we choose to use SOFR to establish the interest rate on our borrowings and SOFR were to increase, our interest payment obligations on any then-outstanding borrowings would increase, having a negative effect on our cash flow and financial condition. We had no borrowings outstanding under our revolving credit facility as of March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 In the fiscal year ended September 30, 2024, we began planning and preparing for our phased implementation of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and the Company has continued working toward the next phase of the implementation throughout the quarter ended March 31, 2025. Upon the first phase implementation, the Company updated its internal controls as appropriate. As the implementation activities take place, we will continue to monitor the impact of the implementation on our financial reporting business processes and evaluate each quarter whether there are changes that affect our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2025, to</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7"/>
          <w:szCs w:val="17"/>
          <w:color w:val="auto"/>
        </w:rPr>
        <w:t>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432" w:right="4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8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160" w:type="dxa"/>
            <w:vAlign w:val="bottom"/>
          </w:tcPr>
          <w:p>
            <w:pPr>
              <w:spacing w:after="0"/>
              <w:rPr>
                <w:sz w:val="15"/>
                <w:szCs w:val="15"/>
                <w:color w:val="auto"/>
              </w:rPr>
            </w:pP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8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Part of a Publicly</w:t>
            </w:r>
          </w:p>
        </w:tc>
        <w:tc>
          <w:tcPr>
            <w:tcW w:w="21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rPr>
              <w:t>Purchased Under the Publicly</w:t>
            </w:r>
          </w:p>
        </w:tc>
        <w:tc>
          <w:tcPr>
            <w:tcW w:w="0" w:type="dxa"/>
            <w:vAlign w:val="bottom"/>
          </w:tcPr>
          <w:p>
            <w:pPr>
              <w:spacing w:after="0"/>
              <w:rPr>
                <w:sz w:val="1"/>
                <w:szCs w:val="1"/>
                <w:color w:val="auto"/>
              </w:rPr>
            </w:pPr>
          </w:p>
        </w:tc>
      </w:tr>
      <w:tr>
        <w:trPr>
          <w:trHeight w:val="219"/>
        </w:trPr>
        <w:tc>
          <w:tcPr>
            <w:tcW w:w="3060" w:type="dxa"/>
            <w:vAlign w:val="bottom"/>
            <w:vMerge w:val="continue"/>
          </w:tcPr>
          <w:p>
            <w:pPr>
              <w:spacing w:after="0"/>
              <w:rPr>
                <w:sz w:val="19"/>
                <w:szCs w:val="19"/>
                <w:color w:val="auto"/>
              </w:rPr>
            </w:pPr>
          </w:p>
        </w:tc>
        <w:tc>
          <w:tcPr>
            <w:tcW w:w="18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160" w:type="dxa"/>
            <w:vAlign w:val="bottom"/>
          </w:tcPr>
          <w:p>
            <w:pPr>
              <w:spacing w:after="0"/>
              <w:rPr>
                <w:sz w:val="19"/>
                <w:szCs w:val="19"/>
                <w:color w:val="auto"/>
              </w:rPr>
            </w:pP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2025 – January 31, 2025</w:t>
            </w:r>
          </w:p>
        </w:tc>
        <w:tc>
          <w:tcPr>
            <w:tcW w:w="2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193,723,286</w:t>
            </w:r>
          </w:p>
        </w:tc>
        <w:tc>
          <w:tcPr>
            <w:tcW w:w="0" w:type="dxa"/>
            <w:vAlign w:val="bottom"/>
          </w:tcPr>
          <w:p>
            <w:pPr>
              <w:spacing w:after="0"/>
              <w:rPr>
                <w:sz w:val="1"/>
                <w:szCs w:val="1"/>
                <w:color w:val="auto"/>
              </w:rPr>
            </w:pPr>
          </w:p>
        </w:tc>
      </w:tr>
      <w:tr>
        <w:trPr>
          <w:trHeight w:val="219"/>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2025 – February 28,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40,200</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186.90</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186,209,997</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2025 – March 31,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78,114</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165.54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173,278,656</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118,314</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172.80</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173,278,656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w:t>
      </w:r>
    </w:p>
    <w:p>
      <w:pPr>
        <w:spacing w:after="0" w:line="58"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31, 2024, the Board authorized a new stock repurchase program for the purchase of up to $200 million of the Company’s common stock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March 31, 2025, none of the Company's directors or officers adopted, modified or terminated a “Rule 10b5-1 trading arrangement” or a “non-Rule 10b5-1 trading arrangement” as each term is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79">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79">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80">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80">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82">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82">
        <w:r>
          <w:rPr>
            <w:rFonts w:ascii="Times New Roman" w:cs="Times New Roman" w:eastAsia="Times New Roman" w:hAnsi="Times New Roman"/>
            <w:sz w:val="17"/>
            <w:szCs w:val="17"/>
            <w:u w:val="single" w:color="auto"/>
            <w:color w:val="0000FF"/>
          </w:rPr>
          <w:t>2016).</w:t>
        </w:r>
      </w:hyperlink>
    </w:p>
    <w:p>
      <w:pPr>
        <w:spacing w:after="0" w:line="33" w:lineRule="exact"/>
        <w:rPr>
          <w:sz w:val="20"/>
          <w:szCs w:val="20"/>
          <w:color w:val="auto"/>
        </w:rPr>
      </w:pPr>
    </w:p>
    <w:p>
      <w:pPr>
        <w:jc w:val="right"/>
        <w:ind w:left="500" w:right="18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 — </w:t>
      </w:r>
      <w:hyperlink r:id="rId83">
        <w:r>
          <w:rPr>
            <w:rFonts w:ascii="Times New Roman" w:cs="Times New Roman" w:eastAsia="Times New Roman" w:hAnsi="Times New Roman"/>
            <w:sz w:val="17"/>
            <w:szCs w:val="17"/>
            <w:u w:val="single" w:color="auto"/>
            <w:color w:val="0000FF"/>
          </w:rPr>
          <w:t>Fourth Amended and Restated Credit Agreement by and among the Company and each of the other borrowers and guarantors named therein with</w:t>
        </w:r>
      </w:hyperlink>
      <w:r>
        <w:rPr>
          <w:rFonts w:ascii="Times New Roman" w:cs="Times New Roman" w:eastAsia="Times New Roman" w:hAnsi="Times New Roman"/>
          <w:sz w:val="15"/>
          <w:szCs w:val="15"/>
          <w:color w:val="auto"/>
        </w:rPr>
        <w:t xml:space="preserve"> </w:t>
      </w:r>
      <w:hyperlink r:id="rId83">
        <w:r>
          <w:rPr>
            <w:rFonts w:ascii="Times New Roman" w:cs="Times New Roman" w:eastAsia="Times New Roman" w:hAnsi="Times New Roman"/>
            <w:sz w:val="17"/>
            <w:szCs w:val="17"/>
            <w:u w:val="single" w:color="auto"/>
            <w:color w:val="0000FF"/>
          </w:rPr>
          <w:t>Wells Fargo Bank, National Association, as administrative agent, swingline lender and issuing lender, Wells Fargo Securities LLC and Fifth Third</w:t>
        </w:r>
      </w:hyperlink>
    </w:p>
    <w:p>
      <w:pPr>
        <w:spacing w:after="0" w:line="1" w:lineRule="exact"/>
        <w:rPr>
          <w:sz w:val="20"/>
          <w:szCs w:val="20"/>
          <w:color w:val="auto"/>
        </w:rPr>
      </w:pPr>
    </w:p>
    <w:p>
      <w:pPr>
        <w:ind w:left="1000" w:right="200"/>
        <w:spacing w:after="0" w:line="228" w:lineRule="auto"/>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Bank, National Association as joint lead arrangers and joint bookrunners and other financial institutions party thereto as lenders. (Incorporated by</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reference to Exhibit 10.1 to the Company's Current Report on Form 8-K filed on January 22,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2" w:lineRule="auto"/>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500"/>
        <w:spacing w:after="0" w:line="218"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54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May 2, 2025.</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39</w:t>
            </w:r>
          </w:p>
        </w:tc>
      </w:tr>
    </w:tbl>
    <w:p>
      <w:pPr>
        <w:sectPr>
          <w:pgSz w:w="11900" w:h="16838" w:orient="portrait"/>
          <w:cols w:equalWidth="0" w:num="1">
            <w:col w:w="11240"/>
          </w:cols>
          <w:pgMar w:left="320" w:top="42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 2025</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 2025</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2025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2025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May 2,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Roman"/>
      <w:start w:val="4"/>
    </w:lvl>
  </w:abstractNum>
  <w:abstractNum w:abstractNumId="6">
    <w:nsid w:val="1BEFD79F"/>
    <w:multiLevelType w:val="hybridMultilevel"/>
    <w:lvl w:ilvl="0">
      <w:lvlJc w:val="left"/>
      <w:lvlText w:val="&amp;"/>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3">
    <w:nsid w:val="3F2DBA3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4">
    <w:nsid w:val="7C83E45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lvl w:ilvl="1">
      <w:lvlJc w:val="left"/>
      <w:lvlText w:val="(%2)"/>
      <w:numFmt w:val="lowerLetter"/>
      <w:start w:val="2"/>
    </w:lvl>
  </w:abstractNum>
  <w:abstractNum w:abstractNumId="17">
    <w:nsid w:val="436C6125"/>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18">
    <w:nsid w:val="628C895D"/>
    <w:multiLevelType w:val="hybridMultilevel"/>
    <w:lvl w:ilvl="0">
      <w:lvlJc w:val="left"/>
      <w:lvlText w:val="(%1)"/>
      <w:numFmt w:val="lowerLetter"/>
      <w:start w:val="3"/>
    </w:lvl>
    <w:lvl w:ilvl="1">
      <w:lvlJc w:val="left"/>
      <w:lvlText w:val="(%2)"/>
      <w:numFmt w:val="lowerLetter"/>
      <w:start w:val="4"/>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lvl w:ilvl="1">
      <w:lvlJc w:val="left"/>
      <w:lvlText w:val="(%2)"/>
      <w:numFmt w:val="lowerLetter"/>
      <w:start w:val="2"/>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79" Type="http://schemas.openxmlformats.org/officeDocument/2006/relationships/hyperlink" Target="https://www.sec.gov/Archives/edgar/data/1048268/000119312516674386/d211495dex31.htm" TargetMode="External"/><Relationship Id="rId80" Type="http://schemas.openxmlformats.org/officeDocument/2006/relationships/hyperlink" Target="https://www.sec.gov/Archives/edgar/data/1048268/000104826821000065/amendedandrestatedbylawsof.htm" TargetMode="External"/><Relationship Id="rId82" Type="http://schemas.openxmlformats.org/officeDocument/2006/relationships/hyperlink" Target="https://www.sec.gov/Archives/edgar/data/1048268/000119312516789187/d310826dex41.htm" TargetMode="External"/><Relationship Id="rId83" Type="http://schemas.openxmlformats.org/officeDocument/2006/relationships/hyperlink" Target="https://www.sec.gov/Archives/edgar/data/1048268/000104826825000024/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2025-05-02T06:56:12Z</dcterms:created>
  <dcterms:modified xsi:type="dcterms:W3CDTF">2025-05-02T06:56:12Z</dcterms:modified>
</cp:coreProperties>
</file>