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90170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118110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3"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September 30, 2018</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40" w:right="80" w:hanging="436"/>
        <w:spacing w:after="0" w:line="254"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5796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200" w:type="dxa"/>
        <w:tblCellMar>
          <w:top w:w="0" w:type="dxa"/>
          <w:left w:w="0" w:type="dxa"/>
          <w:bottom w:w="0" w:type="dxa"/>
          <w:right w:w="0" w:type="dxa"/>
        </w:tblCellMar>
      </w:tblPr>
      <w:tr>
        <w:trPr>
          <w:trHeight w:val="525"/>
        </w:trPr>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80" w:type="dxa"/>
            <w:vAlign w:val="bottom"/>
            <w:gridSpan w:val="3"/>
          </w:tcPr>
          <w:p>
            <w:pPr>
              <w:jc w:val="center"/>
              <w:ind w:right="759"/>
              <w:spacing w:after="0"/>
              <w:rPr>
                <w:sz w:val="20"/>
                <w:szCs w:val="20"/>
                <w:color w:val="auto"/>
              </w:rPr>
            </w:pPr>
            <w:r>
              <w:rPr>
                <w:rFonts w:ascii="Arial" w:cs="Arial" w:eastAsia="Arial" w:hAnsi="Arial"/>
                <w:sz w:val="43"/>
                <w:szCs w:val="43"/>
                <w:b w:val="1"/>
                <w:bCs w:val="1"/>
                <w:color w:val="auto"/>
                <w:w w:val="93"/>
              </w:rPr>
              <w:t>IES Holdings, Inc.</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180" w:type="dxa"/>
            <w:vAlign w:val="bottom"/>
            <w:gridSpan w:val="3"/>
          </w:tcPr>
          <w:p>
            <w:pPr>
              <w:jc w:val="center"/>
              <w:ind w:right="75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3460" w:type="dxa"/>
            <w:vAlign w:val="bottom"/>
            <w:gridSpan w:val="2"/>
          </w:tcPr>
          <w:p>
            <w:pPr>
              <w:jc w:val="center"/>
              <w:ind w:right="2263"/>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gridSpan w:val="3"/>
          </w:tcPr>
          <w:p>
            <w:pPr>
              <w:jc w:val="center"/>
              <w:ind w:left="2039"/>
              <w:spacing w:after="0"/>
              <w:rPr>
                <w:sz w:val="20"/>
                <w:szCs w:val="20"/>
                <w:color w:val="auto"/>
              </w:rPr>
            </w:pPr>
            <w:r>
              <w:rPr>
                <w:rFonts w:ascii="Arial" w:cs="Arial" w:eastAsia="Arial" w:hAnsi="Arial"/>
                <w:sz w:val="18"/>
                <w:szCs w:val="18"/>
                <w:b w:val="1"/>
                <w:bCs w:val="1"/>
                <w:color w:val="auto"/>
                <w:w w:val="89"/>
              </w:rPr>
              <w:t>76-0542208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700" w:type="dxa"/>
            <w:vAlign w:val="bottom"/>
            <w:gridSpan w:val="3"/>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spacing w:after="0"/>
              <w:rPr>
                <w:sz w:val="12"/>
                <w:szCs w:val="12"/>
                <w:color w:val="auto"/>
              </w:rPr>
            </w:pPr>
          </w:p>
        </w:tc>
        <w:tc>
          <w:tcPr>
            <w:tcW w:w="1860" w:type="dxa"/>
            <w:vAlign w:val="bottom"/>
            <w:gridSpan w:val="2"/>
          </w:tcPr>
          <w:p>
            <w:pPr>
              <w:jc w:val="center"/>
              <w:ind w:left="719"/>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700" w:type="dxa"/>
            <w:vAlign w:val="bottom"/>
            <w:gridSpan w:val="3"/>
          </w:tcPr>
          <w:p>
            <w:pPr>
              <w:jc w:val="center"/>
              <w:ind w:right="23"/>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spacing w:after="0"/>
              <w:rPr>
                <w:sz w:val="16"/>
                <w:szCs w:val="16"/>
                <w:color w:val="auto"/>
              </w:rPr>
            </w:pPr>
          </w:p>
        </w:tc>
        <w:tc>
          <w:tcPr>
            <w:tcW w:w="21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6"/>
              </w:rPr>
              <w:t>Identification No.)</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40" w:type="dxa"/>
            <w:vAlign w:val="bottom"/>
          </w:tcPr>
          <w:p>
            <w:pPr>
              <w:spacing w:after="0"/>
              <w:rPr>
                <w:sz w:val="20"/>
                <w:szCs w:val="20"/>
                <w:color w:val="auto"/>
              </w:rPr>
            </w:pPr>
          </w:p>
        </w:tc>
        <w:tc>
          <w:tcPr>
            <w:tcW w:w="6280" w:type="dxa"/>
            <w:vAlign w:val="bottom"/>
            <w:gridSpan w:val="4"/>
          </w:tcPr>
          <w:p>
            <w:pPr>
              <w:jc w:val="center"/>
              <w:ind w:left="173"/>
              <w:spacing w:after="0"/>
              <w:rPr>
                <w:sz w:val="20"/>
                <w:szCs w:val="20"/>
                <w:color w:val="auto"/>
              </w:rPr>
            </w:pPr>
            <w:r>
              <w:rPr>
                <w:rFonts w:ascii="Arial" w:cs="Arial" w:eastAsia="Arial" w:hAnsi="Arial"/>
                <w:sz w:val="18"/>
                <w:szCs w:val="18"/>
                <w:b w:val="1"/>
                <w:bCs w:val="1"/>
                <w:color w:val="auto"/>
                <w:w w:val="89"/>
              </w:rPr>
              <w:t>5433 Westheimer Road, Suite 500, Houston, Texas, 77056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180" w:type="dxa"/>
            <w:vAlign w:val="bottom"/>
            <w:gridSpan w:val="3"/>
          </w:tcPr>
          <w:p>
            <w:pPr>
              <w:jc w:val="center"/>
              <w:ind w:right="759"/>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6280" w:type="dxa"/>
            <w:vAlign w:val="bottom"/>
            <w:gridSpan w:val="4"/>
          </w:tcPr>
          <w:p>
            <w:pPr>
              <w:jc w:val="center"/>
              <w:ind w:left="173"/>
              <w:spacing w:after="0"/>
              <w:rPr>
                <w:sz w:val="20"/>
                <w:szCs w:val="20"/>
                <w:color w:val="auto"/>
              </w:rPr>
            </w:pPr>
            <w:r>
              <w:rPr>
                <w:rFonts w:ascii="Arial" w:cs="Arial" w:eastAsia="Arial" w:hAnsi="Arial"/>
                <w:sz w:val="18"/>
                <w:szCs w:val="18"/>
                <w:b w:val="1"/>
                <w:bCs w:val="1"/>
                <w:color w:val="auto"/>
                <w:w w:val="89"/>
              </w:rPr>
              <w:t>Registrant’s telephone number, including area code: (713) 860-1500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6280" w:type="dxa"/>
            <w:vAlign w:val="bottom"/>
            <w:gridSpan w:val="4"/>
          </w:tcPr>
          <w:p>
            <w:pPr>
              <w:jc w:val="center"/>
              <w:ind w:left="193"/>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tcPr>
          <w:p>
            <w:pPr>
              <w:spacing w:after="0"/>
              <w:rPr>
                <w:sz w:val="16"/>
                <w:szCs w:val="16"/>
                <w:color w:val="auto"/>
              </w:rPr>
            </w:pPr>
          </w:p>
        </w:tc>
        <w:tc>
          <w:tcPr>
            <w:tcW w:w="4080" w:type="dxa"/>
            <w:vAlign w:val="bottom"/>
            <w:gridSpan w:val="6"/>
          </w:tcPr>
          <w:p>
            <w:pPr>
              <w:jc w:val="center"/>
              <w:ind w:left="113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1320" w:type="dxa"/>
            <w:vAlign w:val="bottom"/>
          </w:tcPr>
          <w:p>
            <w:pPr>
              <w:spacing w:after="0" w:line="20" w:lineRule="exact"/>
              <w:rPr>
                <w:sz w:val="1"/>
                <w:szCs w:val="1"/>
                <w:color w:val="auto"/>
              </w:rPr>
            </w:pPr>
          </w:p>
        </w:tc>
        <w:tc>
          <w:tcPr>
            <w:tcW w:w="26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gridSpan w:val="2"/>
          </w:tcPr>
          <w:p>
            <w:pPr>
              <w:ind w:left="1180"/>
              <w:spacing w:after="0" w:line="191" w:lineRule="exact"/>
              <w:rPr>
                <w:sz w:val="20"/>
                <w:szCs w:val="20"/>
                <w:color w:val="auto"/>
              </w:rPr>
            </w:pPr>
            <w:r>
              <w:rPr>
                <w:rFonts w:ascii="Arial" w:cs="Arial" w:eastAsia="Arial" w:hAnsi="Arial"/>
                <w:sz w:val="18"/>
                <w:szCs w:val="18"/>
                <w:b w:val="1"/>
                <w:bCs w:val="1"/>
                <w:color w:val="auto"/>
                <w:w w:val="90"/>
              </w:rPr>
              <w:t>Common Stock, par value $</w:t>
            </w:r>
          </w:p>
        </w:tc>
        <w:tc>
          <w:tcPr>
            <w:tcW w:w="236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760" w:type="dxa"/>
            <w:vAlign w:val="bottom"/>
            <w:gridSpan w:val="5"/>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r>
        <w:trPr>
          <w:trHeight w:val="234"/>
        </w:trPr>
        <w:tc>
          <w:tcPr>
            <w:tcW w:w="5700" w:type="dxa"/>
            <w:vAlign w:val="bottom"/>
            <w:gridSpan w:val="3"/>
          </w:tcPr>
          <w:p>
            <w:pPr>
              <w:jc w:val="center"/>
              <w:ind w:right="3"/>
              <w:spacing w:after="0"/>
              <w:rPr>
                <w:sz w:val="20"/>
                <w:szCs w:val="20"/>
                <w:color w:val="auto"/>
              </w:rPr>
            </w:pPr>
            <w:r>
              <w:rPr>
                <w:rFonts w:ascii="Arial" w:cs="Arial" w:eastAsia="Arial" w:hAnsi="Arial"/>
                <w:sz w:val="18"/>
                <w:szCs w:val="18"/>
                <w:b w:val="1"/>
                <w:bCs w:val="1"/>
                <w:color w:val="auto"/>
                <w:w w:val="89"/>
              </w:rPr>
              <w:t>Rights to Purchase Preferred Stock</w:t>
            </w:r>
          </w:p>
        </w:tc>
        <w:tc>
          <w:tcPr>
            <w:tcW w:w="1320" w:type="dxa"/>
            <w:vAlign w:val="bottom"/>
          </w:tcPr>
          <w:p>
            <w:pPr>
              <w:spacing w:after="0"/>
              <w:rPr>
                <w:sz w:val="20"/>
                <w:szCs w:val="20"/>
                <w:color w:val="auto"/>
              </w:rPr>
            </w:pPr>
          </w:p>
        </w:tc>
        <w:tc>
          <w:tcPr>
            <w:tcW w:w="27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6280" w:type="dxa"/>
            <w:vAlign w:val="bottom"/>
            <w:gridSpan w:val="4"/>
          </w:tcPr>
          <w:p>
            <w:pPr>
              <w:jc w:val="center"/>
              <w:ind w:left="193"/>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60" w:type="dxa"/>
            <w:vAlign w:val="bottom"/>
          </w:tcPr>
          <w:p>
            <w:pPr>
              <w:spacing w:after="0"/>
              <w:rPr>
                <w:sz w:val="23"/>
                <w:szCs w:val="23"/>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gridSpan w:val="2"/>
            <w:vMerge w:val="restart"/>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237"/>
        </w:trPr>
        <w:tc>
          <w:tcPr>
            <w:tcW w:w="85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5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No</w:t>
            </w:r>
          </w:p>
        </w:tc>
        <w:tc>
          <w:tcPr>
            <w:tcW w:w="6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200" w:right="140"/>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2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 w:lineRule="exact"/>
        <w:rPr>
          <w:sz w:val="24"/>
          <w:szCs w:val="24"/>
          <w:color w:val="auto"/>
        </w:rPr>
      </w:pPr>
    </w:p>
    <w:p>
      <w:pPr>
        <w:ind w:left="200" w:right="1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210"/>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40" w:type="dxa"/>
            <w:vAlign w:val="bottom"/>
          </w:tcPr>
          <w:p>
            <w:pPr>
              <w:ind w:left="31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200" w:right="2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200"/>
        <w:spacing w:after="0" w:line="207" w:lineRule="exact"/>
        <w:tabs>
          <w:tab w:leader="none" w:pos="7760" w:val="left"/>
          <w:tab w:leader="none" w:pos="8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ind w:left="200" w:right="400"/>
        <w:spacing w:after="0" w:line="263" w:lineRule="auto"/>
        <w:rPr>
          <w:sz w:val="20"/>
          <w:szCs w:val="20"/>
          <w:color w:val="auto"/>
        </w:rPr>
      </w:pPr>
      <w:r>
        <w:rPr>
          <w:rFonts w:ascii="Arial" w:cs="Arial" w:eastAsia="Arial" w:hAnsi="Arial"/>
          <w:sz w:val="18"/>
          <w:szCs w:val="18"/>
          <w:color w:val="auto"/>
        </w:rPr>
        <w:t>The aggregate market value of the voting stock of the registrant held by non-affiliates as of March 31, 2018, was approximately $125.2 million. On December 5, 2018, there were 21,205,536 shares of common stock outstanding.</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4" w:lineRule="exact"/>
        <w:rPr>
          <w:sz w:val="24"/>
          <w:szCs w:val="24"/>
          <w:color w:val="auto"/>
        </w:rPr>
      </w:pPr>
    </w:p>
    <w:p>
      <w:pPr>
        <w:ind w:left="200" w:right="120"/>
        <w:spacing w:after="0" w:line="277" w:lineRule="auto"/>
        <w:rPr>
          <w:sz w:val="20"/>
          <w:szCs w:val="20"/>
          <w:color w:val="auto"/>
        </w:rPr>
      </w:pPr>
      <w:r>
        <w:rPr>
          <w:rFonts w:ascii="Arial" w:cs="Arial" w:eastAsia="Arial" w:hAnsi="Arial"/>
          <w:sz w:val="18"/>
          <w:szCs w:val="18"/>
          <w:color w:val="auto"/>
        </w:rPr>
        <w:t>Certain information contained in the Proxy Statement for the 2019 Annual Meeting of Stockholders of the Registrant to be held on February 6, 2019,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80" w:type="dxa"/>
            <w:vAlign w:val="bottom"/>
            <w:gridSpan w:val="16"/>
            <w:vMerge w:val="restart"/>
          </w:tcPr>
          <w:p>
            <w:pPr>
              <w:jc w:val="center"/>
              <w:ind w:right="50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80" w:type="dxa"/>
            <w:vAlign w:val="bottom"/>
            <w:gridSpan w:val="16"/>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4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DEFINITIONS</w:t>
              </w:r>
            </w:hyperlink>
          </w:p>
        </w:tc>
        <w:tc>
          <w:tcPr>
            <w:tcW w:w="580" w:type="dxa"/>
            <w:vAlign w:val="bottom"/>
            <w:tcBorders>
              <w:top w:val="single" w:sz="8" w:color="0000EE"/>
            </w:tcBorders>
            <w:gridSpan w:val="4"/>
          </w:tcPr>
          <w:p>
            <w:pPr>
              <w:spacing w:after="0"/>
              <w:rPr>
                <w:sz w:val="17"/>
                <w:szCs w:val="17"/>
                <w:color w:val="auto"/>
              </w:rPr>
            </w:pPr>
          </w:p>
        </w:tc>
        <w:tc>
          <w:tcPr>
            <w:tcW w:w="5000" w:type="dxa"/>
            <w:vAlign w:val="bottom"/>
            <w:gridSpan w:val="12"/>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DISCLOSURE REGARDING FORWARD LOOKING STATEMENTS</w:t>
              </w:r>
            </w:hyperlink>
          </w:p>
        </w:tc>
        <w:tc>
          <w:tcPr>
            <w:tcW w:w="5340" w:type="dxa"/>
            <w:vAlign w:val="bottom"/>
            <w:gridSpan w:val="14"/>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540" w:type="dxa"/>
            <w:vAlign w:val="bottom"/>
            <w:gridSpan w:val="3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4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UNRESOLVED STAFF COMMENTS</w:t>
              </w:r>
            </w:hyperlink>
          </w:p>
        </w:tc>
        <w:tc>
          <w:tcPr>
            <w:tcW w:w="6720" w:type="dxa"/>
            <w:vAlign w:val="bottom"/>
            <w:gridSpan w:val="20"/>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540" w:type="dxa"/>
            <w:vAlign w:val="bottom"/>
            <w:gridSpan w:val="3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LEGAL PROCEEDINGS</w:t>
              </w:r>
            </w:hyperlink>
          </w:p>
        </w:tc>
        <w:tc>
          <w:tcPr>
            <w:tcW w:w="7660" w:type="dxa"/>
            <w:vAlign w:val="bottom"/>
            <w:gridSpan w:val="25"/>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40" w:type="dxa"/>
            <w:vAlign w:val="bottom"/>
            <w:gridSpan w:val="3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496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540" w:type="dxa"/>
            <w:vAlign w:val="bottom"/>
            <w:gridSpan w:val="30"/>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MARKET FOR REGISTRANT’S COMMON EQUITY, RELATED STOCKHOLDER MATTERS AND ISSUER PURCHASES</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9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OF EQUITY SECURITIES</w:t>
              </w:r>
            </w:hyperlink>
          </w:p>
        </w:tc>
        <w:tc>
          <w:tcPr>
            <w:tcW w:w="200" w:type="dxa"/>
            <w:vAlign w:val="bottom"/>
            <w:gridSpan w:val="2"/>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40" w:type="dxa"/>
            <w:vAlign w:val="bottom"/>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MANAGEMENT’S DISCUSSION AND ANALYSIS OF FINANCIAL CONDITION AND RESULTS OF OPERATIONS</w:t>
              </w:r>
            </w:hyperlink>
          </w:p>
        </w:tc>
        <w:tc>
          <w:tcPr>
            <w:tcW w:w="620" w:type="dxa"/>
            <w:vAlign w:val="bottom"/>
            <w:gridSpan w:val="4"/>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24"/>
          </w:tcPr>
          <w:p>
            <w:pPr>
              <w:spacing w:after="0" w:line="196"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QUANTITATIVE AND QUALITATIVE DISCLOSURES ABOUT MARKET RISK</w:t>
              </w:r>
            </w:hyperlink>
          </w:p>
        </w:tc>
        <w:tc>
          <w:tcPr>
            <w:tcW w:w="3400" w:type="dxa"/>
            <w:vAlign w:val="bottom"/>
            <w:gridSpan w:val="6"/>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FINANCIAL STATEMENTS AND SUPPLEMENTARY DATA</w:t>
              </w:r>
            </w:hyperlink>
          </w:p>
        </w:tc>
        <w:tc>
          <w:tcPr>
            <w:tcW w:w="4880" w:type="dxa"/>
            <w:vAlign w:val="bottom"/>
            <w:gridSpan w:val="8"/>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CHANGES IN AND DISAGREEMENTS WITH ACCOUNTANTS ON ACCOUNTING AND FINANCIAL DISCLOSURE</w:t>
              </w:r>
            </w:hyperlink>
          </w:p>
        </w:tc>
        <w:tc>
          <w:tcPr>
            <w:tcW w:w="440" w:type="dxa"/>
            <w:vAlign w:val="bottom"/>
            <w:gridSpan w:val="3"/>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CONTROLS AND PROCEDURES</w:t>
              </w:r>
            </w:hyperlink>
          </w:p>
        </w:tc>
        <w:tc>
          <w:tcPr>
            <w:tcW w:w="6940" w:type="dxa"/>
            <w:vAlign w:val="bottom"/>
            <w:gridSpan w:val="21"/>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540" w:type="dxa"/>
            <w:vAlign w:val="bottom"/>
            <w:gridSpan w:val="3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Borders>
              <w:bottom w:val="single" w:sz="8" w:color="0000EE"/>
            </w:tcBorders>
            <w:gridSpan w:val="10"/>
          </w:tcPr>
          <w:p>
            <w:pPr>
              <w:jc w:val="cente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tc>
        <w:tc>
          <w:tcPr>
            <w:tcW w:w="492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DIRECTORS, EXECUTIVE OFFICERS AND CORPORATE GOVERNANCE</w:t>
              </w:r>
            </w:hyperlink>
          </w:p>
        </w:tc>
        <w:tc>
          <w:tcPr>
            <w:tcW w:w="3740" w:type="dxa"/>
            <w:vAlign w:val="bottom"/>
            <w:gridSpan w:val="7"/>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540" w:type="dxa"/>
            <w:vAlign w:val="bottom"/>
            <w:gridSpan w:val="3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40" w:type="dxa"/>
            <w:vAlign w:val="bottom"/>
            <w:gridSpan w:val="30"/>
          </w:tcPr>
          <w:p>
            <w:pPr>
              <w:spacing w:after="0" w:line="196" w:lineRule="exact"/>
              <w:rPr>
                <w:rFonts w:ascii="Arial" w:cs="Arial" w:eastAsia="Arial" w:hAnsi="Arial"/>
                <w:sz w:val="18"/>
                <w:szCs w:val="18"/>
                <w:color w:val="0000EE"/>
                <w:w w:val="98"/>
              </w:rPr>
            </w:pPr>
            <w:hyperlink w:anchor="page88">
              <w:r>
                <w:rPr>
                  <w:rFonts w:ascii="Arial" w:cs="Arial" w:eastAsia="Arial" w:hAnsi="Arial"/>
                  <w:sz w:val="18"/>
                  <w:szCs w:val="18"/>
                  <w:color w:val="0000EE"/>
                  <w:w w:val="98"/>
                </w:rPr>
                <w:t>SECURITY OWNERSHIP OF CERTAIN BENEFICIAL OWNERS AND MANAGEMENT AND RELATED STOCKHOLDER</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MATTERS</w:t>
              </w:r>
            </w:hyperlink>
          </w:p>
        </w:tc>
        <w:tc>
          <w:tcPr>
            <w:tcW w:w="8520" w:type="dxa"/>
            <w:vAlign w:val="bottom"/>
            <w:tcBorders>
              <w:top w:val="single" w:sz="8" w:color="0000EE"/>
            </w:tcBorders>
            <w:gridSpan w:val="27"/>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CERTAIN RELATIONSHIPS AND RELATED TRANSACTIONS, AND DIRECTOR INDEPENDENCE</w:t>
              </w:r>
            </w:hyperlink>
          </w:p>
        </w:tc>
        <w:tc>
          <w:tcPr>
            <w:tcW w:w="1840" w:type="dxa"/>
            <w:vAlign w:val="bottom"/>
            <w:gridSpan w:val="5"/>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PRINCIPAL ACCOUNTANT FEES AND SERVICES</w:t>
              </w:r>
            </w:hyperlink>
          </w:p>
        </w:tc>
        <w:tc>
          <w:tcPr>
            <w:tcW w:w="5560" w:type="dxa"/>
            <w:vAlign w:val="bottom"/>
            <w:gridSpan w:val="15"/>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8"/>
          </w:tcPr>
          <w:p>
            <w:pPr>
              <w:jc w:val="center"/>
              <w:ind w:right="4940"/>
              <w:spacing w:after="0"/>
              <w:rPr>
                <w:rFonts w:ascii="Arial" w:cs="Arial" w:eastAsia="Arial" w:hAnsi="Arial"/>
                <w:sz w:val="18"/>
                <w:szCs w:val="18"/>
                <w:b w:val="1"/>
                <w:bCs w:val="1"/>
                <w:color w:val="0000EE"/>
                <w:w w:val="98"/>
              </w:rPr>
            </w:pPr>
            <w:hyperlink w:anchor="page90">
              <w:r>
                <w:rPr>
                  <w:rFonts w:ascii="Arial" w:cs="Arial" w:eastAsia="Arial" w:hAnsi="Arial"/>
                  <w:sz w:val="18"/>
                  <w:szCs w:val="18"/>
                  <w:b w:val="1"/>
                  <w:bCs w:val="1"/>
                  <w:color w:val="0000EE"/>
                  <w:w w:val="98"/>
                </w:rPr>
                <w:t>PART IV</w:t>
              </w:r>
            </w:hyperlink>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11"/>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44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90">
              <w:r>
                <w:rPr>
                  <w:rFonts w:ascii="Arial" w:cs="Arial" w:eastAsia="Arial" w:hAnsi="Arial"/>
                  <w:sz w:val="18"/>
                  <w:szCs w:val="18"/>
                  <w:color w:val="0000EE"/>
                  <w:w w:val="97"/>
                </w:rPr>
                <w:t>EXHIBITS AND FINANCIAL STATEMENT SCHEDULES</w:t>
              </w:r>
            </w:hyperlink>
          </w:p>
        </w:tc>
        <w:tc>
          <w:tcPr>
            <w:tcW w:w="5100" w:type="dxa"/>
            <w:vAlign w:val="bottom"/>
            <w:gridSpan w:val="13"/>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520" w:type="dxa"/>
            <w:vAlign w:val="bottom"/>
            <w:gridSpan w:val="3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 this Annual Report on Form 10-K, the words “IES”, the “Company”, the “Registrant”, “we”, “our”, “ours” and “us” refer to IES Holdings, Inc. and, except as otherwise specified herein, to our subsidiaries.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95" w:lineRule="exact"/>
        <w:rPr>
          <w:sz w:val="20"/>
          <w:szCs w:val="20"/>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640" w:hanging="328"/>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640" w:right="8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further write-downs on deferred tax assets;</w:t>
      </w:r>
    </w:p>
    <w:p>
      <w:pPr>
        <w:spacing w:after="0" w:line="130" w:lineRule="exact"/>
        <w:rPr>
          <w:rFonts w:ascii="Arial" w:cs="Arial" w:eastAsia="Arial" w:hAnsi="Arial"/>
          <w:sz w:val="18"/>
          <w:szCs w:val="18"/>
          <w:color w:val="auto"/>
        </w:rPr>
      </w:pPr>
    </w:p>
    <w:p>
      <w:pPr>
        <w:ind w:left="640" w:right="26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142" w:lineRule="exact"/>
        <w:rPr>
          <w:rFonts w:ascii="Arial" w:cs="Arial" w:eastAsia="Arial" w:hAnsi="Arial"/>
          <w:sz w:val="17"/>
          <w:szCs w:val="17"/>
          <w:color w:val="auto"/>
        </w:rPr>
      </w:pPr>
    </w:p>
    <w:p>
      <w:pPr>
        <w:ind w:left="640" w:right="6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facilities, including liquidity, EBITDA and other financial requirements, which could result in a default and acceleration of our indebtedness under our revolving credit facility;</w:t>
      </w:r>
    </w:p>
    <w:p>
      <w:pPr>
        <w:spacing w:after="0" w:line="75" w:lineRule="exact"/>
        <w:rPr>
          <w:rFonts w:ascii="Arial" w:cs="Arial" w:eastAsia="Arial" w:hAnsi="Arial"/>
          <w:sz w:val="18"/>
          <w:szCs w:val="18"/>
          <w:color w:val="auto"/>
        </w:rPr>
      </w:pPr>
    </w:p>
    <w:p>
      <w:pPr>
        <w:ind w:left="640" w:right="50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640" w:right="520" w:hanging="328"/>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51" w:lineRule="exact"/>
        <w:rPr>
          <w:rFonts w:ascii="Arial" w:cs="Arial" w:eastAsia="Arial" w:hAnsi="Arial"/>
          <w:sz w:val="17"/>
          <w:szCs w:val="17"/>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640" w:right="64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640" w:right="42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640" w:right="28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or the housing market, seasonality and differing regional economic conditions;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64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640" w:right="60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2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including those listed in Part I, Item 1A of this report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spacing w:after="0" w:line="334"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52" w:lineRule="exact"/>
        <w:rPr>
          <w:sz w:val="20"/>
          <w:szCs w:val="20"/>
          <w:color w:val="auto"/>
        </w:rPr>
      </w:pPr>
    </w:p>
    <w:p>
      <w:pPr>
        <w:ind w:left="1060" w:right="260" w:hanging="316"/>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 Nationwide provider of technology infrastructure services to large corporations and independent businesses.</w:t>
      </w:r>
    </w:p>
    <w:p>
      <w:pPr>
        <w:spacing w:after="0" w:line="142" w:lineRule="exact"/>
        <w:rPr>
          <w:rFonts w:ascii="Arial" w:cs="Arial" w:eastAsia="Arial" w:hAnsi="Arial"/>
          <w:sz w:val="17"/>
          <w:szCs w:val="17"/>
          <w:color w:val="auto"/>
        </w:rPr>
      </w:pPr>
    </w:p>
    <w:p>
      <w:pPr>
        <w:ind w:left="1060" w:right="5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 including apparatus repair and custom-engineered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businesses are managed in a decentralized manner. While sharing common goals and values, each of the Company’s segments manages its own day-to-day operations. Our corporate office is focused on significant capital allocation decisions, investment activities and selection of segment leadership, as well as strategic and operational improvement initiatives and the establishment and monitoring of risk management practices within our segments.</w:t>
      </w:r>
    </w:p>
    <w:p>
      <w:pPr>
        <w:spacing w:after="0" w:line="18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IES Holdings, Inc. is a Delaware corporation established in 1997 and headquartered in Houston, Texas, with an executive office in Greenwich, Connecticut.</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seek to create shareholder value through improving operating margins and generating free cash flow by investing in our existing businesses and completing acquisitions. We seek to acquire or invest in stand-alone platform companies based in North America or acquire businesses that strategically complement our existing business segments. In evaluating potential acquisition candidates, we seek to invest in businesses with, among other characteristics:</w:t>
      </w:r>
    </w:p>
    <w:p>
      <w:pPr>
        <w:spacing w:after="0" w:line="92" w:lineRule="exact"/>
        <w:rPr>
          <w:sz w:val="20"/>
          <w:szCs w:val="20"/>
          <w:color w:val="auto"/>
        </w:rPr>
      </w:pPr>
    </w:p>
    <w:p>
      <w:pPr>
        <w:ind w:left="5660" w:right="5180" w:hanging="4916"/>
        <w:spacing w:after="0" w:line="388" w:lineRule="auto"/>
        <w:tabs>
          <w:tab w:leader="none" w:pos="1059"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proven management with a willingness to continue post-acquisition; 3</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technological and/or product obsolescence risk;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market position and sustainable competitive advantages;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cash flow characteristics.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believe that acquisitions provide an opportunity to expand into new end markets and diversify our revenue and profit streams, which we expect will allow us to maximize the value of our significant net operating loss tax carry forwards (“NOLs”). While we may use acquisitions to build our presence in the industries we serve, we will also consider potential acquisitions in other industries, which could result in changes in our operations from those historically conducted by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Controlling Shareholder</w:t>
      </w:r>
    </w:p>
    <w:p>
      <w:pPr>
        <w:spacing w:after="0" w:line="12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A majority of our outstanding common stock is owned by Tontine Associates, L.L.C. and its affiliates (collectively, “Tontine”). Based on a Form 4 filed on October 3, 2018, Tontine owns approximately 59 percent of the Company. As a result, Tontine can control most of our affairs, including most actions requiring the approval of shareholders, such as the approval of any potential merger or sale of all or substantially all assets, segments, or the Company itself. Most of Tontine’s shares are registered for resale on a shelf registration statement filed by the Company with the United States Securities and Exchange Commission (the “SEC”). Tontine’s sale of all or any portion of its shares could result in a change of control, which would trigger the change of control provisions in a number of our material agreements, including our credit facility, bonding agreements with our sureties and our executive severance plan. For more information see Note 3, “Controlling Shareholder” in the notes to our Consolidated Financial Statements.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Operating Loss Tax Carry Forward and Other Deferred Tax Assets</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Company and certain of its subsidiaries have an estimated federal net operating loss (“NOL”) of approximately $355.3 million at September 30, 2018, including approximately $133.3 million resulting from the additional amortization of personal goodwill.</w:t>
      </w:r>
    </w:p>
    <w:p>
      <w:pPr>
        <w:spacing w:after="0" w:line="17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In fiscal 2016, we released a significant valuation allowance against our deferred tax assets. An inability to generate sufficient taxable income in future periods to realize our deferred tax assets may lead to the recording of additional valuation allowances in future periods and a reduction in income under accounting principles generally accepted in the United States of America (“GAAP”). In December 2017, the Tax Cuts and Jobs Act (the “Act”) was enacted which, among other things, reduced the corporate income tax rate from 35% to 21%, effective January 1, 2018. As a result of this change, the Company’s statutory rate for fiscal 2018 was a blended rate of 24.53% and will decrease to 21% thereafter. For the year ended September 30, 2018, our effective tax rate differed from the statutory tax rate as a result of a charge of $31.3 million to re-measure our deferred tax assets and liabilities to reflect the estimated impact of the new statutory tax rate. Any future change in the federal statutory tax rate could also impact the economic benefit of the NOL and other deferred tax assets available to us and an additional charge or benefit to adjust the book value of the deferred tax asset recorded on our balance sheet.</w:t>
      </w:r>
    </w:p>
    <w:p>
      <w:pPr>
        <w:spacing w:after="0" w:line="197"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net operating losses incurred prior to the change in ownership would be subject to limitation imposed by Internal Revenue Code Section 382, which would substantially reduce the amount of NOL currently available to offset taxable income. For more information see Note 3, “Controlling Shareholder” in the notes to our Consolidated Financial Statements.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The Company maintains a tax benefit protection plan (the “NOL Rights Plan”) which was designed to deter an acquisition of the Company’s stock in excess of a threshold amount that could trigger a change of control within the meaning of Internal Revenue Code Section 382.</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jc w:val="both"/>
        <w:ind w:left="200" w:right="400"/>
        <w:spacing w:after="0" w:line="342" w:lineRule="auto"/>
        <w:rPr>
          <w:sz w:val="20"/>
          <w:szCs w:val="20"/>
          <w:color w:val="auto"/>
        </w:rPr>
      </w:pPr>
      <w:r>
        <w:rPr>
          <w:rFonts w:ascii="Arial" w:cs="Arial" w:eastAsia="Arial" w:hAnsi="Arial"/>
          <w:sz w:val="16"/>
          <w:szCs w:val="16"/>
          <w:color w:val="auto"/>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95"/>
              </w:rPr>
              <w:t>Year Ended September 30,</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gridSpan w:val="10"/>
          </w:tcPr>
          <w:p>
            <w:pPr>
              <w:jc w:val="right"/>
              <w:ind w:right="640"/>
              <w:spacing w:after="0" w:line="142" w:lineRule="exact"/>
              <w:rPr>
                <w:sz w:val="20"/>
                <w:szCs w:val="20"/>
                <w:color w:val="auto"/>
              </w:rPr>
            </w:pPr>
            <w:r>
              <w:rPr>
                <w:rFonts w:ascii="Arial" w:cs="Arial" w:eastAsia="Arial" w:hAnsi="Arial"/>
                <w:sz w:val="14"/>
                <w:szCs w:val="14"/>
                <w:color w:val="auto"/>
                <w:w w:val="99"/>
              </w:rPr>
              <w:t>(Dollars in thousands, Percentage of revenues)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$274,299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Communications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219,655</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225,275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189,635</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Solutions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97,163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Residential</w:t>
            </w: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285,711</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274,039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225,889</w:t>
            </w: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876,828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810,744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695,993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additional financial information by segment, see Note 10, “Operating Segments” in the notes to our Consolidated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Commercial &amp; Industrial segment provides electrical and mechanical design, service, and construction services to commercial and industrial markets.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We also provide mechanical services such as maintenance agreements, installation, or replacement of mechanical equipment for commercial and industrial facilities.</w:t>
      </w:r>
    </w:p>
    <w:p>
      <w:pPr>
        <w:spacing w:after="0" w:line="18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23 locations, which includes the segment headquarters in Houston, Texas. Geographically, these locations cover Texas, Nebraska, Oregon, Wisconsin, and the Southeast and Mid-Atlantic regions.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Given the diverse end-markets of our Commercial &amp; Industrial customers, which include both commercial buildings, such as offices, healthcare facilities and schools, and industrial projects, such as power, chemical, refinery and heavy manufacturing facilities, we are subject to many trends within the construction industry. In general, demand for our Commercial &amp; Industrial services is driven by construction and renovation activity levels, economic growth, and availability of bank lending. Due to economic, technological or other factors, there can be no assurance that construction and demand will increase.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 to be either recurring or experience lower sensitivity to economic cycles, or both. A significant portion of our larger projects are awarded from long-term, repeat customers. From time to time, we are contracted on projects with completion times extending beyond one year or over several years, which are generally more complex and difficult to estimate.</w:t>
      </w:r>
    </w:p>
    <w:p>
      <w:pPr>
        <w:spacing w:after="0" w:line="18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With a focus on quality service offerings, our long-term strategy is to continue to be one of the preferred providers of electrical and mechanical services in the markets where we have demonstrated expertise and/or are a local market leader. Key elements of our long-term strategy include leveraging our expertise in certain niche markets, expanding our service and maintenance business, attracting and retaining highly qualified employees, and maintaining our focus on returns on risk adjusted capital.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electrical and mechanical contracting services industry is generally highly competitive and includes a number of regional or small privately-held local firms. Traditionally, competitors in certain parts of this market have faced few barriers to entry. Our strategy is to pursue projects where our access to capital and expertise provide a competitive advantage.</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Industry expertise, project size, location and past performance will determine our bidding strategy, the level of involvement from competitors and our level of success in winning awards.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effects of seasonality on our Commercial &amp; Industrial business are insignificant, as work generally is performed inside structures protected from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Originally established in 1984, our Communications segment is a leading provider of network infrastructure solutions for data centers and other mission critical environments. Our services include the design, installation and maintenance of network infrastructure to leading and recognizable global technology, social networking and e-commerce brands, including many Fortune 100 and 500 corporations. We serve a variety of industries and end-markets,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13 offices, which includes the segment headquarters located in Tempe, Arizona, and also provide dedicated onsite teams at our customers’ sites.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fiscal 2018, we expanded our geographic offerings into the Pacific Northwest market with the acquisition of Azimuth Communications,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(“Azimuth”).</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Our Communications segment is driven by demand increases for computing and storage resources as a result of technology advancements and obsolescence and changes in data consumption patterns. The data center market remains strong, and the needs of several of our large customers are growing rapidly. Additionally, we are continuing to expand our offerings in this market to broaden our customer base. Demand has also been growing for our audio-visual and other building technology offerings. Nevertheless, due to economic, technological and other factors, there can be no assurance that demand will continue to increase.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Our competition consists of both large national or regional competitors and small, privately owned contractors who have limited access to capital. We compete on quality of service and/or price and seek to emphasize our long history of delivering high quality solutions to our customers.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effects of seasonality on our Communications business are insignificant,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300"/>
        <w:spacing w:after="0" w:line="276" w:lineRule="auto"/>
        <w:rPr>
          <w:sz w:val="20"/>
          <w:szCs w:val="20"/>
          <w:color w:val="auto"/>
        </w:rPr>
      </w:pPr>
      <w:r>
        <w:rPr>
          <w:rFonts w:ascii="Arial" w:cs="Arial" w:eastAsia="Arial" w:hAnsi="Arial"/>
          <w:sz w:val="17"/>
          <w:szCs w:val="17"/>
          <w:color w:val="auto"/>
        </w:rPr>
        <w:t>Our Infrastructure Solutions segment provides electro-mechanical solutions for industrial operations to domestic and international customers. Our solutions include the maintenance and repair of alternating current (AC) and direct current (DC) electric motors and generators, as well as power generating and distribution equipment; the manufacture of custom-engineered, metal enclosed bus duct solutions used in power distribution; the manufacture of custom commercial and industrial generator enclosures; the manufacture, remanufacture, and repair of industrial lifting magnets; and maintenance and repair of railroad main and auxiliary generators, main alternators, and traction motors.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This segment serves the steel, railroad, marine, petrochemical, pulp and paper, wind energy, mining, automotive, power generation, scrap yards, data center, and utility industries. Our Infrastructure Solutions segment is comprised of 10 locations and is headquartered in Ohio. These segment locations geographically cover Alabama, Georgia, Illinois, Indiana, Ohio, West Virginia and California.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and the overall health of the economy.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right="200"/>
        <w:spacing w:after="0" w:line="290" w:lineRule="auto"/>
        <w:rPr>
          <w:sz w:val="20"/>
          <w:szCs w:val="20"/>
          <w:color w:val="auto"/>
        </w:rPr>
      </w:pPr>
      <w:r>
        <w:rPr>
          <w:rFonts w:ascii="Arial" w:cs="Arial" w:eastAsia="Arial" w:hAnsi="Arial"/>
          <w:sz w:val="16"/>
          <w:szCs w:val="16"/>
          <w:color w:val="auto"/>
        </w:rPr>
        <w:t>Demand for Infrastructure Solutions’ services is largely driven by the degree to which industrial and mechanical services are outsourced by our customers, production rates at steel mills, investments in power generation, other heavy industrial facilities, data centers, and the need for electrical infrastructure improvements. Our sales efforts are primarily driven by personnel based at our operating locations, as well as independent sales representatives. Given that the majority of our apparatus repair customers are located within a 200-mile radius of our facilities, we believe that this structure allows us to rapidly address and respond to the needs of our customers. Our custom-engineered bus system and generator enclosure products and services are principally sold in partnership with an original equipment manufacturer (“OEM”) or to an engineering, procurement and construction firm on behalf of the end-user. Our long term strategy is to be the preferred solutions provider of outsourced electro-mechanical services, repairs, and manufacturing to our select markets and a leader in custom-engineered metal enclosed bus systems.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competition is comprised mainly of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Infrastructure Solutions’ revenues from industrial services may be affected by the timing of scheduled outages at its industrial customers’ facilities and by weather conditions with respect to projects conducted outdoors, but the effects of seasonality on revenues in its industrial services business are insignificant. Infrastructure Solutions’ quarterly results may fluctuate, and the results of one fiscal quarter may not be representative of the results of any other quarter or of the full fiscal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Originally established in 1973, our Residential segment is a leading provider of electrical installation services for single-family housing and multi-family apartment complexes and cable television installations for residential and light commercial applications. In addition to our core electrical construction work, the Residential segment also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provides services for the installation of residential solar power, both for new construction and existing residences. The Residential segment is made up of 31 total locations, which include the segment headquarters in Houston, Texas. These locations geographically cover the Sun-Belt, Western and Mid-Atlantic regions of the United States.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fiscal 2018, we expanded our geographic offerings into the Salt Lake City market with the acquisition of Electrical Contractors North,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(“ECNI”).</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Demand for our Residential services is highly dependent on the number of single-family and multi-family home starts in the markets we serve. Although we operate in multiple states throughout the Sun-Belt, Mid-Atlantic and Western regions of the United States, the majority of our single-family revenues are derived from services provided in Texas.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spacing w:after="0" w:line="192"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Our long-term strategy is to continue to be a leading provider of electrical services to the residential market. The key elements of our long-term strategy include a continued focus on maintaining a low and variable cost structure and cash generation, allowing us to effectively scale according to the housing cycle, and to opportunistically increase our market share.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ind w:left="200" w:right="400"/>
        <w:spacing w:after="0" w:line="312" w:lineRule="auto"/>
        <w:rPr>
          <w:sz w:val="20"/>
          <w:szCs w:val="20"/>
          <w:color w:val="auto"/>
        </w:rPr>
      </w:pPr>
      <w:r>
        <w:rPr>
          <w:rFonts w:ascii="Arial" w:cs="Arial" w:eastAsia="Arial" w:hAnsi="Arial"/>
          <w:sz w:val="16"/>
          <w:szCs w:val="16"/>
          <w:color w:val="auto"/>
        </w:rPr>
        <w:t>Our competition primarily consists of small, privately owned contractors who have limited access to capital. We believe that we have a competitive advantage over these smaller competitors due to our key employees’ long-standing customer relationships, our financial capabilities, and our local market knowledge and competitive pricing. There are few barriers to entry for electrical contracting services in the residential markets.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Results of operations from our Residential segment can be seasonal, depending on weather trends, with typically higher revenues generated during spring and summer and lower revenues during fall and winter. Our service and maintenance business is generally not affected by seasonality.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SOURCES OF SUPPLY</w:t>
      </w:r>
    </w:p>
    <w:p>
      <w:pPr>
        <w:spacing w:after="0" w:line="22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The raw materials and components we use within our segments include, but are not limited to, electrical fixtures and system components, copper, aluminum, and raw steel. These raw materials and components are generally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available from a variety of domestic suppliers at competitive prices. Delivery times are typically short for most raw materials and standard components, but during periods of peak demand, may extend to one month or more. Our strategy to reduce commodity cost exposure includes early buying of commodities for particular projects or general inventory, as well as including escalation and escape provisions in project bids, quotes and contracts wherever possible. However, such protections may not be included in every contract or project, and in such cases, we may not be fully reimbursed for increases in commodity prices by our customers and may be exposed to commodity price volatility on longer-term projects where we have prepaid for commodities.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 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employ full-time and part-time regional safety managers, under the supervision of our full-time Senior Vice President of Safety, and seek to maintain standardized safety and environmental policies, programs, procedures and personal protection equipment relative to each segment, including programs to train new employees, which apply to employees new to the industry and those new to the Company.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spacing w:after="0" w:line="169"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have a diverse customer base. During the years ended September 30, 2018, 2017 and 2016, no single customer accounted for more than 10% of our consolidated revenues. We emphasize developing and maintaining relationships with our customers by providing superior, high-quality service. Management at each of our segments is responsible for determining sales strategies and sales activities.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this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at our Residential segment are completed on a short-term basis and are therefore excluded from backlog. The table below summarizes our backlog by segment:</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color w:val="auto"/>
              </w:rPr>
              <w:t>Year Ended September 30,</w:t>
            </w: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2018</w:t>
            </w:r>
          </w:p>
        </w:tc>
        <w:tc>
          <w:tcPr>
            <w:tcW w:w="8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89"/>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right"/>
              <w:ind w:right="20"/>
              <w:spacing w:after="0" w:line="142" w:lineRule="exact"/>
              <w:rPr>
                <w:sz w:val="20"/>
                <w:szCs w:val="20"/>
                <w:color w:val="auto"/>
              </w:rPr>
            </w:pPr>
            <w:r>
              <w:rPr>
                <w:rFonts w:ascii="Arial" w:cs="Arial" w:eastAsia="Arial" w:hAnsi="Arial"/>
                <w:sz w:val="14"/>
                <w:szCs w:val="14"/>
                <w:color w:val="auto"/>
              </w:rPr>
              <w:t>(Dollars in millions)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Communications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Solutions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Residential</w:t>
            </w:r>
          </w:p>
        </w:tc>
        <w:tc>
          <w:tcPr>
            <w:tcW w:w="2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While our entire backlog is supported by documentation from customers authorizing the performance of future work, backlog is not a guarantee of future revenues as contractual commitments may change. We expect that $369 million of our September 30, 2018 backlog will result in revenue during fiscal 2019, with the remaining $113 million expected to be realized in fiscal 2020; however, there can be no assurance that this backlog will be completed within expected time frames or at all. The increase in our backlog year over year was driven by strong demand and increased market share within each of our segments.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operations are subject to various federal, state and local laws and regulations, including:</w:t>
      </w:r>
    </w:p>
    <w:p>
      <w:pPr>
        <w:spacing w:after="0" w:line="131"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licensing requirements applicable to electricians and mechanical service technicians;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and electrical codes;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worker safety, labor relations and protection of the environment;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consumer protection, including those governing residential service agreements;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qualifications of our business legal structure in the jurisdictions where we do business.</w:t>
      </w:r>
    </w:p>
    <w:p>
      <w:pPr>
        <w:spacing w:after="0" w:line="225"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spacing w:after="0" w:line="173"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We believe we have all licenses required to conduct our operations and are in compliance with applicable regulatory requirements. Failure to comply with applicable regulations could result in substantial fines or revocation of our operating licenses or an inability to perform government work.</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 FACILITIES</w:t>
      </w:r>
    </w:p>
    <w:p>
      <w:pPr>
        <w:spacing w:after="0" w:line="22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During fiscal year 2018, the Company maintained a revolving credit facility, as further described in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 The Revolving Credit Facility</w:t>
      </w:r>
      <w:r>
        <w:rPr>
          <w:rFonts w:ascii="Arial" w:cs="Arial" w:eastAsia="Arial" w:hAnsi="Arial"/>
          <w:sz w:val="18"/>
          <w:szCs w:val="18"/>
          <w:color w:val="auto"/>
        </w:rPr>
        <w:t>” of this Annual Report on Form 10-K. For a discussion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capital resources, see Item 7. </w:t>
      </w:r>
      <w:r>
        <w:rPr>
          <w:rFonts w:ascii="Arial" w:cs="Arial" w:eastAsia="Arial" w:hAnsi="Arial"/>
          <w:sz w:val="18"/>
          <w:szCs w:val="18"/>
          <w:i w:val="1"/>
          <w:iCs w:val="1"/>
          <w:color w:val="auto"/>
        </w:rPr>
        <w:t>“Management’s Discussion and Analysis of Financial Condition and Results of Operations — 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of this Annual Report on Form 10-K.</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For information on the Company’s financial information by segment, see Note 10,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in the notes to our Consolidated Financial Statements.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At September 30, 2018, we had 4,564 employees. We are party to two collective bargaining agreements within our Infrastructure Solutions segment. We have not experienced, and do not expect, any work stoppage, and we believe that our relationship with our employees is strong.</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LOCATIONS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As of September 30, 2018, we have 79 domestic locations serving the United States. In addition to our 2 executive and corporate offices, as of September 30, 2018, we have 23 locations within our Commercial &amp; Industrial business, 13 locations within our Communications business, 10 locations within our Infrastructure Solutions business and 31 locations within our Residential business. This diversity helps to reduce our exposure to unfavorable economic developments in any given region.</w:t>
      </w:r>
    </w:p>
    <w:p>
      <w:pPr>
        <w:spacing w:after="0" w:line="39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Certain information with respect to each executive officer is as follows:</w:t>
      </w:r>
    </w:p>
    <w:p>
      <w:pPr>
        <w:spacing w:after="0" w:line="225" w:lineRule="exact"/>
        <w:rPr>
          <w:sz w:val="20"/>
          <w:szCs w:val="20"/>
          <w:color w:val="auto"/>
        </w:rPr>
      </w:pPr>
    </w:p>
    <w:p>
      <w:pPr>
        <w:jc w:val="both"/>
        <w:ind w:left="200" w:right="60"/>
        <w:spacing w:after="0" w:line="288" w:lineRule="auto"/>
        <w:rPr>
          <w:sz w:val="20"/>
          <w:szCs w:val="20"/>
          <w:color w:val="auto"/>
        </w:rPr>
      </w:pPr>
      <w:r>
        <w:rPr>
          <w:rFonts w:ascii="Arial" w:cs="Arial" w:eastAsia="Arial" w:hAnsi="Arial"/>
          <w:sz w:val="16"/>
          <w:szCs w:val="16"/>
          <w:i w:val="1"/>
          <w:iCs w:val="1"/>
          <w:color w:val="auto"/>
        </w:rPr>
        <w:t xml:space="preserve">Robert W. Lewey, </w:t>
      </w:r>
      <w:r>
        <w:rPr>
          <w:rFonts w:ascii="Arial" w:cs="Arial" w:eastAsia="Arial" w:hAnsi="Arial"/>
          <w:sz w:val="16"/>
          <w:szCs w:val="16"/>
          <w:color w:val="auto"/>
        </w:rPr>
        <w:t>57, has served as a Director of the Company since May 2016 and as President of the Company since May 2015. He previously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Interim Chief Operating Officer of the Company from January 2015 to May 2015 while continuing to serve as Senior Vice President, Chief Financial Officer and Treasurer of the Company, a role he had held from January 2012 to May 2015. From 2001 to 2006 and from 2007 to January 2012,</w:t>
      </w:r>
    </w:p>
    <w:p>
      <w:pPr>
        <w:ind w:left="200"/>
        <w:spacing w:after="0" w:line="255" w:lineRule="auto"/>
        <w:rPr>
          <w:sz w:val="20"/>
          <w:szCs w:val="20"/>
          <w:color w:val="auto"/>
        </w:rPr>
      </w:pPr>
      <w:r>
        <w:rPr>
          <w:rFonts w:ascii="Arial" w:cs="Arial" w:eastAsia="Arial" w:hAnsi="Arial"/>
          <w:sz w:val="18"/>
          <w:szCs w:val="18"/>
          <w:color w:val="auto"/>
        </w:rPr>
        <w:t>Mr. Lewey served as Director of Tax, Vice President, Tax and Treasurer for IES. From 2006 to 2007, he served as Vice President, Tax for Sulzer US Holdings, Inc. From 1995 to 2001, Mr. Lewey served as Vice President, Tax for Metamor Worldwide, Inc., a leading provider of information technology solutions. Mr. Lewey began his career with Deloitte LLP</w:t>
      </w:r>
      <w:r>
        <w:rPr>
          <w:rFonts w:ascii="Arial" w:cs="Arial" w:eastAsia="Arial" w:hAnsi="Arial"/>
          <w:sz w:val="18"/>
          <w:szCs w:val="18"/>
          <w:i w:val="1"/>
          <w:iCs w:val="1"/>
          <w:color w:val="auto"/>
        </w:rPr>
        <w:t>.</w:t>
      </w:r>
    </w:p>
    <w:p>
      <w:pPr>
        <w:spacing w:after="0" w:line="190"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i w:val="1"/>
          <w:iCs w:val="1"/>
          <w:color w:val="auto"/>
        </w:rPr>
        <w:t>Tracy A. McLauchlin</w:t>
      </w:r>
      <w:r>
        <w:rPr>
          <w:rFonts w:ascii="Arial" w:cs="Arial" w:eastAsia="Arial" w:hAnsi="Arial"/>
          <w:sz w:val="16"/>
          <w:szCs w:val="16"/>
          <w:color w:val="auto"/>
        </w:rPr>
        <w:t>, 49, has served as Senior Vice President, Chief Financial Officer and Treasurer of the Company since May 2015. She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and Chief Accounting Officer of the Company since February 2014. Prior to joining IES, Ms. McLauchlin served as Vice President and Chief Accounting Officer of Rockwater Energy Solutions, Inc. from June 2011 to November 2013. From June 2004 to June 2011,</w:t>
      </w:r>
    </w:p>
    <w:p>
      <w:pPr>
        <w:ind w:left="200" w:right="20"/>
        <w:spacing w:after="0" w:line="261" w:lineRule="auto"/>
        <w:rPr>
          <w:sz w:val="20"/>
          <w:szCs w:val="20"/>
          <w:color w:val="auto"/>
        </w:rPr>
      </w:pPr>
      <w:r>
        <w:rPr>
          <w:rFonts w:ascii="Arial" w:cs="Arial" w:eastAsia="Arial" w:hAnsi="Arial"/>
          <w:sz w:val="18"/>
          <w:szCs w:val="18"/>
          <w:color w:val="auto"/>
        </w:rPr>
        <w:t>Ms. McLauchlin was with Dynegy Inc., where she served as Senior Vice President and Controller from March 2009 to June 2011 and from June 2004 to March 2009 served in various other capacities in finance and accounting.</w:t>
      </w:r>
    </w:p>
    <w:p>
      <w:pPr>
        <w:spacing w:after="0" w:line="18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i w:val="1"/>
          <w:iCs w:val="1"/>
          <w:color w:val="auto"/>
        </w:rPr>
        <w:t>Gail D. Makode</w:t>
      </w:r>
      <w:r>
        <w:rPr>
          <w:rFonts w:ascii="Arial" w:cs="Arial" w:eastAsia="Arial" w:hAnsi="Arial"/>
          <w:sz w:val="18"/>
          <w:szCs w:val="18"/>
          <w:color w:val="auto"/>
        </w:rPr>
        <w:t>, 43, has served as Senior Vice President, General Counsel and Corporate Secretary since October 2012. Ms. Makode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in various legal positions at MBIA Inc. and its subsidiaries from 2006 to 2012, including as General Counsel and Member of the Board at MBIA Insurance Corporation and Chief Compliance Officer of MBIA Inc. Prior to MBIA, Ms. Makode served as Vice President and Counsel for Deutsche Bank AG from 2003 to 2006, and before that, was an Associate at Cleary, Gottlieb, Steen &amp; Hamilton, where she specialized in public and private securities offerings and mergers and acquisitions.</w:t>
      </w:r>
    </w:p>
    <w:p>
      <w:pPr>
        <w:spacing w:after="0" w:line="188"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We have adopted a Code of Ethics for Financial Executives that applies to our principal executive officer, principal financial officer and principal accounting officer. The Code of Ethics may be found on our website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312" w:lineRule="auto"/>
        <w:rPr>
          <w:sz w:val="20"/>
          <w:szCs w:val="20"/>
          <w:color w:val="auto"/>
        </w:rPr>
      </w:pPr>
      <w:r>
        <w:rPr>
          <w:rFonts w:ascii="Arial" w:cs="Arial" w:eastAsia="Arial" w:hAnsi="Arial"/>
          <w:sz w:val="16"/>
          <w:szCs w:val="16"/>
          <w:i w:val="1"/>
          <w:iCs w:val="1"/>
          <w:color w:val="auto"/>
        </w:rPr>
        <w:t xml:space="preserve">www.ies-co.com. </w:t>
      </w:r>
      <w:r>
        <w:rPr>
          <w:rFonts w:ascii="Arial" w:cs="Arial" w:eastAsia="Arial" w:hAnsi="Arial"/>
          <w:sz w:val="16"/>
          <w:szCs w:val="16"/>
          <w:color w:val="auto"/>
        </w:rPr>
        <w:t>If we make any substantive amendments to the Code of Ethics or grant any waiver, including any implicit waiver, from a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to our principal executive officer, principal financial officer or principal accounting officer, we will disclose the nature of such amendment or waiver on that website or in a report on Form 8-K. Paper copies of these documents are also available free of charge upon written request to us.</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right="500"/>
        <w:spacing w:after="0" w:line="308" w:lineRule="auto"/>
        <w:rPr>
          <w:sz w:val="20"/>
          <w:szCs w:val="20"/>
          <w:color w:val="auto"/>
        </w:rPr>
      </w:pPr>
      <w:r>
        <w:rPr>
          <w:rFonts w:ascii="Arial" w:cs="Arial" w:eastAsia="Arial" w:hAnsi="Arial"/>
          <w:sz w:val="17"/>
          <w:szCs w:val="17"/>
          <w:color w:val="auto"/>
        </w:rPr>
        <w:t xml:space="preserve">General information about us can be found on our website at </w:t>
      </w:r>
      <w:r>
        <w:rPr>
          <w:rFonts w:ascii="Arial" w:cs="Arial" w:eastAsia="Arial" w:hAnsi="Arial"/>
          <w:sz w:val="17"/>
          <w:szCs w:val="17"/>
          <w:i w:val="1"/>
          <w:iCs w:val="1"/>
          <w:color w:val="auto"/>
        </w:rPr>
        <w:t>www.ies-co.com</w:t>
      </w:r>
      <w:r>
        <w:rPr>
          <w:rFonts w:ascii="Arial" w:cs="Arial" w:eastAsia="Arial" w:hAnsi="Arial"/>
          <w:sz w:val="17"/>
          <w:szCs w:val="17"/>
          <w:color w:val="auto"/>
        </w:rPr>
        <w:t xml:space="preserve"> under “Investor Relations.” We file our interim and annual financial reports, as well as other reports required by the Securities Exchange Act of 1934, as amended (the “Exchange Act”), with the SEC.</w:t>
      </w:r>
    </w:p>
    <w:p>
      <w:pPr>
        <w:spacing w:after="0" w:line="14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and they will provide you with a copy of these reports, or you may find them at </w:t>
      </w:r>
      <w:r>
        <w:rPr>
          <w:rFonts w:ascii="Arial" w:cs="Arial" w:eastAsia="Arial" w:hAnsi="Arial"/>
          <w:sz w:val="16"/>
          <w:szCs w:val="16"/>
          <w:i w:val="1"/>
          <w:iCs w:val="1"/>
          <w:color w:val="auto"/>
        </w:rPr>
        <w:t>www.ies-corporate.com/sec-filings</w:t>
      </w:r>
      <w:r>
        <w:rPr>
          <w:rFonts w:ascii="Arial" w:cs="Arial" w:eastAsia="Arial" w:hAnsi="Arial"/>
          <w:sz w:val="16"/>
          <w:szCs w:val="16"/>
          <w:color w:val="auto"/>
        </w:rPr>
        <w:t>. The materials that we file with the SEC are also available free of charge through the SEC’s website at</w:t>
      </w:r>
      <w:r>
        <w:rPr>
          <w:rFonts w:ascii="Arial" w:cs="Arial" w:eastAsia="Arial" w:hAnsi="Arial"/>
          <w:sz w:val="16"/>
          <w:szCs w:val="16"/>
          <w:i w:val="1"/>
          <w:iCs w:val="1"/>
          <w:color w:val="auto"/>
        </w:rPr>
        <w:t xml:space="preserve"> www.sec.gov</w:t>
      </w:r>
      <w:r>
        <w:rPr>
          <w:rFonts w:ascii="Arial" w:cs="Arial" w:eastAsia="Arial" w:hAnsi="Arial"/>
          <w:sz w:val="16"/>
          <w:szCs w:val="16"/>
          <w:color w:val="auto"/>
        </w:rPr>
        <w:t>.</w:t>
      </w:r>
    </w:p>
    <w:p>
      <w:pPr>
        <w:spacing w:after="0" w:line="154"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We have designated an “audit committee financial expert” as that term is defined by the SEC. Further information about this designee may be found in the Proxy Statement for the 2019 Annual Meeting of Stockholders of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Existence of a controlling shareholder.</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 majority of our outstanding common stock is owned by Tontine. Based on a Form 4 filed on October 3, 2018, by Tontine, Tontine owns approximately 59 percent of the Company’s common stock.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assets,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facility, bonding agreements with our sureties and our executive severance plan.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common stock has less liquidity than many other stocks listed on the NASDAQ Global Market.</w:t>
      </w:r>
    </w:p>
    <w:p>
      <w:pPr>
        <w:spacing w:after="0" w:line="121"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Historically, the trading volume of our common stock has been relatively low when compared to larger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Availability of net operating losses may be reduced by a change in ownership.</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2018, we have approximately $222.0 million of federal NOLs that are available to use to offset taxable income, exclusive of NOLs from the amortization of additional tax goodwill. Should a change in ownership occur, all NOLs incurred prior to the change in ownership would be subject to limitation imposed by Internal Revenue Code Section 382, which would substantially reduce the amount of NOL currently available to offset taxable income.</w:t>
      </w:r>
    </w:p>
    <w:p>
      <w:pPr>
        <w:spacing w:after="0" w:line="18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maintains an NOL Rights Plan, which was designed to deter an acquisition of the Company’s stock in excess of a threshold amount that could trigger a change of control within the meaning of Internal Revenue Code Section 382. The NOL Rights Plan is designed to dilute the ownership of such an acquirer through the offering of rights to the Company’s other stockholders that will become exercisable upon the acquirer’s purchase of the Company’s stock in excess of the threshold amount. We can make no assurances the NOL Rights Plan will be effective in deterring a change in control or protecting or realizing NOLs.</w:t>
      </w:r>
    </w:p>
    <w:p>
      <w:pPr>
        <w:spacing w:after="0" w:line="292"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We have recognized deferred tax assets based upon our estimates of future taxable income, and we may recognize tax expense if there is a reduction in the statutory tax rate or if future taxable income is lower than our estimates.</w:t>
      </w:r>
    </w:p>
    <w:p>
      <w:pPr>
        <w:spacing w:after="0" w:line="58"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As of September 30, 2018, we have a net deferred tax asset of $46.6 million on our consolidated balance sheet, of which $46.9 million is attributable to NOLs. To realize the full benefit of this deferred tax asset attributable to NOLs, we must generate sufficient taxable income within the applicable carry forward period to offset against NOLs. Under GAAP, we are required to assess whether we believe the benefit of the deferred tax asset is more likely than not to be realized based on our expectation of generating sufficient future taxable income, and we are required to record a valuation allowance, or offset, against our deferred tax asset based on the portion of the deferred tax asset that we believe is not more likely than not to be realized.</w:t>
      </w:r>
    </w:p>
    <w:p>
      <w:pPr>
        <w:spacing w:after="0" w:line="15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If we are unable to generate sufficient taxable income in the future to utilize our NOLs, we could be required to record valuation allowances, resulting in an increase in income tax expense and a reduction of our consolidated net income. Failure to generate sufficient taxable income in the future could also result in the expiration of certain NOLs.</w:t>
      </w:r>
    </w:p>
    <w:p>
      <w:pPr>
        <w:spacing w:after="0" w:line="18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In addition, we recorded a charge of $31.3 million during fiscal 2018 to reflect the impact of the reduced statutory federal corporate tax rate as a result of the U.S. Tax Cuts and Jobs Act, which became effective on January 1, 2018, on the value of our net deferred tax asset on our consolidated balance sheet. Any further decrease in the federal statutory tax rate or other changes in federal tax statutes could also cause a reduction in the economic benefit of the NOL currently available to us and a corresponding reduction in the amount of our recorded deferred tax assets.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spacing w:after="0" w:line="266" w:lineRule="auto"/>
        <w:rPr>
          <w:sz w:val="20"/>
          <w:szCs w:val="20"/>
          <w:color w:val="auto"/>
        </w:rPr>
      </w:pPr>
      <w:r>
        <w:rPr>
          <w:rFonts w:ascii="Arial" w:cs="Arial" w:eastAsia="Arial" w:hAnsi="Arial"/>
          <w:sz w:val="18"/>
          <w:szCs w:val="18"/>
          <w:b w:val="1"/>
          <w:bCs w:val="1"/>
          <w:color w:val="auto"/>
        </w:rPr>
        <w:t>Our inability to carry out plans and strategies as expected, including our inability to identify and complete acquisitions that meet our investment criteria in furtherance of our corporate strategy or the subsequent underperformance of those acquisitions, may adversely impact our future growth.</w:t>
      </w:r>
    </w:p>
    <w:p>
      <w:pPr>
        <w:spacing w:after="0" w:line="72"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Our corporate strategy involves creating shareholder value through acquiring or investing in stand-alone platform companies based in North America or acquiring businesses that we believe will strategically complement our existing business segments. While we believe that acquisitions will provide an opportunity to expand into new end-markets and diversify our revenue and profit streams, potential acquisitions in new industries could result in changes in our operations from those historically conducted by us and introduce the requirement for new controls. Alternatively our failure to diversify from existing markets may limit our future growth. In addition, our investments may not perform as expected or may not generate a positive return on investment, due to factors we could not predict prior to the acquisition or due to incorrect investment assumptions.</w:t>
      </w:r>
    </w:p>
    <w:p>
      <w:pPr>
        <w:spacing w:after="0" w:line="283" w:lineRule="exact"/>
        <w:rPr>
          <w:sz w:val="20"/>
          <w:szCs w:val="20"/>
          <w:color w:val="auto"/>
        </w:rPr>
      </w:pPr>
    </w:p>
    <w:p>
      <w:pPr>
        <w:ind w:left="200" w:right="140"/>
        <w:spacing w:after="0" w:line="282" w:lineRule="auto"/>
        <w:rPr>
          <w:sz w:val="20"/>
          <w:szCs w:val="20"/>
          <w:color w:val="auto"/>
        </w:rPr>
      </w:pPr>
      <w:r>
        <w:rPr>
          <w:rFonts w:ascii="Arial" w:cs="Arial" w:eastAsia="Arial" w:hAnsi="Arial"/>
          <w:sz w:val="18"/>
          <w:szCs w:val="18"/>
          <w:b w:val="1"/>
          <w:bCs w:val="1"/>
          <w:color w:val="auto"/>
        </w:rPr>
        <w:t>To service our indebtedness and to fund working capital, we will require a significant amount of cash. Our ability to generate cash depends on many factors that are beyond our control.</w:t>
      </w:r>
    </w:p>
    <w:p>
      <w:pPr>
        <w:spacing w:after="0" w:line="5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Our ability to make payments on and to refinance our indebtedness and to fund working capital requirements will depend on our ability to generate cash in the future. This is subject to our operational performance, as well as general economic, financial, competitive, legislative, regulatory and other factors that are beyond our control.</w:t>
      </w:r>
    </w:p>
    <w:p>
      <w:pPr>
        <w:spacing w:after="0" w:line="18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cannot provide assurance that our business will generate sufficient cash flow from operations or asset sales or that future borrowings will be available to us under our credit facility in an amount sufficient to enable us to pay our indebtedness or to fund our other liquidity needs. We may need to refinance all or a portion of our indebtedness on or before maturity. We cannot provide assurance that we will be able to refinance any of our indebtedness on commercially reasonable terms or at all. Our inability to refinance our debt on commercially reasonable terms could have a material adverse effect on our business.</w:t>
      </w:r>
    </w:p>
    <w:p>
      <w:pPr>
        <w:spacing w:after="0" w:line="292" w:lineRule="exact"/>
        <w:rPr>
          <w:sz w:val="20"/>
          <w:szCs w:val="20"/>
          <w:color w:val="auto"/>
        </w:rPr>
      </w:pPr>
    </w:p>
    <w:p>
      <w:pPr>
        <w:ind w:left="200" w:right="340"/>
        <w:spacing w:after="0" w:line="282" w:lineRule="auto"/>
        <w:rPr>
          <w:sz w:val="20"/>
          <w:szCs w:val="20"/>
          <w:color w:val="auto"/>
        </w:rPr>
      </w:pPr>
      <w:r>
        <w:rPr>
          <w:rFonts w:ascii="Arial" w:cs="Arial" w:eastAsia="Arial" w:hAnsi="Arial"/>
          <w:sz w:val="18"/>
          <w:szCs w:val="18"/>
          <w:b w:val="1"/>
          <w:bCs w:val="1"/>
          <w:color w:val="auto"/>
        </w:rPr>
        <w:t>We have restrictions and covenants under our credit facility and the failure to meet these covenants, including liquidity, EBITDA and other financial requirements, could result in a default and acceleration of our indebtedness.</w:t>
      </w:r>
    </w:p>
    <w:p>
      <w:pPr>
        <w:spacing w:after="0" w:line="5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may not be able to remain in compliance with the covenants in our credit facility, including financial covenants which, among other things, require minimum levels of liquidity and require us to maintain specified levels of EBITDA as defined under our credit facility if our availability under the facility falls below specified levels. A failure to fulfill the terms and requirements of our credit facility may result in a default under our credit agreement and acceleration of our indebtedness, as well as a default under one or more of our material agreements, any of which could have a material adverse effect on our ability to conduct our operations and our financial condition.</w:t>
      </w:r>
    </w:p>
    <w:p>
      <w:pPr>
        <w:spacing w:after="0" w:line="292" w:lineRule="exact"/>
        <w:rPr>
          <w:sz w:val="20"/>
          <w:szCs w:val="20"/>
          <w:color w:val="auto"/>
        </w:rPr>
      </w:pPr>
    </w:p>
    <w:p>
      <w:pPr>
        <w:ind w:left="200" w:right="760"/>
        <w:spacing w:after="0" w:line="282" w:lineRule="auto"/>
        <w:rPr>
          <w:sz w:val="20"/>
          <w:szCs w:val="20"/>
          <w:color w:val="auto"/>
        </w:rPr>
      </w:pPr>
      <w:r>
        <w:rPr>
          <w:rFonts w:ascii="Arial" w:cs="Arial" w:eastAsia="Arial" w:hAnsi="Arial"/>
          <w:sz w:val="18"/>
          <w:szCs w:val="18"/>
          <w:b w:val="1"/>
          <w:bCs w:val="1"/>
          <w:color w:val="auto"/>
        </w:rPr>
        <w:t>We may issue additional shares of common stock or convertible securities that will dilute the percentage ownership interest of existing stockholders and may dilute the book value per share of our common stock.</w:t>
      </w:r>
    </w:p>
    <w:p>
      <w:pPr>
        <w:spacing w:after="0" w:line="5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Our authorized capital includes 100,000,000 shares of common stock and 10,000,000 shares of preferred stock. As of September 30, 2018, we had 22,049,529 shares of common stock issued, 21,205,536 shares of common stock outstanding and no shares of preferred stock issued or outstanding. We have reserved for issuance 44,250 shares of common stock underlying options that are exercisable at a weighted average price of $6.39 per share. In addition, as of September 30, 2018, we had the ability to issue 1,113,476 shares of common stock pursuant to options and restricted stock that may be granted in the future under our existing equity compensation plans.</w:t>
      </w:r>
    </w:p>
    <w:p>
      <w:pPr>
        <w:spacing w:after="0" w:line="18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Although we currently do not have any intention of issuing additional common stock (other than pursuant to our equity compensation plans), we may do so in the future in order to meet our capital needs. Subject to applicable NASDAQ Listing Rules, our Board of Directors generally has the authority, without action by or vote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stockholders, to issue all or part of any authorized but unissued shares of common stock for any corporate purpose. We may seek additional equity capital in the future as we develop our business and expand our operations. Any issuance of additional shares of common stock or convertible securities will dilute the percentage ownership interest of our stockholders and may dilute the book value per share of our common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Substantial sales of our common stock could adversely affect our stock price.</w:t>
      </w:r>
    </w:p>
    <w:p>
      <w:pPr>
        <w:spacing w:after="0" w:line="12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Sales of a substantial number of shares of our common stock by holders of our common stock,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highly competitive nature of our industries could affect our profitability by reducing our profit margins.</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With respect to electrical contracting services, the industries in which we compete are highly fragmented and are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for mission critical infrastructure, have attractive dynamics. Some of our competitors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197"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The markets in which Infrastructure Solutions does business are highly competitive, and we do not expect the level of competition that we face to decrease in the future. An increase in competitive pressures in these markets or our failure to compete effectively (including efficiently managing future capital expenditures and refurbishment, repair and upgrade costs) may result in pricing reductions, reduced gross margins, and loss of market share. Some of our competitors have longer operating histories, greater name recognition, more customers, and significantly greater financial, marketing, technical, and other competitive resources than we have. These competitors may be able to adapt more quickly to new technologies and changes in customer needs or devote greater resources to the development, promotion, and sale of their services. While we believe Infrastructure Solutions’ overall product and service offerings distinguish it from its competitors, these competitors could develop new products or services that could directly compete with Infrastructure Solutions’ services.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failure to secure new contracts may adversely affect our cash flows and financial results.</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Much of our revenue is derived from projects that are awarded through a competitive bid process. Contract bidding and negotiations are affected by a number of factors, including our own cost structure and bidding policies.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w:t>
      </w:r>
    </w:p>
    <w:p>
      <w:pPr>
        <w:spacing w:after="0" w:line="18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We may be unsuccessful at integrating other companies that we may acquire, or new types of work, products or processes into our segments.</w:t>
      </w:r>
    </w:p>
    <w:p>
      <w:pPr>
        <w:spacing w:after="0" w:line="144" w:lineRule="exact"/>
        <w:rPr>
          <w:sz w:val="20"/>
          <w:szCs w:val="20"/>
          <w:color w:val="auto"/>
        </w:rPr>
      </w:pPr>
    </w:p>
    <w:p>
      <w:pPr>
        <w:jc w:val="both"/>
        <w:ind w:left="200" w:right="60"/>
        <w:spacing w:after="0" w:line="288" w:lineRule="auto"/>
        <w:rPr>
          <w:sz w:val="20"/>
          <w:szCs w:val="20"/>
          <w:color w:val="auto"/>
        </w:rPr>
      </w:pPr>
      <w:r>
        <w:rPr>
          <w:rFonts w:ascii="Arial" w:cs="Arial" w:eastAsia="Arial" w:hAnsi="Arial"/>
          <w:sz w:val="16"/>
          <w:szCs w:val="16"/>
          <w:color w:val="auto"/>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the market value of our common stock.</w:t>
      </w:r>
    </w:p>
    <w:p>
      <w:pPr>
        <w:ind w:left="200"/>
        <w:spacing w:after="0" w:line="302" w:lineRule="auto"/>
        <w:rPr>
          <w:sz w:val="20"/>
          <w:szCs w:val="20"/>
          <w:color w:val="auto"/>
        </w:rPr>
      </w:pPr>
      <w:r>
        <w:rPr>
          <w:rFonts w:ascii="Arial" w:cs="Arial" w:eastAsia="Arial" w:hAnsi="Arial"/>
          <w:sz w:val="16"/>
          <w:szCs w:val="16"/>
          <w:color w:val="auto"/>
        </w:rPr>
        <w:t>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difficulties of integrating a business, assets or operations potentially will include, among other things:</w:t>
      </w:r>
    </w:p>
    <w:p>
      <w:pPr>
        <w:spacing w:after="0" w:line="252"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geographically separated organizations and possible differences in corporate cultures and management philosophies;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demands on management resources, which may distract management’s attention from day-to-day business;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in the disclosure systems, compliance requirements, accounting systems, and accounting controls and procedures of the acquired company, which may interfere with our ability to make timely and accurate public disclosure;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demands of managing new locations, new personnel and new lines of business acquired.</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Challenges with disposing of businesses include fulfilling indemnification and contractual obligations associated with the purchases of such a business and appropriately valuing such a disposition.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Demand for our services is cyclical and vulnerable to economic downturns affecting the industries we serve.</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Prolonged uncertainties in, or the return of, constrained credit market conditions could have adverse effects on our customers, which would adversely affect our financial condition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Backlog may not be realized or may not result in profits.</w:t>
      </w:r>
    </w:p>
    <w:p>
      <w:pPr>
        <w:spacing w:after="0" w:line="12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291"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Our use of percentage-of-completion accounting could result in a reduction or elimination of previously reported profits; we may be adversely impacted by new accounting, control and operating procedures.</w:t>
      </w:r>
    </w:p>
    <w:p>
      <w:pPr>
        <w:spacing w:after="0" w:line="58"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A significant portion of our revenues are recognized using the percentage-of-completion method of accounting, utilizing the cost-to-cost method, which results in our recognizing contract revenues and earnings ratably over the contract term in proportion to our incurrence of contract costs. The earnings or losses recognized on individual contracts are based on estimates of contract revenues, costs and profitability. We review our estimates of contract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incur significant charges or be adversely impacted by the closure or sale of facilities or assets.</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or other unexpected liabilities from closed facilities beyond the closing date, which could adversely impact our financial returns.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availability and cost of surety bonds affect our ability to enter into new contracts and our margins on those engagements.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we may be unable to compete for, or work on, certain projects.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Due to seasonality and differing regional economic conditions, our results may fluctuate from period to period.</w:t>
      </w:r>
    </w:p>
    <w:p>
      <w:pPr>
        <w:spacing w:after="0" w:line="121"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Our business is subject to seasonal variations in operations and demand that affect the construction business, particularly in the Residential and Commercial &amp; Industrial segments, as well as seasonal variations in the industries in which Infrastructure Solutions participates. Untimely weather delay from rain, heat, ice, cold or snow can not only delay our work but can negatively impact our schedules and profitability by delaying the work of other trades on a construction site. Our quarterly results may also be affected by regional economic conditions that affect the construction market. In particular, a prolonged period of weak demand in the oil and gas industry could dampen the housing market in certain regions, resulting in reduced demand for the services provided by our Residential segment. Infrastructure Solutions’ revenues from industrial services may be affected by the timing of scheduled outages at its industrial customers’ facilities, by weather conditions with respect to projects conducted outdoors, by data center construction,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w:t>
      </w:r>
    </w:p>
    <w:p>
      <w:pPr>
        <w:spacing w:after="0" w:line="282"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The estimates we use in placing bids could be materially incorrect. The use of incorrect estimates could result in reduced profits or in some cases losses on fixed price contracts.</w:t>
      </w:r>
    </w:p>
    <w:p>
      <w:pPr>
        <w:spacing w:after="0" w:line="5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currently generate, and expect to continue to generate, a significant portion of our revenues under fixed price contracts. The cost of fuel, labor and materials, including copper wire or other commodities, may vary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291"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Commodity and labor costs may fluctuate materially, and we may not be able to pass on all cost increases during the term of a contract, which could have an adverse effect on our ability to maintain our profitability.</w:t>
      </w:r>
    </w:p>
    <w:p>
      <w:pPr>
        <w:spacing w:after="0" w:line="58"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We enter into many contracts at fixed prices, and if the costs associated with labor and commodities, such as copper, aluminum, steel, fuel and certain plastics, increase due to low supply or other forces, losses may be incurred. Some of our materials have been and may continue to be subject to sudden and significant price increases. Depending on competitive pressures and customer resistance, we may not be able to pass on these cost increases to our customers, which would reduce our gross profit margins and, in turn, make it more difficult for us to maintain our profitability. We have a work force of over 4,500 employees, and our labor costs may fluctuate based on supply as well as other labor related risks, including risks related to collective bargaining agreements, benefits arrangements, wage and hour claims and other compensation arrangements.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operating factors that are beyond our control could hurt our operating results.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operating results may fluctuate significantly in the future as a result of a variety of factors, many of which are beyond management’s control. These factors include the costs of new technology; the relative speed and success with which we can acquire customers for our products and services; capital expenditures for equipment; sales, marketing, and promotional activities expenses; changes in suppliers and competitors; changes in operating expenses; increased competition in the markets we serve; changes in regulations; and other general economic and seasonal factors. Adverse changes in one or more of these factors could hurt our operating results.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experience difficulties in managing our billings and collections.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billings under fixed price contracts in our electrical contracting business are generally based upon achieving certain milestones and will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reported operating results could be adversely affected as a result of goodwill impairment charges.</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GAAP accounting requires that goodwill attributable to each of our reporting units be tested at least annually, or when changes in circumstance indicate the carrying value of our reporting units may not be recoverable. Factors that could lead to impairment of goodwill include significant adverse changes in the business climate, declines in the financial condition of our business, and actual or projected operating results affecting our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vendors who make up our supply chain may be adversely affected by a deteriorating operating environment and credit market conditions.</w:t>
      </w:r>
    </w:p>
    <w:p>
      <w:pPr>
        <w:spacing w:after="0" w:line="144"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We are dependent upon the vendors within our supply chain to maintain a steady supply of inventory, parts and materials. Many of our segments are dependent upon a limited number of suppliers, and significant supply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disruptions could adversely affect our operations. If market conditions deteriorate, resulting in a slowdown in construction activity or a tightening of the credit market, it is possible that one or more of our suppliers will be unable to meet our requirements due to financial hardships, liquidity issues or other reasons related to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operations are subject to numerous physical hazards. If an accident occurs, it could result in an adverse effect on our business.</w:t>
      </w:r>
    </w:p>
    <w:p>
      <w:pPr>
        <w:spacing w:after="0" w:line="133"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current insurance coverage may not be adequate, and we may not be able to obtain insurance at acceptable rates, or at all.</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w:t>
      </w:r>
    </w:p>
    <w:p>
      <w:pPr>
        <w:spacing w:after="0" w:line="285" w:lineRule="exact"/>
        <w:rPr>
          <w:sz w:val="20"/>
          <w:szCs w:val="20"/>
          <w:color w:val="auto"/>
        </w:rPr>
      </w:pPr>
    </w:p>
    <w:p>
      <w:pPr>
        <w:jc w:val="both"/>
        <w:ind w:left="200" w:right="100"/>
        <w:spacing w:after="0" w:line="266" w:lineRule="auto"/>
        <w:rPr>
          <w:sz w:val="20"/>
          <w:szCs w:val="20"/>
          <w:color w:val="auto"/>
        </w:rPr>
      </w:pPr>
      <w:r>
        <w:rPr>
          <w:rFonts w:ascii="Arial" w:cs="Arial" w:eastAsia="Arial" w:hAnsi="Arial"/>
          <w:sz w:val="18"/>
          <w:szCs w:val="18"/>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72"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spacing w:after="0" w:line="282" w:lineRule="exact"/>
        <w:rPr>
          <w:sz w:val="20"/>
          <w:szCs w:val="20"/>
          <w:color w:val="auto"/>
        </w:rPr>
      </w:pPr>
    </w:p>
    <w:p>
      <w:pPr>
        <w:ind w:left="200" w:right="100"/>
        <w:spacing w:after="0" w:line="282" w:lineRule="auto"/>
        <w:rPr>
          <w:sz w:val="20"/>
          <w:szCs w:val="20"/>
          <w:color w:val="auto"/>
        </w:rPr>
      </w:pPr>
      <w:r>
        <w:rPr>
          <w:rFonts w:ascii="Arial" w:cs="Arial" w:eastAsia="Arial" w:hAnsi="Arial"/>
          <w:sz w:val="18"/>
          <w:szCs w:val="18"/>
          <w:b w:val="1"/>
          <w:bCs w:val="1"/>
          <w:color w:val="auto"/>
        </w:rPr>
        <w:t>We have adopted tax positions that a taxing authority may view differently. If a taxing authority differs with our tax positions, our results may be adversely affected.</w:t>
      </w:r>
    </w:p>
    <w:p>
      <w:pPr>
        <w:spacing w:after="0" w:line="5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Our effective tax rate and cash paid for taxes are impacted by the tax positions that we have adopted. Taxing authorities may not always agree with the positions we have taken. We have established reserves for tax positions that we have determined to be less likely than not to be sustained by taxing authorities. However, there can be no assurance that our results of operations will not be adversely affected in the event that disagreement over our tax positions does arise.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and claims can cause unexpected losses.</w:t>
      </w:r>
    </w:p>
    <w:p>
      <w:pPr>
        <w:spacing w:after="0" w:line="121"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In all of our businesses, we are subject to potential claims and litigation, including contractual disputes, warranty claims, and claims related to our compliance with legal and regulatory requirements.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Latent defect claims could expand.</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spacing w:after="0" w:line="285"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Interruptions in the proper functioning of our information systems, or security breaches of our information systems or confidential data could disrupt operations and cause increases in costs and/or decreases in revenues.</w:t>
      </w:r>
    </w:p>
    <w:p>
      <w:pPr>
        <w:spacing w:after="0" w:line="58"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As our Company continues to increase its dependence on information technology systems, networks, and infrastructure to conduct its day to day operations, the proper functioning and security of our information technology environment is critical to the successful operation of our business. Although our information systems, networks and infrastructure are protected through physical and software safeguards, our information technology environment is still vulnerable to natural disasters, power losses, telecommunication failures, deliberate intrusions and other cybersecurity risks, and other problems, which could cause a loss of data, release of personally identifiable information or release of confidential customer information among other items. If critical information systems fail or are otherwise unavailable or confidential information is released, our business operations could be adversely affected.</w:t>
      </w:r>
    </w:p>
    <w:p>
      <w:pPr>
        <w:spacing w:after="0" w:line="293"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We may be required to conduct environmental remediation activities, which could be expensive and inhibit the growth of our business and our ability to maintain profitability, particularly in our Infrastructure Solutions business.</w:t>
      </w:r>
    </w:p>
    <w:p>
      <w:pPr>
        <w:spacing w:after="0" w:line="5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believe that our business is operating in compliance in all material respects with applicable environmental laws, many of which provide for substantial penalties for violations. There can be no assurance that future changes in such laws, interpretations of existing regulations or the discovery of currently unknown problems or conditions will not require substantial additional expenditures. In addition, if we do not comply with these laws and regulations, we could be subject to material administrative, civil or criminal penalties, or other liabilities. We may also be required to incur substantial costs to comply with current or future environmental and safety laws and regulations. Any such additional expenditures or costs that we may incur could hurt our operating results.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The loss of a group or several key personnel, either at the corporate or operating level, or general labor constraints could adversely affect our business.</w:t>
      </w:r>
    </w:p>
    <w:p>
      <w:pPr>
        <w:spacing w:after="0" w:line="58"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We cannot guarantee that any member of management at the corporate or subsidiary level will continue in their capacity for any particular period of time. We have a severance plan in place that covers certain of our senior leaders; however, this plan can neither guarantee that we will not lose key employees, nor prevent them from competing against us, which is often dependent on state and local employment laws.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We also may be constrained in hiring and retaining qualified employees due to historically low unemployment rates and general labor shortages in our industries. Continued labor constraints may limit our ability to grow and may limit our profitability due to the impact of rising wages.</w:t>
      </w:r>
    </w:p>
    <w:p>
      <w:pPr>
        <w:spacing w:after="0" w:line="31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At September 30, 2018, we maintained branch offices, warehouses, sales facilities and administrative offices at 79 locations. Substantially all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Arial" w:cs="Arial" w:eastAsia="Arial" w:hAnsi="Arial"/>
          <w:sz w:val="17"/>
          <w:szCs w:val="17"/>
          <w:i w:val="1"/>
          <w:iCs w:val="1"/>
          <w:color w:val="auto"/>
        </w:rPr>
        <w:t>Business — Operating Segments</w:t>
      </w:r>
      <w:r>
        <w:rPr>
          <w:rFonts w:ascii="Arial" w:cs="Arial" w:eastAsia="Arial" w:hAnsi="Arial"/>
          <w:sz w:val="17"/>
          <w:szCs w:val="17"/>
          <w:color w:val="auto"/>
        </w:rPr>
        <w:t>” of this Annual Report on Form 10-K.</w:t>
      </w:r>
    </w:p>
    <w:p>
      <w:pPr>
        <w:spacing w:after="0" w:line="31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 xml:space="preserve">For further information regarding legal proceedings, see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w:t>
      </w:r>
      <w:r>
        <w:rPr>
          <w:rFonts w:ascii="Arial" w:cs="Arial" w:eastAsia="Arial" w:hAnsi="Arial"/>
          <w:sz w:val="18"/>
          <w:szCs w:val="18"/>
          <w:i w:val="1"/>
          <w:iCs w:val="1"/>
          <w:color w:val="auto"/>
        </w:rPr>
        <w:t>Legal Matters</w:t>
      </w:r>
      <w:r>
        <w:rPr>
          <w:rFonts w:ascii="Arial" w:cs="Arial" w:eastAsia="Arial" w:hAnsi="Arial"/>
          <w:sz w:val="18"/>
          <w:szCs w:val="18"/>
          <w:color w:val="auto"/>
        </w:rPr>
        <w:t>” in the notes to our Consolidated Financial Statements.</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right="1780"/>
        <w:spacing w:after="0" w:line="40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Our common stock trades on the NASDAQ Global Market under the ticker symbol “IESC.”</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4, 2018, the closing market price of our common stock was $16.79 per share and there were approximately 356 holders of record.</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stock repurchase program does not require the Company to purchase any specific number of shares and may be modified, suspended or reinstated at any time at the Company’s discretion and without notice. The Company initiated the program in February 2015 and during the year ended September 30, 2017, pursuant to the program, we repurchased 145,484 shares of common stock at an average price of $15.37 per share for a total aggregate purchase price of $2.2 million. During the year ended September 30, 2018, we repurchased 100,627 shares of common stock at an average price of $15.41 per share for a total aggregate purchase price of $1.6 million. The Company had 724,804 shares remaining under its stock repurchase authorization at September 30, 2018.</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did not purchase any of its common stock during the three months ended September 30,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Five-Year Stock Performance Graph</w:t>
      </w:r>
    </w:p>
    <w:p>
      <w:pPr>
        <w:spacing w:after="0" w:line="121"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graph below compares the cumulative five year total return provided shareholders on IES Holdings, Inc.’s common stock relative to the cumulative total returns of the Russell 2000 index and a customized peer group of four companies that includes: Comfort Systems USA Inc., MYR Group Inc., Sterling Construction Company Inc. and Team Inc. An investment of $100 (with reinvestment of all dividends) is assumed to have been made in our common stock, in each index, and in the peer group on September 30, 2013, and its relative performance is tracked through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124460</wp:posOffset>
            </wp:positionV>
            <wp:extent cx="5231130" cy="2950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113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 invested on 9/30/13 in stock or index, including reinvestment of dividends.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Fiscal year ending September 30.</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95"/>
              </w:rPr>
              <w:t>Year Ended September 30,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740" w:type="dxa"/>
            <w:vAlign w:val="bottom"/>
            <w:gridSpan w:val="2"/>
          </w:tcPr>
          <w:p>
            <w:pPr>
              <w:jc w:val="right"/>
              <w:ind w:right="70"/>
              <w:spacing w:after="0" w:line="142"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color w:val="auto"/>
              </w:rPr>
              <w:t>2018</w:t>
            </w:r>
          </w:p>
        </w:tc>
        <w:tc>
          <w:tcPr>
            <w:tcW w:w="8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IES Holdings, Inc.</w:t>
            </w:r>
          </w:p>
        </w:tc>
        <w:tc>
          <w:tcPr>
            <w:tcW w:w="3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7"/>
              </w:rPr>
              <w:t>$ 100.00</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190.15</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480.30</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Russell 2000</w:t>
            </w:r>
          </w:p>
        </w:tc>
        <w:tc>
          <w:tcPr>
            <w:tcW w:w="3820" w:type="dxa"/>
            <w:vAlign w:val="bottom"/>
            <w:gridSpan w:val="2"/>
          </w:tcPr>
          <w:p>
            <w:pPr>
              <w:jc w:val="center"/>
              <w:ind w:left="3004"/>
              <w:spacing w:after="0"/>
              <w:rPr>
                <w:sz w:val="20"/>
                <w:szCs w:val="20"/>
                <w:color w:val="auto"/>
              </w:rPr>
            </w:pPr>
            <w:r>
              <w:rPr>
                <w:rFonts w:ascii="Arial" w:cs="Arial" w:eastAsia="Arial" w:hAnsi="Arial"/>
                <w:sz w:val="20"/>
                <w:szCs w:val="20"/>
                <w:color w:val="auto"/>
                <w:w w:val="87"/>
              </w:rPr>
              <w:t>$ 100.00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105.23</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121.51</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146.71</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169.07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820" w:type="dxa"/>
            <w:vAlign w:val="bottom"/>
            <w:gridSpan w:val="2"/>
            <w:shd w:val="clear" w:color="auto" w:fill="CCEEFF"/>
          </w:tcPr>
          <w:p>
            <w:pPr>
              <w:jc w:val="center"/>
              <w:ind w:left="3004"/>
              <w:spacing w:after="0"/>
              <w:rPr>
                <w:sz w:val="20"/>
                <w:szCs w:val="20"/>
                <w:color w:val="auto"/>
              </w:rPr>
            </w:pPr>
            <w:r>
              <w:rPr>
                <w:rFonts w:ascii="Arial" w:cs="Arial" w:eastAsia="Arial" w:hAnsi="Arial"/>
                <w:sz w:val="20"/>
                <w:szCs w:val="20"/>
                <w:color w:val="auto"/>
                <w:w w:val="87"/>
              </w:rPr>
              <w:t>$ 100.00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80" w:type="dxa"/>
            <w:vAlign w:val="bottom"/>
            <w:shd w:val="clear" w:color="auto" w:fill="CCEEFF"/>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20" w:type="dxa"/>
            <w:vAlign w:val="bottom"/>
          </w:tcPr>
          <w:p>
            <w:pPr>
              <w:jc w:val="right"/>
              <w:ind w:right="804"/>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following selected consolidated historical financial information for IES should be read in conjunction with the audited historical Consolidated Financial Statements of IES Holdings, Inc. and subsidiaries, and the notes thereto,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 on Form 10-K.</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4"/>
                <w:szCs w:val="14"/>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9"/>
          </w:tcPr>
          <w:p>
            <w:pPr>
              <w:jc w:val="center"/>
              <w:ind w:right="280"/>
              <w:spacing w:after="0" w:line="142" w:lineRule="exact"/>
              <w:rPr>
                <w:sz w:val="20"/>
                <w:szCs w:val="20"/>
                <w:color w:val="auto"/>
              </w:rPr>
            </w:pPr>
            <w:r>
              <w:rPr>
                <w:rFonts w:ascii="Arial" w:cs="Arial" w:eastAsia="Arial" w:hAnsi="Arial"/>
                <w:sz w:val="14"/>
                <w:szCs w:val="14"/>
                <w:color w:val="auto"/>
                <w:w w:val="93"/>
              </w:rPr>
              <w:t>(In Thousands, Except Share Information)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Continuing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Revenues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876,828</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810,744</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695,993</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573,857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512,395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services</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726,866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569,013</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Gross profit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149,962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140,498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126,980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99,891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83,126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Selling, general and administrative expenses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100,558</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640"/>
              <w:spacing w:after="0"/>
              <w:rPr>
                <w:sz w:val="20"/>
                <w:szCs w:val="20"/>
                <w:color w:val="auto"/>
              </w:rPr>
            </w:pPr>
            <w:r>
              <w:rPr>
                <w:rFonts w:ascii="Arial" w:cs="Arial" w:eastAsia="Arial" w:hAnsi="Arial"/>
                <w:sz w:val="16"/>
                <w:szCs w:val="16"/>
                <w:color w:val="auto"/>
              </w:rPr>
              <w:t>Contingent consideration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(gain) on sale of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Operating Income</w:t>
            </w: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24,960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and other (income) expense: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income,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(83)</w:t>
            </w: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Income from operations before income taxes</w:t>
            </w: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24,348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18,805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23,761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Provision (benefit) for income taxes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(97,117)</w:t>
            </w: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300"/>
              <w:spacing w:after="0"/>
              <w:rPr>
                <w:sz w:val="20"/>
                <w:szCs w:val="20"/>
                <w:color w:val="auto"/>
              </w:rPr>
            </w:pPr>
            <w:r>
              <w:rPr>
                <w:rFonts w:ascii="Arial" w:cs="Arial" w:eastAsia="Arial" w:hAnsi="Arial"/>
                <w:sz w:val="16"/>
                <w:szCs w:val="16"/>
                <w:color w:val="auto"/>
              </w:rPr>
              <w:t>Net income (loss) from continuing operations</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(13,803)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120,878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640"/>
              <w:spacing w:after="0"/>
              <w:rPr>
                <w:sz w:val="20"/>
                <w:szCs w:val="20"/>
                <w:color w:val="auto"/>
              </w:rPr>
            </w:pPr>
            <w:r>
              <w:rPr>
                <w:rFonts w:ascii="Arial" w:cs="Arial" w:eastAsia="Arial" w:hAnsi="Arial"/>
                <w:sz w:val="16"/>
                <w:szCs w:val="16"/>
                <w:color w:val="auto"/>
              </w:rPr>
              <w:t>Loss from discontinued operations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discontinued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(13,803)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120,878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 attributable to noncontrolling interest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attributable to IES Holdings, Inc.</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gridSpan w:val="2"/>
            <w:vMerge w:val="continue"/>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(14,157)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13,422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120,778</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16,538</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share attributable to IES Holdings, Inc.:</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Continuing operations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5.63</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0.79</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Discontinued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gridSpan w:val="2"/>
            <w:vMerge w:val="continue"/>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5.63</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(loss) per share attributable to IES Holdings, Inc.:</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Continuing operations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5.62</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0.79</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Discontinued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gridSpan w:val="2"/>
            <w:vMerge w:val="continue"/>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5.62</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0.77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calculate earnings (loss) per share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Basic</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7"/>
              </w:rPr>
              <w:t>21,196,388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7"/>
              </w:rPr>
              <w:t>21,280,549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21,279,342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21,480,622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7"/>
              </w:rPr>
              <w:t>18,417,564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21,196,388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21,533,254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21,492,339</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21,526,188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18,473,420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4"/>
                <w:szCs w:val="14"/>
                <w:color w:val="auto"/>
                <w:w w:val="90"/>
              </w:rPr>
              <w:t>Year Ended September 30,</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9"/>
          </w:tcPr>
          <w:p>
            <w:pPr>
              <w:jc w:val="center"/>
              <w:ind w:right="280"/>
              <w:spacing w:after="0" w:line="142" w:lineRule="exact"/>
              <w:rPr>
                <w:sz w:val="20"/>
                <w:szCs w:val="20"/>
                <w:color w:val="auto"/>
              </w:rPr>
            </w:pPr>
            <w:r>
              <w:rPr>
                <w:rFonts w:ascii="Arial" w:cs="Arial" w:eastAsia="Arial" w:hAnsi="Arial"/>
                <w:sz w:val="14"/>
                <w:szCs w:val="14"/>
                <w:color w:val="auto"/>
                <w:w w:val="93"/>
              </w:rPr>
              <w:t>(In Thousands, Except Share Information)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Balance Sheet Data:</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26,247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28,290</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32,961</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49,360</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Working capital, exclusive of cash</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43,716</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421,994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424,494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394,340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225,679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debt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w:t>
            </w:r>
          </w:p>
        </w:tc>
        <w:tc>
          <w:tcPr>
            <w:tcW w:w="3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color w:val="auto"/>
              </w:rPr>
              <w:t>Total stockholders’ equity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220,407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236,704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223,405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101,414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the notes thereto, set forth in Item 8.</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 on Form 10-K. For additional information, see </w:t>
      </w:r>
      <w:r>
        <w:rPr>
          <w:rFonts w:ascii="Arial" w:cs="Arial" w:eastAsia="Arial" w:hAnsi="Arial"/>
          <w:sz w:val="18"/>
          <w:szCs w:val="18"/>
          <w:i w:val="1"/>
          <w:iCs w:val="1"/>
          <w:color w:val="auto"/>
        </w:rPr>
        <w:t>“Disclosure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Forward Looking Statements” </w:t>
      </w:r>
      <w:r>
        <w:rPr>
          <w:rFonts w:ascii="Arial" w:cs="Arial" w:eastAsia="Arial" w:hAnsi="Arial"/>
          <w:sz w:val="18"/>
          <w:szCs w:val="18"/>
          <w:color w:val="auto"/>
        </w:rPr>
        <w:t>in Part I of this Annual Report on Form 10-K.</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 xml:space="preserve">Please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 on Form 10-K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Trends</w:t>
      </w:r>
    </w:p>
    <w:p>
      <w:pPr>
        <w:spacing w:after="0" w:line="117" w:lineRule="exact"/>
        <w:rPr>
          <w:sz w:val="20"/>
          <w:szCs w:val="20"/>
          <w:color w:val="auto"/>
        </w:rPr>
      </w:pPr>
    </w:p>
    <w:p>
      <w:pPr>
        <w:ind w:left="200" w:right="120"/>
        <w:spacing w:after="0" w:line="284" w:lineRule="auto"/>
        <w:rPr>
          <w:sz w:val="20"/>
          <w:szCs w:val="20"/>
          <w:color w:val="auto"/>
        </w:rPr>
      </w:pPr>
      <w:r>
        <w:rPr>
          <w:rFonts w:ascii="Arial" w:cs="Arial" w:eastAsia="Arial" w:hAnsi="Arial"/>
          <w:sz w:val="16"/>
          <w:szCs w:val="16"/>
          <w:color w:val="auto"/>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the degree to which in-house maintenance departments outsource maintenance and repair work,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 (ii) aging public infrastructure, which must be replaced or repaired, (iii) an increasing demand for data storage,</w:t>
      </w:r>
    </w:p>
    <w:p>
      <w:pPr>
        <w:spacing w:after="0" w:line="3" w:lineRule="exact"/>
        <w:rPr>
          <w:sz w:val="20"/>
          <w:szCs w:val="20"/>
          <w:color w:val="auto"/>
        </w:rPr>
      </w:pPr>
    </w:p>
    <w:p>
      <w:pPr>
        <w:ind w:left="200" w:firstLine="4"/>
        <w:spacing w:after="0" w:line="270" w:lineRule="auto"/>
        <w:tabs>
          <w:tab w:leader="none" w:pos="5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emphasis on environmental and energy efficiency, which may lead to both increased public and private spending, and (v) demand for natural gas which is expected to spur the construction of and modifications to heavy industrial facilities. However, there can be no assurance that we will not experience a decrease in demand for our services due to economic, technological or other factors beyond our control, including weakness in the oil and gas sector, interest rate changes, increases in steel and commodity prices and other economic factors, which may reduce the demand for housing including in the Texas region, where our Residential division operates and may impact levels of construction. For a further discussion of the industries in which we operate, please see Item 1. “</w:t>
      </w:r>
      <w:r>
        <w:rPr>
          <w:rFonts w:ascii="Arial" w:cs="Arial" w:eastAsia="Arial" w:hAnsi="Arial"/>
          <w:sz w:val="17"/>
          <w:szCs w:val="17"/>
          <w:i w:val="1"/>
          <w:iCs w:val="1"/>
          <w:color w:val="auto"/>
        </w:rPr>
        <w:t>Business—Operating Segments</w:t>
      </w:r>
      <w:r>
        <w:rPr>
          <w:rFonts w:ascii="Arial" w:cs="Arial" w:eastAsia="Arial" w:hAnsi="Arial"/>
          <w:sz w:val="17"/>
          <w:szCs w:val="17"/>
          <w:color w:val="auto"/>
        </w:rPr>
        <w:t>” of this Annual Report on Form 10-K.</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Outlook</w:t>
      </w:r>
    </w:p>
    <w:p>
      <w:pPr>
        <w:spacing w:after="0" w:line="11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2018 as compared to fiscal 2017. Among our segments, year-over-year revenue growth rates during fiscal 2018 were driven primarily by organic growth, as well as the benefit of a full year of operating results from the businesses we acquired during fiscal 2017.</w:t>
      </w:r>
    </w:p>
    <w:p>
      <w:pPr>
        <w:spacing w:after="0" w:line="171"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Provided that no significant deterioration in general economic conditions occurs, the Company expects total revenues from existing businesses to increase on a year-over-year basis during fiscal 2019 due to an increase in overall demand for the services we provide, efforts to increase our market share, and current backlog levels, which increased across all four of our operating segments during the year ended September 30, 2018. We remain focused on controlled growth within many of our markets which continue to experience highly competitive margins and increasing costs.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twelve months. We expect that our fixed asset requirements will range from $5.5 million to $7.5 million for the fiscal year ending on September 30, 2019, and we may acquire these assets either through capital expenditures or through lease agreements.</w:t>
      </w: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as well as the results of acquired businesses from the dates acquired.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color w:val="auto"/>
                <w:w w:val="89"/>
              </w:rPr>
              <w:t>Year Ended September 30,</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center"/>
              <w:ind w:left="493"/>
              <w:spacing w:after="0" w:line="142" w:lineRule="exact"/>
              <w:rPr>
                <w:sz w:val="20"/>
                <w:szCs w:val="20"/>
                <w:color w:val="auto"/>
              </w:rPr>
            </w:pPr>
            <w:r>
              <w:rPr>
                <w:rFonts w:ascii="Arial" w:cs="Arial" w:eastAsia="Arial" w:hAnsi="Arial"/>
                <w:sz w:val="14"/>
                <w:szCs w:val="14"/>
                <w:color w:val="auto"/>
                <w:w w:val="96"/>
              </w:rPr>
              <w:t>2017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0"/>
          </w:tcPr>
          <w:p>
            <w:pPr>
              <w:jc w:val="center"/>
              <w:ind w:right="460"/>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$876,828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$810,744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$695,993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Cost of services</w:t>
            </w: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726,866</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670,246</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569,013</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140,498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123,920</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120,370</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100,558</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Contingent consideration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Loss (gain) on sale of assets</w:t>
            </w:r>
          </w:p>
        </w:tc>
        <w:tc>
          <w:tcPr>
            <w:tcW w:w="8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700"/>
              <w:spacing w:after="0"/>
              <w:rPr>
                <w:sz w:val="20"/>
                <w:szCs w:val="20"/>
                <w:color w:val="auto"/>
              </w:rPr>
            </w:pPr>
            <w:r>
              <w:rPr>
                <w:rFonts w:ascii="Arial" w:cs="Arial" w:eastAsia="Arial" w:hAnsi="Arial"/>
                <w:sz w:val="18"/>
                <w:szCs w:val="18"/>
                <w:color w:val="auto"/>
              </w:rPr>
              <w:t>Interest and other expense, net</w:t>
            </w:r>
          </w:p>
        </w:tc>
        <w:tc>
          <w:tcPr>
            <w:tcW w:w="8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1,537</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before income taxes</w:t>
            </w: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38,151</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5,211</w:t>
            </w: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(97,117)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8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(14,157)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$ 13,422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120,778</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2018 includes a charge of $31.3 million to re-measure our net deferred tax assets in connection with the Tax Cuts and Jobs Act.</w:t>
      </w:r>
    </w:p>
    <w:p>
      <w:pPr>
        <w:spacing w:after="0" w:line="225"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Consolidated revenues for the year ended September 30, 2018, were $66.1 million higher than for the year ended September 30, 2017, an increase of 8.2%. Revenues increased within our Commercial &amp; Industrial, Infrastructure Solutions, and Residential segments driven by an increase in demand for their service offerings combined with continued improvement of conditions in the markets in which they operate. Businesses acquired in fiscal 2017 and 2018 contributed $61.0 million of the revenue increase year over year, partially offset by a $23.7 million decrease in revenue at the Denver and Roanoke branches of our Commercial &amp; Industrial segment, where the wind-down of operations that occurred over the last 18 months is substantially complete.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overall gross profit percentage decreased slightly to 17.1% during the year ended September 30, 2018, as compared to the year ended September 30, 2017. Businesses acquired in fiscal 2017 and 2018 contributed an additional $6.6 million of gross profits for the year ended September 30, 2018, as compared with the year ended September 30, 2017. Gross profit as a percentage of revenue increased at our Commercial &amp; Industrial and Communications segments and decreased at our Infrastructure Solutions and Residential segments, as discussed in further detail for each segment below.</w:t>
      </w:r>
    </w:p>
    <w:p>
      <w:pPr>
        <w:spacing w:after="0" w:line="154"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During the year ended September 30, 2018, our selling, general and administrative expenses were $123.9 million, an increase of $3.6 million, or 2.9%, as compared to the year ended September 30, 2017. The increase is primarily attributable to expense incurred at businesses acquired during fiscal 2017 and 2018, which contributed $6.0 million of the increase year over year. This increase was partly offset by a reduction in variable compensation expense. On a consolidated basis, our selling, general and administrative expense decreased slightly as a percentage of revenue from 14.8% for the year ended September 30, 2017, to 14.1% for the year ended September 30, 2018, largely as a result of decreased personnel costs and intangible amortization expense.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Compared to 2017</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color w:val="auto"/>
                <w:w w:val="95"/>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80" w:type="dxa"/>
            <w:vAlign w:val="bottom"/>
            <w:gridSpan w:val="8"/>
          </w:tcPr>
          <w:p>
            <w:pPr>
              <w:jc w:val="right"/>
              <w:ind w:right="12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$274,299</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services</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244,656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208,619</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27,031</w:t>
            </w: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0.0%</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Commercial &amp; Industrial segment increased $46.7 million, or 20.5%, during the year ended September 30, 2018,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2017. The increase in revenue over this period was driven by our 2017 business acquisitions, which contributed</w:t>
      </w:r>
    </w:p>
    <w:p>
      <w:pPr>
        <w:ind w:left="200"/>
        <w:spacing w:after="0"/>
        <w:rPr>
          <w:sz w:val="20"/>
          <w:szCs w:val="20"/>
          <w:color w:val="auto"/>
        </w:rPr>
      </w:pPr>
      <w:r>
        <w:rPr>
          <w:rFonts w:ascii="Arial" w:cs="Arial" w:eastAsia="Arial" w:hAnsi="Arial"/>
          <w:sz w:val="16"/>
          <w:szCs w:val="16"/>
          <w:color w:val="auto"/>
        </w:rPr>
        <w:t>$42.7 million of additional revenue during the year ended September 30, 2018 compared to the year ended September 30, 2017. This increase was partly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offset by a $23.7 decrease in revenue attributable to the winding down of operations at our Denver and Roanoke locations for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2018, as compared with the year ended September 30, 2017. Additionally, increased bid volume at several of our branches and improving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market conditions in certain areas also contributed to the overall increase in revenues. The market for this segment’s services in many geographic</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regions remains highly competitive.</w:t>
      </w:r>
    </w:p>
    <w:p>
      <w:pPr>
        <w:spacing w:after="0" w:line="211" w:lineRule="exact"/>
        <w:rPr>
          <w:sz w:val="20"/>
          <w:szCs w:val="20"/>
          <w:color w:val="auto"/>
        </w:rPr>
      </w:pPr>
    </w:p>
    <w:p>
      <w:pPr>
        <w:jc w:val="both"/>
        <w:ind w:left="200" w:right="140"/>
        <w:spacing w:after="0" w:line="31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Commercial &amp; Industrial segment’s gross profit during the year ended September 30, 2018 increased by $10.7 million, or 56.1%,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September 30, 2017. As a percentage of revenue, gross profit increased from 8.3% for the year ended September 30, 2017, to 10.8% for the year ended September 30, 2018. The increase was driven by $5.9 million of additional gross profit contributed by our fiscal</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business acquisitions during the year ended September 30, 2018, compared to the year ended September 30, 2017. Additionally, for the year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2018, gross margin at our Denver and Roanoke branches, where the wind down of operations is substantially complete, improved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$4.7 million compared with the year ended September 30, 2017. This increase was partly offset by a $1.9 million charge to adjust the contract value on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large project based on the terms of a memorandum of agreement. See Note 17, “Commitments and Contingencies — USAMRIID Claim” for further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details.</w:t>
      </w:r>
    </w:p>
    <w:p>
      <w:pPr>
        <w:spacing w:after="0" w:line="211"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increased $6.9 million, or 34.0%, compared to the year ended September 30, 2017, and increased 1.1% as a percentage of revenue. The increase was driven by our fiscal 2017 business acquisitions, where selling, general and administrative expense for the year ended September 30, 2018, increased by $4.1 million. The remaining increase relates primarily to employee expense associated with management hired to provide additional oversight at the regional and branch levels.</w:t>
      </w:r>
    </w:p>
    <w:p>
      <w:pPr>
        <w:spacing w:after="0" w:line="18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During fiscal 2017, we completed a detailed review of the operations of our Commercial &amp; Industrial segment and decided to wind down operations at our Denver, Colorado and Roanoke, Virginia branches within our Commercial &amp; Industrial segment. At September 30, 2018, we had approximately $1.5 million of backlog remaining at these branches. The following table summarizes the results of our Denver and Roanoke branches, which are included in the consolidated Commercial &amp; Industrial segment results shown above: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7"/>
          </w:tcPr>
          <w:p>
            <w:pPr>
              <w:jc w:val="right"/>
              <w:ind w:right="600"/>
              <w:spacing w:after="0"/>
              <w:rPr>
                <w:sz w:val="20"/>
                <w:szCs w:val="20"/>
                <w:color w:val="auto"/>
              </w:rPr>
            </w:pPr>
            <w:r>
              <w:rPr>
                <w:rFonts w:ascii="Arial" w:cs="Arial" w:eastAsia="Arial" w:hAnsi="Arial"/>
                <w:sz w:val="14"/>
                <w:szCs w:val="14"/>
                <w:color w:val="auto"/>
                <w:w w:val="89"/>
              </w:rPr>
              <w:t>Year Ended 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$ 8,572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$32,231</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$27,185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services</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88"/>
              <w:spacing w:after="0"/>
              <w:rPr>
                <w:sz w:val="20"/>
                <w:szCs w:val="20"/>
                <w:color w:val="auto"/>
              </w:rPr>
            </w:pPr>
            <w:r>
              <w:rPr>
                <w:rFonts w:ascii="Arial" w:cs="Arial" w:eastAsia="Arial" w:hAnsi="Arial"/>
                <w:sz w:val="18"/>
                <w:szCs w:val="18"/>
                <w:color w:val="auto"/>
              </w:rPr>
              <w:t>9,441</w:t>
            </w:r>
          </w:p>
        </w:tc>
        <w:tc>
          <w:tcPr>
            <w:tcW w:w="22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37,819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1,772</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128"/>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(27)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(2,640)</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5"/>
              </w:rPr>
              <w:t>$ (8,409)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(1,974)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2017 Compared to 2016</w:t>
            </w: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color w:val="auto"/>
              </w:rPr>
              <w:t>Year Ended September 30,</w:t>
            </w: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gridSpan w:val="4"/>
          </w:tcPr>
          <w:p>
            <w:pPr>
              <w:jc w:val="right"/>
              <w:ind w:right="136"/>
              <w:spacing w:after="0" w:line="142" w:lineRule="exact"/>
              <w:rPr>
                <w:sz w:val="20"/>
                <w:szCs w:val="20"/>
                <w:color w:val="auto"/>
              </w:rPr>
            </w:pPr>
            <w:r>
              <w:rPr>
                <w:rFonts w:ascii="Arial" w:cs="Arial" w:eastAsia="Arial" w:hAnsi="Arial"/>
                <w:sz w:val="14"/>
                <w:szCs w:val="14"/>
                <w:color w:val="auto"/>
              </w:rPr>
              <w:t>2017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tcPr>
          <w:p>
            <w:pPr>
              <w:jc w:val="right"/>
              <w:ind w:right="13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500" w:type="dxa"/>
            <w:vAlign w:val="bottom"/>
            <w:gridSpan w:val="12"/>
          </w:tcPr>
          <w:p>
            <w:pPr>
              <w:jc w:val="right"/>
              <w:ind w:right="24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208,619</w:t>
            </w:r>
          </w:p>
        </w:tc>
        <w:tc>
          <w:tcPr>
            <w:tcW w:w="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91.7%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197,679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88.9%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8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8.8%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17,169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540" w:type="dxa"/>
            <w:vAlign w:val="bottom"/>
            <w:gridSpan w:val="4"/>
            <w:shd w:val="clear" w:color="auto" w:fill="CCEEFF"/>
          </w:tcPr>
          <w:p>
            <w:pPr>
              <w:jc w:val="right"/>
              <w:ind w:right="33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40" w:type="dxa"/>
            <w:vAlign w:val="bottom"/>
            <w:gridSpan w:val="2"/>
            <w:vMerge w:val="restart"/>
          </w:tcPr>
          <w:p>
            <w:pPr>
              <w:ind w:left="340"/>
              <w:spacing w:after="0"/>
              <w:rPr>
                <w:sz w:val="20"/>
                <w:szCs w:val="20"/>
                <w:color w:val="auto"/>
              </w:rPr>
            </w:pPr>
            <w:r>
              <w:rPr>
                <w:rFonts w:ascii="Arial" w:cs="Arial" w:eastAsia="Arial" w:hAnsi="Arial"/>
                <w:sz w:val="18"/>
                <w:szCs w:val="18"/>
                <w:color w:val="auto"/>
              </w:rPr>
              <w:t>Operating income (loss)</w:t>
            </w:r>
          </w:p>
        </w:tc>
        <w:tc>
          <w:tcPr>
            <w:tcW w:w="1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 w:type="dxa"/>
            <w:vAlign w:val="bottom"/>
          </w:tcPr>
          <w:p>
            <w:pPr>
              <w:spacing w:after="0"/>
              <w:rPr>
                <w:sz w:val="19"/>
                <w:szCs w:val="19"/>
                <w:color w:val="auto"/>
              </w:rPr>
            </w:pPr>
          </w:p>
        </w:tc>
        <w:tc>
          <w:tcPr>
            <w:tcW w:w="484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(1,151)</w:t>
            </w:r>
          </w:p>
        </w:tc>
        <w:tc>
          <w:tcPr>
            <w:tcW w:w="8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3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7,635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increased $5.1 million during the year ended September 30, 2017, an increase of 2.3% compared to the year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increase in revenue was driven largely by the Technical Services and NEXT Electric acquisitions, which contributed $7.6 million of revenue for the year ended September 30, 2017. Revenues also increased at our Denver and Roanoke branches, as discussed above. However, these increases were partly offset by a decrease in work on large, industrial projects in the Southeast market. The market for this segment’s services remains highly competitive, and, as such, we continue to seek to maintain a disciplined bid strategy.</w:t>
      </w:r>
    </w:p>
    <w:p>
      <w:pPr>
        <w:spacing w:after="0" w:line="17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during the year ended September 30, 2017, decreased by $5.8 million, or 23.4%, as compared to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decrease was due primarily to the four underperforming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jobs at our Denver and Roanoke branches, which drove a $6.4 million reduction in gross profit from those two branches. This decrease was partially offset by $1.3 million of additional gross margin contributed by the Technical Services and NEXT Electric acquisitions. The market remains competitive, and we expect continued pressure on our ability to increase project bid margins in most of the markets we serve. Gross profit margins for the year ended September 30, 2017, were reduced compared with the prior year, primarily as a result of our two underperforming branches.</w:t>
      </w:r>
    </w:p>
    <w:p>
      <w:pPr>
        <w:spacing w:after="0" w:line="154"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during the year ended September 30, 2017,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$3.0 million, or 17.5%, compared to the year ended September 30, 2016. The increase is primarily attributable to an additional $1.7 million of expense from our 2016 acquisition of STR Mechanical, which incurred higher personnel costs related to commission expenses paid during the year in support of growth. In addition, $0.7 million of expense was incurred at our newly acquired Technical Services and NEXT Electric businesses. Selling, general and administrative expense as a percentage of revenues in the Commercial &amp; Industrial segment increased by 1.1% during the year ended September 30, 2017, resulting from additional compensation, severance and related costs associated with organizational changes, as well as additional costs associated with the expansion of STR Mechanical.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Compared to 2017</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color w:val="auto"/>
                <w:w w:val="95"/>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80" w:type="dxa"/>
            <w:vAlign w:val="bottom"/>
            <w:gridSpan w:val="8"/>
          </w:tcPr>
          <w:p>
            <w:pPr>
              <w:jc w:val="right"/>
              <w:ind w:right="12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$219,655</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$225,275</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services</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179,518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187,419</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26,003</w:t>
            </w: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24,219</w:t>
            </w: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0.0%</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Communications segment’s revenues decreased by $5.6 million, or 2.5%, during the year ended September 30, 2018,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This decrease in revenue was primarily the result of two large projects with non-recurring customers we completed in fiscal 2017: $7.9 million of revenue from a large system upgrade project for a school district, and $5.6 million related to construction of a sporting venue</w:t>
      </w:r>
      <w:r>
        <w:rPr>
          <w:rFonts w:ascii="Arial" w:cs="Arial" w:eastAsia="Arial" w:hAnsi="Arial"/>
          <w:sz w:val="16"/>
          <w:szCs w:val="16"/>
          <w:i w:val="1"/>
          <w:iCs w:val="1"/>
          <w:color w:val="auto"/>
        </w:rPr>
        <w:t>.</w:t>
      </w:r>
      <w:r>
        <w:rPr>
          <w:rFonts w:ascii="Arial" w:cs="Arial" w:eastAsia="Arial" w:hAnsi="Arial"/>
          <w:sz w:val="16"/>
          <w:szCs w:val="16"/>
          <w:color w:val="auto"/>
        </w:rPr>
        <w:t xml:space="preserve"> The decrease in revenue was offset by growth with our data center customers, as well as the acquisition of Azimuth Communications, Inc. (“Azimuth”), which contributed $4.3 million of additional revenue during the year ended September 30, 2018 compared to the year ended September 30, 2017. Our revenues for the year ended September 30, 2018, were also affected by the timing of capital spending by certain of our data center customers. Revenues in our Communications segment can vary based on the capital spending cycles of our customers.</w:t>
      </w:r>
    </w:p>
    <w:p>
      <w:pPr>
        <w:spacing w:after="0" w:line="167"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Communications segment’s gross profit during the year ended September 30, 2018, increased $2.3 million, or 6.0%,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2017. Gross profit as a percentage of revenue increased 1.5% to 18.3% for the year ended September 30, 2018. The increase was driven primarily by improved project execution. As revenue growth slowed in 2018, our margins benefitted from lower training and hiring costs that often affect us during periods of higher growth. Additionally, our acquisition of Azimuth during fiscal 2018 contributed $1.0 million of additional gross profit during the year ended September 30, 2018, compared to the year ended September 30, 2017.</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 $1.8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7.4%. Selling, general and administrative expenses as a percentage of revenues in the Communications segment increased slightly to 11.8% of segment revenue during the year ended September 30, 2018, compared to the year ended September 30, 2017. The increase was driven by our acquisition of Azimuth during fiscal 2018, which incurred selling, general and administrative expense for the year ended September 30, 2018, of $1.6 million, which includes amortization of intangible assets.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color w:val="auto"/>
                <w:w w:val="95"/>
              </w:rPr>
              <w:t>Year Ended September 30,</w:t>
            </w: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3"/>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80" w:type="dxa"/>
            <w:vAlign w:val="bottom"/>
            <w:gridSpan w:val="9"/>
          </w:tcPr>
          <w:p>
            <w:pPr>
              <w:jc w:val="right"/>
              <w:ind w:right="51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$189,635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services</w:t>
            </w:r>
          </w:p>
        </w:tc>
        <w:tc>
          <w:tcPr>
            <w:tcW w:w="1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187,419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157,104</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24,219</w:t>
            </w:r>
          </w:p>
        </w:tc>
        <w:tc>
          <w:tcPr>
            <w:tcW w:w="3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20,839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13,638</w:t>
            </w:r>
          </w:p>
        </w:tc>
        <w:tc>
          <w:tcPr>
            <w:tcW w:w="3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11,692</w:t>
            </w:r>
          </w:p>
        </w:tc>
        <w:tc>
          <w:tcPr>
            <w:tcW w:w="5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increased by $35.6 million during the year ended September 30, 2017, an 18.8% increase compared to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Revenues for all of the service offerings, such as data center, audio-visual and security, cabling, and Voice Over Internet Protocol (VoIP) work increased for the year ended September 30, 2017, compared with the year ended September 30, 2016, as we continue to add to our customer base, including entry into new markets.</w:t>
      </w:r>
    </w:p>
    <w:p>
      <w:pPr>
        <w:spacing w:after="0" w:line="187"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during the year ended September 30, 2017, increased $5.3 million, or 16.4%, as compared to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Gross profit as a percentage of revenue decreased from 17.2% for the year ended September 30, 2016, to 16.8% for the year ended September 30,</w:t>
      </w:r>
    </w:p>
    <w:p>
      <w:pPr>
        <w:ind w:left="200" w:right="80"/>
        <w:spacing w:after="0" w:line="254" w:lineRule="auto"/>
        <w:rPr>
          <w:sz w:val="20"/>
          <w:szCs w:val="20"/>
          <w:color w:val="auto"/>
        </w:rPr>
      </w:pPr>
      <w:r>
        <w:rPr>
          <w:rFonts w:ascii="Arial" w:cs="Arial" w:eastAsia="Arial" w:hAnsi="Arial"/>
          <w:sz w:val="18"/>
          <w:szCs w:val="18"/>
          <w:color w:val="auto"/>
        </w:rPr>
        <w:t>2017. The decline was driven, in part, by inefficiencies on certain projects during fiscal 2017. Additionally, margins have been affected by a continued increase in the volume of cost-plus work performed in fiscal 2017. This work is generally lower risk and is typically performed at lower margins than the fixed price arrangements which comprise the majority of the work we perform. Finally, our lower margins reflect the impact of hiring and training a number of new employees needed to support the rapid growth of the business.</w:t>
      </w:r>
    </w:p>
    <w:p>
      <w:pPr>
        <w:spacing w:after="0" w:line="19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$3.4 million, or 16.2%,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compared to the year ended September 30, 2016, as a result of higher personnel cost, including increased incentive compensation associated with increased profitability in fiscal 2017. Selling, general and administrative expenses as a percentage of revenues in the Communications segment decreased slightly to 10.8% of segment revenue during the year ended September 30, 2017, compared to the year ended September 30, 2016, as we benefited from increased activity.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Compared to 2017</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w w:val="90"/>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20" w:type="dxa"/>
            <w:vAlign w:val="bottom"/>
            <w:gridSpan w:val="9"/>
          </w:tcPr>
          <w:p>
            <w:pPr>
              <w:jc w:val="right"/>
              <w:ind w:right="272"/>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$97,163</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services</w:t>
            </w:r>
          </w:p>
        </w:tc>
        <w:tc>
          <w:tcPr>
            <w:tcW w:w="1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75,337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63,399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18,293</w:t>
            </w:r>
          </w:p>
        </w:tc>
        <w:tc>
          <w:tcPr>
            <w:tcW w:w="3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17,859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(Gain)/Loss on sale of assets</w:t>
            </w:r>
          </w:p>
        </w:tc>
        <w:tc>
          <w:tcPr>
            <w:tcW w:w="1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Infrastructure Solutions segment increased by $13.3 million during the year ended September 30, 2018, an increase of 15.9%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September 30, 2017. The increase was primarily driven by $14.0 million of additional revenue contributed by Freeman Enclosure Systems, LLC (“Freeman”), which we acquired during the second quarter of fiscal 2017. An increase in revenues from the manufacture of bus duct was offset by a decrease in revenue from our motor repair business, which remains highly dependent on the steel industry.</w:t>
      </w:r>
    </w:p>
    <w:p>
      <w:pPr>
        <w:spacing w:after="0" w:line="154"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year ended September 30, 2018, increased by $1.4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2017. Gross profit as a percent of revenue decreased to 22.5% for the year ended September 30, 2018. Margins improved year over year at both our bus duct manufacturing business and our motor repair business. However, our overall gross margin was affected by the mix of work performed, as Freeman has lower margins than our motor repair business, but represented a larger percentage of our total revenues.</w:t>
      </w:r>
    </w:p>
    <w:p>
      <w:pPr>
        <w:spacing w:after="0" w:line="154" w:lineRule="exact"/>
        <w:rPr>
          <w:sz w:val="20"/>
          <w:szCs w:val="20"/>
          <w:color w:val="auto"/>
        </w:rPr>
      </w:pPr>
    </w:p>
    <w:p>
      <w:pPr>
        <w:ind w:left="200" w:right="44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2018, increased by $0.4 million compared to the year ended September 30, 2017. The increase was primarily the result of</w:t>
      </w:r>
    </w:p>
    <w:p>
      <w:pPr>
        <w:jc w:val="both"/>
        <w:ind w:left="200" w:right="140"/>
        <w:spacing w:after="0" w:line="255" w:lineRule="auto"/>
        <w:rPr>
          <w:sz w:val="20"/>
          <w:szCs w:val="20"/>
          <w:color w:val="auto"/>
        </w:rPr>
      </w:pPr>
      <w:r>
        <w:rPr>
          <w:rFonts w:ascii="Arial" w:cs="Arial" w:eastAsia="Arial" w:hAnsi="Arial"/>
          <w:sz w:val="18"/>
          <w:szCs w:val="18"/>
          <w:color w:val="auto"/>
        </w:rPr>
        <w:t>$0.3 million increase in general and administrative costs incurred at Freeman, which was acquired during the second quarter of fiscal 2017. Additional selling and administrative costs in support of growth of the business were largely offset by a decrease in intangible amortization expense related to the acquisition of Technibus Inc. (“Technibus”) in fiscal 2016.</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91"/>
              </w:rPr>
              <w:t>Year Ended September 30,</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3"/>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20" w:type="dxa"/>
            <w:vAlign w:val="bottom"/>
            <w:gridSpan w:val="9"/>
          </w:tcPr>
          <w:p>
            <w:pPr>
              <w:jc w:val="right"/>
              <w:ind w:right="36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services</w:t>
            </w:r>
          </w:p>
        </w:tc>
        <w:tc>
          <w:tcPr>
            <w:tcW w:w="2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42,356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73.0%</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17,859</w:t>
            </w:r>
          </w:p>
        </w:tc>
        <w:tc>
          <w:tcPr>
            <w:tcW w:w="3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12,404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on sale of assets</w:t>
            </w:r>
          </w:p>
        </w:tc>
        <w:tc>
          <w:tcPr>
            <w:tcW w:w="24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tcPr>
          <w:p>
            <w:pPr>
              <w:jc w:val="right"/>
              <w:ind w:right="127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by $25.8 million during the year ended September 30, 2017, an increase of 44.5%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2016. The increase in revenue was driven primarily by a full year of operations at Technibus which provided additional revenue of $19.6 million during the year ended September 30, 2017, compared to the year ended September 30, 2016. Additionally, the 2017 acquisition of Freeman provided revenue of $10.9 million for the year ended September 30, 2017. For additional information see Note 18, “Business Combinations and Divestitures” in the notes to our Consolidated Financial Statements. These increases were partly offset by a decrease in activity at our motor repair business.</w:t>
      </w:r>
    </w:p>
    <w:p>
      <w:pPr>
        <w:spacing w:after="0" w:line="193"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year ended September 30, 2017, increased by $4.8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2016. The increase was driven primarily by Technibus, which provided additional gross profit of $4.1 million during the year ended September 30, 2017, compared to the year ended September 30, 2016. The acquisition of Freeman contributed $1.7 million of additional gross profit for the year ended September 30, 2017, compared with the year ended September 30, 2016. These increases were partly offset by a slight decrease in activity at our motor repair business. Gross profit as a percent of revenue decreased from 27.0% for the year ended September 30, 2016, to 24.4% for the year ended September 30, 2017, driven primarily by a change in the overall mix of work being performed.</w:t>
      </w:r>
    </w:p>
    <w:p>
      <w:pPr>
        <w:spacing w:after="0" w:line="165" w:lineRule="exact"/>
        <w:rPr>
          <w:sz w:val="20"/>
          <w:szCs w:val="20"/>
          <w:color w:val="auto"/>
        </w:rPr>
      </w:pPr>
    </w:p>
    <w:p>
      <w:pPr>
        <w:ind w:left="200" w:right="60"/>
        <w:spacing w:after="0" w:line="28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increased by $5.5 million compared to the year ended September 30, 2016. The increase was driven primarily by a full year of activity at Technibus, which contributed $4.0 million of additional expense during the year ended September 30, 2017, compared to the year ended September 30, 2016. The acquisition of Freeman contributed $2.1 million of additional expense for the year ended September 30, 2017, compared with the year ended September 30, 2016. These increases were partly offset by a reduction of expense throughout the remainder of the Infrastructure Solutions organization. Selling, general and administrative expense as a percentage of revenue remained relatively flat year over year.</w:t>
      </w:r>
    </w:p>
    <w:p>
      <w:pPr>
        <w:spacing w:after="0" w:line="5"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i w:val="1"/>
          <w:iCs w:val="1"/>
          <w:color w:val="auto"/>
        </w:rPr>
        <w:t>(Gain)/Loss on Sale of Asset</w:t>
      </w:r>
      <w:r>
        <w:rPr>
          <w:rFonts w:ascii="Arial" w:cs="Arial" w:eastAsia="Arial" w:hAnsi="Arial"/>
          <w:sz w:val="18"/>
          <w:szCs w:val="18"/>
          <w:color w:val="auto"/>
        </w:rPr>
        <w:t>. In 2016, we recognized a one-time charge of $0.8 million in conjunction with the write down to net realizable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assets related to our engine component business, which we sold in April 2016.</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Compared to 2017</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color w:val="auto"/>
                <w:w w:val="90"/>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80" w:type="dxa"/>
            <w:vAlign w:val="bottom"/>
            <w:gridSpan w:val="8"/>
          </w:tcPr>
          <w:p>
            <w:pPr>
              <w:jc w:val="center"/>
              <w:ind w:left="378"/>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$ 285,711</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$274,039</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services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227,355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210,809</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63,230</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41,401</w:t>
            </w:r>
          </w:p>
        </w:tc>
        <w:tc>
          <w:tcPr>
            <w:tcW w:w="3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43,689</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16,947</w:t>
            </w:r>
          </w:p>
        </w:tc>
        <w:tc>
          <w:tcPr>
            <w:tcW w:w="3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19,498</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40"/>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segment’s revenues increased by $11.7 million, or 4.3%, during the year ended September 30, 2018, as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The increase was driven by our single-family business, where revenues increased by $28.3 million for the year ended September 30, 2018, compared with the year ended September 30, 2017. Service and solar revenues also increased by $4.7 million for the year ended September 30, 2018, compared with the prior year. These increases were partly offset by a decrease in multi-family revenues, which declined by $21.3 million. While backlog was lower at the beginning of fiscal 2018, we ended fiscal 2018 with backlog up approximately 28% over prior year.</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year ended September 30, 2018, our Residential segment experienced a $4.9 million, or 7.7%, decrease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2017. The decrease in gross profit was driven primarily by an increase in copper and other commodity prices, as well as an increase in labor costs, as a result of tightening labor markets. Gross margin as a percentage of revenue decreased 2.7% to 20.4% during the year ended September 30, 2018, as compared with the year ended September 30, 2017.</w:t>
      </w:r>
    </w:p>
    <w:p>
      <w:pPr>
        <w:spacing w:after="0" w:line="187"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Residential segment experienced a $2.3 million, or 5.2%, decrease in selling,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expenses during the year ended September 30, 2018, compared to the year ended September 30, 2017, driven by decreased compensation expense, primarily as a result of a decrease of $1.2 million in variable compensation and incentive costs associated with decreased profitability, partly offset by an increase in salary and travel costs. Selling, general and administrative expenses as a percentage of revenues in the Residential segment decreased by 1.5% to 14.5% of segment revenue during the year ended September 30,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color w:val="auto"/>
                <w:w w:val="90"/>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80" w:type="dxa"/>
            <w:vAlign w:val="bottom"/>
            <w:gridSpan w:val="8"/>
          </w:tcPr>
          <w:p>
            <w:pPr>
              <w:jc w:val="center"/>
              <w:ind w:left="378"/>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$274,039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services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210,809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171,874</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43,689</w:t>
            </w:r>
          </w:p>
        </w:tc>
        <w:tc>
          <w:tcPr>
            <w:tcW w:w="3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37,585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40"/>
              <w:spacing w:after="0"/>
              <w:rPr>
                <w:sz w:val="20"/>
                <w:szCs w:val="20"/>
                <w:color w:val="auto"/>
              </w:rPr>
            </w:pPr>
            <w:r>
              <w:rPr>
                <w:rFonts w:ascii="Arial" w:cs="Arial" w:eastAsia="Arial" w:hAnsi="Arial"/>
                <w:sz w:val="18"/>
                <w:szCs w:val="18"/>
                <w:color w:val="auto"/>
              </w:rPr>
              <w:t>Operating Income</w:t>
            </w:r>
          </w:p>
        </w:tc>
        <w:tc>
          <w:tcPr>
            <w:tcW w:w="1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19,498</w:t>
            </w:r>
          </w:p>
        </w:tc>
        <w:tc>
          <w:tcPr>
            <w:tcW w:w="3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16,429</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increased $48.2 million during the year ended September 30, 2017, an increase of 21.3%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The increase is driven by our multi-family business, where revenues increased by $33.3 million for the year ended September 30, 2017, compared with the year ended September 30, 2016. We entered the year with a historically high level of backlog, which resulted in increased revenues during fiscal 2017. Single-family construction revenues increased by $16.8 million, primarily driven by our Texas operations. Revenue from solar installations decreased by $2.2 million, and service revenues remained flat for the year ended September 30, 2017, as compared with the same period in 2016.</w:t>
      </w:r>
    </w:p>
    <w:p>
      <w:pPr>
        <w:spacing w:after="0" w:line="19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year ended September 30, 2017, our Residential segment experienced a $9.2 million, or 17.1%, increase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September 30, 2016. Gross profit increased primarily due to a higher volume of work. Gross margin percentage decreased to 23.1% as multi-family projects, which generally have a lower gross margin than single-family projects, were a higher proportion of our total volume during the year ended September 30, 2017, compared with the year ended September 30, 2016.</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$6.1 million, or 16.2%, increase in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during the year ended September 30, 2017, compared to the year ended September 30, 2016, primarily related to higher personnel costs, including profit sharing incentives, in support of growth. Selling, general and administrative expenses as a percentage of revenues in the Residential segment decreased from 16.6% to 16.0% during the year ended September 30, 2017, as we benefited from the increased scale of our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INTEREST AND OTHER EXPENSE, NET</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color w:val="auto"/>
                <w:w w:val="90"/>
              </w:rPr>
              <w:t>Year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4"/>
                <w:szCs w:val="14"/>
                <w:color w:val="auto"/>
                <w:w w:val="96"/>
              </w:rPr>
              <w:t>2017</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87"/>
              </w:rPr>
              <w:t>$1,658</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288</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1,946</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1,282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1,606</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Expense</w:t>
      </w:r>
    </w:p>
    <w:p>
      <w:pPr>
        <w:spacing w:after="0" w:line="11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During the year ended September 30, 2018, we incurred interest expense of $1.9 million primarily comprised of interest expense from our term loan facility with Wells Fargo Bank, N.A. (“Wells Fargo”), an average letter of credit balance of $6.6 million under our revolving credit facility and an average unused line of credit balance of $63.2 million. This compares to interest expense of $1.7 million for the year ended September 30, 2017, primarily comprised of interest expense from our term loan facility with Wells Fargo, an average letter of credit balance of $6.6 million under our revolving credit facility and an average unused line of credit balance of $47.5 million. The increase in interest expense for the year ended September 30, 2018, as compared with the year ended September 30, 2017, is primarily a result of the increase in the variable interest rate.</w:t>
      </w:r>
    </w:p>
    <w:p>
      <w:pPr>
        <w:spacing w:after="0" w:line="178"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For the year ended September 30, 2016, we incurred interest expense of $1.3 million on a debt balance primarily comprised of our term loan facility with Wells Fargo, an average letter of credit balance of $6.9 million under our revolving credit facility, and an average unused line of credit balance of $40.6 million.</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year ended September 30, 2018, we recorded income tax expense of $38.2 million. Income tax expense was partly offset by a $1.9 million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benefit associated with the reversal of a reserve previously established for an uncertain tax position. Our income tax expense included a charge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$31.3 million to re-measure our deferred tax assets and liabilities to reflect the impact from the enactment of the Tax Cuts and Jobs Act (“Tax Reform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Legislation”) on December 22, 2017.</w:t>
      </w:r>
    </w:p>
    <w:p>
      <w:pPr>
        <w:spacing w:after="0" w:line="21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the year ended September 30, 2017, we recorded income tax expense of $5.2 million. Income tax expense was partly offset by a $3.7 million benefit associated with the reversal of a reserve previously established for an uncertain tax position.</w:t>
      </w:r>
    </w:p>
    <w:p>
      <w:pPr>
        <w:spacing w:after="0" w:line="17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For the year ended September 30, 2016, we recorded a benefit from income tax of $97.1 million. This benefit included $109.0 million attributable to the release of our valuation allowance on certain of our net operating loss carryforwards and other deferred tax assets during the year ended September 30, 2016. This benefit was the result of our assessment at September 30, 2016, that it was more likely than not that we will generate sufficient taxable income to utilize these net operating loss carryforwards and other deferred tax assets.</w:t>
      </w: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left="200" w:right="620"/>
        <w:spacing w:after="0" w:line="342" w:lineRule="auto"/>
        <w:rPr>
          <w:sz w:val="20"/>
          <w:szCs w:val="20"/>
          <w:color w:val="auto"/>
        </w:rPr>
      </w:pPr>
      <w:r>
        <w:rPr>
          <w:rFonts w:ascii="Arial" w:cs="Arial" w:eastAsia="Arial" w:hAnsi="Arial"/>
          <w:sz w:val="16"/>
          <w:szCs w:val="16"/>
          <w:color w:val="auto"/>
        </w:rPr>
        <w:t>During the year ended September 30, 2018, working capital exclusive of cash increased by $19.2 million from September 30, 2017, reflecting a $33.0 million increase in current assets excluding cash, partly offset by a $13.8 million increase in current liabilities during the period.</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During the year ended September 30, 2018, our current assets exclusive of cash increased to $236.4 million, as compared to $203.5 million as of September 30, 2017. The increase primarily relates to an $18.1 million increase in costs and estimated earnings in excess of billings, largely driven by our Communications, Commercial &amp; Industrial and Infrastructure Solutions segments. Additionally, accounts receivable increased by $8.6 million, primarily driven by higher levels of activity. Days sales outstanding decreased to 62 at September 30, 2018, from 66 at September 30, 2017.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78"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During the year ended September 30, 2018, our total current liabilities increased by $13.8 million to $164.4 million, compared to $150.6 million as of September 30, 2017, primarily related to an increase in accounts payable and accrued liabilities, driven by higher levels of activity.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18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89"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As of September 30, 2018, the estimated cost to complete our bonded projects was approximately $50.2 million. We believe the bonding capacity currently provided by our sureties is adequate for our current operations and will be adequate for our operations for the foreseeable future.</w:t>
      </w: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As of September 30, 2018, we had cash and cash equivalents of $26.2 million and $48.1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spacing w:after="0" w:line="19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continue to monitor the financial markets and general national and global economic conditions. To date, we have experienced no loss or lack of access to our invested cash or cash equivalents; however, we can provide no assurances that access to our invested cash and cash equivalents will not be impacted in the future by adverse conditions in the financial markets.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jc w:val="both"/>
        <w:ind w:left="200" w:right="460"/>
        <w:spacing w:after="0" w:line="264" w:lineRule="auto"/>
        <w:rPr>
          <w:sz w:val="20"/>
          <w:szCs w:val="20"/>
          <w:color w:val="auto"/>
        </w:rPr>
      </w:pPr>
      <w:r>
        <w:rPr>
          <w:rFonts w:ascii="Arial" w:cs="Arial" w:eastAsia="Arial" w:hAnsi="Arial"/>
          <w:sz w:val="18"/>
          <w:szCs w:val="18"/>
          <w:color w:val="auto"/>
        </w:rPr>
        <w:t>We maintain a $100 million revolving credit facility with Wells Fargo Bank, N.A. that matures August 9, 2021 (as amended, the “Credit Facility”), pursuant to a Second Amended and Restated Credit and Security Agreement with Wells Fargo Bank, N.A., which was further amended on July 14, 2017, August 2, 2017, and July 23, 2018 (as amended, the “Amended Credit Agreement”).</w:t>
      </w:r>
    </w:p>
    <w:p>
      <w:pPr>
        <w:spacing w:after="0" w:line="18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Pursuant to the July 23, 2018 amendment, we are required to comply with the minimum EBITDA financial covenant of the Amended Credit Agreement in a given quarter if our Excess Availability (as defined in the Amended Credit Agreement) in the immediately following quarter, as tested monthly during that quarter, falls below $30 million. If, in subsequent quarters, Excess Availability levels return to or exceed the contractual threshold, then the Company will no longer be required to comply with the minimum EBITDA financial covenant, so long as Excess Availability remains above the threshold.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of the Amended Credit Agreement</w:t>
      </w:r>
    </w:p>
    <w:p>
      <w:pPr>
        <w:spacing w:after="0" w:line="117"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Borrowings under the Credit Facility may not exceed a “borrowing base” that is determined monthly by our lenders based on available collateral, primarily certain accounts receivables, inventories, real estate, personal property and equipment. Under the terms of the Amended Credit Agreement, amounts outstanding bear interest at a per annum rate equal to a Daily Three Month LIBOR (as defined in the Amended Credit Agreement), plus an interest rate margin, which is determined quarterly, based on the following thresholds:</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Level</w:t>
            </w:r>
          </w:p>
        </w:tc>
        <w:tc>
          <w:tcPr>
            <w:tcW w:w="120" w:type="dxa"/>
            <w:vAlign w:val="bottom"/>
          </w:tcPr>
          <w:p>
            <w:pPr>
              <w:spacing w:after="0"/>
              <w:rPr>
                <w:sz w:val="16"/>
                <w:szCs w:val="16"/>
                <w:color w:val="auto"/>
              </w:rPr>
            </w:pPr>
          </w:p>
        </w:tc>
        <w:tc>
          <w:tcPr>
            <w:tcW w:w="8360" w:type="dxa"/>
            <w:vAlign w:val="bottom"/>
            <w:tcBorders>
              <w:bottom w:val="single" w:sz="8" w:color="auto"/>
            </w:tcBorders>
          </w:tcPr>
          <w:p>
            <w:pPr>
              <w:ind w:left="3860"/>
              <w:spacing w:after="0"/>
              <w:rPr>
                <w:sz w:val="20"/>
                <w:szCs w:val="20"/>
                <w:color w:val="auto"/>
              </w:rPr>
            </w:pPr>
            <w:r>
              <w:rPr>
                <w:rFonts w:ascii="Arial" w:cs="Arial" w:eastAsia="Arial" w:hAnsi="Arial"/>
                <w:sz w:val="14"/>
                <w:szCs w:val="14"/>
                <w:color w:val="auto"/>
              </w:rPr>
              <w:t>Thresholds</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Interest Rate Margin</w:t>
            </w:r>
          </w:p>
        </w:tc>
      </w:tr>
      <w:tr>
        <w:trPr>
          <w:trHeight w:val="217"/>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If Liquidity is less than 35% of the Maximum Revolver Amount at any time during the period</w:t>
            </w:r>
          </w:p>
        </w:tc>
        <w:tc>
          <w:tcPr>
            <w:tcW w:w="120" w:type="dxa"/>
            <w:vAlign w:val="bottom"/>
          </w:tcPr>
          <w:p>
            <w:pPr>
              <w:spacing w:after="0"/>
              <w:rPr>
                <w:sz w:val="18"/>
                <w:szCs w:val="18"/>
                <w:color w:val="auto"/>
              </w:rPr>
            </w:pPr>
          </w:p>
        </w:tc>
        <w:tc>
          <w:tcPr>
            <w:tcW w:w="2100" w:type="dxa"/>
            <w:vAlign w:val="bottom"/>
          </w:tcPr>
          <w:p>
            <w:pPr>
              <w:jc w:val="right"/>
              <w:ind w:right="399"/>
              <w:spacing w:after="0"/>
              <w:rPr>
                <w:sz w:val="20"/>
                <w:szCs w:val="20"/>
                <w:color w:val="auto"/>
              </w:rPr>
            </w:pPr>
            <w:r>
              <w:rPr>
                <w:rFonts w:ascii="Arial" w:cs="Arial" w:eastAsia="Arial" w:hAnsi="Arial"/>
                <w:sz w:val="18"/>
                <w:szCs w:val="18"/>
                <w:color w:val="auto"/>
                <w:w w:val="87"/>
              </w:rPr>
              <w:t>2.25 percentage points</w:t>
            </w:r>
          </w:p>
        </w:tc>
      </w:tr>
      <w:tr>
        <w:trPr>
          <w:trHeight w:val="295"/>
        </w:trPr>
        <w:tc>
          <w:tcPr>
            <w:tcW w:w="340" w:type="dxa"/>
            <w:vAlign w:val="bottom"/>
          </w:tcPr>
          <w:p>
            <w:pPr>
              <w:spacing w:after="0"/>
              <w:rPr>
                <w:sz w:val="20"/>
                <w:szCs w:val="20"/>
                <w:color w:val="auto"/>
              </w:rPr>
            </w:pPr>
            <w:r>
              <w:rPr>
                <w:rFonts w:ascii="Arial" w:cs="Arial" w:eastAsia="Arial" w:hAnsi="Arial"/>
                <w:sz w:val="18"/>
                <w:szCs w:val="18"/>
                <w:color w:val="auto"/>
              </w:rPr>
              <w:t>II</w:t>
            </w:r>
          </w:p>
        </w:tc>
        <w:tc>
          <w:tcPr>
            <w:tcW w:w="8480" w:type="dxa"/>
            <w:vAlign w:val="bottom"/>
            <w:gridSpan w:val="2"/>
          </w:tcPr>
          <w:p>
            <w:pPr>
              <w:ind w:left="100"/>
              <w:spacing w:after="0"/>
              <w:rPr>
                <w:sz w:val="20"/>
                <w:szCs w:val="20"/>
                <w:color w:val="auto"/>
              </w:rPr>
            </w:pPr>
            <w:r>
              <w:rPr>
                <w:rFonts w:ascii="Arial" w:cs="Arial" w:eastAsia="Arial" w:hAnsi="Arial"/>
                <w:sz w:val="18"/>
                <w:szCs w:val="18"/>
                <w:color w:val="auto"/>
                <w:w w:val="95"/>
              </w:rPr>
              <w:t>If Liquidity is greater than or equal to 35% of the Maximum Revolver Amount at all times during the period and</w:t>
            </w:r>
          </w:p>
        </w:tc>
        <w:tc>
          <w:tcPr>
            <w:tcW w:w="2220" w:type="dxa"/>
            <w:vAlign w:val="bottom"/>
            <w:gridSpan w:val="2"/>
          </w:tcPr>
          <w:p>
            <w:pPr>
              <w:jc w:val="right"/>
              <w:ind w:right="399"/>
              <w:spacing w:after="0"/>
              <w:rPr>
                <w:sz w:val="20"/>
                <w:szCs w:val="20"/>
                <w:color w:val="auto"/>
              </w:rPr>
            </w:pPr>
            <w:r>
              <w:rPr>
                <w:rFonts w:ascii="Arial" w:cs="Arial" w:eastAsia="Arial" w:hAnsi="Arial"/>
                <w:sz w:val="18"/>
                <w:szCs w:val="18"/>
                <w:color w:val="auto"/>
                <w:w w:val="93"/>
              </w:rPr>
              <w:t>2.00 percentage points</w:t>
            </w:r>
          </w:p>
        </w:tc>
      </w:tr>
      <w:tr>
        <w:trPr>
          <w:trHeight w:val="230"/>
        </w:trPr>
        <w:tc>
          <w:tcPr>
            <w:tcW w:w="340" w:type="dxa"/>
            <w:vAlign w:val="bottom"/>
          </w:tcPr>
          <w:p>
            <w:pPr>
              <w:spacing w:after="0"/>
              <w:rPr>
                <w:sz w:val="20"/>
                <w:szCs w:val="20"/>
                <w:color w:val="auto"/>
              </w:rPr>
            </w:pPr>
          </w:p>
        </w:tc>
        <w:tc>
          <w:tcPr>
            <w:tcW w:w="8480" w:type="dxa"/>
            <w:vAlign w:val="bottom"/>
            <w:gridSpan w:val="2"/>
          </w:tcPr>
          <w:p>
            <w:pPr>
              <w:ind w:left="100"/>
              <w:spacing w:after="0"/>
              <w:rPr>
                <w:sz w:val="20"/>
                <w:szCs w:val="20"/>
                <w:color w:val="auto"/>
              </w:rPr>
            </w:pPr>
            <w:r>
              <w:rPr>
                <w:rFonts w:ascii="Arial" w:cs="Arial" w:eastAsia="Arial" w:hAnsi="Arial"/>
                <w:sz w:val="18"/>
                <w:szCs w:val="18"/>
                <w:color w:val="auto"/>
              </w:rPr>
              <w:t>less than 50% of the Maximum Revolver Amount at any time during the period</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8480" w:type="dxa"/>
            <w:vAlign w:val="bottom"/>
            <w:gridSpan w:val="2"/>
          </w:tcPr>
          <w:p>
            <w:pPr>
              <w:ind w:left="100"/>
              <w:spacing w:after="0"/>
              <w:rPr>
                <w:sz w:val="20"/>
                <w:szCs w:val="20"/>
                <w:color w:val="auto"/>
              </w:rPr>
            </w:pPr>
            <w:r>
              <w:rPr>
                <w:rFonts w:ascii="Arial" w:cs="Arial" w:eastAsia="Arial" w:hAnsi="Arial"/>
                <w:sz w:val="18"/>
                <w:szCs w:val="18"/>
                <w:color w:val="auto"/>
                <w:w w:val="99"/>
              </w:rPr>
              <w:t>If Liquidity is greater than or equal to 50% of the Maximum Revolver Amount at all times during the period</w:t>
            </w:r>
          </w:p>
        </w:tc>
        <w:tc>
          <w:tcPr>
            <w:tcW w:w="2220" w:type="dxa"/>
            <w:vAlign w:val="bottom"/>
            <w:gridSpan w:val="2"/>
          </w:tcPr>
          <w:p>
            <w:pPr>
              <w:jc w:val="right"/>
              <w:ind w:right="399"/>
              <w:spacing w:after="0"/>
              <w:rPr>
                <w:sz w:val="20"/>
                <w:szCs w:val="20"/>
                <w:color w:val="auto"/>
              </w:rPr>
            </w:pPr>
            <w:r>
              <w:rPr>
                <w:rFonts w:ascii="Arial" w:cs="Arial" w:eastAsia="Arial" w:hAnsi="Arial"/>
                <w:sz w:val="18"/>
                <w:szCs w:val="18"/>
                <w:color w:val="auto"/>
                <w:w w:val="93"/>
              </w:rPr>
              <w:t>1.75 percentage points</w:t>
            </w:r>
          </w:p>
        </w:tc>
      </w:tr>
    </w:tbl>
    <w:p>
      <w:pPr>
        <w:spacing w:after="0" w:line="202"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 addition, we are charged monthly in arrears for (1) an unused commitment fee of 0.375% per annum, (2) a collateral monitoring fee of $5 thousand per quarter, (3) a letter of credit fee based on the then-applicable interest rate margin and (4) certain other fees and charges as specified in the Amended Credit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Amended Credit Agreement contains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September 30, 2018, we were in compliance with the financial covenants under the Amended Credit Agreement, requiring that we maintain:</w:t>
      </w:r>
    </w:p>
    <w:p>
      <w:pPr>
        <w:spacing w:after="0" w:line="264" w:lineRule="exact"/>
        <w:rPr>
          <w:sz w:val="20"/>
          <w:szCs w:val="20"/>
          <w:color w:val="auto"/>
        </w:rPr>
      </w:pPr>
    </w:p>
    <w:p>
      <w:pPr>
        <w:ind w:left="1060" w:right="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75"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w:t>
      </w:r>
    </w:p>
    <w:p>
      <w:pPr>
        <w:spacing w:after="0" w:line="1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At September 30, 2018, our Liquidity was $74.4 million and our Excess Availability was $48.1 million (or greater than 50% of minimum Liquidity), and our Fixed Charge Coverage Ratio was 7.9:1.0. Since our Excess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312" w:lineRule="auto"/>
        <w:rPr>
          <w:sz w:val="20"/>
          <w:szCs w:val="20"/>
          <w:color w:val="auto"/>
        </w:rPr>
      </w:pPr>
      <w:r>
        <w:rPr>
          <w:rFonts w:ascii="Arial" w:cs="Arial" w:eastAsia="Arial" w:hAnsi="Arial"/>
          <w:sz w:val="16"/>
          <w:szCs w:val="16"/>
          <w:color w:val="auto"/>
        </w:rPr>
        <w:t>Availability at September 30, 2018 exceeded $30 million, we were not required to comply with the minimum EBITDA financial covenant of the Amended Credit Agreement, which would have required that we have a minimum EBITDA for the four quarters ended September 30, 2018 of $35 million. Our EBITDA, as defined in the Amended Credit Agreement for the four quarters ended September 30, 2018, was $37.0 million.</w:t>
      </w:r>
    </w:p>
    <w:p>
      <w:pPr>
        <w:spacing w:after="0" w:line="14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lender after the date of the Amended Credit Agreement, the components of the Fixed Charge Coverage Ratio will be calculated for such fiscal period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7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increases in any change in LIFO reserves, and losses from the wind-down of our Denver and Roanoke branches, up to a maximum exclusion of</w:t>
      </w:r>
    </w:p>
    <w:p>
      <w:pPr>
        <w:spacing w:after="0" w:line="2"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 xml:space="preserve">$5 million for a given measurement period in each case, determined on a consolidated basis in accordance with GAAP; provided, that if any acquisition is consented to by lender after the date of the Amended Credit Agreement, EBITDA for such fiscal period shall be calculated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the acquisition assuming that such transaction has occurred on the first day of such period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19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If in the future our Liquidity falls below $30 million (or Excess Availability falls below 50% of our minimum Liquidity), our Fixed Charge Coverage Ratio is less than 1.1:1.0, we fail to meet our minimum EBITDA requirement when it is required to be tested,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2018, we had $6.6 million in outstanding letters of credit with Wells Fargo and outstanding borrowings of $30.2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From time to time, the Company may invest in non-controlling positions in the debt or equity securities of other businesses. In October 2014, our Board of Directors approved an investment policy that permits the Company to invest our cash in liquid and marketable securities that include equities and fixed income securities. Equity securities may include unrestricted, publicly traded stock that is listed on a major exchange or a national, over-the-counter market and that is appropriate for our portfolio objectives, asset class, and/or investment style, and fixed income securities are required to have an investment grade credit quality at the time of purchase.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7"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Operating activities provided net cash of $12.2 million during the year ended September 30, 2018, as compared to $22.3 million of net cash provided in the year ended September 30, 2017. The decrease in operating cash flow is the result of an investment in working capital to support the growth of our business. In particular, costs in excess of billings increased by $18.1 million as a result of an increase in cost-plus work, where costs are typically billed later than in our typical fixed-price arrangements, as well as an increase in orders for generator enclosures, which are billed when shipped.</w:t>
      </w:r>
    </w:p>
    <w:p>
      <w:pPr>
        <w:spacing w:after="0" w:line="154"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Operating activities provided net cash of $22.3 million during the year ended September 30, 2017, as compared to $25.0 million of net cash provided in the year ended September 30, 2016. The decrease in operating cash flow is the result of decreased net income.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the year ended September 30, 2018, net cash used in investing activities was $11.9 million as compared to $24.5 million of net cash used by investing activities in the year ended September 30, 2017. Investing activities for the year ended September 30, 2018, include $7.4 million for the acquisition of businesses, as well as $4.6 million of capital expenditures.</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the year ended September 30, 2017, net cash used in investing activities was $24.5 million as compared to $60.7 million of net cash used by investing activities in the year ended September 30, 2016. Investing activities for the year ended September 30, 2017, include $20.2 million for the acquisition of businesses, as well as $4.6 million of capital expenditures.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Financing activities used net cash of $2.4 million in the year ended September 30, 2018, compared to $2.7 million used in the year ended September 30, 2017. For the year ended September 30, 2018, we used $2.1 million for the repurchase of common stock under the Company’s stock repurchase program. We repurchased an aggregate $1.6 million of common stock in open market transactions, pursuant to the stock repurchase program, and we used an additional $0.5 million for the repurchase of common stock to satisfy employee payroll tax withholding obligations.</w:t>
      </w:r>
    </w:p>
    <w:p>
      <w:pPr>
        <w:spacing w:after="0" w:line="154"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In the year ended September 30, 2017, financing activities used net cash of $2.7 million compared to $19.6 million provided in the year ended September 30, 2016. For the year ended September 30, 2017, we used $2.4 million for the repurchase of the common stock under the Company’s stock repurchase program. We repurchased an aggregate $2.3 million of common stock in open market transactions, pursuant to the stock repurchase program, and we used an additional $0.1 million for the repurchase of common stock to satisfy employee payroll tax withholding obligations.</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CONTROLLING SHAREHOLDER</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At September 30, 2018, Tontine Capital Partners, L.P., together with its affiliates (collectively, “Tontine”), was the Company’s controlling shareholder, owning approximately 59 percent of the Company’s outstanding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color w:val="auto"/>
        </w:rPr>
        <w:t>common stock according to a Form 4 filed with the SEC by Tontine on October 3, 2018. Accordingly, Tontine has the ability to exercise significant control over our affairs, including the election of directors and most actions requiring the approval of shareholders.</w:t>
      </w:r>
    </w:p>
    <w:p>
      <w:pPr>
        <w:spacing w:after="0" w:line="147"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We are a party to a sublease agreement with Tontine Associates, L.L.C., an affiliate of our controlling shareholder, for corporate office space in Greenwich, Connecticut. The sublease extends through April 2019, with monthly payments due in the amount of approximately $8 thousand. The lease has terms at market rates, and payments by the Company are at a rate consistent with that paid by Tontine Associates, L.L.C. to its landlord.</w:t>
      </w:r>
    </w:p>
    <w:p>
      <w:pPr>
        <w:spacing w:after="0" w:line="14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On December 6, 2018, the Company entered into a Board Observer Letter Agreement with Tontine Associates, L.L.C. in order to assist Tontine in managing its investment in the Company. Subject to the terms and conditions set forth in the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other directors.</w:t>
      </w:r>
    </w:p>
    <w:p>
      <w:pPr>
        <w:spacing w:after="0" w:line="182"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and as Interim Director of Operations since November 2017, and who previously served as non-executive Vice Chairman of the Board from November 2016 to November 2017 and as non-executive Chairman of the Board from January 2015 to November 2016. David B. Gendell was an employee of Tontine from 2004 until December 31, 2017.</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is common in our industry, we have entered into certain off-balance sheet arrangements that expose us to increased risk. Our significant off-balance sheet transactions include commitments associated with non-cancelable operating leases, letter of credit obligations, firm commitments for materials and surety guarantees.</w:t>
      </w:r>
    </w:p>
    <w:p>
      <w:pPr>
        <w:spacing w:after="0" w:line="18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We enter into operating leases for many of our vehicle and equipment needs. These leases allow us to retain our cash when we do not own the vehicles or equipment,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5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2018, $0.5 million of our outstanding letters of credit were to collateralize our customers and vendors.</w:t>
      </w:r>
    </w:p>
    <w:p>
      <w:pPr>
        <w:spacing w:after="0" w:line="18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2018, $6.1 million of our outstanding letters of credit were to collateralize our insurance programs.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September 30, 2018, we did not have any open purchase commitments.</w:t>
      </w:r>
    </w:p>
    <w:p>
      <w:pPr>
        <w:spacing w:after="0" w:line="14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spacing w:after="0" w:line="15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As of September 30, 2018, our future contractual obligations due by September 30 of each of the following fiscal years for commenced agreements include (in thousands):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900" w:type="dxa"/>
            <w:vAlign w:val="bottom"/>
            <w:gridSpan w:val="3"/>
          </w:tcPr>
          <w:p>
            <w:pPr>
              <w:ind w:left="2340"/>
              <w:spacing w:after="0"/>
              <w:rPr>
                <w:sz w:val="20"/>
                <w:szCs w:val="20"/>
                <w:color w:val="auto"/>
              </w:rPr>
            </w:pPr>
            <w:r>
              <w:rPr>
                <w:rFonts w:ascii="Arial" w:cs="Arial" w:eastAsia="Arial" w:hAnsi="Arial"/>
                <w:sz w:val="14"/>
                <w:szCs w:val="14"/>
                <w:color w:val="auto"/>
                <w:w w:val="88"/>
              </w:rPr>
              <w:t>Less than</w:t>
            </w:r>
          </w:p>
        </w:tc>
        <w:tc>
          <w:tcPr>
            <w:tcW w:w="36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color w:val="auto"/>
              </w:rPr>
              <w:t>1 to 3</w:t>
            </w:r>
          </w:p>
        </w:tc>
        <w:tc>
          <w:tcPr>
            <w:tcW w:w="36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3 to 5</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More than</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color w:val="auto"/>
                <w:w w:val="82"/>
              </w:rPr>
              <w:t>1 Year</w:t>
            </w:r>
          </w:p>
        </w:tc>
        <w:tc>
          <w:tcPr>
            <w:tcW w:w="36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color w:val="auto"/>
              </w:rPr>
              <w:t>Years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Years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color w:val="auto"/>
                <w:w w:val="82"/>
              </w:rPr>
              <w:t>5 Years</w:t>
            </w:r>
          </w:p>
        </w:tc>
        <w:tc>
          <w:tcPr>
            <w:tcW w:w="36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$29,564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$29,564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9,460</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12,362</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5,122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(1)</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5,122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right="780" w:firstLine="4"/>
        <w:spacing w:after="0" w:line="514"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tabular amounts exclude the interest obligations that will be created if the debt obligations are outstanding for the periods presented. Our other commitments expire by September 30 of each of the following fiscal years (in thousands):</w:t>
      </w: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89"/>
              </w:rPr>
              <w:t>2019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980" w:type="dxa"/>
            <w:vAlign w:val="bottom"/>
            <w:gridSpan w:val="3"/>
          </w:tcPr>
          <w:p>
            <w:pPr>
              <w:ind w:left="360"/>
              <w:spacing w:after="0"/>
              <w:rPr>
                <w:sz w:val="20"/>
                <w:szCs w:val="20"/>
                <w:color w:val="auto"/>
              </w:rPr>
            </w:pPr>
            <w:r>
              <w:rPr>
                <w:rFonts w:ascii="Arial" w:cs="Arial" w:eastAsia="Arial" w:hAnsi="Arial"/>
                <w:sz w:val="14"/>
                <w:szCs w:val="14"/>
                <w:color w:val="auto"/>
                <w:w w:val="92"/>
              </w:rPr>
              <w:t>Thereafter</w:t>
            </w:r>
          </w:p>
        </w:tc>
        <w:tc>
          <w:tcPr>
            <w:tcW w:w="36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Total</w:t>
            </w: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6,609</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6,609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6,609</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79"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doubtful accounts receivable, the recording of our insurance liabilities and estimation of the valuation allowance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for deferred tax assets, and unrecognized tax benefits. These accounting policies, as well as others, are described in Note 2, “Summary of Significant Accounting Policies” in the notes to our Consolidated Financial Statements and at relevant sections in this discussion and analysis.</w:t>
      </w:r>
    </w:p>
    <w:p>
      <w:pPr>
        <w:spacing w:after="0" w:line="147"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enter into contracts principally on the basis of competitive bids. We frequently negotiate the final terms and prices of those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the customer. Although the terms of our contracts vary considerably, approximately 88% of our revenues are based on either a fixed price or unit price basis in which we agree to do the work for a fixed amount for the entire project (fixed price) or for units of work performed (unit price). Approximately 8% of our revenues are earned from contracts where we are paid on a time and materials basis, and approximately 4% of our revenue is earned on a cost plus or other basis. Our most significant cost drivers are the cost of labor, the cost of materials and the cost of casualty and health insurance.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spacing w:after="0" w:line="16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56% of our total revenue for the year ended September 30, 2018.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w:t>
      </w:r>
    </w:p>
    <w:p>
      <w:pPr>
        <w:spacing w:after="0" w:line="169"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spacing w:after="0" w:line="16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i w:val="1"/>
          <w:iCs w:val="1"/>
          <w:color w:val="auto"/>
        </w:rPr>
        <w:t>Business Combinations</w:t>
      </w:r>
      <w:r>
        <w:rPr>
          <w:rFonts w:ascii="Arial" w:cs="Arial" w:eastAsia="Arial" w:hAnsi="Arial"/>
          <w:sz w:val="17"/>
          <w:szCs w:val="17"/>
          <w:color w:val="auto"/>
        </w:rPr>
        <w:t>. In accounting for business combinations, certain assumptions and estimates are employed in determining the fair value of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associated useful lives for establishing amortization periods. To finalize purchase accounting for significant intangible assets and liabilities, we utilize the services of independent valuation specialists to assist in the determination of the fair value.</w:t>
      </w:r>
    </w:p>
    <w:p>
      <w:pPr>
        <w:spacing w:after="0" w:line="170" w:lineRule="exact"/>
        <w:rPr>
          <w:sz w:val="20"/>
          <w:szCs w:val="20"/>
          <w:color w:val="auto"/>
        </w:rPr>
      </w:pPr>
    </w:p>
    <w:p>
      <w:pPr>
        <w:ind w:left="200" w:right="120"/>
        <w:spacing w:after="0" w:line="289" w:lineRule="auto"/>
        <w:rPr>
          <w:sz w:val="20"/>
          <w:szCs w:val="20"/>
          <w:color w:val="auto"/>
        </w:rPr>
      </w:pPr>
      <w:r>
        <w:rPr>
          <w:rFonts w:ascii="Arial" w:cs="Arial" w:eastAsia="Arial" w:hAnsi="Arial"/>
          <w:sz w:val="16"/>
          <w:szCs w:val="16"/>
          <w:i w:val="1"/>
          <w:iCs w:val="1"/>
          <w:color w:val="auto"/>
        </w:rPr>
        <w:t xml:space="preserve">Valuation of Intangibles and Long-Lived Assets. </w:t>
      </w:r>
      <w:r>
        <w:rPr>
          <w:rFonts w:ascii="Arial" w:cs="Arial" w:eastAsia="Arial" w:hAnsi="Arial"/>
          <w:sz w:val="16"/>
          <w:szCs w:val="16"/>
          <w:color w:val="auto"/>
        </w:rPr>
        <w:t>We evaluate goodwill for potential impairment at least annually at year end; however, if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indicators exist, we will evaluate as needed.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 We estimate the fair value of the reporting unit based on the market approach and income approach. Included in this evaluation are certain assumptions and estimates to determine the fair values of reporting units such as estimates of future cash flows and discount rates, as well as assumptions and estimates related to the valuation of other identified intangible assets. Changes in these assumptions and estimates or significant changes to the market value of our common stock could materially impact our results of operations or financial position. We did not record goodwill impairment during the years ended September 30, 2018, 2017 or 2016.</w:t>
      </w:r>
    </w:p>
    <w:p>
      <w:pPr>
        <w:spacing w:after="0" w:line="16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Each reporting period, we assess impairment indicators related to long-lived assets and intangible assets. If we determine impairment indicators exist, we conduct an evaluation to determine whether any impairment has occurred. This evaluation includes certain assumptions and estimates to determine fair value of asset groups, including estimates about future cash flows and discount rates, among others. Changes in these assumptions and estimates could materially impact our results of operations or financial projections. No impairment charges were recorded in the years ended September 30, 2018, 2017 or 2016.</w:t>
      </w:r>
    </w:p>
    <w:p>
      <w:pPr>
        <w:spacing w:after="0" w:line="188"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i w:val="1"/>
          <w:iCs w:val="1"/>
          <w:color w:val="auto"/>
        </w:rPr>
        <w:t xml:space="preserve">Current and Non-Current Accounts Receivable and Provision for Doubtful Accounts. </w:t>
      </w:r>
      <w:r>
        <w:rPr>
          <w:rFonts w:ascii="Arial" w:cs="Arial" w:eastAsia="Arial" w:hAnsi="Arial"/>
          <w:sz w:val="17"/>
          <w:szCs w:val="17"/>
          <w:color w:val="auto"/>
        </w:rPr>
        <w:t>We provide an allowance for doubtful accounts for unknown</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issues, in addition to reserves for specific accounts receivable where collection is considered doubtful. Inherent in the assessment of the allowance for doubtful accounts are certain judgments and estimates including, among others, our customers’ access to capital, our customers’ willingness to pay, general economic conditions, and the ongoing relationships with our customers. In addition to these factors, the method of accounting for construction contracts requires the review and analysis of not only the net receivables, but also the amount of billings in excess of costs and costs in excess of billings. The analysis management utilizes to assess collectability of our receivables includes detailed review of older balances, analysis of days sales outstanding where we include in the calculation, in addition to accounts receivable balances net of any allowance for doubtful accounts, the level of costs in excess of billings netted against billings in excess of costs and the ratio of accounts receivable, net of any allowance for doubtful accounts plus the level of costs in excess of billings, to revenues. These analyses provide an indication of those amounts billed ahead of or behind the recognition of revenue on our construction contracts and are important to consider in understanding the operational cash flows related to our revenue cycle.</w:t>
      </w:r>
    </w:p>
    <w:p>
      <w:pPr>
        <w:spacing w:after="0" w:line="183"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i w:val="1"/>
          <w:iCs w:val="1"/>
          <w:color w:val="auto"/>
        </w:rPr>
        <w:t xml:space="preserve">Risk-Management. </w:t>
      </w:r>
      <w:r>
        <w:rPr>
          <w:rFonts w:ascii="Arial" w:cs="Arial" w:eastAsia="Arial" w:hAnsi="Arial"/>
          <w:sz w:val="16"/>
          <w:szCs w:val="16"/>
          <w:color w:val="auto"/>
        </w:rPr>
        <w:t>We are insured for workers’ compensation, automobile liability, general liability, construction defects, pollution,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 and employee-related health care claims, subject to deductibles. Our general liability program provides coverage for bodily injury and property damage. Losses up to the deductible amounts are accrued based upon our estimates of the liability for claims incurred and an estimate of claims incurred but not reported. The accruals are derived from actuarial studies, known facts, historical trends and industry averages utilizing the assistance of an actuary to determine the best estimate of the ultimate expected loss. We believe such accruals to be adequate; however, insurance liabilities are difficult to assess and estimate due to unknown factors, including the severity of an injury, the determination of our liability in proportion to other parties, the number of incidents incurred but not reported and the effectiveness of our safety program. Therefore, if actual experience differs from the assumptions used in the actuarial valuation, adjustments to the reserve may be required and would be recorded in the period that the experience becomes known.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 xml:space="preserve">Valuation Allowance for Deferred Tax Assets. </w:t>
      </w:r>
      <w:r>
        <w:rPr>
          <w:rFonts w:ascii="Arial" w:cs="Arial" w:eastAsia="Arial" w:hAnsi="Arial"/>
          <w:sz w:val="18"/>
          <w:szCs w:val="18"/>
          <w:color w:val="auto"/>
        </w:rPr>
        <w:t>We regularly evaluate valuation allowances established for deferred tax assets for which future realization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is uncertain. We perform this evaluation quarterly. The estimation of required valuation allowances includes estimates of future taxable income. In assessing the realizability of deferred tax assets at September 30, 2018, we concluded, based upon the assessment of positive and negative evidence, that it is more likely than not that the Company will generate sufficient table income within the applicable NOL carryforward periods to realize $46.6 million of its deferred tax assets. We considered the scheduled reversal of deferred tax liabilities, projected future taxable income and tax planning strategies in making this assessment.</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An inability to generate sufficient taxable income in future periods to realize our deferred tax assets may lead to a future need for a valuation allowance and a corresponding reduction in GAAP net income. In addition, any further reduction in the federal statutory tax rate in the future could also cause a reduction in the economic benefit of the NOL available to us and a corresponding charge to reduce the book value of the deferred tax asset recorded on our balance sheet.</w:t>
      </w:r>
    </w:p>
    <w:p>
      <w:pPr>
        <w:spacing w:after="0" w:line="187"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GAAP specifies the methodology by which a company must identify, recognize, measure and disclose in its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18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88"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We are currently under federal audit by the Internal Revenue Service for the tax year ended September 30, 2016. The tax years ended September 30, 2015 and forward are subject to audit as are prior tax years, to the extent of unutilized net operating losses generated in those years.</w:t>
      </w:r>
    </w:p>
    <w:p>
      <w:pPr>
        <w:spacing w:after="0" w:line="12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anticipate that approximately $5.7 million in liabilities for unrecognized tax benefits, including accrued interest, may be reversed in the next twelve months. This reversal is predominantly due to the expiration of the statutes of limitation for unrecognized tax benefits.</w:t>
      </w:r>
    </w:p>
    <w:p>
      <w:pPr>
        <w:spacing w:after="0" w:line="17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Recent accounting pronouncements are described in Note 2, “Summary of Significant Accounting Policies —</w:t>
      </w:r>
      <w:r>
        <w:rPr>
          <w:rFonts w:ascii="Arial" w:cs="Arial" w:eastAsia="Arial" w:hAnsi="Arial"/>
          <w:sz w:val="16"/>
          <w:szCs w:val="16"/>
          <w:i w:val="1"/>
          <w:iCs w:val="1"/>
          <w:color w:val="auto"/>
        </w:rPr>
        <w:t xml:space="preserve"> New Accounting Pronouncements</w:t>
      </w:r>
      <w:r>
        <w:rPr>
          <w:rFonts w:ascii="Arial" w:cs="Arial" w:eastAsia="Arial" w:hAnsi="Arial"/>
          <w:sz w:val="16"/>
          <w:szCs w:val="16"/>
          <w:color w:val="auto"/>
        </w:rPr>
        <w:t>” in the notes to our Consolidated Financial Statements and at relevant sections in this discussion and analysis.</w:t>
      </w:r>
    </w:p>
    <w:p>
      <w:pPr>
        <w:spacing w:after="0" w:line="26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Credit Facility. For additional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this Annual Report on Form 10-K.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fixed nature of many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contracts. Over the long-term, we expect to be able to pass along a portion of these costs to our customers, as market conditions in the construction industry will allow.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are subject to interest rate risk on our floating interest rate borrowings. Floating rate debt, where the interest rate fluctuates periodically, exposes us to short-term changes in market interest rates.</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our revolving credit facility as of September 30, 2018 would cause a $0.3 million pre-tax annual increase in interest expense.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240" w:top="459" w:right="5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300" w:type="dxa"/>
            <w:vAlign w:val="bottom"/>
            <w:gridSpan w:val="6"/>
            <w:vMerge w:val="restart"/>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Reports of Independent Registered Public Accounting Firm</w:t>
              </w:r>
            </w:hyperlink>
          </w:p>
        </w:tc>
        <w:tc>
          <w:tcPr>
            <w:tcW w:w="560" w:type="dxa"/>
            <w:vAlign w:val="bottom"/>
            <w:vMerge w:val="restart"/>
          </w:tcPr>
          <w:p>
            <w:pPr>
              <w:spacing w:after="0"/>
              <w:rPr>
                <w:sz w:val="14"/>
                <w:szCs w:val="14"/>
                <w:color w:val="auto"/>
              </w:rPr>
            </w:pPr>
          </w:p>
        </w:tc>
        <w:tc>
          <w:tcPr>
            <w:tcW w:w="61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00" w:type="dxa"/>
            <w:vAlign w:val="bottom"/>
            <w:tcBorders>
              <w:bottom w:val="single" w:sz="8" w:color="0000EE"/>
            </w:tcBorders>
            <w:gridSpan w:val="6"/>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58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Balance Sheets</w:t>
              </w:r>
            </w:hyperlink>
          </w:p>
        </w:tc>
        <w:tc>
          <w:tcPr>
            <w:tcW w:w="2760" w:type="dxa"/>
            <w:vAlign w:val="bottom"/>
            <w:gridSpan w:val="6"/>
          </w:tcPr>
          <w:p>
            <w:pPr>
              <w:spacing w:after="0"/>
              <w:rPr>
                <w:sz w:val="18"/>
                <w:szCs w:val="18"/>
                <w:color w:val="auto"/>
              </w:rPr>
            </w:pP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86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Comprehensive Income (Loss)</w:t>
              </w:r>
            </w:hyperlink>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Stockholders’ Equity</w:t>
              </w:r>
            </w:hyperlink>
          </w:p>
        </w:tc>
        <w:tc>
          <w:tcPr>
            <w:tcW w:w="680" w:type="dxa"/>
            <w:vAlign w:val="bottom"/>
            <w:tcBorders>
              <w:top w:val="single" w:sz="8" w:color="0000EE"/>
            </w:tcBorders>
          </w:tcPr>
          <w:p>
            <w:pPr>
              <w:spacing w:after="0"/>
              <w:rPr>
                <w:sz w:val="17"/>
                <w:szCs w:val="17"/>
                <w:color w:val="auto"/>
              </w:rPr>
            </w:pPr>
          </w:p>
        </w:tc>
        <w:tc>
          <w:tcPr>
            <w:tcW w:w="620" w:type="dxa"/>
            <w:vAlign w:val="bottom"/>
            <w:gridSpan w:val="2"/>
          </w:tcPr>
          <w:p>
            <w:pPr>
              <w:spacing w:after="0"/>
              <w:rPr>
                <w:sz w:val="17"/>
                <w:szCs w:val="17"/>
                <w:color w:val="auto"/>
              </w:rPr>
            </w:pPr>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w:t>
              </w:r>
            </w:hyperlink>
          </w:p>
        </w:tc>
        <w:tc>
          <w:tcPr>
            <w:tcW w:w="1980" w:type="dxa"/>
            <w:vAlign w:val="bottom"/>
            <w:gridSpan w:val="5"/>
          </w:tcPr>
          <w:p>
            <w:pPr>
              <w:spacing w:after="0"/>
              <w:rPr>
                <w:sz w:val="17"/>
                <w:szCs w:val="17"/>
                <w:color w:val="auto"/>
              </w:rPr>
            </w:pPr>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86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6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tcPr>
          <w:p>
            <w:pPr>
              <w:jc w:val="right"/>
              <w:ind w:right="4993"/>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IES Holdings, Inc. and subsidiaries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IES Holdings, Inc. and subsidiaries (the “Company”) as of September 30, 2018 and 2017, the related consolidated statements of comprehensive income (loss), stockholders’ equity, and cash flows, for each of the three years in the period ended September 30, 2018, and the related notes (collectively referred to as the “consolidated financial statements“). In our opinion, the consolidated financial statements present fairly, in all material respects, the financial position of the Company at September 30, 2018 and 2017, and the results of its operations and its cash flows for each of the three years in the period ended September 30, 2018, in conformity with US generally accepted accounting principles.</w:t>
      </w:r>
    </w:p>
    <w:p>
      <w:pPr>
        <w:spacing w:after="0" w:line="193"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2018, based on criteria established in Internal Control-Integrated Framework issued by the Committee of Sponsoring Organizations of the Treadway Commission (2013 framework) and our report dated December 7, 2018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2002</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7,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IES Holdings, Inc. and subsidiaries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have audited IES Holdings Inc. and subsidiaries’ internal control over financial reporting as of September 30, 2018, based on criteria established in Internal Control — 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2018, based on the COSO criteria.</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30, 2018 and 2017, the related consolidated statements of comprehensive income (loss), stockholders’ equity, and cash flows, for each of the three years in the period ended September 30, 2018, and the related notes and our report dated December 7, 2018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7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7, 2018</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ind w:left="41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net of allowance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142,946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Retainage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262,693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231,752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20" w:type="dxa"/>
            <w:vAlign w:val="bottom"/>
            <w:shd w:val="clear" w:color="auto" w:fill="CCEEFF"/>
          </w:tcPr>
          <w:p>
            <w:pPr>
              <w:spacing w:after="0"/>
              <w:rPr>
                <w:sz w:val="18"/>
                <w:szCs w:val="18"/>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421,994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424,494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130,591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120,710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164,417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150,628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198,355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184,519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20" w:type="dxa"/>
            <w:vAlign w:val="bottom"/>
          </w:tcPr>
          <w:p>
            <w:pPr>
              <w:ind w:left="700"/>
              <w:spacing w:after="0" w:line="201" w:lineRule="exact"/>
              <w:rPr>
                <w:sz w:val="20"/>
                <w:szCs w:val="20"/>
                <w:color w:val="auto"/>
              </w:rPr>
            </w:pPr>
            <w:r>
              <w:rPr>
                <w:rFonts w:ascii="Arial" w:cs="Arial" w:eastAsia="Arial" w:hAnsi="Arial"/>
                <w:sz w:val="18"/>
                <w:szCs w:val="18"/>
                <w:color w:val="auto"/>
                <w:w w:val="91"/>
              </w:rPr>
              <w:t>Common stock, $0.01 par value, 100,000,000 shares authorized; 22,049,529 shares issued and 21,205,536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880"/>
              <w:spacing w:after="0"/>
              <w:rPr>
                <w:sz w:val="20"/>
                <w:szCs w:val="20"/>
                <w:color w:val="auto"/>
              </w:rPr>
            </w:pPr>
            <w:r>
              <w:rPr>
                <w:rFonts w:ascii="Arial" w:cs="Arial" w:eastAsia="Arial" w:hAnsi="Arial"/>
                <w:sz w:val="18"/>
                <w:szCs w:val="18"/>
                <w:color w:val="auto"/>
              </w:rPr>
              <w:t>21,336,975 outstanding,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Treasury stock, at cost, 843,993 and 712,554 shares,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(6,898)</w:t>
            </w:r>
          </w:p>
        </w:tc>
      </w:tr>
      <w:tr>
        <w:trPr>
          <w:trHeight w:val="216"/>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196,810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196,955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2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220,407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236,704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421,994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424,494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6"/>
              </w:rPr>
              <w:t>Year Ended September 30,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876,828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services</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726,866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670,246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120,370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38,151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(loss) per share: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21,196,388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21,280,549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21,279,342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21,196,388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21,533,254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21,492,339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80" w:type="dxa"/>
            <w:vAlign w:val="bottom"/>
            <w:gridSpan w:val="3"/>
            <w:vMerge w:val="restart"/>
          </w:tcPr>
          <w:p>
            <w:pPr>
              <w:ind w:left="340"/>
              <w:spacing w:after="0"/>
              <w:rPr>
                <w:sz w:val="20"/>
                <w:szCs w:val="20"/>
                <w:color w:val="auto"/>
              </w:rPr>
            </w:pPr>
            <w:r>
              <w:rPr>
                <w:rFonts w:ascii="Arial" w:cs="Arial" w:eastAsia="Arial" w:hAnsi="Arial"/>
                <w:sz w:val="14"/>
                <w:szCs w:val="14"/>
                <w:color w:val="auto"/>
                <w:w w:val="96"/>
              </w:rPr>
              <w:t>Common Stock</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5"/>
            <w:vMerge w:val="restart"/>
          </w:tcPr>
          <w:p>
            <w:pPr>
              <w:jc w:val="right"/>
              <w:ind w:right="460"/>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Retained</w:t>
            </w:r>
          </w:p>
        </w:tc>
        <w:tc>
          <w:tcPr>
            <w:tcW w:w="10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4"/>
                <w:szCs w:val="14"/>
                <w:color w:val="auto"/>
              </w:rPr>
              <w:t>Shares</w:t>
            </w:r>
          </w:p>
        </w:tc>
        <w:tc>
          <w:tcPr>
            <w:tcW w:w="720" w:type="dxa"/>
            <w:vAlign w:val="bottom"/>
            <w:gridSpan w:val="3"/>
          </w:tcPr>
          <w:p>
            <w:pPr>
              <w:ind w:left="240"/>
              <w:spacing w:after="0"/>
              <w:rPr>
                <w:sz w:val="20"/>
                <w:szCs w:val="20"/>
                <w:color w:val="auto"/>
              </w:rPr>
            </w:pPr>
            <w:r>
              <w:rPr>
                <w:rFonts w:ascii="Arial" w:cs="Arial" w:eastAsia="Arial" w:hAnsi="Arial"/>
                <w:sz w:val="14"/>
                <w:szCs w:val="14"/>
                <w:color w:val="auto"/>
                <w:w w:val="95"/>
              </w:rPr>
              <w:t>Amount</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APIC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90"/>
              </w:rPr>
              <w:t>BALANCE, September 30, 2015</w:t>
            </w:r>
          </w:p>
        </w:tc>
        <w:tc>
          <w:tcPr>
            <w:tcW w:w="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22,049,529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220</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(573,788)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$(4,401)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$193,628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(88,033)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101,414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Grants under compensation plans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5,670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(59,872)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Stock forfeitures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(7,500)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IES Holdings, Inc.</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jc w:val="right"/>
              <w:ind w:right="1910"/>
              <w:spacing w:after="0"/>
              <w:rPr>
                <w:sz w:val="20"/>
                <w:szCs w:val="20"/>
                <w:color w:val="auto"/>
              </w:rPr>
            </w:pPr>
            <w:r>
              <w:rPr>
                <w:rFonts w:ascii="Arial" w:cs="Arial" w:eastAsia="Arial" w:hAnsi="Arial"/>
                <w:sz w:val="18"/>
                <w:szCs w:val="18"/>
                <w:color w:val="auto"/>
                <w:w w:val="91"/>
              </w:rPr>
              <w:t>BALANCE, September 30, 2016</w:t>
            </w: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22,049,529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220</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(592,990</w:t>
            </w:r>
          </w:p>
        </w:tc>
        <w:tc>
          <w:tcPr>
            <w:tcW w:w="320" w:type="dxa"/>
            <w:vAlign w:val="bottom"/>
            <w:gridSpan w:val="2"/>
          </w:tcPr>
          <w:p>
            <w:pPr>
              <w:jc w:val="right"/>
              <w:ind w:right="17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(4,781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Grants under compensation plans</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340"/>
              <w:spacing w:after="0" w:line="201" w:lineRule="exact"/>
              <w:rPr>
                <w:sz w:val="20"/>
                <w:szCs w:val="20"/>
                <w:color w:val="auto"/>
              </w:rPr>
            </w:pPr>
            <w:r>
              <w:rPr>
                <w:rFonts w:ascii="Arial" w:cs="Arial" w:eastAsia="Arial" w:hAnsi="Arial"/>
                <w:sz w:val="18"/>
                <w:szCs w:val="18"/>
                <w:color w:val="auto"/>
                <w:w w:val="97"/>
              </w:rPr>
              <w:t>Cumulative effect adjustment from adoption of ASU</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jc w:val="right"/>
              <w:ind w:right="3150"/>
              <w:spacing w:after="0"/>
              <w:rPr>
                <w:sz w:val="20"/>
                <w:szCs w:val="20"/>
                <w:color w:val="auto"/>
              </w:rPr>
            </w:pPr>
            <w:r>
              <w:rPr>
                <w:rFonts w:ascii="Arial" w:cs="Arial" w:eastAsia="Arial" w:hAnsi="Arial"/>
                <w:sz w:val="18"/>
                <w:szCs w:val="18"/>
                <w:color w:val="auto"/>
              </w:rPr>
              <w:t>2016-09</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304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(152,860)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Stock forfeitures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(2,257)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noncontrolling interest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Net income attributable to IES Holdings, Inc.</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90"/>
              </w:rPr>
              <w:t>BALANCE, September 30, 2017</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22,049,529</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220</w:t>
            </w:r>
          </w:p>
        </w:tc>
        <w:tc>
          <w:tcPr>
            <w:tcW w:w="20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(712,554)   </w:t>
            </w:r>
            <w:r>
              <w:rPr>
                <w:rFonts w:ascii="Arial" w:cs="Arial" w:eastAsia="Arial" w:hAnsi="Arial"/>
                <w:sz w:val="18"/>
                <w:szCs w:val="18"/>
                <w:u w:val="single" w:color="auto"/>
                <w:color w:val="auto"/>
              </w:rPr>
              <w:t>$</w:t>
            </w:r>
            <w:r>
              <w:rPr>
                <w:rFonts w:ascii="Arial" w:cs="Arial" w:eastAsia="Arial" w:hAnsi="Arial"/>
                <w:sz w:val="18"/>
                <w:szCs w:val="18"/>
                <w:color w:val="auto"/>
              </w:rPr>
              <w:t>(6,898)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196,955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340"/>
              <w:spacing w:after="0"/>
              <w:rPr>
                <w:sz w:val="20"/>
                <w:szCs w:val="20"/>
                <w:color w:val="auto"/>
              </w:rPr>
            </w:pPr>
            <w:r>
              <w:rPr>
                <w:rFonts w:ascii="Arial" w:cs="Arial" w:eastAsia="Arial" w:hAnsi="Arial"/>
                <w:sz w:val="18"/>
                <w:szCs w:val="18"/>
                <w:color w:val="auto"/>
              </w:rPr>
              <w:t>Grants under compensation plans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(133,459)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Decrease in noncontrolling interest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IES Holdings, Inc.</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(14,157)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23"/>
        </w:trPr>
        <w:tc>
          <w:tcPr>
            <w:tcW w:w="4380" w:type="dxa"/>
            <w:vAlign w:val="bottom"/>
            <w:gridSpan w:val="2"/>
          </w:tcPr>
          <w:p>
            <w:pPr>
              <w:jc w:val="right"/>
              <w:ind w:right="1910"/>
              <w:spacing w:after="0"/>
              <w:rPr>
                <w:sz w:val="20"/>
                <w:szCs w:val="20"/>
                <w:color w:val="auto"/>
              </w:rPr>
            </w:pPr>
            <w:r>
              <w:rPr>
                <w:rFonts w:ascii="Arial" w:cs="Arial" w:eastAsia="Arial" w:hAnsi="Arial"/>
                <w:sz w:val="18"/>
                <w:szCs w:val="18"/>
                <w:color w:val="auto"/>
                <w:w w:val="91"/>
              </w:rPr>
              <w:t>BALANCE, September 30, 2018</w:t>
            </w:r>
          </w:p>
        </w:tc>
        <w:tc>
          <w:tcPr>
            <w:tcW w:w="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22,049,529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220</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(843,993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(8,937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196,810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color w:val="auto"/>
                <w:w w:val="89"/>
              </w:rPr>
              <w:t>Year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w w:val="89"/>
              </w:rPr>
              <w:t>(13,803)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13,594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 amortization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sale of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Non-cash compensation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(7,574)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89"/>
              </w:rPr>
              <w:t>(17,840)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Proceeds from sales of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in conjunction with business combinations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(59,544)</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(11,861)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(24,532)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(60,736)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Contingent consideration payment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(2,059)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33,221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28,290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Cash paid for income taxes (net)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2,429</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left="200" w:right="50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52" w:lineRule="exact"/>
        <w:rPr>
          <w:sz w:val="20"/>
          <w:szCs w:val="20"/>
          <w:color w:val="auto"/>
        </w:rPr>
      </w:pPr>
    </w:p>
    <w:p>
      <w:pPr>
        <w:ind w:left="1060" w:right="280" w:hanging="31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right="70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 Nationwide provider of technology infrastructure products and services to large corporations and independent businesses.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 including apparatus repair and custom-engineered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consolidated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Controlling Shareholder</w:t>
      </w:r>
    </w:p>
    <w:p>
      <w:pPr>
        <w:spacing w:after="0" w:line="11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At September 30, 2018, Tontine Associates, L.L.C. and its affiliates (collectively, “Tontine”), was the controlling shareholder of the Company’s common stock. Accordingly, Tontine has the ability to exercise significant control over our affairs, including the election of directors and most actions requiring the approval of shareholders, including the approval of any potential merger or sale of all or substantially all assets or segments of the Company, or the Company itself. For a more complete discussion on our relationship with Tontine, please refer to Note 3, “Controlling Shareholder” in the notes to our Consolidated Financial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IES Holdings, Inc. and its consolidated subsidiaries. All significant intercompany accounts and transactions have been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fiscal years ended September 30, 2018, 2017 and 2016, the Company recorded no asset impairment charges.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Inventories consist of raw materials, work in process, finished goods, and parts and supplies held for use in the ordinary course of business. Inventory is valued at the lower of cost or net realizable value generally using the historical average cost or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Securities and Equity Investments</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Our investments in entities where we do not have the ability to exercise significant influence are accounted for using the cost method of accounting. Each period, we evaluate whether an event or change in circumstances has occurred that may indicate an investment has been impaired. If, upon further investigation of such events, we determine the investment has suffered a decline in value that is other than temporary, we write down the investment to its estimated fair value.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left="200" w:right="100"/>
        <w:spacing w:after="0" w:line="342" w:lineRule="auto"/>
        <w:rPr>
          <w:sz w:val="20"/>
          <w:szCs w:val="20"/>
          <w:color w:val="auto"/>
        </w:rPr>
      </w:pPr>
      <w:r>
        <w:rPr>
          <w:rFonts w:ascii="Arial" w:cs="Arial" w:eastAsia="Arial" w:hAnsi="Arial"/>
          <w:sz w:val="16"/>
          <w:szCs w:val="16"/>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w:t>
      </w:r>
    </w:p>
    <w:p>
      <w:pPr>
        <w:spacing w:after="0" w:line="124"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spacing w:after="0" w:line="18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Intangible assets with definite lives are amortized over their estimated useful lives based on expected economic benefit with no residual value.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Debt issuance costs are included as a reduction of our debt outstanding, and are amortized to interest expense over the scheduled maturity of the debt. Amortization expense of debt issuance costs was $288, $294 and $345, respectively, for the years ended 2018, 2017 and 2016. Remaining unamortized capitalized debt issuance costs were $912 and $1,115 at September 30, 2018, and 2017, respectively.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Revenue is generally recognized once the following four criteria are met: (i) persuasive evidence of an arrangement exists, (ii) delivery of the product has occurred or services have been rendered, (iii) the price of the product or service is fixed and determinable, and (iv) collectability is reasonably assured. Costs associated with these services are recognized within the period they are incurred.</w:t>
      </w:r>
    </w:p>
    <w:p>
      <w:pPr>
        <w:spacing w:after="0" w:line="18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We recognize revenue on project contracts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may result in revisions to costs and income and the effects of these revisions are recognized in the period in which the revisions are determined. Provisions for total estimated losses on uncompleted contracts are 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spacing w:after="0" w:line="18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Certain divisions in the Residential and Infrastructure Solutions segments use the completed contract method of accounting because the duration of their contracts are short in nature. We recognize revenue on completed contracts when the project is complete and billable to the customer. Provisions for estimated losses on these contracts are recorded in the period such losses are determined.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The current asset “Costs and estimated earnings in excess of billings” represents revenues recognized in excess of amounts billed which management believes will generally be billed and collected within the next twelve months. Also included in this asset, from time to time, are claims and unapproved change orders which are amounts we are in the process of collecting from our customers or agencies for changes in contract specifications or design, contract change orders in dispute or unapproved as to scope and price, or other related causes of unanticipated additional contract costs. Claims are limited to costs incurred and are recorded at estimated realizable value when collection is probable and can be reasonably estimated. We do not recognize profits on project costs incurred in connection with claims. Claims made by us involve negotiation and, in certain cases, litigation. Such litigation costs are expensed as incurred. As of September 30, 2018, 2017 and 2016, there were no material revenues recorded associated with any outstanding claims or unapproved change orders. The current liability “Billings in excess of costs and estimated earnings” represents billings in excess of revenues recognized. Billings in excess of costs and estimated earnings are amounts considered recoverable from customers based on different measures of performance, including achievement of specific milestones or completion of specified units designated within the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17"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We record accounts receivable for all amounts billed and not collected. Generally, we do not charge interest on outstanding accounts receivable; however, from time to time we may believe it necessary to charge interest on a case by case basis. Additionally, we provide an allowance for doubtful accounts for specific accounts receivable where collection is considered doubtful as well as for general unknown collection issues based on historical trends. Accounts receivable not determined to be collectible are written off as deemed necessary in the period such determination is made. As is common in our industry, some of these receivables are in litigation or require us to exercise our contractual lien rights in order to collect. These receivables are primarily associated with a few branches within our Commercial &amp; Industrial segment. Certain other receivables are slow-pay in nature and require us to exercise our contractual or lien rights. Our allowance for doubtful accounts at September 30, 2018 and 2017 was $868 and $650, respectively. We believe that our allowance for doubtful accounts is sufficient to cover uncollectible receivables as of September 30,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Comprehensive Income (Loss)</w:t>
      </w:r>
    </w:p>
    <w:p>
      <w:pPr>
        <w:spacing w:after="0" w:line="117" w:lineRule="exact"/>
        <w:rPr>
          <w:sz w:val="20"/>
          <w:szCs w:val="20"/>
          <w:color w:val="auto"/>
        </w:rPr>
      </w:pPr>
    </w:p>
    <w:p>
      <w:pPr>
        <w:ind w:left="200" w:right="980"/>
        <w:spacing w:after="0" w:line="277" w:lineRule="auto"/>
        <w:rPr>
          <w:sz w:val="20"/>
          <w:szCs w:val="20"/>
          <w:color w:val="auto"/>
        </w:rPr>
      </w:pPr>
      <w:r>
        <w:rPr>
          <w:rFonts w:ascii="Arial" w:cs="Arial" w:eastAsia="Arial" w:hAnsi="Arial"/>
          <w:sz w:val="18"/>
          <w:szCs w:val="18"/>
          <w:color w:val="auto"/>
        </w:rPr>
        <w:t>Comprehensive income (loss) includes all changes in equity during a period except those resulting from investments by and distributions to stockholders.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We follow the asset and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18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regularly evaluate valuation allowances established for deferred tax assets for which future realization is uncertain. We perform this evaluation on a quarterly basis. The estimation of required valuation allowances includes estimates of future taxable income. In assessing the realizability of deferred tax assets at September 30, 2018, we concluded, based upon the assessment of positive and negative evidence, that it is more likely than not that the Company will generate sufficient taxable income within the applicable NOL carryforward periods to realize its net deferred tax assets of $46,580. We considered the scheduled reversal of deferred tax liabilities, projected future taxable income and tax planning strategies in making this assessment. If actual future taxable income is different from these estimates, our results could be affected.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In December 2017, the Tax Cuts and Jobs Act (the “Act”) was enacted, which, among other changes, reduced the federal statutory corporate tax rate from 35% to 21%, effective January 1, 2018. As a result of this change, the Company’s statutory tax rate for fiscal 2018 will be a blended rate of 24.53% and will decrease to 21% thereafter. For the twelve months ended September 30, 2018, our effective tax rate differed from the statutory tax rate as a result of a charge of $31,333 to re-measure our deferred tax assets and liabilities to reflect the estimated impact of the new statutory tax rate, slightly offset by a benefit of $1,908 related to the reversal of an uncertain tax position. This benefit differs from the expected recognition of $3,284 as disclosed in our Annual Report on Form 10-K for the year ended September 30, 2017, as a result of the decrease in the statutory tax rate.</w:t>
      </w:r>
    </w:p>
    <w:p>
      <w:pPr>
        <w:spacing w:after="0" w:line="165" w:lineRule="exact"/>
        <w:rPr>
          <w:sz w:val="20"/>
          <w:szCs w:val="20"/>
          <w:color w:val="auto"/>
        </w:rPr>
      </w:pPr>
    </w:p>
    <w:p>
      <w:pPr>
        <w:ind w:left="200" w:right="480"/>
        <w:spacing w:after="0" w:line="259" w:lineRule="auto"/>
        <w:rPr>
          <w:sz w:val="20"/>
          <w:szCs w:val="20"/>
          <w:color w:val="auto"/>
        </w:rPr>
      </w:pPr>
      <w:r>
        <w:rPr>
          <w:rFonts w:ascii="Arial" w:cs="Arial" w:eastAsia="Arial" w:hAnsi="Arial"/>
          <w:sz w:val="18"/>
          <w:szCs w:val="18"/>
          <w:color w:val="auto"/>
        </w:rPr>
        <w:t>On May 12, 2006, we had a change in ownership as defined in Internal Revenue Code Section 382. Internal Revenue Code Section 382 limits the utilization of net operating losses that existed as of the change in ownership in tax periods subsequent to the change in ownership. As such, our utilization after the change date of net operating losses in existence as of the change in ownership is subject to Internal Revenue Code Section 382 limitations for federal income taxes and some state income taxes.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 Management</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Each year, we compile our historical data pertaining to the insurance experiences and actuarially develop the ultimate loss associated with our insurance programs other than pollution coverage for our Infrastructure Solutions segment. We believe that the actuarial valuation provides the best estimate of the ultimate losses to be expected under these programs.</w:t>
      </w:r>
    </w:p>
    <w:p>
      <w:pPr>
        <w:spacing w:after="0" w:line="178"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The undiscounted ultimate losses of our workers’ compensation, auto and general liability insurance reserves at September 30, 2018, and 2017, was $5,286 and $5,306, respectively. Based on historical payment patterns, we expect payments of undiscounted ultimate losses to be made as follows: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$1,748</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2021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2023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Thereafter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5,286</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We elect to discount the ultimate losses above to present value using an approximate risk-free rate over the average life of our insurance claims. For the years ended September 30, 2018 and 2017, the discount rate used was 2.9 percent and 1.9 percent, respectively. The present value of all insurance reserves for the employee group health claims, workers’ compensation, auto and general liability recorded at September 30, 2018, and 2017 was $6,202 and $6,204, respectively. Our employee group health claims are anticipated to be resolved within the year ended September 30, 2019.</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had letters of credit totaling $6,101 outstanding at September 30, 2018 to collateralize certain of our high deductible insurance obligations.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Realization of Long-Lived Assets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years ended September 30, 2018, 2017 and 2016, no indicators of impairments were identified, and no impairment charges were recorded.</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 Concentration</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 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money market mutual funds. There can be no assurance, however, that we will not be adversely affected by credit risks we face.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single customer accounted for more than 10% of our consolidated revenues for the years ended September 30, 2018,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left="200" w:right="240"/>
        <w:spacing w:after="0" w:line="302" w:lineRule="auto"/>
        <w:rPr>
          <w:sz w:val="20"/>
          <w:szCs w:val="20"/>
          <w:color w:val="auto"/>
        </w:rPr>
      </w:pPr>
      <w:r>
        <w:rPr>
          <w:rFonts w:ascii="Arial" w:cs="Arial" w:eastAsia="Arial" w:hAnsi="Arial"/>
          <w:sz w:val="16"/>
          <w:szCs w:val="16"/>
          <w:color w:val="auto"/>
        </w:rPr>
        <w:t>Our financial instruments consist of cash and cash equivalents, accounts receivable, investments, accounts payable, and a loan agreement. We believe that the carrying value of financial instruments, with the exception of our cost method investment in EnerTech Capital Partners II L.P. (“Enertech”), a private investment fund classified as other non-current assets in the accompanying Consolidated Balance Sheets, approximates their fair value due to their short-term nature. The carrying value of our debt approximates fair value, as debt incurs interest at a variable rate.</w:t>
      </w:r>
    </w:p>
    <w:p>
      <w:pPr>
        <w:spacing w:after="0" w:line="154"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We estimate the fair value of our investment in EnerTech (Level 3) using quoted market prices for underlying publicly traded securities, and estimated enterprise values determined using cash flow projections and market multiples of the underlying non-public companies. For additional information, please refer to Note 6, “Detail of Certain Balance Sheet Accounts — </w:t>
      </w:r>
      <w:r>
        <w:rPr>
          <w:rFonts w:ascii="Arial" w:cs="Arial" w:eastAsia="Arial" w:hAnsi="Arial"/>
          <w:sz w:val="18"/>
          <w:szCs w:val="18"/>
          <w:i w:val="1"/>
          <w:iCs w:val="1"/>
          <w:color w:val="auto"/>
        </w:rPr>
        <w:t>Securities and Equity Investments.”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from discretionary awards is recognized on a straight-line basis over the requisite service period, which is generally the vesting period.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Compensation Plans</w:t>
      </w:r>
    </w:p>
    <w:p>
      <w:pPr>
        <w:spacing w:after="0" w:line="117"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The Company maintains a rabbi trust to fund certain deferred compensation plans. The securities held by the trust are classified as trading securities. The investments are recorded at fair value and are classified as other non-current assets in the accompanying Consolidated Balance Sheets as of September 30, 2018, and 2017. The changes in fair values are recorded as a component of other income (expense) in the Consolidated Statements of Comprehensive Income (Loss).</w:t>
      </w:r>
    </w:p>
    <w:p>
      <w:pPr>
        <w:spacing w:after="0" w:line="18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In connection with our acquisitions of STR Mechanical, LLC (“STR Mechanical”) in fiscal 2016 and NEXT Electric, LLC (“NEXT Electric”) in fiscal 2017, we acquired 80 percent interests in these entities, and the remaining 20 percent was retained by the third party sellers. The interests retained by those third party sellers are identified on our Consolidated Balance Sheets as noncontrolling interest, classified outside of permanent equity. Under the terms of the operating agreements governing these entities, after five years from the dates of the acquisitions, we may elect to purchase, or the third party sellers may require us to purchase, part of all of the remaining 20 percent interests in these entities. The purchase price is variable, based on 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September 30, 2018, the redemption amount would have been $2,579. See Note 18, “Business Combinations and Divestitures” for further discussion. For the year ended September 30, 2018, we recorded an increase to retained earnings of $44 to offset an increase to noncontrolling interest recorded in fiscal 2017, decreasing the carrying amount of the noncontrolling interest in STR to the balance determined under ASC 810, as if it had been redeemable at September 30, 2018, as the redemption amount would have been less than the carrying amount.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(“ASU 2014-09”), a comprehensive new revenue recognition standard which will supersede previous existing revenue recognition guidance. The standard creates a five-step model for revenue recognition that requires companies to exercise judgment when considering contract terms and relevant facts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circumstances. The standard also requires expanded disclosures surrounding revenue recognition. The effective date will be the first quarter of our fiscal year ended September 30, 2019. The standard allows for either full retrospective or modified retrospective adoption, and we plan to use the modified retrospective basis on the adoption date. Under the new standard, we have identified a limited number of arrangements that will no longer qualify for percentage of completion accounting, and revenue will be recognized on a completed contract basis. We do not expect that this standard will have a material impact on our consolidated financial statements.</w:t>
      </w:r>
    </w:p>
    <w:p>
      <w:pPr>
        <w:spacing w:after="0" w:line="188"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January 2016, the FASB issued ASU No. 2016-01, Financial Instruments (“ASU 2016-01”). This standard is associated with the recognition and 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This update is effective for annual financial reporting periods, and interim periods within those annual periods, beginning after December 15, 2017, although early adoption is permitted.</w:t>
      </w:r>
    </w:p>
    <w:p>
      <w:pPr>
        <w:spacing w:after="0" w:line="179"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In February 2016, the FASB issued ASU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expense pattern, similar to current capital leases. ASU 2016-02 becomes effective for the fiscal year ended September 30, 2020. We are currently evaluating the expected impact it will have on our Consolidated Financial Statements.</w:t>
      </w:r>
    </w:p>
    <w:p>
      <w:pPr>
        <w:spacing w:after="0" w:line="15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January 2017, the FASB issued ASU 2017-01, Business Combinations. This standard clarifies the definition of a business to assist entities with evaluation of whether transactions should be accounted for as acquisitions or disposals of assets or businesses. The new standard is effective for annual financial reporting periods, and interim periods within those annual periods, beginning after December 15, 2017. The prospective transition method will be required for this new guidance.</w:t>
      </w:r>
    </w:p>
    <w:p>
      <w:pPr>
        <w:spacing w:after="0" w:line="18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 May 2017, the FASB issued ASU 2017-09, Compensation — Stock Compensation (“ASU 2017-09”), to reduce the diversity in practice and the cost and complexity when changing the terms or conditions of a share-based payment award. This update is effective for annual financial reporting periods, and interim periods within those annual periods, beginning after December 15, 2017, although early adoption is permitted. The prospective transition method will be required for this new guidance.</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In June 2018, the FASB issued ASU No. 2018-07, Compensation — Stock Compensation, to simplify the accounting for share-based payments to nonemployees by aligning it with the accounting for share-based payments for employees, with certain exceptions. Under the new guidance, the cost for nonemployee awards may be lower and less volatile than under current US GAAP because the measurement generally will occur earlier and will be fixed at the grant date. This update is effective for annual financial reporting periods, and interim periods within those annual periods, beginning after December 15, 2018, although early adoption is permitted.</w:t>
      </w:r>
    </w:p>
    <w:p>
      <w:pPr>
        <w:spacing w:after="0" w:line="18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 August 2018, the FASB issued ASU No. 2018-13, Fair Value Measurement Disclosure Framework, to modify certain disclosure requirements for fair value measurements. Under the new guidance, registrants will need to disclose weighted average information for significant unobservable inputs for all Level 3 fair value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measurements. The guidance does not specify how entities should calculate the weighted average, but requires them to explain their calculation. The new guidance also requires disclosing the changes in unrealized gain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w:t>
      </w:r>
    </w:p>
    <w:p>
      <w:pPr>
        <w:spacing w:after="0" w:line="188"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We do not expect ASU 2016-01, ASU 2017-01 ASU 2017-09, ASU 2018-07, or 2018-13 to have a material effect on our Consolidated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CONTROLLING SHAREHOLDER</w:t>
      </w:r>
    </w:p>
    <w:p>
      <w:pPr>
        <w:spacing w:after="0" w:line="121"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At September 30, 2018, Tontine was the controlling shareholder, owning approximately 59 percent of the Company’s outstanding common stock according to a Form 4 filed with the SEC by Tontine on October 3, 2018. Accordingly, Tontine has the ability to exercise significant control over our affairs, including the election of directors and most actions requiring the approval of shareholders.</w:t>
      </w:r>
    </w:p>
    <w:p>
      <w:pPr>
        <w:spacing w:after="0" w:line="18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8" w:lineRule="exact"/>
        <w:rPr>
          <w:sz w:val="20"/>
          <w:szCs w:val="20"/>
          <w:color w:val="auto"/>
        </w:rPr>
      </w:pPr>
    </w:p>
    <w:p>
      <w:pPr>
        <w:ind w:left="200" w:right="160"/>
        <w:spacing w:after="0" w:line="291" w:lineRule="auto"/>
        <w:rPr>
          <w:sz w:val="20"/>
          <w:szCs w:val="20"/>
          <w:color w:val="auto"/>
        </w:rPr>
      </w:pPr>
      <w:r>
        <w:rPr>
          <w:rFonts w:ascii="Arial" w:cs="Arial" w:eastAsia="Arial" w:hAnsi="Arial"/>
          <w:sz w:val="16"/>
          <w:szCs w:val="16"/>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67"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and as Interim Director of Operations of the Company since November 2017, and who previously served as non-executive Vice Chairman of the Board from November 2016 to November 2017 and as non-executive Chairman of the Board from January 2015 to November 2016. David B. Gendell was an employee of Tontine from 2004 until December 31, 2017.</w:t>
      </w:r>
    </w:p>
    <w:p>
      <w:pPr>
        <w:spacing w:after="0" w:line="17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18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On December 6, 2018, the Company entered into a Board Observer Letter Agreement with Tontine Associates, L.L.C. in order to assist Tontine in managing its investment in the Company. Subject to the terms and conditions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set forth in the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other directors.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consists of the following:</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Estimated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vMerge w:val="restart"/>
          </w:tcPr>
          <w:p>
            <w:pPr>
              <w:jc w:val="right"/>
              <w:ind w:right="280"/>
              <w:spacing w:after="0"/>
              <w:rPr>
                <w:sz w:val="20"/>
                <w:szCs w:val="20"/>
                <w:color w:val="auto"/>
              </w:rPr>
            </w:pPr>
            <w:r>
              <w:rPr>
                <w:rFonts w:ascii="Arial" w:cs="Arial" w:eastAsia="Arial" w:hAnsi="Arial"/>
                <w:sz w:val="14"/>
                <w:szCs w:val="14"/>
                <w:color w:val="auto"/>
                <w:w w:val="93"/>
              </w:rPr>
              <w:t>Year Ended September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color w:val="auto"/>
                <w:w w:val="95"/>
              </w:rPr>
              <w:t>Useful</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7"/>
              </w:rPr>
              <w:t>Lives</w:t>
            </w: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in Years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5-20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12,479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27,443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 xml:space="preserve">Information systems </w:t>
            </w:r>
            <w:r>
              <w:rPr>
                <w:rFonts w:ascii="Arial" w:cs="Arial" w:eastAsia="Arial" w:hAnsi="Arial"/>
                <w:sz w:val="15"/>
                <w:szCs w:val="15"/>
                <w:color w:val="auto"/>
              </w:rPr>
              <w:t>(1)</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50,703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25,364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fiscal year ended September 30, 2018, we retired $6,651 in fully depreciated assets.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was $4,759, $3,840 and $2,727, respectively, for the years ended September 30, 2018, 2017 and 2016.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PER SHARE INFORMATION</w:t>
      </w:r>
    </w:p>
    <w:p>
      <w:pPr>
        <w:spacing w:after="0" w:line="121"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reconciles the components of the basic and diluted earnings (loss) per share for the years ended September 30, 2018, 2017 and 2016:</w:t>
      </w:r>
    </w:p>
    <w:p>
      <w:pPr>
        <w:spacing w:after="0" w:line="27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Year Ended September 30,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common shareholders of IES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Holdings,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(14,113)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13,275</w:t>
            </w:r>
          </w:p>
        </w:tc>
        <w:tc>
          <w:tcPr>
            <w:tcW w:w="5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119,722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noncontrolling interest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7"/>
              </w:rPr>
              <w:t>Net income attributable to restricted shareholders of IES Holdings, Inc.</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21,196,388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21,280,549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21,279,342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252,705</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common and common equivalent shares outstanding</w:t>
            </w: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diluted</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21,196,388</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21,533,254</w:t>
            </w: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21,492,339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When an entity has a net loss, it is prohibited from including potential common shares in the computation of diluted per share amounts. Accordingly, we have utilized basic shares outstanding to calculate both basic and diluted loss per share for the year ended September 30, 2018. The number of potential anti-dilutive shares excluded from the calculation was 301,879 shares for the year ended September 30, 2018. For the years ended September 30, 2017 and 2016, the average price of our common shares exceeded the exercise price of all of our outstanding options; therefore, all of our outstanding stock options were included in the computation of fully diluted earnings per share.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DETAIL OF CERTAIN BALANCE SHEET ACCOUNTS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Activity in our allowance for doubtful accounts on accounts receivable consists of the following:</w:t>
      </w:r>
    </w:p>
    <w:p>
      <w:pPr>
        <w:spacing w:after="0" w:line="247"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Year Ended</w:t>
      </w:r>
    </w:p>
    <w:p>
      <w:pPr>
        <w:jc w:val="center"/>
        <w:ind w:left="6660"/>
        <w:spacing w:after="0" w:line="231" w:lineRule="auto"/>
        <w:rPr>
          <w:sz w:val="20"/>
          <w:szCs w:val="20"/>
          <w:color w:val="auto"/>
        </w:rPr>
      </w:pPr>
      <w:r>
        <w:rPr>
          <w:rFonts w:ascii="Arial" w:cs="Arial" w:eastAsia="Arial" w:hAnsi="Arial"/>
          <w:sz w:val="14"/>
          <w:szCs w:val="14"/>
          <w:color w:val="auto"/>
        </w:rPr>
        <w:t>September 30,</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Additions to costs and expenses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Deductions for uncollectible receivables written off, net of recoveries</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1510"/>
              <w:spacing w:after="0"/>
              <w:rPr>
                <w:sz w:val="20"/>
                <w:szCs w:val="20"/>
                <w:color w:val="auto"/>
              </w:rPr>
            </w:pPr>
            <w:r>
              <w:rPr>
                <w:rFonts w:ascii="Arial" w:cs="Arial" w:eastAsia="Arial" w:hAnsi="Arial"/>
                <w:sz w:val="18"/>
                <w:szCs w:val="18"/>
                <w:color w:val="auto"/>
              </w:rPr>
              <w:t>63</w:t>
            </w:r>
          </w:p>
        </w:tc>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payable and accrued expenses consist of the following:</w:t>
      </w:r>
    </w:p>
    <w:p>
      <w:pPr>
        <w:spacing w:after="0" w:line="247"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Year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12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9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$ 75,293</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63,246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34,058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33,561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liabilities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15,038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17,699</w:t>
            </w:r>
          </w:p>
        </w:tc>
        <w:tc>
          <w:tcPr>
            <w:tcW w:w="6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1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130,591</w:t>
            </w:r>
          </w:p>
        </w:tc>
        <w:tc>
          <w:tcPr>
            <w:tcW w:w="2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$ 120,710</w:t>
            </w:r>
          </w:p>
        </w:tc>
        <w:tc>
          <w:tcPr>
            <w:tcW w:w="6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Contracts in progress are as follows: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color w:val="auto"/>
                <w:w w:val="89"/>
              </w:rPr>
              <w:t>Year Ended</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9"/>
          </w:tcPr>
          <w:p>
            <w:pPr>
              <w:jc w:val="center"/>
              <w:ind w:right="72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on contracts in progress</w:t>
            </w:r>
          </w:p>
        </w:tc>
        <w:tc>
          <w:tcPr>
            <w:tcW w:w="10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9"/>
              </w:rPr>
              <w:t>$ 476,609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$ 486,950</w:t>
            </w:r>
          </w:p>
        </w:tc>
        <w:tc>
          <w:tcPr>
            <w:tcW w:w="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Estimated earnings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62,617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55,606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539,226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542,556</w:t>
            </w:r>
          </w:p>
        </w:tc>
        <w:tc>
          <w:tcPr>
            <w:tcW w:w="6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 Billings to date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8"/>
              </w:rPr>
              <w:t>(541,606)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0"/>
              </w:rPr>
              <w:t>(559,036)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contracts in progress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ind w:left="1320"/>
              <w:spacing w:after="0"/>
              <w:rPr>
                <w:sz w:val="20"/>
                <w:szCs w:val="20"/>
                <w:color w:val="auto"/>
              </w:rPr>
            </w:pPr>
            <w:r>
              <w:rPr>
                <w:rFonts w:ascii="Arial" w:cs="Arial" w:eastAsia="Arial" w:hAnsi="Arial"/>
                <w:sz w:val="18"/>
                <w:szCs w:val="18"/>
                <w:color w:val="auto"/>
              </w:rPr>
              <w:t>Costs and estimated earnings in excess of billings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31,446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 Billings in excess of costs and estimated earnings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1320"/>
              <w:spacing w:after="0"/>
              <w:rPr>
                <w:sz w:val="20"/>
                <w:szCs w:val="20"/>
                <w:color w:val="auto"/>
              </w:rPr>
            </w:pPr>
            <w:r>
              <w:rPr>
                <w:rFonts w:ascii="Arial" w:cs="Arial" w:eastAsia="Arial" w:hAnsi="Arial"/>
                <w:sz w:val="18"/>
                <w:szCs w:val="18"/>
                <w:color w:val="auto"/>
              </w:rPr>
              <w:t>Net contracts in progress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(2,380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(16,480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Other non-current assets are comprised of the following:</w:t>
            </w: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tcPr>
          <w:p>
            <w:pPr>
              <w:jc w:val="center"/>
              <w:ind w:right="34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7"/>
          </w:tcPr>
          <w:p>
            <w:pPr>
              <w:jc w:val="center"/>
              <w:ind w:right="34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6"/>
          </w:tcPr>
          <w:p>
            <w:pPr>
              <w:jc w:val="right"/>
              <w:ind w:right="48"/>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3"/>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Securities and equity investments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132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6,065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Securities and Equity Investments</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At September 30, 2018, and 2017, we held an investment in EnerTech, a private investment fund. As our investment was 2.21% of the overall ownership in EnerTech at September 30, 2018, and 2017, we account for this investment using the cost method of accounting. EnerTech’s investment portfolio from time to time results in unrealized losses reflecting a possible, other-than-temporary, impairment of our investment. The carrying value of our investment in EnerTech at both September 30, 2018, and 2017 was $558.</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the reconciliation of the carrying value and unrealized gains to the fair value of the investment in EnerTech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 and 2017:</w:t>
      </w:r>
    </w:p>
    <w:p>
      <w:pPr>
        <w:spacing w:after="0" w:line="233" w:lineRule="exact"/>
        <w:rPr>
          <w:sz w:val="20"/>
          <w:szCs w:val="20"/>
          <w:color w:val="auto"/>
        </w:rPr>
      </w:pPr>
    </w:p>
    <w:p>
      <w:pPr>
        <w:jc w:val="center"/>
        <w:ind w:left="7000"/>
        <w:spacing w:after="0"/>
        <w:rPr>
          <w:sz w:val="20"/>
          <w:szCs w:val="20"/>
          <w:color w:val="auto"/>
        </w:rPr>
      </w:pPr>
      <w:r>
        <w:rPr>
          <w:rFonts w:ascii="Arial" w:cs="Arial" w:eastAsia="Arial" w:hAnsi="Arial"/>
          <w:sz w:val="14"/>
          <w:szCs w:val="14"/>
          <w:color w:val="auto"/>
        </w:rPr>
        <w:t>Year Ended</w:t>
      </w:r>
    </w:p>
    <w:p>
      <w:pPr>
        <w:jc w:val="center"/>
        <w:ind w:left="7000"/>
        <w:spacing w:after="0"/>
        <w:rPr>
          <w:sz w:val="20"/>
          <w:szCs w:val="20"/>
          <w:color w:val="auto"/>
        </w:rPr>
      </w:pPr>
      <w:r>
        <w:rPr>
          <w:rFonts w:ascii="Arial" w:cs="Arial" w:eastAsia="Arial" w:hAnsi="Arial"/>
          <w:sz w:val="14"/>
          <w:szCs w:val="14"/>
          <w:color w:val="auto"/>
        </w:rPr>
        <w:t>September 30,</w:t>
      </w:r>
    </w:p>
    <w:tbl>
      <w:tblPr>
        <w:tblLayout w:type="fixed"/>
        <w:tblInd w:w="15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2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2018</w:t>
            </w: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$558</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Unrealized gains</w:t>
            </w:r>
          </w:p>
        </w:tc>
        <w:tc>
          <w:tcPr>
            <w:tcW w:w="29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5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At each reporting date, the Company performs an evaluation of impairment for securities to determine if any unrealized losses are other-than-temporary. For equity securities, this evaluation considers a number of factors including, but not limited to, the length of time and extent to which the fair value has been less than cost, the financial condition and near term prospects of the issuer and management’s ability and intent to hold the securities until fair value recovers. The assessment of the ability and intent to hold these securities to recovery focuses on liquidity needs, asset and liability management objectives and securities portfolio objectives. Based on the results of this evaluation, we believe the unrealized gain at September 30, 2018 indicated our investment was not impaired.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Debt consists of the following:</w:t>
      </w:r>
    </w:p>
    <w:p>
      <w:pPr>
        <w:spacing w:after="0" w:line="247" w:lineRule="exact"/>
        <w:rPr>
          <w:sz w:val="20"/>
          <w:szCs w:val="20"/>
          <w:color w:val="auto"/>
        </w:rPr>
      </w:pPr>
    </w:p>
    <w:p>
      <w:pPr>
        <w:jc w:val="center"/>
        <w:ind w:left="6380"/>
        <w:spacing w:after="0"/>
        <w:rPr>
          <w:sz w:val="20"/>
          <w:szCs w:val="20"/>
          <w:color w:val="auto"/>
        </w:rPr>
      </w:pPr>
      <w:r>
        <w:rPr>
          <w:rFonts w:ascii="Arial" w:cs="Arial" w:eastAsia="Arial" w:hAnsi="Arial"/>
          <w:sz w:val="14"/>
          <w:szCs w:val="14"/>
          <w:color w:val="auto"/>
        </w:rPr>
        <w:t>Year Ended</w:t>
      </w:r>
    </w:p>
    <w:p>
      <w:pPr>
        <w:jc w:val="center"/>
        <w:ind w:left="6380"/>
        <w:spacing w:after="0"/>
        <w:rPr>
          <w:sz w:val="20"/>
          <w:szCs w:val="20"/>
          <w:color w:val="auto"/>
        </w:rPr>
      </w:pPr>
      <w:r>
        <w:rPr>
          <w:rFonts w:ascii="Arial" w:cs="Arial" w:eastAsia="Arial" w:hAnsi="Arial"/>
          <w:sz w:val="14"/>
          <w:szCs w:val="14"/>
          <w:color w:val="auto"/>
        </w:rPr>
        <w:t>September 30,</w:t>
      </w:r>
    </w:p>
    <w:tbl>
      <w:tblPr>
        <w:tblLayout w:type="fixed"/>
        <w:tblInd w:w="15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62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2018</w:t>
            </w:r>
          </w:p>
        </w:tc>
        <w:tc>
          <w:tcPr>
            <w:tcW w:w="320" w:type="dxa"/>
            <w:vAlign w:val="bottom"/>
          </w:tcPr>
          <w:p>
            <w:pPr>
              <w:spacing w:after="0"/>
              <w:rPr>
                <w:sz w:val="13"/>
                <w:szCs w:val="13"/>
                <w:color w:val="auto"/>
              </w:rPr>
            </w:pPr>
          </w:p>
        </w:tc>
        <w:tc>
          <w:tcPr>
            <w:tcW w:w="86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loan (long-term debt)</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$30,247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Debt issuance costs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(912)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(1,115)</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29,564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29,434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At September 30, 2018, we had $48,144 available to us under our revolving credit facility, $6,609 in outstanding letters of credit with Wells Fargo and $30,247 outstanding borrowings on our term loan facility under our revolving credit facility (our “revolving loan”). All amounts outstanding under our Revolving Loan are due and payable in 2021, upon expiration of our revolving credit facility, and all amounts described as available are available without triggering our financial covenant under the credit facility.</w:t>
      </w:r>
    </w:p>
    <w:p>
      <w:pPr>
        <w:spacing w:after="0" w:line="187"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Our weighted-average annual interest rate on these borrowings was 3.86% at September 30, 2018, and 3.04% at September 30, 2017. For the years ended September 30, 2018, 2017 and 2016, we incurred interest expense of $1,946, $1,702 and $1,282, respectively.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We maintain a $100,000 revolving credit facility with Wells Fargo Bank, N.A., that matures in August 2021 (as amended, the “Credit Facility”), pursuant to a Second Amended and Restated Credit and Security Agreement with Wells Fargo Bank, N.A., which was further amended on July 14, 2017, August 2, 2017, and July 23, 2018 (as amended, the “Amended Credit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Pursuant to the July 23, 2018 amendment, we are required to comply with the minimum EBITDA financial covenant of the Credit Agreement in a given quarter only if our Excess Availability (as defined in the Amended Credit Agreement) in the immediately following quarter, as tested monthly during that quarter, falls below $30,000. If, in a subsequent quarter, Excess Availability levels return to or exceed the contractual threshold, then the Company will no longer be required to comply with the minimum EBITDA financial covenant, so long as Excess Availability remains above threshold.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of the Amended Credit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Credit Facility contains other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September 30, 2018, we were in compliance with the financial covenants under the Amended Credit Agreement, requiring that we maintain:</w:t>
      </w:r>
    </w:p>
    <w:p>
      <w:pPr>
        <w:spacing w:after="0" w:line="142" w:lineRule="exact"/>
        <w:rPr>
          <w:sz w:val="20"/>
          <w:szCs w:val="20"/>
          <w:color w:val="auto"/>
        </w:rPr>
      </w:pPr>
    </w:p>
    <w:p>
      <w:pPr>
        <w:ind w:left="10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75"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$30,000; with, for purposes of this covenant, at least fifty percent (50%) of our Liquidity comprised of Excess Availability (as defined in the Amended Credit Agreement).</w:t>
      </w:r>
    </w:p>
    <w:p>
      <w:pPr>
        <w:spacing w:after="0" w:line="18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At September 30, 2018, our Liquidity was $74,391 and our Excess Availability was $48,144 (or greater than 50% of minimum Liquidity), our Fixed Charge Coverage Ratio was 7.9:1.0. As our Excess Availability at September 30, 2018, exceeded $30,000, we were not required to meet the minimum EBITDA financial covenant of $35,000 for the four quarters ended September 30, 2018. However, our EBITDA, as defined in the Amended Credit Agreement for the four quarters ended September 30, 2018 was $36,964.</w:t>
      </w:r>
    </w:p>
    <w:p>
      <w:pPr>
        <w:spacing w:after="0" w:line="187"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lender after the date of the Amended Credit Agreement, the components of the Fixed Charge Coverage Ratio will be calculated for such fiscal period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78"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increases in any change in LIFO reserves and losses from the wind-down of our Denver and Roanoke branches,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340"/>
        <w:spacing w:after="0" w:line="276" w:lineRule="auto"/>
        <w:rPr>
          <w:sz w:val="20"/>
          <w:szCs w:val="20"/>
          <w:color w:val="auto"/>
        </w:rPr>
      </w:pPr>
      <w:r>
        <w:rPr>
          <w:rFonts w:ascii="Arial" w:cs="Arial" w:eastAsia="Arial" w:hAnsi="Arial"/>
          <w:sz w:val="17"/>
          <w:szCs w:val="17"/>
          <w:color w:val="auto"/>
        </w:rPr>
        <w:t xml:space="preserve">up to a maximum exclusion of $5,000 for a given measurement period, in each case, determined on a consolidated basis in accordance with GAAP; provided, that if any acquisition is consented to by lender after the date of the Amended Credit Agreement, EBITDA for such fiscal period shall be calculated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acquisition assuming that such transaction has occurred on the first day of such period (including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adjustments arising out of events which are directly attributable to such acquisition, are factually supportable, and are expected to have a</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impact, in each case to be reasonably agreed to by Lender).</w:t>
      </w:r>
    </w:p>
    <w:p>
      <w:pPr>
        <w:spacing w:after="0" w:line="173"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in the future our Liquidity falls below $30,000 (or Excess Availability falls below 50% of our minimum Liquidity), our Fixed Charge Coverage Ratio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At September 30, 2018, the carrying value of amounts outstanding on our revolving credit facility approximated fair value, as debt incurs interest at a variable rate. The fair value of the debt is classified as a Level 2 measurement.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We enter into operating leases for many of our facilities, vehicle and equipment needs. These leases allow us to retain cash,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discussion of leases with certain related parties which are included below, see Note 12 “Related-Party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Rent expense was $7,680, $6,990 and $5,868 for the years ended September 30, 2018, 2017 and 2016, respectively.</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Future minimum lease payments under these non-cancelable operating leases that had commenced as of September 30, 2018 with terms in excess of one year are as follows: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2019</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2021</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2023</w:t>
            </w:r>
          </w:p>
        </w:tc>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4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60" w:type="dxa"/>
            <w:vAlign w:val="bottom"/>
            <w:vMerge w:val="restart"/>
          </w:tcPr>
          <w:p>
            <w:pPr>
              <w:jc w:val="right"/>
              <w:ind w:right="2930"/>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and state income tax provisions are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color w:val="auto"/>
                <w:w w:val="90"/>
              </w:rPr>
              <w:t>Year Ended September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640" w:type="dxa"/>
            <w:vAlign w:val="bottom"/>
          </w:tcPr>
          <w:p>
            <w:pPr>
              <w:spacing w:after="0"/>
              <w:rPr>
                <w:sz w:val="14"/>
                <w:szCs w:val="14"/>
                <w:color w:val="auto"/>
              </w:rPr>
            </w:pPr>
          </w:p>
        </w:tc>
        <w:tc>
          <w:tcPr>
            <w:tcW w:w="2180" w:type="dxa"/>
            <w:vAlign w:val="bottom"/>
            <w:gridSpan w:val="2"/>
          </w:tcPr>
          <w:p>
            <w:pPr>
              <w:jc w:val="right"/>
              <w:ind w:right="7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1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 (2,345)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$(3,092)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38,744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(97,093)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State:</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2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Deferred</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r>
      <w:tr>
        <w:trPr>
          <w:trHeight w:val="27"/>
        </w:trPr>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38,151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(97,117)</w:t>
            </w:r>
          </w:p>
        </w:tc>
      </w:tr>
      <w:tr>
        <w:trPr>
          <w:trHeight w:val="20"/>
        </w:trPr>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Actual income tax expense differs from income tax expense computed by applying the U.S. federal statutory corporate rate to income (loss) before income taxes as follows:</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color w:val="auto"/>
                <w:w w:val="90"/>
              </w:rPr>
              <w:t>Year Ended 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Provision at the statutory rate </w:t>
            </w:r>
            <w:r>
              <w:rPr>
                <w:rFonts w:ascii="Arial" w:cs="Arial" w:eastAsia="Arial" w:hAnsi="Arial"/>
                <w:sz w:val="15"/>
                <w:szCs w:val="15"/>
                <w:color w:val="auto"/>
              </w:rPr>
              <w:t>(1)</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$ 6,582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Increase resulting from:</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State income taxes, net of federal deduction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valuation allowance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Rate change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31,333</w:t>
            </w:r>
          </w:p>
        </w:tc>
        <w:tc>
          <w:tcPr>
            <w:tcW w:w="4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Decrease resulting from:</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valuation allowance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(108,987)</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Contingent tax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(1,908)</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deferred true up</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(1,387)</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38,151</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(97,117)</w:t>
            </w:r>
          </w:p>
        </w:tc>
      </w:tr>
      <w:tr>
        <w:trPr>
          <w:trHeight w:val="20"/>
        </w:trPr>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statutory rate of 24.53% was used in 2018 and 35% in both 2017 and 2016. The lower effective tax rate used in 2018 is related to the enactment of Tax Cuts and Jobs Act enacted on December 22, 2017.</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left="333"/>
              <w:spacing w:after="0"/>
              <w:rPr>
                <w:sz w:val="20"/>
                <w:szCs w:val="20"/>
                <w:color w:val="auto"/>
              </w:rPr>
            </w:pPr>
            <w:r>
              <w:rPr>
                <w:rFonts w:ascii="Arial" w:cs="Arial" w:eastAsia="Arial" w:hAnsi="Arial"/>
                <w:sz w:val="14"/>
                <w:szCs w:val="14"/>
                <w:color w:val="auto"/>
                <w:w w:val="91"/>
              </w:rPr>
              <w:t>Year Ended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12,915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Net operating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46,881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77,497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Various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Equity losses in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Capital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57,904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97,646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40" w:type="dxa"/>
            <w:vAlign w:val="bottom"/>
            <w:shd w:val="clear" w:color="auto" w:fill="CCEEFF"/>
          </w:tcPr>
          <w:p>
            <w:pPr>
              <w:spacing w:after="0"/>
              <w:rPr>
                <w:sz w:val="18"/>
                <w:szCs w:val="18"/>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53,777</w:t>
            </w:r>
          </w:p>
        </w:tc>
        <w:tc>
          <w:tcPr>
            <w:tcW w:w="5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95,280</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deferred income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46,580</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86,211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In fiscal 2018 and 2017, the valuation allowance on our deferred tax assets increased by $1,761 and $142, respectively, which is included in “Provision (benefits) for income taxes” in our Consolidated Comprehensive Income Statement.</w:t>
      </w:r>
    </w:p>
    <w:p>
      <w:pPr>
        <w:spacing w:after="0" w:line="17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In 2002, we adopted a tax accounting method change that allowed us to deduct goodwill for income tax purposes that had previously been classified as non-deductible. The accounting method change resulted in additional amortizable tax basis in goodwill. We believe the realization of the additional tax basis in goodwill is not more likely than not and have not recorded a deferred tax asset. Although a deferred tax asset has not been recorded through September 30, 2018, we have derived a cumulative cash tax reduction of $11,487 from the change in tax accounting method and the subsequent amortization of the additional tax goodwill. We have a tax basis of $1,448 in additional tax goodwill from current year acquisitions.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September 30, 2018, we had available approximately $355,302 of federal net tax operating loss carry forward for federal income tax purposes,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which $133,291 resulting from the additional amortization of tax goodwill has not been recorded as a deferred tax asset. This carry forward, which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provide future tax benefits, will begin to expire in 2026. On May 12, 2006, we had a change in ownership as defined in Internal Revenue Code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382. As such, our utilization after the change in control date of our net operating loss in existence as of the change of control date was subject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382 limitations for federal income taxes and some state income taxes. The annual limitation under Section 382 on the utilization of federal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losses was approximately $20,000 for the first five tax years subsequent to the change in ownership and $16,000 thereafter. Approximately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$300,400 of federal net operating losses will not be subject to this limitation. Also,</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after applying the Section 382 limitation to available state net operating loss carry forwards, we had available approximately $100,772 state net tax operating loss carry forwards, including $8,806 resulting from the additional amortization of tax goodwill which begins to expire as of September 30, 2019. We have provided valuation allowances on all net operating losses where it is determined it is more likely than not that they will expire without being utilized.</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assessing the realizability of deferred tax assets at September 30, 2018,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We believe that $4,247 and $696 of federal and state deferred tax assets, respectively, will be realized by offsetting reversing deferred tax liabilities. In addition, we have $681 of net state deferred tax assets that we expect will be realized, and therefore valuation allowances were not provided for these assets. As a result, we have recorded a net deferred tax asset of $46,580 on our Consolidated Balance Sheets. We will continue to evaluate the appropriateness of our remaining deferred tax assets and need for valuation allowances on a quarterly basis. Further, any future reduction in the federal statutory tax rate could result in a charge to reduce the book value of the net deferred tax assets recorded on our Consolidated Balance Sheet.</w:t>
      </w:r>
    </w:p>
    <w:p>
      <w:pPr>
        <w:spacing w:after="0" w:line="179"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As a result of the reorganization and related adjustment to the book basis in goodwill, we have tax basis in excess of book basis in amortizable goodwill of approximately $23,735.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tax expense.</w:t>
      </w:r>
    </w:p>
    <w:p>
      <w:pPr>
        <w:spacing w:after="0" w:line="18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balances of unrecognized tax benefit is as follows: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Year Ended</w:t>
            </w: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color w:val="auto"/>
              </w:rPr>
              <w:t>2018</w:t>
            </w:r>
          </w:p>
        </w:tc>
        <w:tc>
          <w:tcPr>
            <w:tcW w:w="1160" w:type="dxa"/>
            <w:vAlign w:val="bottom"/>
            <w:gridSpan w:val="2"/>
          </w:tcPr>
          <w:p>
            <w:pPr>
              <w:jc w:val="right"/>
              <w:ind w:right="70"/>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$51,968</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$55,867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Additions for position related to current year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positions of prior years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Reduction resulting from the lapse of the applicable statutes of limitations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3,361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Reduction resulting from rate change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Reduction resulting from positions of prior years</w:t>
            </w:r>
          </w:p>
        </w:tc>
        <w:tc>
          <w:tcPr>
            <w:tcW w:w="2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Reduction resulting from settlement of positions of prior years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30,256</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51,968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As of September 30, 2018, and 2017, $30,256 and $51,968, respectively, of unrecognized tax benefits would result in a decrease in the provision for income tax expense, of which $28,453 and $50,180 for each of those years, respectively, relates to net operating loss from additional goodwill resulting from the tax accounting method change discussed above for which a deferred tax asset has not been recorded. We anticipate that approximately $5,754 in liabilities for unrecognized tax benefits, including accrued interest, may be reversed in the next twelve months. The reversal is predominately due to the expiration of the statutes of limitation for unrecognized tax benefits.</w:t>
      </w:r>
    </w:p>
    <w:p>
      <w:pPr>
        <w:spacing w:after="0" w:line="188"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We had approximately $35 and $14 accrued for the payment of interest and penalties at September 30, 2018, and 2017, respectively. We recognize interest and penalties related to unrecognized tax benefits as part of the provision for income taxes.</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are currently under federal audit by the Internal Revenue Service with respect to the year ended September 30, 2016. The tax years ended September 30, 2015, and forward are subject to federal audit as are tax years prior to September 30, 2015, to the extent of unutilized net operating losses generated in those years. The tax years ended September 30, 2014, and forward are subject to state audits as are tax years prior to September 30, 2014, to the extent of unutilized net operating losses generated in those years.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OPERATING SEGMENTS</w:t>
      </w:r>
    </w:p>
    <w:p>
      <w:pPr>
        <w:spacing w:after="0" w:line="121"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purposes of allocating resources and assessing performance. The Company’s CODM is its President.</w:t>
      </w:r>
    </w:p>
    <w:p>
      <w:pPr>
        <w:spacing w:after="0" w:line="166"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information for the years ended September 30, 2018, 2017 and 2016 is as follows: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color w:val="auto"/>
              </w:rPr>
              <w:t>Year Ended September 30,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7"/>
              </w:rPr>
              <w:t>Commercial &amp;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4"/>
          </w:tcPr>
          <w:p>
            <w:pPr>
              <w:ind w:left="120"/>
              <w:spacing w:after="0" w:line="123" w:lineRule="exact"/>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Industrial</w:t>
            </w:r>
          </w:p>
        </w:tc>
        <w:tc>
          <w:tcPr>
            <w:tcW w:w="1300" w:type="dxa"/>
            <w:vAlign w:val="bottom"/>
            <w:gridSpan w:val="4"/>
          </w:tcPr>
          <w:p>
            <w:pPr>
              <w:jc w:val="right"/>
              <w:ind w:right="180"/>
              <w:spacing w:after="0"/>
              <w:rPr>
                <w:sz w:val="20"/>
                <w:szCs w:val="20"/>
                <w:color w:val="auto"/>
              </w:rPr>
            </w:pPr>
            <w:r>
              <w:rPr>
                <w:rFonts w:ascii="Arial" w:cs="Arial" w:eastAsia="Arial" w:hAnsi="Arial"/>
                <w:sz w:val="14"/>
                <w:szCs w:val="14"/>
                <w:color w:val="auto"/>
              </w:rPr>
              <w:t>Communications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5"/>
              </w:rPr>
              <w:t>Residential</w:t>
            </w:r>
          </w:p>
        </w:tc>
        <w:tc>
          <w:tcPr>
            <w:tcW w:w="2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$ 285,711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876,828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services</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227,355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726,866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11,192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1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 (11,192)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8"/>
                <w:szCs w:val="18"/>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87,055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421,994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color w:val="auto"/>
              </w:rPr>
              <w:t>Year Ended September 30, 2017</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7"/>
              </w:rPr>
              <w:t>Commercial &amp;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4"/>
          </w:tcPr>
          <w:p>
            <w:pPr>
              <w:ind w:left="120"/>
              <w:spacing w:after="0" w:line="123" w:lineRule="exact"/>
              <w:rPr>
                <w:sz w:val="20"/>
                <w:szCs w:val="20"/>
                <w:color w:val="auto"/>
              </w:rPr>
            </w:pPr>
            <w:r>
              <w:rPr>
                <w:rFonts w:ascii="Arial" w:cs="Arial" w:eastAsia="Arial" w:hAnsi="Arial"/>
                <w:sz w:val="14"/>
                <w:szCs w:val="14"/>
                <w:color w:val="auto"/>
              </w:rPr>
              <w:t>Infrastructure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Industrial</w:t>
            </w:r>
          </w:p>
        </w:tc>
        <w:tc>
          <w:tcPr>
            <w:tcW w:w="1300" w:type="dxa"/>
            <w:vAlign w:val="bottom"/>
            <w:gridSpan w:val="4"/>
          </w:tcPr>
          <w:p>
            <w:pPr>
              <w:jc w:val="right"/>
              <w:ind w:right="180"/>
              <w:spacing w:after="0"/>
              <w:rPr>
                <w:sz w:val="20"/>
                <w:szCs w:val="20"/>
                <w:color w:val="auto"/>
              </w:rPr>
            </w:pPr>
            <w:r>
              <w:rPr>
                <w:rFonts w:ascii="Arial" w:cs="Arial" w:eastAsia="Arial" w:hAnsi="Arial"/>
                <w:sz w:val="14"/>
                <w:szCs w:val="14"/>
                <w:color w:val="auto"/>
              </w:rPr>
              <w:t>Communications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5"/>
              </w:rPr>
              <w:t>Residential</w:t>
            </w:r>
          </w:p>
        </w:tc>
        <w:tc>
          <w:tcPr>
            <w:tcW w:w="2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$274,039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services</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210,809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670,246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11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 (14,433)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269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2,046</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86"/>
              </w:rPr>
              <w:t>203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84,756</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7"/>
              </w:rPr>
              <w:t>$117,713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color w:val="auto"/>
              </w:rPr>
              <w:t>Year Ended September 30, 2016</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3"/>
          </w:tcPr>
          <w:p>
            <w:pPr>
              <w:jc w:val="right"/>
              <w:ind w:right="180"/>
              <w:spacing w:after="0" w:line="123" w:lineRule="exact"/>
              <w:rPr>
                <w:sz w:val="20"/>
                <w:szCs w:val="20"/>
                <w:color w:val="auto"/>
              </w:rPr>
            </w:pPr>
            <w:r>
              <w:rPr>
                <w:rFonts w:ascii="Arial" w:cs="Arial" w:eastAsia="Arial" w:hAnsi="Arial"/>
                <w:sz w:val="14"/>
                <w:szCs w:val="14"/>
                <w:color w:val="auto"/>
                <w:w w:val="95"/>
              </w:rPr>
              <w:t>Commercial &amp;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3"/>
          </w:tcPr>
          <w:p>
            <w:pPr>
              <w:ind w:left="260"/>
              <w:spacing w:after="0" w:line="123" w:lineRule="exact"/>
              <w:rPr>
                <w:sz w:val="20"/>
                <w:szCs w:val="20"/>
                <w:color w:val="auto"/>
              </w:rPr>
            </w:pPr>
            <w:r>
              <w:rPr>
                <w:rFonts w:ascii="Arial" w:cs="Arial" w:eastAsia="Arial" w:hAnsi="Arial"/>
                <w:sz w:val="14"/>
                <w:szCs w:val="14"/>
                <w:color w:val="auto"/>
                <w:w w:val="92"/>
              </w:rPr>
              <w:t>Infrastructure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Industrial</w:t>
            </w: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w w:val="93"/>
              </w:rPr>
              <w:t>Communications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Solutions</w:t>
            </w:r>
          </w:p>
        </w:tc>
        <w:tc>
          <w:tcPr>
            <w:tcW w:w="2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2"/>
              </w:rPr>
              <w:t>Residential</w:t>
            </w:r>
          </w:p>
        </w:tc>
        <w:tc>
          <w:tcPr>
            <w:tcW w:w="28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Corporate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189,635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225,889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services</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42,356</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171,874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569,013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(12,561)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272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133,917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1,113,476 shares were available for issuance at September 30,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spacing w:after="0" w:line="17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repurchased 100,627 shares of our common stock during the year ended September 30, 2018, in open market transactions at an average price of $15.41 per share.</w:t>
      </w:r>
    </w:p>
    <w:p>
      <w:pPr>
        <w:spacing w:after="0" w:line="17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repurchased 145,484 shares of our common stock during the year ended September 30, 2017, in open market transactions at an average price of $15.37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Treasury Stock</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During the year ended September 30, 2018, we repurchased 32,832 shares of common stock from our employees to satisfy minimum tax withholding requirements upon the vesting of restricted stock under the Equity Incentive Plan and repurchased 100,627 shares of common stock on the open market pursuant to our stock repurchase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program. During the year ended September 30, 2018, we issued 520 unrestricted shares of common stock from treasury stock to members of our Board of Directors as part of their overall compensation and 1,500 unrestricted shares to satisfy the exercise of outstanding options.</w:t>
      </w:r>
    </w:p>
    <w:p>
      <w:pPr>
        <w:spacing w:after="0" w:line="14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During the year ended September 30, 2017, we repurchased 7,376 shares of common stock from our employees to satisfy minimum tax withholding requirements upon the vesting of restricted stock issued under the Equity Incentive Plan, 145,484 shares of common stock were repurchased on the open market pursuant to our stock repurchase program, and 2,257 shares of common stock were forfeited by former employees and returned to treasury stock. During the year ended September 30, 2017, we issued 1,803 unrestricted shares of common stock from treasury stock to members of our Board of Directors as part of their overall compensation and 33,750 unrestricted shares to satisfy the exercise of outstanding options.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Restricted Stock</w:t>
      </w:r>
    </w:p>
    <w:p>
      <w:pPr>
        <w:spacing w:after="0" w:line="11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During the years ended September 30, 2018, 2017, and 2016, we recognized $256, $538, and $522, respectively, in compensation expense related to our restricted stock awards. At September 30, 2018, the unamortized compensation cost related to outstanding unvested restricted stock was zero. A summary of restricted stock awards for the years ended September 30, 2018, 2017, and 2016 is provided in the table below:</w:t>
      </w:r>
    </w:p>
    <w:p>
      <w:pPr>
        <w:spacing w:after="0" w:line="18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Year Ended 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2017</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174,334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(140,668)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(31,409)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(25,332)</w:t>
            </w: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(2,257)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at end of year</w:t>
            </w:r>
          </w:p>
        </w:tc>
        <w:tc>
          <w:tcPr>
            <w:tcW w:w="7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140,668</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174,334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fair value of shares vesting during the years ended September 30, 2018, 2017 and 2016 was $2,201, $460 and $304, respectively. Fair value was calculated as the number of shares vested times the market price of shares on the date of vesting. At September 30, 2018, we had no unvested restricted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the restricted shares granted under the Amended Plan (vested or unvested) participate in dividends issued to common shareholders, if any.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Phantom Stock Units</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For the years ended September 30, 2018, 2017 and 2016, we recognized $189, $167, and $136, respectively, in compensation expense related to these grants.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Performance Based Phantom Stock Units</w:t>
      </w:r>
    </w:p>
    <w:p>
      <w:pPr>
        <w:spacing w:after="0" w:line="11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A performance based phantom stock unit (a “PPSU”) is a contractual right to receive one share of the Company’s common stock upon the achievement of certain specified performance objectives and continued performance of services. At September 30, 2018, the Company had outstanding an aggregate of 399,027 three-year PPSUs. The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vesting of these awards is subject to the achievement of specified levels of cumulative net income before taxes or specified stock price levels and continued performance of services through mid-December 2018. At September 30, 2018, redemption of a portion of the awards is deemed probable. During the year ended September 30, 2018, we recognized a benefit to compensation expense of $581 related to these grants. This benefit is a result of a reduction in the estimated number of units deemed probable of vesting, based on the projected achievement of specified performance objectives. During the year ended September 30, 2017, we recognized compensation expense of $959 related to these grants.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Performance Cash Units</w:t>
      </w:r>
    </w:p>
    <w:p>
      <w:pPr>
        <w:spacing w:after="0" w:line="117"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Performance based phantom cash units (“PPCUs”) are a contractual right to a cash payment of $20 per PPCU. The PPCUs will generally become vested, if at all, upon achievement of certain specified performance objectives. During the year ended September 30, 2018, we recognized a benefit to compensation expense of $154 related to these grants. This benefit is a result of a reduction in the estimated number of units deemed probable of vesting, based on the projected achievement of specified performance objectives. During the year ended September 30, 2017, we recognized compensation expense of $331 related to these grants.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did not issue stock options during the years ended September 30, 2018, 2017 and 2016.</w:t>
      </w:r>
    </w:p>
    <w:p>
      <w:pPr>
        <w:spacing w:after="0" w:line="22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Upon adoption of ASU 2016-09 in the quarter ended December 31, 2016, which required us to reflect any adjustments as of October 1, 2016, we elected to account for forfeitures as they occur to determine the amount of compensation cost to be recognized. This election resulted in a cumulative effect adjustment of $59 to reduce retained earnings for the increase to stock compensation expense.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activity under our stock option plans.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4"/>
          </w:tcPr>
          <w:p>
            <w:pPr>
              <w:ind w:left="880"/>
              <w:spacing w:after="0"/>
              <w:rPr>
                <w:sz w:val="20"/>
                <w:szCs w:val="20"/>
                <w:color w:val="auto"/>
              </w:rPr>
            </w:pPr>
            <w:r>
              <w:rPr>
                <w:rFonts w:ascii="Arial" w:cs="Arial" w:eastAsia="Arial" w:hAnsi="Arial"/>
                <w:sz w:val="14"/>
                <w:szCs w:val="14"/>
                <w:color w:val="auto"/>
                <w:w w:val="93"/>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Shares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2015</w:t>
            </w:r>
          </w:p>
        </w:tc>
        <w:tc>
          <w:tcPr>
            <w:tcW w:w="2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133,000</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2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5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2016</w:t>
            </w:r>
          </w:p>
        </w:tc>
        <w:tc>
          <w:tcPr>
            <w:tcW w:w="2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2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500" w:type="dxa"/>
            <w:vAlign w:val="bottom"/>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2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2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2500" w:type="dxa"/>
            <w:vAlign w:val="bottom"/>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2018</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vMerge w:val="restart"/>
          </w:tcPr>
          <w:p>
            <w:pPr>
              <w:jc w:val="right"/>
              <w:ind w:right="1390"/>
              <w:spacing w:after="0"/>
              <w:rPr>
                <w:sz w:val="20"/>
                <w:szCs w:val="20"/>
                <w:color w:val="auto"/>
              </w:rPr>
            </w:pPr>
            <w:r>
              <w:rPr>
                <w:rFonts w:ascii="Arial" w:cs="Arial" w:eastAsia="Arial" w:hAnsi="Arial"/>
                <w:sz w:val="18"/>
                <w:szCs w:val="18"/>
                <w:color w:val="auto"/>
              </w:rPr>
              <w:t>75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options outstanding and exercisable at September 30,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20" w:type="dxa"/>
            <w:vAlign w:val="bottom"/>
            <w:gridSpan w:val="4"/>
            <w:vMerge w:val="restart"/>
          </w:tcPr>
          <w:p>
            <w:pPr>
              <w:jc w:val="center"/>
              <w:ind w:right="520"/>
              <w:spacing w:after="0"/>
              <w:rPr>
                <w:sz w:val="20"/>
                <w:szCs w:val="20"/>
                <w:color w:val="auto"/>
              </w:rPr>
            </w:pPr>
            <w:r>
              <w:rPr>
                <w:rFonts w:ascii="Arial" w:cs="Arial" w:eastAsia="Arial" w:hAnsi="Arial"/>
                <w:sz w:val="14"/>
                <w:szCs w:val="14"/>
                <w:color w:val="auto"/>
                <w:w w:val="93"/>
              </w:rPr>
              <w:t>Exercise</w:t>
            </w:r>
          </w:p>
        </w:tc>
        <w:tc>
          <w:tcPr>
            <w:tcW w:w="1520" w:type="dxa"/>
            <w:vAlign w:val="bottom"/>
            <w:gridSpan w:val="2"/>
          </w:tcPr>
          <w:p>
            <w:pPr>
              <w:jc w:val="center"/>
              <w:ind w:left="419"/>
              <w:spacing w:after="0"/>
              <w:rPr>
                <w:sz w:val="20"/>
                <w:szCs w:val="20"/>
                <w:color w:val="auto"/>
              </w:rPr>
            </w:pPr>
            <w:r>
              <w:rPr>
                <w:rFonts w:ascii="Arial" w:cs="Arial" w:eastAsia="Arial" w:hAnsi="Arial"/>
                <w:sz w:val="14"/>
                <w:szCs w:val="14"/>
                <w:color w:val="auto"/>
                <w:w w:val="92"/>
              </w:rPr>
              <w:t>Outstanding as of</w:t>
            </w:r>
          </w:p>
        </w:tc>
        <w:tc>
          <w:tcPr>
            <w:tcW w:w="1100" w:type="dxa"/>
            <w:vAlign w:val="bottom"/>
          </w:tcPr>
          <w:p>
            <w:pPr>
              <w:spacing w:after="0"/>
              <w:rPr>
                <w:sz w:val="14"/>
                <w:szCs w:val="14"/>
                <w:color w:val="auto"/>
              </w:rPr>
            </w:pPr>
          </w:p>
        </w:tc>
        <w:tc>
          <w:tcPr>
            <w:tcW w:w="940" w:type="dxa"/>
            <w:vAlign w:val="bottom"/>
          </w:tcPr>
          <w:p>
            <w:pPr>
              <w:jc w:val="right"/>
              <w:ind w:right="82"/>
              <w:spacing w:after="0"/>
              <w:rPr>
                <w:sz w:val="20"/>
                <w:szCs w:val="20"/>
                <w:color w:val="auto"/>
              </w:rPr>
            </w:pPr>
            <w:r>
              <w:rPr>
                <w:rFonts w:ascii="Arial" w:cs="Arial" w:eastAsia="Arial" w:hAnsi="Arial"/>
                <w:sz w:val="14"/>
                <w:szCs w:val="14"/>
                <w:color w:val="auto"/>
              </w:rPr>
              <w:t>Remaining</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2"/>
          </w:tcPr>
          <w:p>
            <w:pPr>
              <w:jc w:val="center"/>
              <w:ind w:left="979"/>
              <w:spacing w:after="0"/>
              <w:rPr>
                <w:sz w:val="20"/>
                <w:szCs w:val="20"/>
                <w:color w:val="auto"/>
              </w:rPr>
            </w:pPr>
            <w:r>
              <w:rPr>
                <w:rFonts w:ascii="Arial" w:cs="Arial" w:eastAsia="Arial" w:hAnsi="Arial"/>
                <w:sz w:val="14"/>
                <w:szCs w:val="14"/>
                <w:color w:val="auto"/>
                <w:w w:val="91"/>
              </w:rPr>
              <w:t>Exercisable as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2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4"/>
                <w:szCs w:val="14"/>
                <w:color w:val="auto"/>
                <w:w w:val="89"/>
              </w:rPr>
              <w:t>September 30,</w:t>
            </w:r>
          </w:p>
        </w:tc>
        <w:tc>
          <w:tcPr>
            <w:tcW w:w="204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Contractual Life</w:t>
            </w:r>
          </w:p>
        </w:tc>
        <w:tc>
          <w:tcPr>
            <w:tcW w:w="2160" w:type="dxa"/>
            <w:vAlign w:val="bottom"/>
            <w:gridSpan w:val="3"/>
          </w:tcPr>
          <w:p>
            <w:pPr>
              <w:ind w:left="1080"/>
              <w:spacing w:after="0" w:line="141" w:lineRule="exact"/>
              <w:rPr>
                <w:sz w:val="20"/>
                <w:szCs w:val="20"/>
                <w:color w:val="auto"/>
              </w:rPr>
            </w:pPr>
            <w:r>
              <w:rPr>
                <w:rFonts w:ascii="Arial" w:cs="Arial" w:eastAsia="Arial" w:hAnsi="Arial"/>
                <w:sz w:val="14"/>
                <w:szCs w:val="14"/>
                <w:color w:val="auto"/>
                <w:w w:val="91"/>
              </w:rPr>
              <w:t>Weighted-Average</w:t>
            </w:r>
          </w:p>
        </w:tc>
        <w:tc>
          <w:tcPr>
            <w:tcW w:w="1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91"/>
              </w:rPr>
              <w:t>September 30,</w:t>
            </w:r>
          </w:p>
        </w:tc>
        <w:tc>
          <w:tcPr>
            <w:tcW w:w="2220" w:type="dxa"/>
            <w:vAlign w:val="bottom"/>
            <w:gridSpan w:val="4"/>
          </w:tcPr>
          <w:p>
            <w:pPr>
              <w:jc w:val="right"/>
              <w:ind w:right="80"/>
              <w:spacing w:after="0" w:line="141" w:lineRule="exact"/>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gridSpan w:val="3"/>
          </w:tcPr>
          <w:p>
            <w:pPr>
              <w:jc w:val="center"/>
              <w:ind w:right="540"/>
              <w:spacing w:after="0"/>
              <w:rPr>
                <w:sz w:val="20"/>
                <w:szCs w:val="20"/>
                <w:color w:val="auto"/>
              </w:rPr>
            </w:pPr>
            <w:r>
              <w:rPr>
                <w:rFonts w:ascii="Arial" w:cs="Arial" w:eastAsia="Arial" w:hAnsi="Arial"/>
                <w:sz w:val="14"/>
                <w:szCs w:val="14"/>
                <w:color w:val="auto"/>
                <w:w w:val="87"/>
              </w:rPr>
              <w:t>Prices</w:t>
            </w:r>
          </w:p>
        </w:tc>
        <w:tc>
          <w:tcPr>
            <w:tcW w:w="1520" w:type="dxa"/>
            <w:vAlign w:val="bottom"/>
            <w:gridSpan w:val="2"/>
          </w:tcPr>
          <w:p>
            <w:pPr>
              <w:jc w:val="center"/>
              <w:ind w:left="419"/>
              <w:spacing w:after="0"/>
              <w:rPr>
                <w:sz w:val="20"/>
                <w:szCs w:val="20"/>
                <w:color w:val="auto"/>
              </w:rPr>
            </w:pPr>
            <w:r>
              <w:rPr>
                <w:rFonts w:ascii="Arial" w:cs="Arial" w:eastAsia="Arial" w:hAnsi="Arial"/>
                <w:sz w:val="14"/>
                <w:szCs w:val="14"/>
                <w:color w:val="auto"/>
                <w:w w:val="96"/>
              </w:rPr>
              <w:t>2018</w:t>
            </w:r>
          </w:p>
        </w:tc>
        <w:tc>
          <w:tcPr>
            <w:tcW w:w="1100" w:type="dxa"/>
            <w:vAlign w:val="bottom"/>
          </w:tcPr>
          <w:p>
            <w:pPr>
              <w:spacing w:after="0"/>
              <w:rPr>
                <w:sz w:val="14"/>
                <w:szCs w:val="14"/>
                <w:color w:val="auto"/>
              </w:rPr>
            </w:pPr>
          </w:p>
        </w:tc>
        <w:tc>
          <w:tcPr>
            <w:tcW w:w="940" w:type="dxa"/>
            <w:vAlign w:val="bottom"/>
          </w:tcPr>
          <w:p>
            <w:pPr>
              <w:jc w:val="right"/>
              <w:ind w:right="162"/>
              <w:spacing w:after="0"/>
              <w:rPr>
                <w:sz w:val="20"/>
                <w:szCs w:val="20"/>
                <w:color w:val="auto"/>
              </w:rPr>
            </w:pPr>
            <w:r>
              <w:rPr>
                <w:rFonts w:ascii="Arial" w:cs="Arial" w:eastAsia="Arial" w:hAnsi="Arial"/>
                <w:sz w:val="14"/>
                <w:szCs w:val="14"/>
                <w:color w:val="auto"/>
              </w:rPr>
              <w:t>in Years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w w:val="91"/>
              </w:rPr>
              <w:t>Exercise Price</w:t>
            </w:r>
          </w:p>
        </w:tc>
        <w:tc>
          <w:tcPr>
            <w:tcW w:w="2080" w:type="dxa"/>
            <w:vAlign w:val="bottom"/>
            <w:gridSpan w:val="2"/>
          </w:tcPr>
          <w:p>
            <w:pPr>
              <w:jc w:val="center"/>
              <w:ind w:left="999"/>
              <w:spacing w:after="0"/>
              <w:rPr>
                <w:sz w:val="20"/>
                <w:szCs w:val="20"/>
                <w:color w:val="auto"/>
              </w:rPr>
            </w:pPr>
            <w:r>
              <w:rPr>
                <w:rFonts w:ascii="Arial" w:cs="Arial" w:eastAsia="Arial" w:hAnsi="Arial"/>
                <w:sz w:val="14"/>
                <w:szCs w:val="14"/>
                <w:color w:val="auto"/>
                <w:w w:val="89"/>
              </w:rPr>
              <w:t>2018</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gridSpan w:val="3"/>
            <w:shd w:val="clear" w:color="auto" w:fill="CCEEFF"/>
          </w:tcPr>
          <w:p>
            <w:pPr>
              <w:jc w:val="center"/>
              <w:ind w:right="520"/>
              <w:spacing w:after="0" w:line="203" w:lineRule="exact"/>
              <w:rPr>
                <w:sz w:val="20"/>
                <w:szCs w:val="20"/>
                <w:color w:val="auto"/>
              </w:rPr>
            </w:pPr>
            <w:r>
              <w:rPr>
                <w:rFonts w:ascii="Arial" w:cs="Arial" w:eastAsia="Arial" w:hAnsi="Arial"/>
                <w:sz w:val="18"/>
                <w:szCs w:val="18"/>
                <w:color w:val="auto"/>
                <w:w w:val="88"/>
              </w:rPr>
              <w:t>$5.76</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25,500</w:t>
            </w: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4.58</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5.76</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25,500</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$7.27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8"/>
              </w:rPr>
              <w:t>$7.21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44,250</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44,250</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Our 2011 options vested over a three year period at a rate of one-third per year upon the annual anniversary date of the grant. Our 2013 and 2015 options cliff vested at the end of a two year period ending at the anniversary date of the grant. All options expire ten years from the grant date if they are not exercised. Upon exercise of stock options, it is our policy to first issue shares from treasury stock, then issue new shares. Unexercised stock options expire July 2021, May 2023, January 2025 and February 2025.</w:t>
      </w:r>
    </w:p>
    <w:p>
      <w:pPr>
        <w:spacing w:after="0" w:line="18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During the years ended September 30, 2018, 2017 and 2016, we recognized zero, $23 and $70, respectively, in compensation expense related to our stock option awards.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intrinsic value of stock options outstanding and exercisable was $292 and $306 at September 30, 2018, and 2017, respectively. The intrinsic value is calculated as the difference between the fair value as of the end of the period and the exercise price of the stock options.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Company is a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 See Note 3, “Controlling Shareholder” for additional information regarding Tontine.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$1,895, $1,157, and $737 in matching expenses in fiscal years 2018, 2017 and 2016, respectively.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Savings Plan</w:t>
      </w:r>
    </w:p>
    <w:p>
      <w:pPr>
        <w:spacing w:after="0" w:line="117"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2018, 2017 or 2016 was deferred under this plan.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in accrued expenses and other non-current liabilities in our Consolidated Balance Sheet. Benefits vest 50% after ten years of service, which increases by 10% per annum until benefits are fully vested after 15 years of service. We had an unfunded benefit liability of $755 and $815 recorded as of September 30, 2018 and 2017, respectively. We recognized compensation expense related to these agreements of zero, zero and $65 during the September 30, 2018, 2017 and 2016,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Multiemployer Pension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Infrastructure Solutions participates in a multiemployer direct benefit pension plan for employees covered under our collective bargaining agreement.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administer the plan. We do not significantly participate in this plan. As of December 31, 2017, this plan was funded at 82.96%.</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6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September 30, 2018, are summarized in the following table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September 30, 2018</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Quoted</w:t>
            </w:r>
          </w:p>
        </w:tc>
        <w:tc>
          <w:tcPr>
            <w:tcW w:w="100" w:type="dxa"/>
            <w:vAlign w:val="bottom"/>
          </w:tcPr>
          <w:p>
            <w:pPr>
              <w:spacing w:after="0"/>
              <w:rPr>
                <w:sz w:val="10"/>
                <w:szCs w:val="10"/>
                <w:color w:val="auto"/>
              </w:rPr>
            </w:pPr>
          </w:p>
        </w:tc>
        <w:tc>
          <w:tcPr>
            <w:tcW w:w="720" w:type="dxa"/>
            <w:vAlign w:val="bottom"/>
          </w:tcPr>
          <w:p>
            <w:pPr>
              <w:jc w:val="right"/>
              <w:ind w:right="16"/>
              <w:spacing w:after="0" w:line="123" w:lineRule="exact"/>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w w:val="87"/>
              </w:rPr>
              <w:t>Prices</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0" w:type="dxa"/>
            <w:vAlign w:val="bottom"/>
          </w:tcPr>
          <w:p>
            <w:pPr>
              <w:spacing w:after="0"/>
              <w:rPr>
                <w:sz w:val="1"/>
                <w:szCs w:val="1"/>
                <w:color w:val="auto"/>
              </w:rPr>
            </w:pPr>
          </w:p>
        </w:tc>
      </w:tr>
      <w:tr>
        <w:trPr>
          <w:trHeight w:val="167"/>
        </w:trPr>
        <w:tc>
          <w:tcPr>
            <w:tcW w:w="3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(680)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6"/>
              </w:rPr>
              <w:t>(680)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60" w:type="dxa"/>
            <w:vAlign w:val="bottom"/>
            <w:vMerge w:val="restart"/>
          </w:tcPr>
          <w:p>
            <w:pPr>
              <w:jc w:val="right"/>
              <w:ind w:right="9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September 30, 2017, are summarized in the following table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September 30, 2017</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Quoted</w:t>
            </w:r>
          </w:p>
        </w:tc>
        <w:tc>
          <w:tcPr>
            <w:tcW w:w="100" w:type="dxa"/>
            <w:vAlign w:val="bottom"/>
          </w:tcPr>
          <w:p>
            <w:pPr>
              <w:spacing w:after="0"/>
              <w:rPr>
                <w:sz w:val="10"/>
                <w:szCs w:val="10"/>
                <w:color w:val="auto"/>
              </w:rPr>
            </w:pPr>
          </w:p>
        </w:tc>
        <w:tc>
          <w:tcPr>
            <w:tcW w:w="720" w:type="dxa"/>
            <w:vAlign w:val="bottom"/>
          </w:tcPr>
          <w:p>
            <w:pPr>
              <w:jc w:val="right"/>
              <w:ind w:right="16"/>
              <w:spacing w:after="0" w:line="123" w:lineRule="exact"/>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0"/>
                <w:szCs w:val="10"/>
                <w:color w:val="auto"/>
              </w:rPr>
            </w:pP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Total</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w w:val="87"/>
              </w:rPr>
              <w:t>Prices</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r>
      <w:tr>
        <w:trPr>
          <w:trHeight w:val="167"/>
        </w:trPr>
        <w:tc>
          <w:tcPr>
            <w:tcW w:w="57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Fair Value</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(Level 3)</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12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(529)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(786)</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76"/>
              </w:rPr>
              <w:t>(786)</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 fiscal years 2016, 2017, and 2018, we entered into contingent consideration arrangements related to certain acquisitions. Please see Note 18, “Business Combinations” for further discussion. At September 30, 2018, we estimated the fair value of these contingent consideration liabilities at $680. The table below presents a reconciliation of the fair value of these obligations, which used significant unobservable inputs (Level 3).</w:t>
      </w:r>
    </w:p>
    <w:p>
      <w:pPr>
        <w:spacing w:after="0" w:line="17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color w:val="auto"/>
              </w:rPr>
              <w:t>Contingent</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0" w:type="dxa"/>
            <w:vAlign w:val="bottom"/>
            <w:gridSpan w:val="4"/>
          </w:tcPr>
          <w:p>
            <w:pPr>
              <w:ind w:left="2080"/>
              <w:spacing w:after="0" w:line="149" w:lineRule="exact"/>
              <w:rPr>
                <w:sz w:val="20"/>
                <w:szCs w:val="20"/>
                <w:color w:val="auto"/>
              </w:rPr>
            </w:pPr>
            <w:r>
              <w:rPr>
                <w:rFonts w:ascii="Arial" w:cs="Arial" w:eastAsia="Arial" w:hAnsi="Arial"/>
                <w:sz w:val="14"/>
                <w:szCs w:val="14"/>
                <w:color w:val="auto"/>
              </w:rPr>
              <w:t>Consideration</w:t>
            </w: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color w:val="auto"/>
              </w:rPr>
              <w:t>Agreement</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Issuances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adjustments to fair value</w:t>
            </w: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2018</w:t>
            </w:r>
          </w:p>
        </w:tc>
        <w:tc>
          <w:tcPr>
            <w:tcW w:w="236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description of the inputs used to value the assets summarized in the preceding tables: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represent unadjusted quoted prices for identical assets exchanged in active markets.</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INVENTORY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Work in process</w:t>
            </w: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Parts and supplies</w:t>
            </w:r>
          </w:p>
        </w:tc>
        <w:tc>
          <w:tcPr>
            <w:tcW w:w="3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900" w:type="dxa"/>
            <w:vAlign w:val="bottom"/>
            <w:vMerge w:val="restart"/>
          </w:tcPr>
          <w:p>
            <w:pPr>
              <w:jc w:val="right"/>
              <w:ind w:right="2230"/>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GOODWILL AND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progression of goodwill by segment for the years ended September 30, 2018, 2017 and 2016:</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Commercial &amp;</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4"/>
          </w:tcPr>
          <w:p>
            <w:pPr>
              <w:ind w:left="240"/>
              <w:spacing w:after="0"/>
              <w:rPr>
                <w:sz w:val="20"/>
                <w:szCs w:val="20"/>
                <w:color w:val="auto"/>
              </w:rPr>
            </w:pPr>
            <w:r>
              <w:rPr>
                <w:rFonts w:ascii="Arial" w:cs="Arial" w:eastAsia="Arial" w:hAnsi="Arial"/>
                <w:sz w:val="14"/>
                <w:szCs w:val="14"/>
                <w:color w:val="auto"/>
              </w:rPr>
              <w:t>Infrastructure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Industrial</w:t>
            </w:r>
          </w:p>
        </w:tc>
        <w:tc>
          <w:tcPr>
            <w:tcW w:w="1520" w:type="dxa"/>
            <w:vAlign w:val="bottom"/>
            <w:gridSpan w:val="4"/>
          </w:tcPr>
          <w:p>
            <w:pPr>
              <w:ind w:left="240"/>
              <w:spacing w:after="0"/>
              <w:rPr>
                <w:sz w:val="20"/>
                <w:szCs w:val="20"/>
                <w:color w:val="auto"/>
              </w:rPr>
            </w:pPr>
            <w:r>
              <w:rPr>
                <w:rFonts w:ascii="Arial" w:cs="Arial" w:eastAsia="Arial" w:hAnsi="Arial"/>
                <w:sz w:val="14"/>
                <w:szCs w:val="14"/>
                <w:color w:val="auto"/>
              </w:rPr>
              <w:t>Communications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Solutions</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Residential</w:t>
            </w:r>
          </w:p>
        </w:tc>
        <w:tc>
          <w:tcPr>
            <w:tcW w:w="5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Acquisitions “Note 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Divestitures “Note 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Accounting Adjustments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Acquisitions “Note 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50,702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Based upon the results of our annual impairment analysis, the fair value of our each of our four segments exceeded the book value at September 30, 2018, and warranted no impairment.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3"/>
              </w:rPr>
              <w:t>Estimated</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September 30, 2018</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40" w:type="dxa"/>
            <w:vAlign w:val="bottom"/>
            <w:gridSpan w:val="2"/>
          </w:tcPr>
          <w:p>
            <w:pPr>
              <w:jc w:val="center"/>
              <w:ind w:left="1413"/>
              <w:spacing w:after="0" w:line="149" w:lineRule="exact"/>
              <w:rPr>
                <w:sz w:val="20"/>
                <w:szCs w:val="20"/>
                <w:color w:val="auto"/>
              </w:rPr>
            </w:pPr>
            <w:r>
              <w:rPr>
                <w:rFonts w:ascii="Arial" w:cs="Arial" w:eastAsia="Arial" w:hAnsi="Arial"/>
                <w:sz w:val="14"/>
                <w:szCs w:val="14"/>
                <w:color w:val="auto"/>
                <w:w w:val="96"/>
              </w:rPr>
              <w:t>Useful Lives</w:t>
            </w:r>
          </w:p>
        </w:tc>
        <w:tc>
          <w:tcPr>
            <w:tcW w:w="15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3"/>
              </w:rPr>
              <w:t>Gross Carrying</w:t>
            </w:r>
          </w:p>
        </w:tc>
        <w:tc>
          <w:tcPr>
            <w:tcW w:w="1800" w:type="dxa"/>
            <w:vAlign w:val="bottom"/>
            <w:gridSpan w:val="4"/>
          </w:tcPr>
          <w:p>
            <w:pPr>
              <w:ind w:left="660"/>
              <w:spacing w:after="0" w:line="149"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(in Years)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Amount</w:t>
            </w:r>
          </w:p>
        </w:tc>
        <w:tc>
          <w:tcPr>
            <w:tcW w:w="180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5 - 20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Technical library</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89"/>
              </w:rPr>
              <w:t>20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shd w:val="clear" w:color="auto" w:fill="CCEEFF"/>
          </w:tcPr>
          <w:p>
            <w:pPr>
              <w:jc w:val="center"/>
              <w:ind w:left="1413"/>
              <w:spacing w:after="0"/>
              <w:rPr>
                <w:sz w:val="20"/>
                <w:szCs w:val="20"/>
                <w:color w:val="auto"/>
              </w:rPr>
            </w:pPr>
            <w:r>
              <w:rPr>
                <w:rFonts w:ascii="Arial" w:cs="Arial" w:eastAsia="Arial" w:hAnsi="Arial"/>
                <w:sz w:val="18"/>
                <w:szCs w:val="18"/>
                <w:color w:val="auto"/>
                <w:w w:val="91"/>
              </w:rPr>
              <w:t>6 - 15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Non-competition arrangements</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99"/>
              </w:rPr>
              <w:t>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240" w:type="dxa"/>
            <w:vAlign w:val="bottom"/>
            <w:gridSpan w:val="2"/>
            <w:shd w:val="clear" w:color="auto" w:fill="CCEEFF"/>
          </w:tcPr>
          <w:p>
            <w:pPr>
              <w:jc w:val="center"/>
              <w:ind w:left="1413"/>
              <w:spacing w:after="0"/>
              <w:rPr>
                <w:sz w:val="20"/>
                <w:szCs w:val="20"/>
                <w:color w:val="auto"/>
              </w:rPr>
            </w:pPr>
            <w:r>
              <w:rPr>
                <w:rFonts w:ascii="Arial" w:cs="Arial" w:eastAsia="Arial" w:hAnsi="Arial"/>
                <w:sz w:val="18"/>
                <w:szCs w:val="18"/>
                <w:color w:val="auto"/>
                <w:w w:val="99"/>
              </w:rPr>
              <w:t>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Construction contracts</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99"/>
              </w:rPr>
              <w:t>1</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41,625</w:t>
            </w:r>
          </w:p>
        </w:tc>
        <w:tc>
          <w:tcPr>
            <w:tcW w:w="8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3"/>
              </w:rPr>
              <w:t>Estimated</w:t>
            </w: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September 30, 2017</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40" w:type="dxa"/>
            <w:vAlign w:val="bottom"/>
            <w:gridSpan w:val="2"/>
          </w:tcPr>
          <w:p>
            <w:pPr>
              <w:jc w:val="center"/>
              <w:ind w:left="1413"/>
              <w:spacing w:after="0" w:line="149" w:lineRule="exact"/>
              <w:rPr>
                <w:sz w:val="20"/>
                <w:szCs w:val="20"/>
                <w:color w:val="auto"/>
              </w:rPr>
            </w:pPr>
            <w:r>
              <w:rPr>
                <w:rFonts w:ascii="Arial" w:cs="Arial" w:eastAsia="Arial" w:hAnsi="Arial"/>
                <w:sz w:val="14"/>
                <w:szCs w:val="14"/>
                <w:color w:val="auto"/>
                <w:w w:val="96"/>
              </w:rPr>
              <w:t>Useful Lives</w:t>
            </w:r>
          </w:p>
        </w:tc>
        <w:tc>
          <w:tcPr>
            <w:tcW w:w="152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3"/>
              </w:rPr>
              <w:t>Gross Carrying</w:t>
            </w:r>
          </w:p>
        </w:tc>
        <w:tc>
          <w:tcPr>
            <w:tcW w:w="1800" w:type="dxa"/>
            <w:vAlign w:val="bottom"/>
            <w:gridSpan w:val="4"/>
          </w:tcPr>
          <w:p>
            <w:pPr>
              <w:ind w:left="660"/>
              <w:spacing w:after="0" w:line="149"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(in Years)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Amount</w:t>
            </w:r>
          </w:p>
        </w:tc>
        <w:tc>
          <w:tcPr>
            <w:tcW w:w="1800" w:type="dxa"/>
            <w:vAlign w:val="bottom"/>
            <w:gridSpan w:val="4"/>
          </w:tcPr>
          <w:p>
            <w:pPr>
              <w:ind w:left="66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5 - 20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Technical library</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89"/>
              </w:rPr>
              <w:t>20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shd w:val="clear" w:color="auto" w:fill="CCEEFF"/>
          </w:tcPr>
          <w:p>
            <w:pPr>
              <w:jc w:val="center"/>
              <w:ind w:left="1413"/>
              <w:spacing w:after="0"/>
              <w:rPr>
                <w:sz w:val="20"/>
                <w:szCs w:val="20"/>
                <w:color w:val="auto"/>
              </w:rPr>
            </w:pPr>
            <w:r>
              <w:rPr>
                <w:rFonts w:ascii="Arial" w:cs="Arial" w:eastAsia="Arial" w:hAnsi="Arial"/>
                <w:sz w:val="18"/>
                <w:szCs w:val="18"/>
                <w:color w:val="auto"/>
                <w:w w:val="91"/>
              </w:rPr>
              <w:t>6 - 15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Non-competition arrangements</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99"/>
              </w:rPr>
              <w:t>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240" w:type="dxa"/>
            <w:vAlign w:val="bottom"/>
            <w:gridSpan w:val="2"/>
            <w:shd w:val="clear" w:color="auto" w:fill="CCEEFF"/>
          </w:tcPr>
          <w:p>
            <w:pPr>
              <w:jc w:val="center"/>
              <w:ind w:left="1413"/>
              <w:spacing w:after="0"/>
              <w:rPr>
                <w:sz w:val="20"/>
                <w:szCs w:val="20"/>
                <w:color w:val="auto"/>
              </w:rPr>
            </w:pPr>
            <w:r>
              <w:rPr>
                <w:rFonts w:ascii="Arial" w:cs="Arial" w:eastAsia="Arial" w:hAnsi="Arial"/>
                <w:sz w:val="18"/>
                <w:szCs w:val="18"/>
                <w:color w:val="auto"/>
                <w:w w:val="99"/>
              </w:rPr>
              <w:t>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Construction contracts</w:t>
            </w:r>
          </w:p>
        </w:tc>
        <w:tc>
          <w:tcPr>
            <w:tcW w:w="2240" w:type="dxa"/>
            <w:vAlign w:val="bottom"/>
            <w:gridSpan w:val="2"/>
          </w:tcPr>
          <w:p>
            <w:pPr>
              <w:jc w:val="center"/>
              <w:ind w:left="1413"/>
              <w:spacing w:after="0"/>
              <w:rPr>
                <w:sz w:val="20"/>
                <w:szCs w:val="20"/>
                <w:color w:val="auto"/>
              </w:rPr>
            </w:pPr>
            <w:r>
              <w:rPr>
                <w:rFonts w:ascii="Arial" w:cs="Arial" w:eastAsia="Arial" w:hAnsi="Arial"/>
                <w:sz w:val="18"/>
                <w:szCs w:val="18"/>
                <w:color w:val="auto"/>
                <w:w w:val="99"/>
              </w:rPr>
              <w:t>1</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40,969</w:t>
            </w:r>
          </w:p>
        </w:tc>
        <w:tc>
          <w:tcPr>
            <w:tcW w:w="8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gridSpan w:val="2"/>
            <w:vMerge w:val="restart"/>
          </w:tcPr>
          <w:p>
            <w:pPr>
              <w:jc w:val="right"/>
              <w:ind w:right="622"/>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For the years ended September 30, 2018, 2017 and 2016, amortization expense of intangible assets was $4,101, $5,766 and $2,936, respectively. Our future amortization expense for years ended September 30 is as follows:</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gridSpan w:val="2"/>
          </w:tcPr>
          <w:p>
            <w:pPr>
              <w:jc w:val="right"/>
              <w:ind w:right="2420"/>
              <w:spacing w:after="0"/>
              <w:rPr>
                <w:sz w:val="20"/>
                <w:szCs w:val="20"/>
                <w:color w:val="auto"/>
              </w:rPr>
            </w:pPr>
            <w:r>
              <w:rPr>
                <w:rFonts w:ascii="Arial" w:cs="Arial" w:eastAsia="Arial" w:hAnsi="Arial"/>
                <w:sz w:val="14"/>
                <w:szCs w:val="14"/>
                <w:color w:val="auto"/>
              </w:rPr>
              <w:t>Year Ended September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2020</w:t>
            </w: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2022</w:t>
            </w: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13,947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30,590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USAMRIID Claim</w:t>
      </w:r>
    </w:p>
    <w:p>
      <w:pPr>
        <w:spacing w:after="0" w:line="117"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 xml:space="preserve">On December 6, 2017, IES Commercial, Inc. filed suit in the United States District Court of Maryland in the matter </w:t>
      </w:r>
      <w:r>
        <w:rPr>
          <w:rFonts w:ascii="Arial" w:cs="Arial" w:eastAsia="Arial" w:hAnsi="Arial"/>
          <w:sz w:val="17"/>
          <w:szCs w:val="17"/>
          <w:i w:val="1"/>
          <w:iCs w:val="1"/>
          <w:color w:val="auto"/>
        </w:rPr>
        <w:t>USA for the use and benefit of IES</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Inc. and IES Commercial, Inc. v. Manhattan Construction Co., Torcon, Inc., Manhattan Torcon A Joint Venture, Federal Ins. Co., Fidelity &amp; Deposit Co. of Maryland, Zurich American Ins. Co., and Travelers Casualty &amp; Surety Co</w:t>
      </w:r>
      <w:r>
        <w:rPr>
          <w:rFonts w:ascii="Arial" w:cs="Arial" w:eastAsia="Arial" w:hAnsi="Arial"/>
          <w:sz w:val="17"/>
          <w:szCs w:val="17"/>
          <w:color w:val="auto"/>
        </w:rPr>
        <w:t>. This suit related to a large project which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since 2009, having originally been scheduled for completion in early 2013. As the Company has previously disclosed, the Company entered into a subcontract in 2009 with Manhattan Torcon A Joint Venture (“MTJV”) to perform subcontracting services at the U.S. Army Medical Research Institute for Infectious Diseases (“USAMRIID”) replacement facility project for a contract value of approximately $61,146, subject to additions or deductions. Because of delays on the project and additional work the Company performed, the Company had sought in the suit approximately $21,000 for claims incurred as of August 31, 2017, and had expected to seek to recover approximately $4,500 of additional claims expected to be incurred following August 31, 2017, through completion of the project. On January 22, 2018 the defendants in this matter filed a motion to dismiss the suit, and on February 2, 2018, we filed our response. On September 26, 2018, the District Court ruled on the motion to dismiss, granting it in part and denying it in part. The ruling, were it to withstand an appeal, would likely have reduced the size of the Company’s estimated damages claim by approximately 50%.</w:t>
      </w:r>
    </w:p>
    <w:p>
      <w:pPr>
        <w:spacing w:after="0" w:line="18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Following mediation on September 26, 2018, the parties entered into a binding memorandum of agreement to settle all claims brought in the suit. The parties are currently preparing a formalized settlement agreement. Pursuant to the memorandum of agreement, the parties have agreed that in exchange for IES Commercial, Inc.’s dismissal of the suit and completion of a limited scope of subcontracting work, as well as mutual releases and parent guaranties by the parties, among other items, MTJV will make $2,500 in cash payments to IES Commercial, Inc., including $1,500 contingent upon completion of the remaining work.</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The Company recorded a charge of $1,895 for the quarter ended September 30, 2018, in order to adjust the remaining contract value and scope of work to reflect the terms of the settlement. The Company had not previously recorded any recovery in connection with this claim. At September, 30, 2018, based on our most current revised cost estimates, the Company estimates this project to be 99% complete. These estimated costs, and the revenue associated with them, will be recognized in future periods when the work is performed, and our estimates may be further adjusted in future periods as the work is completed.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2018 and 2017, we had $6,202 and $6,204, respectively, accrued for insurance liabilities. We are also subject to construction defect liabilities, primarily within our Residential segment. As of September 30, 2018 and 2017, we had $171 and $218,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2018, $6,101 of our outstanding letters of credit was utilized to collateralize our insurance program.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September 30, 2018, the estimated cost to complete our bonded projects was approximately $50,170.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2018, $508 of our outstanding letters of credit were to collateralize our vendors.</w:t>
      </w:r>
    </w:p>
    <w:p>
      <w:pPr>
        <w:spacing w:after="0" w:line="18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2018, we had no such commitments.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Some of the lease agreements entered into will not commence until the following fiscal year. The total future undiscounted cash flows related to lease agreements committed to but not yet commenced as of September 30, 2018, is $962.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BUSINESS COMBINATIONS AND DIVESTITURES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Business Combinations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The Company completed two acquisitions in the year ended September 30, 2018, for a total aggregate consideration of $7,413, which includes cash consideration paid at closing of $7,091, cash consideration paid subsequent to closing of $125, cash consideration payable in the next fiscal year of $15, and contingent consideration payable in July 2019 and 2020 with aggregate acquisition date fair value estimated at $182.</w:t>
      </w:r>
    </w:p>
    <w:p>
      <w:pPr>
        <w:spacing w:after="0" w:line="71" w:lineRule="exact"/>
        <w:rPr>
          <w:sz w:val="20"/>
          <w:szCs w:val="20"/>
          <w:color w:val="auto"/>
        </w:rPr>
      </w:pPr>
    </w:p>
    <w:p>
      <w:pPr>
        <w:ind w:left="1060" w:right="80" w:hanging="316"/>
        <w:spacing w:after="0" w:line="25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Azimuth Communications, Inc. (“Azimuth”) — On April 6, 2018, the Company’s Communications segment acquired all of the outstanding capital stock of Azimuth, a Portland, Oregon-based provider of design and integration services for structured cabling, physical security, access control systems, distributed antenna systems, wireless access, and audio visual systems. Azimuth operates within the Company’s Communications segment. The acquisition of Azimuth has accelerated our expansion into the Pacific Northwest market, which the Company believes to be an attractive market.</w:t>
      </w:r>
    </w:p>
    <w:p>
      <w:pPr>
        <w:spacing w:after="0" w:line="93"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Electrical Contractors North, Inc. (“ECNI”) — On July 31, 2018, the Company’s Residential segment acquired substantially all of the assets of Electrical Contractors North, Inc. (“ECNI”), a Salt Lake City, Utah-based provider of electrical contracting for multi-family residential and hotel construction. We believe the acquisition of ECNI furthers our Residential segment’s growth strategy by providing a foothold in the Salt Lake City market.</w:t>
      </w:r>
    </w:p>
    <w:p>
      <w:pPr>
        <w:spacing w:after="0" w:line="187"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The Company accounted for these fiscal 2018 transactions under the acquisition method of accounting, which requires recording assets and liabilities at fair value (Level 3). The valuations derived from estimated fair value assessments and assumptions used by management are preliminary pending finalization of certain tangible and intangible asset valuations and assessment of deferred taxes. While management believes that its preliminary estimates and assumptions underlying the valuations are reasonable, different estimates and assumptions could result in different values being assigned to individual assets acquired and liabilities assumed. This may result in adjustments to the preliminary amounts recorded. The preliminary valuation of the assets and liabilities assumed for our fiscal 2018 acquisitions as of the acquisition dates is as follows:</w:t>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$ 1,767</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(primarily customer relationships)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Long term liabilities</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$ 7,413</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With regard to goodwill, the balance is attributable to the workforce of the acquired business and other intangibles that do not qualify for separate recognition. In connection with the Azimuth and ECNI acquisitions, we acquired goodwill of $4,164, of which $1,448 is tax deductible.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 conjunction with these acquisitions, we acquired receivables totaling $1,478, of which we estimate none to be uncollectible at the date of acquisition. In aggregate, these two acquisitions contributed $4,965 in additional revenue and $532 in additional operating loss during the year ended September 30,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jc w:val="both"/>
        <w:ind w:left="200" w:right="660"/>
        <w:spacing w:after="0" w:line="342" w:lineRule="auto"/>
        <w:rPr>
          <w:sz w:val="20"/>
          <w:szCs w:val="20"/>
          <w:color w:val="auto"/>
        </w:rPr>
      </w:pPr>
      <w:r>
        <w:rPr>
          <w:rFonts w:ascii="Arial" w:cs="Arial" w:eastAsia="Arial" w:hAnsi="Arial"/>
          <w:sz w:val="16"/>
          <w:szCs w:val="16"/>
          <w:color w:val="auto"/>
        </w:rPr>
        <w:t>The Company completed three acquisitions in the year ended September 30, 2017, for a total aggregate consideration of $20,979. See Note 18, “Business Combinations and Divestitures” in our Annual Report on Form 10-K for the year ended September 30, 2017, for further information.</w:t>
      </w:r>
    </w:p>
    <w:p>
      <w:pPr>
        <w:spacing w:after="0" w:line="29" w:lineRule="exact"/>
        <w:rPr>
          <w:sz w:val="20"/>
          <w:szCs w:val="20"/>
          <w:color w:val="auto"/>
        </w:rPr>
      </w:pPr>
    </w:p>
    <w:p>
      <w:pPr>
        <w:ind w:left="106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Freeman Enclosure Systems, LLC (“Freeman”)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1060" w:right="20" w:hanging="316"/>
        <w:spacing w:after="0" w:line="297"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Technical Services II, LLC (“Technical Services”) — STR Mechanical,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operates as a subsidiary of STR Mechanical within the Company’s Commercial &amp; Industrial segment. The acquisition of Technical Services has expanded our geographic reach and diversified our customer base for mechanical maintenance services.</w:t>
      </w:r>
    </w:p>
    <w:p>
      <w:pPr>
        <w:spacing w:after="0" w:line="63" w:lineRule="exact"/>
        <w:rPr>
          <w:rFonts w:ascii="Arial" w:cs="Arial" w:eastAsia="Arial" w:hAnsi="Arial"/>
          <w:sz w:val="16"/>
          <w:szCs w:val="16"/>
          <w:color w:val="auto"/>
        </w:rPr>
      </w:pPr>
    </w:p>
    <w:p>
      <w:pPr>
        <w:ind w:left="1060" w:right="6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NEXT Electric, LLC (“NEXT Electric”) — On July 14, 2017, the Company acquired 80% of the membership interests of NEXT Electric, a Milwaukee, Wisconsin-based electrical contractor specializing in the design, installation and maintenance of electrical systems for commercial, industrial, healthcare, water treatment and education end markets. NEXT Electric operates within the Company’s Commercial &amp; Industrial segment.</w:t>
      </w:r>
    </w:p>
    <w:p>
      <w:pPr>
        <w:spacing w:after="0" w:line="187"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total purchase consideration for the Freeman, Technical Services and Azimuth acquisitions included contingent consideration payments based on the acquired company’s earnings, as defined in the applicable purchase and sale agreement. The fair value of the total contingent consideration liability for all acquisitions, including Freeman, Technical Services, and Azimuth, was estimated at $680 as of September 30, 2018, and is accrued in accrued liabilities and other non-current liabilities on our Condensed Consolidated Balance Sheets.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preliminary estimates for Freeman, Technical Services and NEXT Electric were finalized during the year ended September 30, 2018.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Our agreements governing the operations of STR and NEXT Electric contain a provision where, at any time after five years from the acquisition date, we may purchase all or a portion of the 20% noncontrolling interest. Pursuant to this provision, we may purchase the noncontrolling interest, or, with notice, the noncontrolling interest holders may cause us to purchase their interests, for a contractually determined price based on the trailing 2 year earnings before interest, taxes, depreciation, and amortization of STR and NEXT Electric, calculated at the time of the purchase.</w:t>
      </w:r>
    </w:p>
    <w:p>
      <w:pPr>
        <w:spacing w:after="0" w:line="154"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As of the acquisition date, the fair value of the noncontrolling interest in STR and NEXT Electric was equal to 20% of the overall fair value of STR and NEXT Electric.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QUARTERLY RESULTS OF OPERATIONS (UNAUDITED)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Quarterly financial information for the years ended September 30, 2018 and 2017 are summarized as follows: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w w:val="94"/>
              </w:rPr>
              <w:t>Year Ended September 30,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First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5"/>
              <w:spacing w:after="0" w:line="123" w:lineRule="exact"/>
              <w:rPr>
                <w:sz w:val="20"/>
                <w:szCs w:val="20"/>
                <w:color w:val="auto"/>
              </w:rPr>
            </w:pPr>
            <w:r>
              <w:rPr>
                <w:rFonts w:ascii="Arial" w:cs="Arial" w:eastAsia="Arial" w:hAnsi="Arial"/>
                <w:sz w:val="14"/>
                <w:szCs w:val="14"/>
                <w:color w:val="auto"/>
                <w:w w:val="92"/>
              </w:rPr>
              <w:t>Second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8"/>
              </w:rPr>
              <w:t>Fourth</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Quarter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color w:val="auto"/>
                <w:w w:val="92"/>
              </w:rPr>
              <w:t>Quarter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Quarter</w:t>
            </w: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198,300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205,677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232,576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240,275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33,064</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42,537</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40,521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(29,569)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sum of the individual quarterly earnings (loss) per share amounts may not agree with year-to-date earnings per share as each period’s computation is based on the weighted average number of shares outstanding during the period.</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w w:val="92"/>
              </w:rPr>
              <w:t>Year Ended September 30, 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35"/>
              <w:spacing w:after="0" w:line="123" w:lineRule="exact"/>
              <w:rPr>
                <w:sz w:val="20"/>
                <w:szCs w:val="20"/>
                <w:color w:val="auto"/>
              </w:rPr>
            </w:pPr>
            <w:r>
              <w:rPr>
                <w:rFonts w:ascii="Arial" w:cs="Arial" w:eastAsia="Arial" w:hAnsi="Arial"/>
                <w:sz w:val="14"/>
                <w:szCs w:val="14"/>
                <w:color w:val="auto"/>
              </w:rPr>
              <w:t>First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5"/>
              <w:spacing w:after="0" w:line="123" w:lineRule="exact"/>
              <w:rPr>
                <w:sz w:val="20"/>
                <w:szCs w:val="20"/>
                <w:color w:val="auto"/>
              </w:rPr>
            </w:pPr>
            <w:r>
              <w:rPr>
                <w:rFonts w:ascii="Arial" w:cs="Arial" w:eastAsia="Arial" w:hAnsi="Arial"/>
                <w:sz w:val="14"/>
                <w:szCs w:val="14"/>
                <w:color w:val="auto"/>
                <w:w w:val="92"/>
              </w:rPr>
              <w:t>Second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5"/>
              <w:spacing w:after="0" w:line="123" w:lineRule="exact"/>
              <w:rPr>
                <w:sz w:val="20"/>
                <w:szCs w:val="20"/>
                <w:color w:val="auto"/>
              </w:rPr>
            </w:pPr>
            <w:r>
              <w:rPr>
                <w:rFonts w:ascii="Arial" w:cs="Arial" w:eastAsia="Arial" w:hAnsi="Arial"/>
                <w:sz w:val="14"/>
                <w:szCs w:val="14"/>
                <w:color w:val="auto"/>
                <w:w w:val="98"/>
              </w:rPr>
              <w:t>Fourth</w:t>
            </w: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color w:val="auto"/>
                <w:w w:val="92"/>
              </w:rPr>
              <w:t>Quarter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color w:val="auto"/>
                <w:w w:val="92"/>
              </w:rPr>
              <w:t>Quarter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Quarter</w:t>
            </w: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192,178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203,662</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208,323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206,581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35,182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35,398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sum of the individual quarterly earnings per share amounts may not agree with year-to-date earnings per share as each period’s computation is based on the weighted average number of shares outstanding during the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34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ended September 30, 2018 that have materially affected, or are reasonably likely to materially affect, the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accordance with Rules 13a-15 and 15d-15 under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this evaluation, our President and Chief Financial Officer concluded that our disclosure controls and procedures were effective as of September 30, 2018,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Management, including the Company’s President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2018.</w:t>
      </w:r>
    </w:p>
    <w:p>
      <w:pPr>
        <w:spacing w:after="0" w:line="166"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Ernst &amp; Young LLP, an independent registered public accounting firm that has audited the Company’s financial statements as of and for the three-year period ended September 30, 2018, has issued a report on their audit of management’s internal control over financial reporting, which is included herein.</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information required to be included Item 10 of Part III of this Annual Report on Form 10-K is incorporated by reference from the sections entitled “Security Ownership of Certain Beneficial Owners and Management;” “Section 16(a) Beneficial Ownership Reporting Compliance;” “Report of the Audit Committee” and “Election of Directors” in the Company’s definitive Proxy Statement for its 2019 Annual Meeting of Stockholders (the “Proxy Statement”) to be filed with the SEC no later than December 31, 2018.</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information required to be included in Item 11 of Part III of this Annual Report on Form 10-K is incorporated by reference from the section entitled “Executive Compensation” in the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Certain information required to be included in Item 12 of Part III of this Annual Report on Form 10-K is incorporated by reference from the section entitled “Security Ownership of Certain Beneficial Owners and Management” in the Proxy Statement.</w:t>
      </w:r>
    </w:p>
    <w:p>
      <w:pPr>
        <w:spacing w:after="0" w:line="275" w:lineRule="exact"/>
        <w:rPr>
          <w:sz w:val="20"/>
          <w:szCs w:val="20"/>
          <w:color w:val="auto"/>
        </w:rPr>
      </w:pPr>
    </w:p>
    <w:p>
      <w:pPr>
        <w:ind w:left="200" w:right="3700"/>
        <w:spacing w:after="0" w:line="378" w:lineRule="auto"/>
        <w:rPr>
          <w:sz w:val="20"/>
          <w:szCs w:val="20"/>
          <w:color w:val="auto"/>
        </w:rPr>
      </w:pPr>
      <w:r>
        <w:rPr>
          <w:rFonts w:ascii="Arial" w:cs="Arial" w:eastAsia="Arial" w:hAnsi="Arial"/>
          <w:sz w:val="18"/>
          <w:szCs w:val="18"/>
          <w:b w:val="1"/>
          <w:bCs w:val="1"/>
          <w:color w:val="auto"/>
        </w:rPr>
        <w:t>SECURITIES AUTHORIZED FOR ISSUANCE UNDER EQUITY COMPENSATION PLANS Equity Compensation Plan Information</w:t>
      </w:r>
    </w:p>
    <w:p>
      <w:pPr>
        <w:ind w:left="200" w:right="60"/>
        <w:spacing w:after="0" w:line="279" w:lineRule="auto"/>
        <w:rPr>
          <w:sz w:val="20"/>
          <w:szCs w:val="20"/>
          <w:color w:val="auto"/>
        </w:rPr>
      </w:pPr>
      <w:r>
        <w:rPr>
          <w:rFonts w:ascii="Arial" w:cs="Arial" w:eastAsia="Arial" w:hAnsi="Arial"/>
          <w:sz w:val="17"/>
          <w:szCs w:val="17"/>
          <w:color w:val="auto"/>
        </w:rPr>
        <w:t>The following table provides information as of September 30, 2018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11, “Stockholders’ Equity” in the notes to our Consolidated Financial Statements set forth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Annual Report on Form 10-K.</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20" w:type="dxa"/>
            <w:vAlign w:val="bottom"/>
            <w:gridSpan w:val="3"/>
          </w:tcPr>
          <w:p>
            <w:pPr>
              <w:jc w:val="center"/>
              <w:ind w:left="559"/>
              <w:spacing w:after="0"/>
              <w:rPr>
                <w:sz w:val="20"/>
                <w:szCs w:val="20"/>
                <w:color w:val="auto"/>
              </w:rPr>
            </w:pPr>
            <w:r>
              <w:rPr>
                <w:rFonts w:ascii="Arial" w:cs="Arial" w:eastAsia="Arial" w:hAnsi="Arial"/>
                <w:sz w:val="14"/>
                <w:szCs w:val="14"/>
                <w:color w:val="auto"/>
                <w:w w:val="95"/>
              </w:rPr>
              <w:t>(c) 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 Number of Securities to</w:t>
            </w:r>
          </w:p>
        </w:tc>
        <w:tc>
          <w:tcPr>
            <w:tcW w:w="1760" w:type="dxa"/>
            <w:vAlign w:val="bottom"/>
            <w:gridSpan w:val="3"/>
          </w:tcPr>
          <w:p>
            <w:pPr>
              <w:jc w:val="center"/>
              <w:ind w:left="399"/>
              <w:spacing w:after="0" w:line="149" w:lineRule="exact"/>
              <w:rPr>
                <w:sz w:val="20"/>
                <w:szCs w:val="20"/>
                <w:color w:val="auto"/>
              </w:rPr>
            </w:pPr>
            <w:r>
              <w:rPr>
                <w:rFonts w:ascii="Arial" w:cs="Arial" w:eastAsia="Arial" w:hAnsi="Arial"/>
                <w:sz w:val="14"/>
                <w:szCs w:val="14"/>
                <w:color w:val="auto"/>
                <w:w w:val="93"/>
              </w:rPr>
              <w:t>(b) Weighted-Average</w:t>
            </w:r>
          </w:p>
        </w:tc>
        <w:tc>
          <w:tcPr>
            <w:tcW w:w="96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2"/>
              </w:rPr>
              <w:t>be Issued Upon 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3"/>
              </w:rPr>
              <w:t>Exercise Price of</w:t>
            </w:r>
          </w:p>
        </w:tc>
        <w:tc>
          <w:tcPr>
            <w:tcW w:w="96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Plans (Excluding</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color w:val="auto"/>
              </w:rPr>
              <w:t>Plan Category</w:t>
            </w:r>
          </w:p>
        </w:tc>
        <w:tc>
          <w:tcPr>
            <w:tcW w:w="560" w:type="dxa"/>
            <w:vAlign w:val="bottom"/>
          </w:tcPr>
          <w:p>
            <w:pPr>
              <w:spacing w:after="0"/>
              <w:rPr>
                <w:sz w:val="12"/>
                <w:szCs w:val="12"/>
                <w:color w:val="auto"/>
              </w:rPr>
            </w:pPr>
          </w:p>
        </w:tc>
        <w:tc>
          <w:tcPr>
            <w:tcW w:w="22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of Outstanding Options,</w:t>
            </w:r>
          </w:p>
        </w:tc>
        <w:tc>
          <w:tcPr>
            <w:tcW w:w="4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Outstanding Options,</w:t>
            </w:r>
          </w:p>
        </w:tc>
        <w:tc>
          <w:tcPr>
            <w:tcW w:w="96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Securities Reflected</w:t>
            </w:r>
          </w:p>
        </w:tc>
        <w:tc>
          <w:tcPr>
            <w:tcW w:w="0" w:type="dxa"/>
            <w:vAlign w:val="bottom"/>
          </w:tcPr>
          <w:p>
            <w:pPr>
              <w:spacing w:after="0"/>
              <w:rPr>
                <w:sz w:val="1"/>
                <w:szCs w:val="1"/>
                <w:color w:val="auto"/>
              </w:rPr>
            </w:pPr>
          </w:p>
        </w:tc>
      </w:tr>
      <w:tr>
        <w:trPr>
          <w:trHeight w:val="154"/>
        </w:trPr>
        <w:tc>
          <w:tcPr>
            <w:tcW w:w="37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2280" w:type="dxa"/>
            <w:vAlign w:val="bottom"/>
            <w:gridSpan w:val="2"/>
          </w:tcPr>
          <w:p>
            <w:pPr>
              <w:jc w:val="center"/>
              <w:ind w:right="720"/>
              <w:spacing w:after="0" w:line="154" w:lineRule="exact"/>
              <w:rPr>
                <w:sz w:val="20"/>
                <w:szCs w:val="20"/>
                <w:color w:val="auto"/>
              </w:rPr>
            </w:pPr>
            <w:r>
              <w:rPr>
                <w:rFonts w:ascii="Arial" w:cs="Arial" w:eastAsia="Arial" w:hAnsi="Arial"/>
                <w:sz w:val="14"/>
                <w:szCs w:val="14"/>
                <w:color w:val="auto"/>
                <w:w w:val="90"/>
              </w:rPr>
              <w:t>Warrants and Rights</w:t>
            </w:r>
          </w:p>
        </w:tc>
        <w:tc>
          <w:tcPr>
            <w:tcW w:w="480" w:type="dxa"/>
            <w:vAlign w:val="bottom"/>
          </w:tcPr>
          <w:p>
            <w:pPr>
              <w:spacing w:after="0"/>
              <w:rPr>
                <w:sz w:val="13"/>
                <w:szCs w:val="13"/>
                <w:color w:val="auto"/>
              </w:rPr>
            </w:pPr>
          </w:p>
        </w:tc>
        <w:tc>
          <w:tcPr>
            <w:tcW w:w="128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0"/>
              </w:rPr>
              <w:t>Warrants and Rights</w:t>
            </w:r>
          </w:p>
        </w:tc>
        <w:tc>
          <w:tcPr>
            <w:tcW w:w="960" w:type="dxa"/>
            <w:vAlign w:val="bottom"/>
          </w:tcPr>
          <w:p>
            <w:pPr>
              <w:spacing w:after="0"/>
              <w:rPr>
                <w:sz w:val="13"/>
                <w:szCs w:val="13"/>
                <w:color w:val="auto"/>
              </w:rPr>
            </w:pPr>
          </w:p>
        </w:tc>
        <w:tc>
          <w:tcPr>
            <w:tcW w:w="176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94"/>
              </w:rPr>
              <w:t>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5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center"/>
              <w:ind w:left="42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1,113,476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2840" w:type="dxa"/>
            <w:vAlign w:val="bottom"/>
            <w:gridSpan w:val="3"/>
          </w:tcPr>
          <w:p>
            <w:pPr>
              <w:jc w:val="center"/>
              <w:ind w:right="480"/>
              <w:spacing w:after="0"/>
              <w:rPr>
                <w:sz w:val="20"/>
                <w:szCs w:val="20"/>
                <w:color w:val="auto"/>
              </w:rPr>
            </w:pPr>
            <w:r>
              <w:rPr>
                <w:rFonts w:ascii="Arial" w:cs="Arial" w:eastAsia="Arial" w:hAnsi="Arial"/>
                <w:sz w:val="18"/>
                <w:szCs w:val="18"/>
                <w:color w:val="auto"/>
              </w:rPr>
              <w:t xml:space="preserve">443,277 </w:t>
            </w:r>
            <w:r>
              <w:rPr>
                <w:rFonts w:ascii="Arial" w:cs="Arial" w:eastAsia="Arial" w:hAnsi="Arial"/>
                <w:sz w:val="15"/>
                <w:szCs w:val="15"/>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w:t>
            </w:r>
          </w:p>
        </w:tc>
        <w:tc>
          <w:tcPr>
            <w:tcW w:w="960" w:type="dxa"/>
            <w:vAlign w:val="bottom"/>
          </w:tcPr>
          <w:p>
            <w:pPr>
              <w:spacing w:after="0"/>
              <w:rPr>
                <w:sz w:val="20"/>
                <w:szCs w:val="20"/>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86"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also includes 399,027 shares that may be issued pursuant to outstanding PPSUs and PCUs based on achievement of performance metrics, where applicable, and otherwise assuming the target award is met.</w:t>
      </w:r>
    </w:p>
    <w:p>
      <w:pPr>
        <w:spacing w:after="0" w:line="1" w:lineRule="exact"/>
        <w:rPr>
          <w:rFonts w:ascii="Arial" w:cs="Arial" w:eastAsia="Arial" w:hAnsi="Arial"/>
          <w:sz w:val="16"/>
          <w:szCs w:val="16"/>
          <w:color w:val="auto"/>
        </w:rPr>
      </w:pPr>
    </w:p>
    <w:p>
      <w:pPr>
        <w:ind w:left="640" w:right="120" w:hanging="436"/>
        <w:spacing w:after="0" w:line="25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issuable upon exercise of outstanding options granted under the Company’s 2006 Equity Incentive Plan (as amended and restated as of October 2007), which was in place prior to the Amended Plan. This includes 44,250 options with a weighted-average term of 5.32 years. This also includes 399,027 shares that may be issued pursuant to outstanding PPSUs, based on achievement of performance metrics, where applicable, and otherwise assuming the target award is met.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information required to be included in Item 13 of Part III of this Annual Report on Form 10-K is incorporated by reference from the section entitled “Certain Relationships and Related Person Transactions” in the Proxy Statement.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information required to be included in Item 14 of Part III of this Form 10-K is incorporated by reference from the section entitled “Audit Fees” in the Proxy Statement.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35"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Statements and Supplementary Data, Financial Statement Schedules and Exhibits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Index to Financial Statements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From 10-K.</w:t>
      </w:r>
    </w:p>
    <w:p>
      <w:pPr>
        <w:spacing w:after="0" w:line="252"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Exhibit</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720" w:type="dxa"/>
            <w:vAlign w:val="bottom"/>
            <w:gridSpan w:val="21"/>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rPr>
              <w:t>No.</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7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2.1</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EE"/>
            </w:tcBorders>
            <w:gridSpan w:val="26"/>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Agreement and Plan of Merger effective as of March 13, 2013, by and among Integrated Electrical Services, Inc. (n/k/a IES Holdings,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 IES Subsidiary Holdings, Inc. and MISCOR Group, Ltd. (Attached as part of Annex A to the joint proxy statement/prospectus</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that is part of this Registration Statement) (the schedules and annexes have been omitted pursuant to Item 601(b)(2) of Regulation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S-K)</w:t>
              </w:r>
            </w:hyperlink>
          </w:p>
        </w:tc>
        <w:tc>
          <w:tcPr>
            <w:tcW w:w="9000" w:type="dxa"/>
            <w:vAlign w:val="bottom"/>
            <w:tcBorders>
              <w:top w:val="single" w:sz="8" w:color="0000EE"/>
            </w:tcBorders>
            <w:gridSpan w:val="15"/>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2.2</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40" w:type="dxa"/>
            <w:vAlign w:val="bottom"/>
            <w:gridSpan w:val="27"/>
          </w:tcPr>
          <w:p>
            <w:pPr>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First Amendment to Agreement and Plan of Merger, dated as of July 10, 2013, by and among Integrated Electrical Services,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(n/k/a IES Holdings, Inc.), IES Subsidiary Holdings, Inc. and MISCOR Group, Ltd. (Attached as part of Annex A to the joint proxy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statement/prospectus that is part of this Registration Statement)</w:t>
              </w:r>
            </w:hyperlink>
          </w:p>
        </w:tc>
        <w:tc>
          <w:tcPr>
            <w:tcW w:w="4920" w:type="dxa"/>
            <w:vAlign w:val="bottom"/>
            <w:tcBorders>
              <w:top w:val="single" w:sz="8" w:color="0000EE"/>
            </w:tcBorders>
            <w:gridSpan w:val="13"/>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2.3</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00" w:type="dxa"/>
            <w:vAlign w:val="bottom"/>
            <w:tcBorders>
              <w:bottom w:val="single" w:sz="8" w:color="0000EE"/>
            </w:tcBorders>
            <w:gridSpan w:val="25"/>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Stock Purchase Agreement dated as of June 1, 2016, by and among IES Infrastructure Solutions, LLC, IES Holdings, Inc., Technibus,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Inc. and Technibus, LLC. (Incorporated by reference to Exhibit 2.1 to the Company’s Current Report on Form 8-K filed June 15,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2016)</w:t>
              </w:r>
            </w:hyperlink>
          </w:p>
        </w:tc>
        <w:tc>
          <w:tcPr>
            <w:tcW w:w="9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3.1</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Second Amended and Restated Certificate of Incorporation of IES Holdings, Inc., as amended by the Certificate of Amendment</w:t>
              </w:r>
            </w:hyperlink>
          </w:p>
        </w:tc>
        <w:tc>
          <w:tcPr>
            <w:tcW w:w="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thereto, effective May 24, 2016 (composite). (Incorporated by reference to Exhibit 3.1 to the Company’s Quarterly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10-Q filed on August 8, 2016)</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3.2</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40" w:type="dxa"/>
            <w:vAlign w:val="bottom"/>
            <w:tcBorders>
              <w:bottom w:val="single" w:sz="8" w:color="0000EE"/>
            </w:tcBorders>
            <w:gridSpan w:val="27"/>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Certificate of Designations of Series A Junior Participating Preferred Stock (Incorporated by reference to Exhibit 3.1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Current Report on From 8-K filed on January 28, 2013)</w:t>
              </w:r>
            </w:hyperlink>
          </w:p>
        </w:tc>
        <w:tc>
          <w:tcPr>
            <w:tcW w:w="57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3.3</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100" w:type="dxa"/>
            <w:vAlign w:val="bottom"/>
            <w:tcBorders>
              <w:bottom w:val="single" w:sz="8" w:color="0000EE"/>
            </w:tcBorders>
            <w:gridSpan w:val="12"/>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Amended and Restated Bylaws of IES Holdings, Inc., effective May 24, 2016 (Incorporated by reference to Exhibit 3.2 to the</w:t>
              </w:r>
            </w:hyperlink>
          </w:p>
        </w:tc>
        <w:tc>
          <w:tcPr>
            <w:tcW w:w="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Company’s Current Report on Form 8-K, filed on May 24, 2016)</w:t>
              </w:r>
            </w:hyperlink>
          </w:p>
        </w:tc>
        <w:tc>
          <w:tcPr>
            <w:tcW w:w="5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4.1</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EE"/>
            </w:tcBorders>
            <w:gridSpan w:val="26"/>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Specimen common stock certificate. (Incorporated by reference to Exhibit 4.1 to the Company’s Annual Report on Form 10-K filed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December 9, 2016)</w:t>
              </w:r>
            </w:hyperlink>
          </w:p>
        </w:tc>
        <w:tc>
          <w:tcPr>
            <w:tcW w:w="83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4.2</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EE"/>
            </w:tcBorders>
            <w:gridSpan w:val="2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Tax Benefit Protection Plan Agreement by and between IES Holdings, Inc. and American Stock Transfer &amp; Trust Company, LLC, as</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Rights Agent, dated as of November 8, 2016, including the form of Rights Certificate and Summary of Stockholder Rights Plan</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attached thereto as Exhibits A and B, respectively (Incorporated by reference to Exhibit 4.1 to the Company’s Current Report on Form</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8-K filed on November 9, 2016)</w:t>
              </w:r>
            </w:hyperlink>
          </w:p>
        </w:tc>
        <w:tc>
          <w:tcPr>
            <w:tcW w:w="74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4.3</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EE"/>
            </w:tcBorders>
            <w:gridSpan w:val="18"/>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Registration Rights Agreement, dated May 12, 2006, by and among Integrated Electrical Services, Inc. (n/k/a IES Holdings, Inc.),</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Tontine Capital Partners, L.P. and certain of its affiliates and Southpoint Master Fund, L.P. (Incorporated by reference to Exhibit 10.5</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to the Company’s Current Report on Form 8-K filed on May 17, 2006)</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0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4.4</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9740" w:type="dxa"/>
            <w:vAlign w:val="bottom"/>
            <w:gridSpan w:val="27"/>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First Amendment to Registration Rights Agreement, dated September 11, 2007, by and among Integrated Electrical Services,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40" w:type="dxa"/>
            <w:vAlign w:val="bottom"/>
            <w:gridSpan w:val="10"/>
            <w:shd w:val="clear" w:color="auto" w:fill="0000EE"/>
          </w:tcPr>
          <w:p>
            <w:pPr>
              <w:spacing w:after="0" w:line="20" w:lineRule="exact"/>
              <w:rPr>
                <w:sz w:val="1"/>
                <w:szCs w:val="1"/>
                <w:color w:val="auto"/>
              </w:rPr>
            </w:pPr>
          </w:p>
        </w:tc>
        <w:tc>
          <w:tcPr>
            <w:tcW w:w="4240" w:type="dxa"/>
            <w:vAlign w:val="bottom"/>
            <w:gridSpan w:val="7"/>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(n/k/a IES Holdings, Inc.), Tontine Capital Partners, L.P. and certain of its affiliates. (Incorporated by reference to Exhibit 10.24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Company’s Annual Report on Form 10-K filed on December 14, 2012)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80" w:type="dxa"/>
            <w:vAlign w:val="bottom"/>
            <w:tcBorders>
              <w:top w:val="single" w:sz="8" w:color="0000EE"/>
            </w:tcBorders>
            <w:gridSpan w:val="7"/>
          </w:tcPr>
          <w:p>
            <w:pPr>
              <w:ind w:left="4140"/>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10.1</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480" w:type="dxa"/>
            <w:vAlign w:val="bottom"/>
            <w:tcBorders>
              <w:bottom w:val="single" w:sz="8" w:color="0000EE"/>
            </w:tcBorders>
            <w:gridSpan w:val="1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Restated Underwriting, Continuing Indemnity and Security Agreement, dated May 12, 2006, by Integrated Electrical Services, Inc.</w:t>
              </w:r>
            </w:hyperlink>
          </w:p>
        </w:tc>
        <w:tc>
          <w:tcPr>
            <w:tcW w:w="400" w:type="dxa"/>
            <w:vAlign w:val="bottom"/>
            <w:gridSpan w:val="1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(n/k/a IES Holdings, Inc.) and certain of its subsidiaries and affiliates in favor of Federal Insurance Company. (Incorporated by reference</w:t>
              </w:r>
            </w:hyperlink>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to Exhibit 10.4 to the Company’s Current Report on Form 8-K filed May 17, 2006)</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10.2</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First Amendment, dated as of October 30, 2006, to the Restated Underwriting, Continuing Indemnity, and Security Agreement, dated</w:t>
              </w:r>
            </w:hyperlink>
          </w:p>
        </w:tc>
        <w:tc>
          <w:tcPr>
            <w:tcW w:w="240" w:type="dxa"/>
            <w:vAlign w:val="bottom"/>
            <w:gridSpan w:val="8"/>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7"/>
              </w:rPr>
            </w:pPr>
            <w:hyperlink r:id="rId119">
              <w:r>
                <w:rPr>
                  <w:rFonts w:ascii="Arial" w:cs="Arial" w:eastAsia="Arial" w:hAnsi="Arial"/>
                  <w:sz w:val="18"/>
                  <w:szCs w:val="18"/>
                  <w:color w:val="0000EE"/>
                  <w:w w:val="97"/>
                </w:rPr>
                <w:t>May 12, 2006, by Integrated Electrical Services, Inc. (n/k/a IES Holdings, Inc.), certain of its subsidiaries and Federal Insurance</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Company and certain of its affiliates. (Incorporated by reference to Exhibit 10.1 to the Company’s Current Report on Form 8-K filed</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November 6, 2006)</w:t>
              </w:r>
            </w:hyperlink>
          </w:p>
        </w:tc>
        <w:tc>
          <w:tcPr>
            <w:tcW w:w="8140" w:type="dxa"/>
            <w:vAlign w:val="bottom"/>
            <w:tcBorders>
              <w:top w:val="single" w:sz="8" w:color="0000EE"/>
            </w:tcBorders>
            <w:gridSpan w:val="13"/>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10.3</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EE"/>
            </w:tcBorders>
            <w:gridSpan w:val="18"/>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Third Amendment, dated May 1, 2007, to the Restated Underwriting, Continuing Indemnity and Security Agreement, dated May 12,</w:t>
              </w:r>
            </w:hyperlink>
          </w:p>
        </w:tc>
        <w:tc>
          <w:tcPr>
            <w:tcW w:w="280" w:type="dxa"/>
            <w:vAlign w:val="bottom"/>
            <w:gridSpan w:val="10"/>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2006, by Integrated Electrical Services, Inc. (n/k/a IES Holdings, Inc.), certain of its subsidiaries and Federal Insurance Company and</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certain of its affiliates. (Incorporated by reference to Exhibit 10.1 to the Company’s Current Report on Form 8-K filed October 12, 2007)</w:t>
              </w:r>
            </w:hyperlink>
          </w:p>
        </w:tc>
        <w:tc>
          <w:tcPr>
            <w:tcW w:w="20" w:type="dxa"/>
            <w:vAlign w:val="bottom"/>
          </w:tcPr>
          <w:p>
            <w:pPr>
              <w:spacing w:after="0"/>
              <w:rPr>
                <w:sz w:val="17"/>
                <w:szCs w:val="17"/>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10.4</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Fourth Amendment to the Restated Underwriting, Continuing Indemnity and Security Agreement, dated May 12, 2006, by Integrated</w:t>
              </w:r>
            </w:hyperlink>
          </w:p>
        </w:tc>
        <w:tc>
          <w:tcPr>
            <w:tcW w:w="240" w:type="dxa"/>
            <w:vAlign w:val="bottom"/>
            <w:gridSpan w:val="8"/>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Electrical Services, Inc. (n/k/a IES Holdings, Inc.), certain of its subsidiaries and Federal Insurance Company and certain of its affiliates.</w:t>
              </w:r>
            </w:hyperlink>
          </w:p>
        </w:tc>
        <w:tc>
          <w:tcPr>
            <w:tcW w:w="4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(Incorporated by reference to Exhibit 10.2 to the Company’s Current Report on Form 8-K filed October 12, 2007)</w:t>
              </w:r>
            </w:hyperlink>
          </w:p>
        </w:tc>
        <w:tc>
          <w:tcPr>
            <w:tcW w:w="1680" w:type="dxa"/>
            <w:vAlign w:val="bottom"/>
            <w:gridSpan w:val="20"/>
          </w:tcPr>
          <w:p>
            <w:pPr>
              <w:spacing w:after="0"/>
              <w:rPr>
                <w:sz w:val="17"/>
                <w:szCs w:val="17"/>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10.5</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760" w:type="dxa"/>
            <w:vAlign w:val="bottom"/>
            <w:tcBorders>
              <w:bottom w:val="single" w:sz="8" w:color="0000EE"/>
            </w:tcBorders>
            <w:gridSpan w:val="2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Rider to Add Principal/Indemnitor and Fifth Amendment, dated September 29, 2008, to Restated Underwriting, Continuing Indemnity,</w:t>
              </w:r>
            </w:hyperlink>
          </w:p>
        </w:tc>
        <w:tc>
          <w:tcPr>
            <w:tcW w:w="120" w:type="dxa"/>
            <w:vAlign w:val="bottom"/>
            <w:gridSpan w:val="4"/>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and Security Agreement, dated May 12, 2006, by Integrated Electrical Services, Inc. (n/k/a IES Holdings, Inc.), certain of its</w:t>
              </w:r>
            </w:hyperlink>
          </w:p>
        </w:tc>
        <w:tc>
          <w:tcPr>
            <w:tcW w:w="860" w:type="dxa"/>
            <w:vAlign w:val="bottom"/>
            <w:gridSpan w:val="1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subsidiaries and Federal Insurance Company and certain of its affiliates. (Incorporated by reference to Exhibit 10.1 to the Company’s</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Current Report on Form 8-K filed October 24, 2008)</w:t>
              </w:r>
            </w:hyperlink>
          </w:p>
        </w:tc>
        <w:tc>
          <w:tcPr>
            <w:tcW w:w="5780" w:type="dxa"/>
            <w:vAlign w:val="bottom"/>
            <w:tcBorders>
              <w:top w:val="single" w:sz="8" w:color="0000EE"/>
            </w:tcBorders>
            <w:gridSpan w:val="13"/>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10.6</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880" w:type="dxa"/>
            <w:vAlign w:val="bottom"/>
            <w:gridSpan w:val="28"/>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Agreement of Indemnity, dated May 7, 2010, by Integrated Electrical Services, Inc. (n/k/a IES Holdings, Inc.) and certain of its present</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and future subsidiaries and affiliates and Chartis Property Casualty Company, Chartis Insurance Company of Canada, American Home</w:t>
              </w:r>
            </w:hyperlink>
          </w:p>
        </w:tc>
        <w:tc>
          <w:tcPr>
            <w:tcW w:w="12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Assurance Company, Commerce and Industry Insurance Company, Granite State Insurance Company, Lexington Insurance Company,</w:t>
              </w:r>
            </w:hyperlink>
          </w:p>
        </w:tc>
        <w:tc>
          <w:tcPr>
            <w:tcW w:w="180" w:type="dxa"/>
            <w:vAlign w:val="bottom"/>
            <w:gridSpan w:val="6"/>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National Union Fire Insurance Company of Pittsburgh, Pa., New Hampshire Insurance Company and The Insurance Company of the</w:t>
              </w:r>
            </w:hyperlink>
          </w:p>
        </w:tc>
        <w:tc>
          <w:tcPr>
            <w:tcW w:w="80" w:type="dxa"/>
            <w:vAlign w:val="bottom"/>
            <w:tcBorders>
              <w:top w:val="single" w:sz="8" w:color="0000EE"/>
            </w:tcBorders>
            <w:gridSpan w:val="4"/>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State of Pennsylvania and any and all of their affiliates, subsidiaries, successors and assigns. (Incorporated by reference to Exhibit 10.1</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to the Company’s Current Report on Form 8-K filed May 13, 2010)</w:t>
              </w:r>
            </w:hyperlink>
          </w:p>
        </w:tc>
        <w:tc>
          <w:tcPr>
            <w:tcW w:w="160" w:type="dxa"/>
            <w:vAlign w:val="bottom"/>
            <w:gridSpan w:val="5"/>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10.7</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840" w:type="dxa"/>
            <w:vAlign w:val="bottom"/>
            <w:tcBorders>
              <w:bottom w:val="single" w:sz="8" w:color="0000EE"/>
            </w:tcBorders>
            <w:gridSpan w:val="26"/>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Amendment No. 1 to Agreement of Indemnity, dated August 16, 2012, between Integrated Electrical Services, Inc. (n/k/a IES Holdings,</w:t>
              </w:r>
            </w:hyperlink>
          </w:p>
        </w:tc>
        <w:tc>
          <w:tcPr>
            <w:tcW w:w="4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Inc.) and certain of its present and future subsidiaries and affiliates and Chartis Property Casualty Company, Chartis Insurance Company</w:t>
              </w:r>
            </w:hyperlink>
          </w:p>
        </w:tc>
        <w:tc>
          <w:tcPr>
            <w:tcW w:w="4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of Canada, American Home Assurance Company, Commerce and Industry Insurance Company, Granite State Insurance Company,</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510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Lexington Insurance Company, National Union Fire Insurance Company of Pittsburgh, Pa., New Hampshire Insurance Company and</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The Insurance Company of the State of Pennsylvania, and any and all of their affiliates, subsidiaries, successors and assigns</w:t>
              </w:r>
            </w:hyperlink>
          </w:p>
        </w:tc>
        <w:tc>
          <w:tcPr>
            <w:tcW w:w="660" w:type="dxa"/>
            <w:vAlign w:val="bottom"/>
            <w:tcBorders>
              <w:top w:val="single" w:sz="8" w:color="0000EE"/>
            </w:tcBorders>
            <w:gridSpan w:val="8"/>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1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(Incorporated by reference to Exhibit 10.1 to the Company’s Current Report on Form 8-K filed August 17, 2012)</w:t>
              </w:r>
            </w:hyperlink>
          </w:p>
        </w:tc>
        <w:tc>
          <w:tcPr>
            <w:tcW w:w="1740" w:type="dxa"/>
            <w:vAlign w:val="bottom"/>
            <w:gridSpan w:val="21"/>
          </w:tcPr>
          <w:p>
            <w:pPr>
              <w:spacing w:after="0"/>
              <w:rPr>
                <w:sz w:val="17"/>
                <w:szCs w:val="17"/>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10.8</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880" w:type="dxa"/>
            <w:vAlign w:val="bottom"/>
            <w:gridSpan w:val="28"/>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Agreement of Indemnity, dated May 7, 2013, by Integrated Electrical Services, Inc. (n/k/a IES Holdings, Inc.) and certain of its present</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and future subsidiaries and affiliates and XL Specialty Insurance Company, XL Reinsurance America, Inc. and Greenwich Insurance</w:t>
              </w:r>
            </w:hyperlink>
          </w:p>
        </w:tc>
        <w:tc>
          <w:tcPr>
            <w:tcW w:w="200" w:type="dxa"/>
            <w:vAlign w:val="bottom"/>
            <w:tcBorders>
              <w:top w:val="single" w:sz="8" w:color="0000EE"/>
            </w:tcBorders>
            <w:gridSpan w:val="8"/>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Company and their affiliates, subsidiaries, successors and assigns. (Incorporated by reference to Exhibit 10.1 to the Company’s Quarterly</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Report on Form 10-Q filed May 13, 2013)</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04"/>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10.9</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9680" w:type="dxa"/>
            <w:vAlign w:val="bottom"/>
            <w:tcBorders>
              <w:bottom w:val="single" w:sz="8" w:color="0000EE"/>
            </w:tcBorders>
            <w:gridSpan w:val="21"/>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Agreement of Indemnity, September 9, 2016, by IES Holdings, Inc. and certain of its present and future subsidiaries and affiliates and</w:t>
              </w:r>
            </w:hyperlink>
          </w:p>
        </w:tc>
        <w:tc>
          <w:tcPr>
            <w:tcW w:w="200" w:type="dxa"/>
            <w:vAlign w:val="bottom"/>
            <w:gridSpan w:val="7"/>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Everest Reinsurance Company and Everest National Insurance Company, and their affiliated, associated and subsidiary companies,</w:t>
              </w:r>
            </w:hyperlink>
          </w:p>
        </w:tc>
        <w:tc>
          <w:tcPr>
            <w:tcW w:w="440" w:type="dxa"/>
            <w:vAlign w:val="bottom"/>
            <w:gridSpan w:val="1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successors and assigns. (Incorporated by reference to Exhibit 10.1 to the Company’s Current Report on Form 8-K filed September 13,</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6">
              <w:r>
                <w:rPr>
                  <w:rFonts w:ascii="Arial" w:cs="Arial" w:eastAsia="Arial" w:hAnsi="Arial"/>
                  <w:sz w:val="18"/>
                  <w:szCs w:val="18"/>
                  <w:color w:val="0000EE"/>
                  <w:w w:val="86"/>
                </w:rPr>
                <w:t>2016)</w:t>
              </w:r>
            </w:hyperlink>
          </w:p>
        </w:tc>
        <w:tc>
          <w:tcPr>
            <w:tcW w:w="9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gridSpan w:val="5"/>
          </w:tcPr>
          <w:p>
            <w:pPr>
              <w:ind w:left="4300"/>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40" w:right="80" w:hanging="1016"/>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tab/>
        <w:t xml:space="preserve">— </w:t>
      </w:r>
      <w:hyperlink r:id="rId128">
        <w:r>
          <w:rPr>
            <w:rFonts w:ascii="Arial" w:cs="Arial" w:eastAsia="Arial" w:hAnsi="Arial"/>
            <w:sz w:val="18"/>
            <w:szCs w:val="18"/>
            <w:u w:val="single" w:color="auto"/>
            <w:color w:val="0000EE"/>
          </w:rPr>
          <w:t>General Agreement of Indemnity, July 14, 2017, by IES Holdings, Inc. and certain of its present and future subsidiaries and affiliates</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EE"/>
          </w:rPr>
          <w:t>and Travelers Casualty and Surety Company of America, St. Paul Fire and Marine Insurance Company, and their affiliated, associated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and subsidiary companies, successors and assigns. (Incorporated by reference to Exhibit 10.1 to the Company’s Current Report on Form</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8-K filed July 14, 2017)</w:t>
        </w:r>
      </w:hyperlink>
    </w:p>
    <w:p>
      <w:pPr>
        <w:spacing w:after="0" w:line="79" w:lineRule="exact"/>
        <w:rPr>
          <w:rFonts w:ascii="Arial" w:cs="Arial" w:eastAsia="Arial" w:hAnsi="Arial"/>
          <w:sz w:val="18"/>
          <w:szCs w:val="18"/>
          <w:u w:val="single" w:color="auto"/>
          <w:color w:val="0000EE"/>
        </w:rPr>
      </w:pPr>
    </w:p>
    <w:p>
      <w:pPr>
        <w:jc w:val="both"/>
        <w:ind w:left="940" w:right="220" w:hanging="101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tab/>
        <w:t xml:space="preserve">— </w:t>
      </w:r>
      <w:hyperlink r:id="rId129">
        <w:r>
          <w:rPr>
            <w:rFonts w:ascii="Arial" w:cs="Arial" w:eastAsia="Arial" w:hAnsi="Arial"/>
            <w:sz w:val="18"/>
            <w:szCs w:val="18"/>
            <w:u w:val="single" w:color="auto"/>
            <w:color w:val="0000EE"/>
          </w:rPr>
          <w:t>Second Amended and Restated Credit and Security Agreement, dated as of April 10, 2017, by and among IES Holdings, Inc., each of</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EE"/>
          </w:rPr>
          <w:t>the other Borrowers and Guarantors named therein and Wells Fargo Bank, National Association. (Incorporated by reference to Exhibit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10.1 to the Company’s Current Report on Form 8-K filed April 10, 2017)</w:t>
        </w:r>
      </w:hyperlink>
    </w:p>
    <w:p>
      <w:pPr>
        <w:spacing w:after="0" w:line="73" w:lineRule="exact"/>
        <w:rPr>
          <w:rFonts w:ascii="Arial" w:cs="Arial" w:eastAsia="Arial" w:hAnsi="Arial"/>
          <w:sz w:val="18"/>
          <w:szCs w:val="18"/>
          <w:color w:val="auto"/>
        </w:rPr>
      </w:pPr>
    </w:p>
    <w:p>
      <w:pPr>
        <w:ind w:left="940" w:right="160" w:hanging="1016"/>
        <w:spacing w:after="0" w:line="312"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EE"/>
          </w:rPr>
          <w:t>Joinder, Limited Consent and First Amendment to Second Amended and Restated Credit and Security Agreement, dated as of July 14,</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EE"/>
          </w:rPr>
          <w:t>2017, by and among IES Holdings, Inc., each of the other Borrowers and Guarantors named therein and Wells Fargo Bank, National</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Association. (Incorporated by reference to Exhibit 10.2 to the Company’s Quarterly Report on Form 10-Q filed on August 4, 2017)</w:t>
        </w:r>
      </w:hyperlink>
    </w:p>
    <w:p>
      <w:pPr>
        <w:spacing w:after="0" w:line="39" w:lineRule="exact"/>
        <w:rPr>
          <w:rFonts w:ascii="Arial" w:cs="Arial" w:eastAsia="Arial" w:hAnsi="Arial"/>
          <w:sz w:val="16"/>
          <w:szCs w:val="16"/>
          <w:color w:val="auto"/>
        </w:rPr>
      </w:pPr>
    </w:p>
    <w:p>
      <w:pPr>
        <w:ind w:left="940" w:right="160" w:hanging="1016"/>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tab/>
        <w:t xml:space="preserve">— </w:t>
      </w:r>
      <w:hyperlink r:id="rId131">
        <w:r>
          <w:rPr>
            <w:rFonts w:ascii="Arial" w:cs="Arial" w:eastAsia="Arial" w:hAnsi="Arial"/>
            <w:sz w:val="18"/>
            <w:szCs w:val="18"/>
            <w:u w:val="single" w:color="auto"/>
            <w:color w:val="0000EE"/>
          </w:rPr>
          <w:t>Second Amendment to the Amended Credit Agreement, dated as of August 2, 2017, to Second Amended and Restated Credit and</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EE"/>
          </w:rPr>
          <w:t>Security Agreement, dated as of April 10, 2017, by and among IES Holdings, Inc., each of the other Borrowers and Guarantors named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therein and Wells Fargo Bank, National Association. (Incorporated by reference to Exhibit 10.4 to the Company’s Quarterly Report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Form 10-Q filed on August 4, 2017)</w:t>
        </w:r>
      </w:hyperlink>
    </w:p>
    <w:p>
      <w:pPr>
        <w:spacing w:after="0" w:line="79" w:lineRule="exact"/>
        <w:rPr>
          <w:rFonts w:ascii="Arial" w:cs="Arial" w:eastAsia="Arial" w:hAnsi="Arial"/>
          <w:sz w:val="18"/>
          <w:szCs w:val="18"/>
          <w:u w:val="single" w:color="auto"/>
          <w:color w:val="0000EE"/>
        </w:rPr>
      </w:pPr>
    </w:p>
    <w:p>
      <w:pPr>
        <w:ind w:left="940" w:hanging="101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tab/>
        <w:t xml:space="preserve">— </w:t>
      </w:r>
      <w:hyperlink r:id="rId132">
        <w:r>
          <w:rPr>
            <w:rFonts w:ascii="Arial" w:cs="Arial" w:eastAsia="Arial" w:hAnsi="Arial"/>
            <w:sz w:val="18"/>
            <w:szCs w:val="18"/>
            <w:u w:val="single" w:color="auto"/>
            <w:color w:val="0000EE"/>
          </w:rPr>
          <w:t>Third Amendment to Second Amended and Restated Credit and Security Agreement, dated as of July 23, 2018, by and among IES</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Holdings, Inc., each of the other Borrowers and Guarantors named therein and Wells Fargo Bank, National Association. (Incorporated by</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reference to Exhibit 10.1 to the Company’s Current Report on Form 8-K filed on July 23, 2018)</w:t>
        </w:r>
      </w:hyperlink>
    </w:p>
    <w:p>
      <w:pPr>
        <w:spacing w:after="0" w:line="73" w:lineRule="exact"/>
        <w:rPr>
          <w:rFonts w:ascii="Arial" w:cs="Arial" w:eastAsia="Arial" w:hAnsi="Arial"/>
          <w:sz w:val="18"/>
          <w:szCs w:val="18"/>
          <w:color w:val="auto"/>
        </w:rPr>
      </w:pPr>
    </w:p>
    <w:p>
      <w:pPr>
        <w:ind w:left="940" w:right="600" w:hanging="1016"/>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10.15</w:t>
        <w:tab/>
        <w:t xml:space="preserve">— </w:t>
      </w:r>
      <w:hyperlink r:id="rId133">
        <w:r>
          <w:rPr>
            <w:rFonts w:ascii="Arial" w:cs="Arial" w:eastAsia="Arial" w:hAnsi="Arial"/>
            <w:sz w:val="18"/>
            <w:szCs w:val="18"/>
            <w:u w:val="single" w:color="auto"/>
            <w:color w:val="0000EE"/>
          </w:rPr>
          <w:t>Sublease Agreement between Tontine Associates, L.L.C. and IES Shared Services, Inc., dated March 29, 2012. (Incorporated by</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reference to Exhibit 3.1 to the Company’s Quarterly Report on Form 10-Q filed on May 15, 2012)</w:t>
        </w:r>
      </w:hyperlink>
    </w:p>
    <w:p>
      <w:pPr>
        <w:spacing w:after="0" w:line="62" w:lineRule="exact"/>
        <w:rPr>
          <w:sz w:val="20"/>
          <w:szCs w:val="20"/>
          <w:color w:val="auto"/>
        </w:rPr>
      </w:pPr>
    </w:p>
    <w:p>
      <w:pPr>
        <w:jc w:val="both"/>
        <w:ind w:left="940" w:right="80" w:hanging="101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tab/>
        <w:t xml:space="preserve">— </w:t>
      </w:r>
      <w:hyperlink r:id="rId134">
        <w:r>
          <w:rPr>
            <w:rFonts w:ascii="Arial" w:cs="Arial" w:eastAsia="Arial" w:hAnsi="Arial"/>
            <w:sz w:val="18"/>
            <w:szCs w:val="18"/>
            <w:u w:val="single" w:color="auto"/>
            <w:color w:val="0000EE"/>
          </w:rPr>
          <w:t>First Amendment between Tontine Associates, L.L.C., IES Shared Services, Inc. and IES Management ROO, LP, dated as of March 31,</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2016, to Sublease Agreement between Tontine Associates, L.L.C., and IES Shared Services, Inc., dated March 29, 2012. (Incorporated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by reference to Exhibit 10.5 to the Company’s Quarterly Report on Form 10-Q filed on May 9, 2016)</w:t>
        </w:r>
      </w:hyperlink>
    </w:p>
    <w:p>
      <w:pPr>
        <w:spacing w:after="0" w:line="73"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10.17</w:t>
        <w:tab/>
        <w:t>—</w:t>
      </w:r>
      <w:r>
        <w:rPr>
          <w:sz w:val="20"/>
          <w:szCs w:val="20"/>
          <w:color w:val="auto"/>
        </w:rPr>
        <w:tab/>
      </w:r>
      <w:hyperlink w:anchor="page96">
        <w:r>
          <w:rPr>
            <w:rFonts w:ascii="Arial" w:cs="Arial" w:eastAsia="Arial" w:hAnsi="Arial"/>
            <w:sz w:val="16"/>
            <w:szCs w:val="16"/>
            <w:u w:val="single" w:color="auto"/>
            <w:color w:val="0000EE"/>
          </w:rPr>
          <w:t xml:space="preserve">Board Observer Letter Agreement between Tontine Associates, L.L.C. and IES Holdings, Inc., dated December 6, 2018. </w:t>
        </w:r>
        <w:r>
          <w:rPr>
            <w:rFonts w:ascii="Arial" w:cs="Arial" w:eastAsia="Arial" w:hAnsi="Arial"/>
            <w:sz w:val="13"/>
            <w:szCs w:val="13"/>
            <w:u w:val="single" w:color="auto"/>
            <w:color w:val="0000EE"/>
          </w:rPr>
          <w:t>(1)</w:t>
        </w:r>
      </w:hyperlink>
    </w:p>
    <w:p>
      <w:pPr>
        <w:spacing w:after="0" w:line="117" w:lineRule="exact"/>
        <w:rPr>
          <w:rFonts w:ascii="Arial" w:cs="Arial" w:eastAsia="Arial" w:hAnsi="Arial"/>
          <w:sz w:val="18"/>
          <w:szCs w:val="18"/>
          <w:color w:val="auto"/>
        </w:rPr>
      </w:pPr>
    </w:p>
    <w:p>
      <w:pPr>
        <w:ind w:left="2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*10.18</w:t>
        <w:tab/>
        <w:t>—</w:t>
      </w:r>
      <w:r>
        <w:rPr>
          <w:sz w:val="20"/>
          <w:szCs w:val="20"/>
          <w:color w:val="auto"/>
        </w:rPr>
        <w:tab/>
      </w:r>
      <w:hyperlink r:id="rId135">
        <w:r>
          <w:rPr>
            <w:rFonts w:ascii="Arial" w:cs="Arial" w:eastAsia="Arial" w:hAnsi="Arial"/>
            <w:sz w:val="16"/>
            <w:szCs w:val="16"/>
            <w:u w:val="single" w:color="auto"/>
            <w:color w:val="0000EE"/>
          </w:rPr>
          <w:t>Term Life Insurance Plan. (Incorporated by reference to Exhibit 10.3 to the Company’s Current Report on Form 8-K filed October 17,</w:t>
        </w:r>
      </w:hyperlink>
    </w:p>
    <w:p>
      <w:pPr>
        <w:spacing w:after="0" w:line="23" w:lineRule="exact"/>
        <w:rPr>
          <w:rFonts w:ascii="Arial" w:cs="Arial" w:eastAsia="Arial" w:hAnsi="Arial"/>
          <w:sz w:val="18"/>
          <w:szCs w:val="18"/>
          <w:color w:val="auto"/>
        </w:rPr>
      </w:pPr>
    </w:p>
    <w:p>
      <w:pPr>
        <w:ind w:left="1320"/>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2007)</w:t>
        </w:r>
      </w:hyperlink>
    </w:p>
    <w:p>
      <w:pPr>
        <w:spacing w:after="0" w:line="103" w:lineRule="exact"/>
        <w:rPr>
          <w:rFonts w:ascii="Arial" w:cs="Arial" w:eastAsia="Arial" w:hAnsi="Arial"/>
          <w:sz w:val="18"/>
          <w:szCs w:val="18"/>
          <w:color w:val="auto"/>
        </w:rPr>
      </w:pPr>
    </w:p>
    <w:p>
      <w:pPr>
        <w:jc w:val="center"/>
        <w:ind w:right="38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*10.19   —  </w:t>
      </w:r>
      <w:hyperlink r:id="rId136">
        <w:r>
          <w:rPr>
            <w:rFonts w:ascii="Arial" w:cs="Arial" w:eastAsia="Arial" w:hAnsi="Arial"/>
            <w:sz w:val="18"/>
            <w:szCs w:val="18"/>
            <w:u w:val="single" w:color="auto"/>
            <w:color w:val="0000EE"/>
          </w:rPr>
          <w:t>Integrated Electrical Services, Inc. (n/k/a IES Holdings, Inc.) 2006 Equity Incentive Plan, as amended and restated through 2007.</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(Incorporated by reference to Exhibit 10.1 to the Company’s Current Report on Form 8-K filed October 17, 2007)</w:t>
        </w:r>
      </w:hyperlink>
    </w:p>
    <w:p>
      <w:pPr>
        <w:spacing w:after="0" w:line="62" w:lineRule="exact"/>
        <w:rPr>
          <w:sz w:val="20"/>
          <w:szCs w:val="20"/>
          <w:color w:val="auto"/>
        </w:rPr>
      </w:pPr>
    </w:p>
    <w:p>
      <w:pPr>
        <w:ind w:left="940" w:right="140" w:hanging="110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tab/>
        <w:t xml:space="preserve">— </w:t>
      </w:r>
      <w:hyperlink r:id="rId137">
        <w:r>
          <w:rPr>
            <w:rFonts w:ascii="Arial" w:cs="Arial" w:eastAsia="Arial" w:hAnsi="Arial"/>
            <w:sz w:val="18"/>
            <w:szCs w:val="18"/>
            <w:u w:val="single" w:color="auto"/>
            <w:color w:val="0000EE"/>
          </w:rPr>
          <w:t>Form of Performance-Based Phantom Stock Unit Award Agreement under the Company’s 2006 Equity Incentive Plan, as amended and</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restated through 2007. (Incorporated by reference to Exhibit 10.1 to the Company’s Quarterly Report on Form 10-Q filed February 8,</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2016)</w:t>
        </w:r>
      </w:hyperlink>
    </w:p>
    <w:p>
      <w:pPr>
        <w:spacing w:after="0" w:line="73" w:lineRule="exact"/>
        <w:rPr>
          <w:rFonts w:ascii="Arial" w:cs="Arial" w:eastAsia="Arial" w:hAnsi="Arial"/>
          <w:sz w:val="18"/>
          <w:szCs w:val="18"/>
          <w:color w:val="auto"/>
        </w:rPr>
      </w:pPr>
    </w:p>
    <w:p>
      <w:pPr>
        <w:ind w:left="2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*10.21</w:t>
        <w:tab/>
        <w:t>—</w:t>
      </w:r>
      <w:r>
        <w:rPr>
          <w:sz w:val="20"/>
          <w:szCs w:val="20"/>
          <w:color w:val="auto"/>
        </w:rPr>
        <w:tab/>
      </w:r>
      <w:hyperlink r:id="rId138">
        <w:r>
          <w:rPr>
            <w:rFonts w:ascii="Arial" w:cs="Arial" w:eastAsia="Arial" w:hAnsi="Arial"/>
            <w:sz w:val="16"/>
            <w:szCs w:val="16"/>
            <w:u w:val="single" w:color="auto"/>
            <w:color w:val="0000EE"/>
          </w:rPr>
          <w:t>Integrated Electrical Services, Inc. (n/k/a IES Holdings, Inc.) Amended and Restated 2006 Equity Incentive Plan (as of February 9,</w:t>
        </w:r>
      </w:hyperlink>
    </w:p>
    <w:p>
      <w:pPr>
        <w:spacing w:after="0" w:line="23" w:lineRule="exact"/>
        <w:rPr>
          <w:rFonts w:ascii="Arial" w:cs="Arial" w:eastAsia="Arial" w:hAnsi="Arial"/>
          <w:sz w:val="18"/>
          <w:szCs w:val="18"/>
          <w:color w:val="auto"/>
        </w:rPr>
      </w:pPr>
    </w:p>
    <w:p>
      <w:pPr>
        <w:ind w:left="132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2016) (Incorporated by reference to Exhibit A to the Company’s Definitive Proxy Statement filed on December 28, 2015)</w:t>
        </w:r>
      </w:hyperlink>
    </w:p>
    <w:p>
      <w:pPr>
        <w:spacing w:after="0" w:line="103" w:lineRule="exact"/>
        <w:rPr>
          <w:rFonts w:ascii="Arial" w:cs="Arial" w:eastAsia="Arial" w:hAnsi="Arial"/>
          <w:sz w:val="18"/>
          <w:szCs w:val="18"/>
          <w:color w:val="auto"/>
        </w:rPr>
      </w:pPr>
    </w:p>
    <w:p>
      <w:pPr>
        <w:ind w:left="940" w:right="100" w:hanging="1106"/>
        <w:spacing w:after="0" w:line="308"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Form of Phantom Stock Unit Award under the Company’s Amended and Restated 2006 Equity Incentive Plan (as of February 9, 2016).</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(Incorporated by reference to Exhibit 10.4 to the Company’s Quarterly Report on Form 10-Q filed May 9, 2016)</w:t>
        </w:r>
      </w:hyperlink>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*10.23</w:t>
        <w:tab/>
        <w:t>—</w:t>
      </w:r>
      <w:r>
        <w:rPr>
          <w:sz w:val="20"/>
          <w:szCs w:val="20"/>
          <w:color w:val="auto"/>
        </w:rPr>
        <w:tab/>
      </w:r>
      <w:hyperlink r:id="rId141">
        <w:r>
          <w:rPr>
            <w:rFonts w:ascii="Arial" w:cs="Arial" w:eastAsia="Arial" w:hAnsi="Arial"/>
            <w:sz w:val="16"/>
            <w:szCs w:val="16"/>
            <w:u w:val="single" w:color="auto"/>
            <w:color w:val="0000EE"/>
          </w:rPr>
          <w:t>Form of Stock Option Award Agreement under the Company’s Amended and Restated 2006 Equity Incentive Plan (as of February 9,</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2016). (Incorporated by reference to Exhibit 10.3 to the Company’s Quarterly Report on Form 10-Q filed on May 9, 2016)</w:t>
        </w:r>
      </w:hyperlink>
    </w:p>
    <w:p>
      <w:pPr>
        <w:spacing w:after="0" w:line="103" w:lineRule="exact"/>
        <w:rPr>
          <w:sz w:val="20"/>
          <w:szCs w:val="20"/>
          <w:color w:val="auto"/>
        </w:rPr>
      </w:pPr>
    </w:p>
    <w:p>
      <w:pPr>
        <w:ind w:left="2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*10.24</w:t>
        <w:tab/>
        <w:t>—</w:t>
      </w:r>
      <w:r>
        <w:rPr>
          <w:sz w:val="20"/>
          <w:szCs w:val="20"/>
          <w:color w:val="auto"/>
        </w:rPr>
        <w:tab/>
      </w:r>
      <w:hyperlink r:id="rId142">
        <w:r>
          <w:rPr>
            <w:rFonts w:ascii="Arial" w:cs="Arial" w:eastAsia="Arial" w:hAnsi="Arial"/>
            <w:sz w:val="16"/>
            <w:szCs w:val="16"/>
            <w:u w:val="single" w:color="auto"/>
            <w:color w:val="0000EE"/>
          </w:rPr>
          <w:t>Form of Restricted Stock Award Agreement under the Company’s Amended and Restated 2006 Equity Incentive Plan (as of February 9,</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2016). (Incorporated by reference to Exhibit 10.2 to the Company’s Quarterly Report on Form 10-Q filed May 9, 2016)</w:t>
        </w:r>
      </w:hyperlink>
    </w:p>
    <w:p>
      <w:pPr>
        <w:spacing w:after="0" w:line="103" w:lineRule="exact"/>
        <w:rPr>
          <w:sz w:val="20"/>
          <w:szCs w:val="20"/>
          <w:color w:val="auto"/>
        </w:rPr>
      </w:pPr>
    </w:p>
    <w:p>
      <w:pPr>
        <w:ind w:left="940" w:right="20" w:hanging="110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*10.25</w:t>
        <w:tab/>
        <w:t xml:space="preserve">— </w:t>
      </w:r>
      <w:hyperlink r:id="rId143">
        <w:r>
          <w:rPr>
            <w:rFonts w:ascii="Arial" w:cs="Arial" w:eastAsia="Arial" w:hAnsi="Arial"/>
            <w:sz w:val="18"/>
            <w:szCs w:val="18"/>
            <w:u w:val="single" w:color="auto"/>
            <w:color w:val="0000EE"/>
          </w:rPr>
          <w:t>Performance-Based Phantom Stock Unit Award Agreement, dated as of June 6, 2016, by and between the Company and Mr. Santoni,</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under the Company’s Amended and Restated 2006 Equity Incentive Plan (as of February 9, 2016). (Incorporated by reference to Exhibit</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10.1 to the Company’s Current Report on Form 8-K filed June 7, 2016)</w:t>
        </w:r>
      </w:hyperlink>
    </w:p>
    <w:p>
      <w:pPr>
        <w:spacing w:after="0" w:line="73" w:lineRule="exact"/>
        <w:rPr>
          <w:rFonts w:ascii="Arial" w:cs="Arial" w:eastAsia="Arial" w:hAnsi="Arial"/>
          <w:sz w:val="18"/>
          <w:szCs w:val="18"/>
          <w:color w:val="auto"/>
        </w:rPr>
      </w:pPr>
    </w:p>
    <w:p>
      <w:pPr>
        <w:ind w:left="940" w:right="60" w:hanging="1106"/>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*10.26</w:t>
        <w:tab/>
        <w:t xml:space="preserve">— </w:t>
      </w:r>
      <w:hyperlink r:id="rId144">
        <w:r>
          <w:rPr>
            <w:rFonts w:ascii="Arial" w:cs="Arial" w:eastAsia="Arial" w:hAnsi="Arial"/>
            <w:sz w:val="18"/>
            <w:szCs w:val="18"/>
            <w:u w:val="single" w:color="auto"/>
            <w:color w:val="0000EE"/>
          </w:rPr>
          <w:t>Performance-Based Phantom Cash Unit Award Agreement, dated as of June 6, 2016, by and between the Company and Mr. Santoni,</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under the Company’s Amended and Restated 2006 Equity Incentive Plan (as of February 9, 2016) (Incorporated by reference to Exhibit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10.2 to the Company’s Current Report on Form 8-K filed June 7, 2016)</w:t>
        </w:r>
      </w:hyperlink>
    </w:p>
    <w:p>
      <w:pPr>
        <w:spacing w:after="0" w:line="73" w:lineRule="exact"/>
        <w:rPr>
          <w:rFonts w:ascii="Arial" w:cs="Arial" w:eastAsia="Arial" w:hAnsi="Arial"/>
          <w:sz w:val="18"/>
          <w:szCs w:val="18"/>
          <w:color w:val="auto"/>
        </w:rPr>
      </w:pPr>
    </w:p>
    <w:p>
      <w:pPr>
        <w:ind w:left="940" w:hanging="1106"/>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*10.27</w:t>
        <w:tab/>
        <w:t xml:space="preserve">— </w:t>
      </w:r>
      <w:hyperlink r:id="rId145">
        <w:r>
          <w:rPr>
            <w:rFonts w:ascii="Arial" w:cs="Arial" w:eastAsia="Arial" w:hAnsi="Arial"/>
            <w:sz w:val="18"/>
            <w:szCs w:val="18"/>
            <w:u w:val="single" w:color="auto"/>
            <w:color w:val="0000EE"/>
          </w:rPr>
          <w:t>Amended and Restated 2009 Deferred Compensation Plan. (Incorporated by reference to Exhibit 10.34 to the Company’s Annual Report</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on Form 10-K filed December 15, 2008)</w:t>
        </w:r>
      </w:hyperlink>
    </w:p>
    <w:p>
      <w:pPr>
        <w:spacing w:after="0" w:line="62" w:lineRule="exact"/>
        <w:rPr>
          <w:sz w:val="20"/>
          <w:szCs w:val="20"/>
          <w:color w:val="auto"/>
        </w:rPr>
      </w:pPr>
    </w:p>
    <w:p>
      <w:pPr>
        <w:ind w:left="940" w:right="420" w:hanging="1106"/>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*10.28</w:t>
        <w:tab/>
        <w:t xml:space="preserve">— </w:t>
      </w:r>
      <w:hyperlink r:id="rId146">
        <w:r>
          <w:rPr>
            <w:rFonts w:ascii="Arial" w:cs="Arial" w:eastAsia="Arial" w:hAnsi="Arial"/>
            <w:sz w:val="18"/>
            <w:szCs w:val="18"/>
            <w:u w:val="single" w:color="auto"/>
            <w:color w:val="0000EE"/>
          </w:rPr>
          <w:t>Integrated Electrical Services, Inc. (n/k/a IES Holdings, Inc.) Long Term Incentive Plan, as amended and restated. (Incorporated by</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reference to Exhibit 10.2 to the Company’s Current Report on Form 8-K filed September 23, 2009)</w:t>
        </w:r>
      </w:hyperlink>
    </w:p>
    <w:p>
      <w:pPr>
        <w:spacing w:after="0" w:line="62" w:lineRule="exact"/>
        <w:rPr>
          <w:sz w:val="20"/>
          <w:szCs w:val="20"/>
          <w:color w:val="auto"/>
        </w:rPr>
      </w:pPr>
    </w:p>
    <w:p>
      <w:pPr>
        <w:ind w:left="940" w:right="380" w:hanging="1106"/>
        <w:spacing w:after="0" w:line="264" w:lineRule="auto"/>
        <w:tabs>
          <w:tab w:leader="none" w:pos="920" w:val="left"/>
        </w:tabs>
        <w:rPr>
          <w:rFonts w:ascii="Arial" w:cs="Arial" w:eastAsia="Arial" w:hAnsi="Arial"/>
          <w:sz w:val="18"/>
          <w:szCs w:val="18"/>
          <w:color w:val="0000EE"/>
        </w:rPr>
      </w:pPr>
      <w:r>
        <w:rPr>
          <w:rFonts w:ascii="Arial" w:cs="Arial" w:eastAsia="Arial" w:hAnsi="Arial"/>
          <w:sz w:val="18"/>
          <w:szCs w:val="18"/>
          <w:color w:val="auto"/>
        </w:rPr>
        <w:t>*10.29</w:t>
        <w:tab/>
        <w:t xml:space="preserve">— </w:t>
      </w:r>
      <w:hyperlink r:id="rId147">
        <w:r>
          <w:rPr>
            <w:rFonts w:ascii="Arial" w:cs="Arial" w:eastAsia="Arial" w:hAnsi="Arial"/>
            <w:sz w:val="18"/>
            <w:szCs w:val="18"/>
            <w:u w:val="single" w:color="auto"/>
            <w:color w:val="0000EE"/>
          </w:rPr>
          <w:t>Amended and Restated Integrated Electrical Services, Inc. (n/k/a IES Holdings, Inc.) Executive Severance Benefit Plan, effective</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January 12, 2016. (Incorporated by reference to Exhibit 10.30 to the Company’s Annual Report on Form 10-K filed on December 9,</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2016)</w:t>
        </w:r>
        <w:r>
          <w:rPr>
            <w:rFonts w:ascii="Arial" w:cs="Arial" w:eastAsia="Arial" w:hAnsi="Arial"/>
            <w:sz w:val="18"/>
            <w:szCs w:val="18"/>
            <w:color w:val="000000"/>
          </w:rPr>
          <w:t>.</w:t>
        </w:r>
      </w:hyperlink>
    </w:p>
    <w:p>
      <w:pPr>
        <w:spacing w:after="0" w:line="73"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sz w:val="20"/>
          <w:szCs w:val="20"/>
          <w:color w:val="auto"/>
        </w:rPr>
        <w:tab/>
      </w:r>
      <w:hyperlink w:anchor="page100">
        <w:r>
          <w:rPr>
            <w:rFonts w:ascii="Arial" w:cs="Arial" w:eastAsia="Arial" w:hAnsi="Arial"/>
            <w:sz w:val="16"/>
            <w:szCs w:val="16"/>
            <w:u w:val="single" w:color="auto"/>
            <w:color w:val="0000EE"/>
          </w:rPr>
          <w:t xml:space="preserve">Subsidiaries of the Registrant </w:t>
        </w:r>
        <w:r>
          <w:rPr>
            <w:rFonts w:ascii="Arial" w:cs="Arial" w:eastAsia="Arial" w:hAnsi="Arial"/>
            <w:sz w:val="13"/>
            <w:szCs w:val="13"/>
            <w:color w:val="0000EE"/>
          </w:rPr>
          <w: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2181860</wp:posOffset>
            </wp:positionH>
            <wp:positionV relativeFrom="paragraph">
              <wp:posOffset>-27305</wp:posOffset>
            </wp:positionV>
            <wp:extent cx="1377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hyperlink w:anchor="page101">
        <w:r>
          <w:rPr>
            <w:rFonts w:ascii="Arial" w:cs="Arial" w:eastAsia="Arial" w:hAnsi="Arial"/>
            <w:sz w:val="16"/>
            <w:szCs w:val="16"/>
            <w:u w:val="single" w:color="auto"/>
            <w:color w:val="0000EE"/>
          </w:rPr>
          <w:t xml:space="preserve">Consent of Ernst &amp; Young LLP </w:t>
        </w:r>
        <w:r>
          <w:rPr>
            <w:rFonts w:ascii="Arial" w:cs="Arial" w:eastAsia="Arial" w:hAnsi="Arial"/>
            <w:sz w:val="13"/>
            <w:szCs w:val="13"/>
            <w:color w:val="0000EE"/>
          </w:rPr>
          <w: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2278380</wp:posOffset>
            </wp:positionH>
            <wp:positionV relativeFrom="paragraph">
              <wp:posOffset>-27305</wp:posOffset>
            </wp:positionV>
            <wp:extent cx="1377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w:t>
      </w:r>
      <w:r>
        <w:rPr>
          <w:sz w:val="20"/>
          <w:szCs w:val="20"/>
          <w:color w:val="auto"/>
        </w:rPr>
        <w:tab/>
      </w:r>
      <w:hyperlink w:anchor="page102">
        <w:r>
          <w:rPr>
            <w:rFonts w:ascii="Arial" w:cs="Arial" w:eastAsia="Arial" w:hAnsi="Arial"/>
            <w:sz w:val="16"/>
            <w:szCs w:val="16"/>
            <w:u w:val="single" w:color="auto"/>
            <w:color w:val="0000EE"/>
          </w:rPr>
          <w:t xml:space="preserve">Rule 13a-14(a)/15d-14(a) Certification of Robert W. Lewey, President </w:t>
        </w:r>
        <w:r>
          <w:rPr>
            <w:rFonts w:ascii="Arial" w:cs="Arial" w:eastAsia="Arial" w:hAnsi="Arial"/>
            <w:sz w:val="13"/>
            <w:szCs w:val="13"/>
            <w:u w:val="single" w:color="auto"/>
            <w:color w:val="0000EE"/>
          </w:rPr>
          <w:t>(1)</w:t>
        </w:r>
      </w:hyperlink>
    </w:p>
    <w:p>
      <w:pPr>
        <w:spacing w:after="0" w:line="117"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w:t>
      </w:r>
      <w:r>
        <w:rPr>
          <w:sz w:val="20"/>
          <w:szCs w:val="20"/>
          <w:color w:val="auto"/>
        </w:rPr>
        <w:tab/>
      </w:r>
      <w:hyperlink w:anchor="page103">
        <w:r>
          <w:rPr>
            <w:rFonts w:ascii="Arial" w:cs="Arial" w:eastAsia="Arial" w:hAnsi="Arial"/>
            <w:sz w:val="16"/>
            <w:szCs w:val="16"/>
            <w:u w:val="single" w:color="auto"/>
            <w:color w:val="0000EE"/>
          </w:rPr>
          <w:t xml:space="preserve">Rule 13a-14(a)/15d-14(a) Certification of Tracy A. McLauchlin, Chief Financial Officer </w:t>
        </w:r>
        <w:r>
          <w:rPr>
            <w:rFonts w:ascii="Arial" w:cs="Arial" w:eastAsia="Arial" w:hAnsi="Arial"/>
            <w:sz w:val="13"/>
            <w:szCs w:val="13"/>
            <w:color w:val="0000EE"/>
          </w:rPr>
          <w: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4872990</wp:posOffset>
            </wp:positionH>
            <wp:positionV relativeFrom="paragraph">
              <wp:posOffset>-27305</wp:posOffset>
            </wp:positionV>
            <wp:extent cx="1377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r>
        <w:rPr>
          <w:sz w:val="20"/>
          <w:szCs w:val="20"/>
          <w:color w:val="auto"/>
        </w:rPr>
        <w:tab/>
      </w:r>
      <w:hyperlink w:anchor="page104">
        <w:r>
          <w:rPr>
            <w:rFonts w:ascii="Arial" w:cs="Arial" w:eastAsia="Arial" w:hAnsi="Arial"/>
            <w:sz w:val="16"/>
            <w:szCs w:val="16"/>
            <w:u w:val="single" w:color="auto"/>
            <w:color w:val="0000EE"/>
          </w:rPr>
          <w:t xml:space="preserve">Section 1350 Certification of Robert W. Lewey, President </w:t>
        </w:r>
        <w:r>
          <w:rPr>
            <w:rFonts w:ascii="Arial" w:cs="Arial" w:eastAsia="Arial" w:hAnsi="Arial"/>
            <w:sz w:val="13"/>
            <w:szCs w:val="13"/>
            <w:color w:val="0000EE"/>
          </w:rPr>
          <w: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3471545</wp:posOffset>
            </wp:positionH>
            <wp:positionV relativeFrom="paragraph">
              <wp:posOffset>-27305</wp:posOffset>
            </wp:positionV>
            <wp:extent cx="1377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300"/>
        <w:spacing w:after="0"/>
        <w:tabs>
          <w:tab w:leader="none" w:pos="920" w:val="left"/>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r>
        <w:rPr>
          <w:sz w:val="20"/>
          <w:szCs w:val="20"/>
          <w:color w:val="auto"/>
        </w:rPr>
        <w:tab/>
      </w:r>
      <w:hyperlink w:anchor="page105">
        <w:r>
          <w:rPr>
            <w:rFonts w:ascii="Arial" w:cs="Arial" w:eastAsia="Arial" w:hAnsi="Arial"/>
            <w:sz w:val="16"/>
            <w:szCs w:val="16"/>
            <w:u w:val="single" w:color="auto"/>
            <w:color w:val="0000EE"/>
          </w:rPr>
          <w:t xml:space="preserve">Section 1350 Certification of Tracy A. McLauchlin, Chief Financial Officer </w:t>
        </w:r>
        <w:r>
          <w:rPr>
            <w:rFonts w:ascii="Arial" w:cs="Arial" w:eastAsia="Arial" w:hAnsi="Arial"/>
            <w:sz w:val="13"/>
            <w:szCs w:val="13"/>
            <w:color w:val="0000EE"/>
          </w:rPr>
          <w:t>(1)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4302125</wp:posOffset>
            </wp:positionH>
            <wp:positionV relativeFrom="paragraph">
              <wp:posOffset>-27305</wp:posOffset>
            </wp:positionV>
            <wp:extent cx="1377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1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Schema Document</w:t>
      </w:r>
    </w:p>
    <w:p>
      <w:pPr>
        <w:spacing w:after="0" w:line="11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Label Linkbase Document</w:t>
      </w:r>
    </w:p>
    <w:p>
      <w:pPr>
        <w:spacing w:after="0" w:line="11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Presentation Linkbase Document</w:t>
      </w:r>
    </w:p>
    <w:p>
      <w:pPr>
        <w:spacing w:after="0" w:line="11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XBRL Definition Linkbase Document</w:t>
      </w:r>
    </w:p>
    <w:p>
      <w:pPr>
        <w:spacing w:after="0" w:line="117" w:lineRule="exact"/>
        <w:rPr>
          <w:rFonts w:ascii="Arial" w:cs="Arial" w:eastAsia="Arial" w:hAnsi="Arial"/>
          <w:sz w:val="18"/>
          <w:szCs w:val="18"/>
          <w:color w:val="auto"/>
        </w:rPr>
      </w:pPr>
    </w:p>
    <w:p>
      <w:pPr>
        <w:ind w:left="200"/>
        <w:spacing w:after="0"/>
        <w:tabs>
          <w:tab w:leader="none" w:pos="1300" w:val="left"/>
        </w:tabs>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Calculation Linkbase Document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rFonts w:ascii="Arial" w:cs="Arial" w:eastAsia="Arial" w:hAnsi="Arial"/>
          <w:sz w:val="18"/>
          <w:szCs w:val="18"/>
          <w:color w:val="auto"/>
        </w:rPr>
      </w:pPr>
    </w:p>
    <w:p>
      <w:pPr>
        <w:ind w:left="640" w:right="260" w:hanging="436"/>
        <w:spacing w:after="0" w:line="25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 required to be filed herewith pursuant to Item 15(a)(3) of this Annual Report on Form 10-K.</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December 7,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IES HOLDINGS, INC.</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 Robert W. Lewey</w:t>
            </w:r>
          </w:p>
        </w:tc>
      </w:tr>
      <w:tr>
        <w:trPr>
          <w:trHeight w:val="195"/>
        </w:trPr>
        <w:tc>
          <w:tcPr>
            <w:tcW w:w="320" w:type="dxa"/>
            <w:vAlign w:val="bottom"/>
          </w:tcPr>
          <w:p>
            <w:pPr>
              <w:spacing w:after="0"/>
              <w:rPr>
                <w:sz w:val="16"/>
                <w:szCs w:val="16"/>
                <w:color w:val="auto"/>
              </w:rPr>
            </w:pP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Robert W. Lewey</w:t>
            </w:r>
          </w:p>
        </w:tc>
      </w:tr>
      <w:tr>
        <w:trPr>
          <w:trHeight w:val="230"/>
        </w:trPr>
        <w:tc>
          <w:tcPr>
            <w:tcW w:w="32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President and Director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KNOW ALL MEN BY THESE PRESENTS, that each of the undersigned officers and directors of IES HOLDINGS, INC. hereby constitutes and appoints Robert W. Lewey and Gail D. Makode,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 agents, or either of them, or their or his substitutes or substitute, may lawfully do or cause to be done by virtue hereof.</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9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ind w:left="1000"/>
              <w:spacing w:after="0"/>
              <w:rPr>
                <w:sz w:val="20"/>
                <w:szCs w:val="20"/>
                <w:color w:val="auto"/>
              </w:rPr>
            </w:pPr>
            <w:r>
              <w:rPr>
                <w:rFonts w:ascii="Arial" w:cs="Arial" w:eastAsia="Arial" w:hAnsi="Arial"/>
                <w:sz w:val="14"/>
                <w:szCs w:val="14"/>
                <w:b w:val="1"/>
                <w:bCs w:val="1"/>
                <w:color w:val="auto"/>
              </w:rPr>
              <w:t>Date</w:t>
            </w:r>
          </w:p>
        </w:tc>
      </w:tr>
      <w:tr>
        <w:trPr>
          <w:trHeight w:val="417"/>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W. Lewey</w:t>
            </w:r>
          </w:p>
        </w:tc>
        <w:tc>
          <w:tcPr>
            <w:tcW w:w="498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1"/>
              </w:rPr>
              <w:t>Robert W. Lewey</w:t>
            </w:r>
          </w:p>
        </w:tc>
        <w:tc>
          <w:tcPr>
            <w:tcW w:w="49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14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Tracy A. McLauchlin</w:t>
            </w:r>
          </w:p>
        </w:tc>
        <w:tc>
          <w:tcPr>
            <w:tcW w:w="498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2140" w:type="dxa"/>
            <w:vAlign w:val="bottom"/>
          </w:tcPr>
          <w:p>
            <w:pPr>
              <w:ind w:left="820"/>
              <w:spacing w:after="0"/>
              <w:rPr>
                <w:sz w:val="20"/>
                <w:szCs w:val="20"/>
                <w:color w:val="auto"/>
              </w:rPr>
            </w:pPr>
            <w:r>
              <w:rPr>
                <w:rFonts w:ascii="Arial" w:cs="Arial" w:eastAsia="Arial" w:hAnsi="Arial"/>
                <w:sz w:val="18"/>
                <w:szCs w:val="18"/>
                <w:color w:val="auto"/>
                <w:w w:val="87"/>
              </w:rPr>
              <w:t>December 7, 2018</w:t>
            </w:r>
          </w:p>
        </w:tc>
      </w:tr>
      <w:tr>
        <w:trPr>
          <w:trHeight w:val="182"/>
        </w:trPr>
        <w:tc>
          <w:tcPr>
            <w:tcW w:w="3880" w:type="dxa"/>
            <w:vAlign w:val="bottom"/>
          </w:tcPr>
          <w:p>
            <w:pPr>
              <w:jc w:val="center"/>
              <w:spacing w:after="0" w:line="182" w:lineRule="exact"/>
              <w:rPr>
                <w:sz w:val="20"/>
                <w:szCs w:val="20"/>
                <w:color w:val="auto"/>
              </w:rPr>
            </w:pPr>
            <w:r>
              <w:rPr>
                <w:rFonts w:ascii="Arial" w:cs="Arial" w:eastAsia="Arial" w:hAnsi="Arial"/>
                <w:sz w:val="18"/>
                <w:szCs w:val="18"/>
                <w:color w:val="auto"/>
                <w:w w:val="95"/>
              </w:rPr>
              <w:t>Tracy A. McLauchlin</w:t>
            </w:r>
          </w:p>
        </w:tc>
        <w:tc>
          <w:tcPr>
            <w:tcW w:w="4980" w:type="dxa"/>
            <w:vAlign w:val="bottom"/>
          </w:tcPr>
          <w:p>
            <w:pPr>
              <w:jc w:val="center"/>
              <w:spacing w:after="0" w:line="182" w:lineRule="exact"/>
              <w:rPr>
                <w:sz w:val="20"/>
                <w:szCs w:val="20"/>
                <w:color w:val="auto"/>
              </w:rPr>
            </w:pPr>
            <w:r>
              <w:rPr>
                <w:rFonts w:ascii="Arial" w:cs="Arial" w:eastAsia="Arial" w:hAnsi="Arial"/>
                <w:sz w:val="18"/>
                <w:szCs w:val="18"/>
                <w:color w:val="auto"/>
                <w:w w:val="88"/>
              </w:rPr>
              <w:t>and Treasurer</w:t>
            </w:r>
          </w:p>
        </w:tc>
        <w:tc>
          <w:tcPr>
            <w:tcW w:w="2140" w:type="dxa"/>
            <w:vAlign w:val="bottom"/>
          </w:tcPr>
          <w:p>
            <w:pPr>
              <w:spacing w:after="0"/>
              <w:rPr>
                <w:sz w:val="15"/>
                <w:szCs w:val="15"/>
                <w:color w:val="auto"/>
              </w:rPr>
            </w:pPr>
          </w:p>
        </w:tc>
      </w:tr>
      <w:tr>
        <w:trPr>
          <w:trHeight w:val="216"/>
        </w:trPr>
        <w:tc>
          <w:tcPr>
            <w:tcW w:w="388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14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2140" w:type="dxa"/>
            <w:vAlign w:val="bottom"/>
          </w:tcPr>
          <w:p>
            <w:pPr>
              <w:spacing w:after="0"/>
              <w:rPr>
                <w:sz w:val="20"/>
                <w:szCs w:val="20"/>
                <w:color w:val="auto"/>
              </w:rPr>
            </w:pPr>
          </w:p>
        </w:tc>
      </w:tr>
      <w:tr>
        <w:trPr>
          <w:trHeight w:val="446"/>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Todd M. Cleveland</w:t>
            </w: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1"/>
              </w:rPr>
              <w:t>Todd M. Cleveland</w:t>
            </w:r>
          </w:p>
        </w:tc>
        <w:tc>
          <w:tcPr>
            <w:tcW w:w="49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s</w:t>
            </w: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Joseph L. Dowling III</w:t>
            </w: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4"/>
              </w:rPr>
              <w:t>Joseph L. Dowling III</w:t>
            </w:r>
          </w:p>
        </w:tc>
        <w:tc>
          <w:tcPr>
            <w:tcW w:w="49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s</w:t>
            </w: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David B. Gendell</w:t>
            </w:r>
          </w:p>
        </w:tc>
        <w:tc>
          <w:tcPr>
            <w:tcW w:w="4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3"/>
              </w:rPr>
              <w:t>David B. Gendell</w:t>
            </w:r>
          </w:p>
        </w:tc>
        <w:tc>
          <w:tcPr>
            <w:tcW w:w="49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64"/>
        </w:trPr>
        <w:tc>
          <w:tcPr>
            <w:tcW w:w="3880" w:type="dxa"/>
            <w:vAlign w:val="bottom"/>
          </w:tcPr>
          <w:p>
            <w:pPr>
              <w:spacing w:after="0"/>
              <w:rPr>
                <w:sz w:val="24"/>
                <w:szCs w:val="24"/>
                <w:color w:val="auto"/>
              </w:rPr>
            </w:pPr>
          </w:p>
        </w:tc>
        <w:tc>
          <w:tcPr>
            <w:tcW w:w="4980" w:type="dxa"/>
            <w:vAlign w:val="bottom"/>
          </w:tcPr>
          <w:p>
            <w:pPr>
              <w:jc w:val="right"/>
              <w:ind w:right="3192"/>
              <w:spacing w:after="0"/>
              <w:rPr>
                <w:sz w:val="20"/>
                <w:szCs w:val="20"/>
                <w:color w:val="auto"/>
              </w:rPr>
            </w:pPr>
            <w:r>
              <w:rPr>
                <w:rFonts w:ascii="Arial" w:cs="Arial" w:eastAsia="Arial" w:hAnsi="Arial"/>
                <w:sz w:val="18"/>
                <w:szCs w:val="18"/>
                <w:color w:val="auto"/>
              </w:rPr>
              <w:t>92</w:t>
            </w:r>
          </w:p>
        </w:tc>
        <w:tc>
          <w:tcPr>
            <w:tcW w:w="2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s</w:t>
            </w: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Jeffrey L. Gendell</w:t>
            </w:r>
          </w:p>
        </w:tc>
        <w:tc>
          <w:tcPr>
            <w:tcW w:w="4800" w:type="dxa"/>
            <w:vAlign w:val="bottom"/>
          </w:tcPr>
          <w:p>
            <w:pPr>
              <w:jc w:val="center"/>
              <w:ind w:left="110"/>
              <w:spacing w:after="0"/>
              <w:rPr>
                <w:sz w:val="20"/>
                <w:szCs w:val="20"/>
                <w:color w:val="auto"/>
              </w:rPr>
            </w:pPr>
            <w:r>
              <w:rPr>
                <w:rFonts w:ascii="Arial" w:cs="Arial" w:eastAsia="Arial" w:hAnsi="Arial"/>
                <w:sz w:val="18"/>
                <w:szCs w:val="18"/>
                <w:color w:val="auto"/>
                <w:w w:val="91"/>
              </w:rPr>
              <w:t>Director and Chairman of the Board</w:t>
            </w:r>
          </w:p>
        </w:tc>
        <w:tc>
          <w:tcPr>
            <w:tcW w:w="2320" w:type="dxa"/>
            <w:vAlign w:val="bottom"/>
          </w:tcPr>
          <w:p>
            <w:pPr>
              <w:ind w:left="100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Jeffrey L. Gendell</w:t>
            </w:r>
          </w:p>
        </w:tc>
        <w:tc>
          <w:tcPr>
            <w:tcW w:w="48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s</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Joe D. Koshkin</w:t>
            </w:r>
          </w:p>
        </w:tc>
        <w:tc>
          <w:tcPr>
            <w:tcW w:w="4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0"/>
              </w:rPr>
              <w:t>Joe D. Koshkin</w:t>
            </w:r>
          </w:p>
        </w:tc>
        <w:tc>
          <w:tcPr>
            <w:tcW w:w="48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s</w:t>
            </w: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Donald L. Luke</w:t>
            </w:r>
          </w:p>
        </w:tc>
        <w:tc>
          <w:tcPr>
            <w:tcW w:w="4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7"/>
              </w:rPr>
              <w:t>December 7, 2018</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4"/>
              </w:rPr>
              <w:t>Donald L. Luke</w:t>
            </w:r>
          </w:p>
        </w:tc>
        <w:tc>
          <w:tcPr>
            <w:tcW w:w="48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64"/>
        </w:trPr>
        <w:tc>
          <w:tcPr>
            <w:tcW w:w="3880" w:type="dxa"/>
            <w:vAlign w:val="bottom"/>
          </w:tcPr>
          <w:p>
            <w:pPr>
              <w:spacing w:after="0"/>
              <w:rPr>
                <w:sz w:val="24"/>
                <w:szCs w:val="24"/>
                <w:color w:val="auto"/>
              </w:rPr>
            </w:pPr>
          </w:p>
        </w:tc>
        <w:tc>
          <w:tcPr>
            <w:tcW w:w="4800" w:type="dxa"/>
            <w:vAlign w:val="bottom"/>
          </w:tcPr>
          <w:p>
            <w:pPr>
              <w:jc w:val="right"/>
              <w:ind w:right="3010"/>
              <w:spacing w:after="0"/>
              <w:rPr>
                <w:sz w:val="20"/>
                <w:szCs w:val="20"/>
                <w:color w:val="auto"/>
              </w:rPr>
            </w:pPr>
            <w:r>
              <w:rPr>
                <w:rFonts w:ascii="Arial" w:cs="Arial" w:eastAsia="Arial" w:hAnsi="Arial"/>
                <w:sz w:val="18"/>
                <w:szCs w:val="18"/>
                <w:color w:val="auto"/>
              </w:rPr>
              <w:t>93</w:t>
            </w:r>
          </w:p>
        </w:tc>
        <w:tc>
          <w:tcPr>
            <w:tcW w:w="23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5433 Westheimer Road, 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December 6,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Tontine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Sound Shore Drive, Suite 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This BOARD OBSERVER LETTER AGREEMENT (this “</w:t>
      </w:r>
      <w:r>
        <w:rPr>
          <w:rFonts w:ascii="Arial" w:cs="Arial" w:eastAsia="Arial" w:hAnsi="Arial"/>
          <w:sz w:val="18"/>
          <w:szCs w:val="18"/>
          <w:u w:val="single" w:color="auto"/>
          <w:color w:val="auto"/>
        </w:rPr>
        <w:t>Letter Agreement</w:t>
      </w:r>
      <w:r>
        <w:rPr>
          <w:rFonts w:ascii="Arial" w:cs="Arial" w:eastAsia="Arial" w:hAnsi="Arial"/>
          <w:sz w:val="18"/>
          <w:szCs w:val="18"/>
          <w:color w:val="auto"/>
        </w:rPr>
        <w:t>”) is entered into by and between, Tontine Associates, L.L.C. (“</w:t>
      </w:r>
      <w:r>
        <w:rPr>
          <w:rFonts w:ascii="Arial" w:cs="Arial" w:eastAsia="Arial" w:hAnsi="Arial"/>
          <w:sz w:val="18"/>
          <w:szCs w:val="18"/>
          <w:u w:val="single" w:color="auto"/>
          <w:color w:val="auto"/>
        </w:rPr>
        <w:t>TA</w:t>
      </w:r>
      <w:r>
        <w:rPr>
          <w:rFonts w:ascii="Arial" w:cs="Arial" w:eastAsia="Arial" w:hAnsi="Arial"/>
          <w:sz w:val="18"/>
          <w:szCs w:val="18"/>
          <w:color w:val="auto"/>
        </w:rPr>
        <w:t>,” and together with its affiliates, “</w:t>
      </w:r>
      <w:r>
        <w:rPr>
          <w:rFonts w:ascii="Arial" w:cs="Arial" w:eastAsia="Arial" w:hAnsi="Arial"/>
          <w:sz w:val="18"/>
          <w:szCs w:val="18"/>
          <w:u w:val="single" w:color="auto"/>
          <w:color w:val="auto"/>
        </w:rPr>
        <w:t>Tontine</w:t>
      </w:r>
      <w:r>
        <w:rPr>
          <w:rFonts w:ascii="Arial" w:cs="Arial" w:eastAsia="Arial" w:hAnsi="Arial"/>
          <w:sz w:val="18"/>
          <w:szCs w:val="18"/>
          <w:color w:val="auto"/>
        </w:rPr>
        <w:t>”), and IES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Tontine and the Company are herein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1"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WHEREAS, according to its latest Form 4 filing as of October 3, 2018, Tontine holds approximately 59% of the Company’s outstanding common stock, and the Chairman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is the managing member of TA and certain of its affiliates, and</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Tontine has determined that appointing a Board Observer (as defined below) to assist it in reviewing the materials and proceedings of the Board would enhance Tontine’s ability to manage its investment in the Company; and</w:t>
      </w:r>
    </w:p>
    <w:p>
      <w:pPr>
        <w:spacing w:after="0" w:line="170"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WHEREAS, the Unaffiliated Directors (as defined below) of the Company believe it is in the best interest of the Board and the Company to provide Tontine with the right to appoint a Board Observer to carry out such review, and the Audit Committee of the Board has approved this Letter Agreement pursuant to its Related Person Transaction Policy;</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NOW THEREFORE, in consideration of these premises, the covenants set forth herein and other good and valuable consideration, the receipt and sufficiency of which are hereby acknowledged, the Parties hereby agree as follows:</w:t>
      </w:r>
    </w:p>
    <w:p>
      <w:pPr>
        <w:spacing w:after="0" w:line="170" w:lineRule="exact"/>
        <w:rPr>
          <w:sz w:val="20"/>
          <w:szCs w:val="20"/>
          <w:color w:val="auto"/>
        </w:rPr>
      </w:pPr>
    </w:p>
    <w:p>
      <w:pPr>
        <w:ind w:left="320" w:hanging="316"/>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Board Observer Right</w:t>
      </w:r>
      <w:r>
        <w:rPr>
          <w:rFonts w:ascii="Arial" w:cs="Arial" w:eastAsia="Arial" w:hAnsi="Arial"/>
          <w:sz w:val="18"/>
          <w:szCs w:val="18"/>
          <w:color w:val="auto"/>
        </w:rPr>
        <w:t>.</w:t>
      </w:r>
    </w:p>
    <w:p>
      <w:pPr>
        <w:spacing w:after="0" w:line="131" w:lineRule="exact"/>
        <w:rPr>
          <w:sz w:val="20"/>
          <w:szCs w:val="20"/>
          <w:color w:val="auto"/>
        </w:rPr>
      </w:pPr>
    </w:p>
    <w:p>
      <w:pPr>
        <w:ind w:left="440" w:right="60" w:hanging="436"/>
        <w:spacing w:after="0" w:line="255"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Tontine shall have the right to appoint a representative (the “</w:t>
      </w:r>
      <w:r>
        <w:rPr>
          <w:rFonts w:ascii="Arial" w:cs="Arial" w:eastAsia="Arial" w:hAnsi="Arial"/>
          <w:sz w:val="18"/>
          <w:szCs w:val="18"/>
          <w:u w:val="single" w:color="auto"/>
          <w:color w:val="auto"/>
        </w:rPr>
        <w:t>Board Observer</w:t>
      </w:r>
      <w:r>
        <w:rPr>
          <w:rFonts w:ascii="Arial" w:cs="Arial" w:eastAsia="Arial" w:hAnsi="Arial"/>
          <w:sz w:val="18"/>
          <w:szCs w:val="18"/>
          <w:color w:val="auto"/>
        </w:rPr>
        <w:t>”) who is reasonably acceptable to those members of the Board who are not affiliates of Tontine (the “</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to attend all meetings of the Board and any committee thereof (including telephonic meetings) as a nonvoting observer thereof (the “</w:t>
      </w:r>
      <w:r>
        <w:rPr>
          <w:rFonts w:ascii="Arial" w:cs="Arial" w:eastAsia="Arial" w:hAnsi="Arial"/>
          <w:sz w:val="18"/>
          <w:szCs w:val="18"/>
          <w:u w:val="single" w:color="auto"/>
          <w:color w:val="auto"/>
        </w:rPr>
        <w:t>Board Observer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Tontine shall cease to hold at least 20% of the Company’s outstanding common stock, then, contemporaneously therewith and without further action of the Board, the Board Observer Right shall terminate, this Letter Agreement will be null and void and of no effect and Tontine and the Board Observer shall cease to have any rights hereunder.</w:t>
      </w:r>
    </w:p>
    <w:p>
      <w:pPr>
        <w:sectPr>
          <w:pgSz w:w="11900" w:h="16838" w:orient="portrait"/>
          <w:cols w:equalWidth="0" w:num="1">
            <w:col w:w="11020"/>
          </w:cols>
          <w:pgMar w:left="440" w:top="121" w:right="439" w:bottom="1440" w:gutter="0" w:footer="0" w:header="0"/>
        </w:sectPr>
      </w:pPr>
    </w:p>
    <w:bookmarkStart w:id="96" w:name="page97"/>
    <w:bookmarkEnd w:id="96"/>
    <w:p>
      <w:pPr>
        <w:ind w:left="436" w:right="160" w:hanging="436"/>
        <w:spacing w:after="0" w:line="286" w:lineRule="auto"/>
        <w:tabs>
          <w:tab w:leader="none" w:pos="436"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will use commercially reasonable efforts to (i) give to the Board Observer notice of meetings of the Board and any committee thereof and all proposals to such body for action without a meeting, in each case at the same time that notice of such meetings or proposals is given to members of the Board, (ii) allow the Board Observer to attend such meetings, (iii) subject to ordinary and reasonable procedural rules, allow the Board Observer to participate in a meaningful manner in discussions of matters brought to the Board and any committee thereof, (iv) allow the Board Observer to pose questions to the Board and any committee thereof, and respond to such questions in the same manner as though they had been posed by a member of the Board, and (v) provide the Board Observer with copies of written materials distributed to the Board and any committees thereof in connection with such meetings or proposals for action without a meeting, including all minutes of previous actions and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Board Observer shall agree to hold in strict confidence all information so provided and all non-public information and proceedings of the Board as provided in clause (c) below;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(x) the Company reserves the right to withhold any information from the Board Observer and to exclude the Board Observer from any meeting or portion thereof, as deemed reasonably necessary by the Board or the Unaffiliated Directors, including if access to such information or attendance at such meeting could present a conflict of interest or adversely affect the attorney-client privilege between the Company and its counsel or result in disclosure of trade secrets, and (y) the Board Observer shall not have any voting rights or any other decision-making authority.</w:t>
      </w:r>
    </w:p>
    <w:p>
      <w:pPr>
        <w:spacing w:after="0" w:line="80" w:lineRule="exact"/>
        <w:rPr>
          <w:rFonts w:ascii="Arial" w:cs="Arial" w:eastAsia="Arial" w:hAnsi="Arial"/>
          <w:sz w:val="16"/>
          <w:szCs w:val="16"/>
          <w:color w:val="auto"/>
        </w:rPr>
      </w:pPr>
    </w:p>
    <w:p>
      <w:pPr>
        <w:ind w:left="436" w:right="180" w:hanging="436"/>
        <w:spacing w:after="0" w:line="286" w:lineRule="auto"/>
        <w:tabs>
          <w:tab w:leader="none" w:pos="4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exercise by Tontine of the Board Observer Right is conditioned upon the Company’s receipt of a confidentiality agreement executed by Tontine and the Board Observer that is reasonably satisfactory to the Company providing for Tontine’s and the Board Observer’s preservation of the confidentiality of any materials provided or information received at any meeting of the Board or any committee thereof.</w:t>
      </w:r>
    </w:p>
    <w:p>
      <w:pPr>
        <w:spacing w:after="0" w:line="70" w:lineRule="exact"/>
        <w:rPr>
          <w:rFonts w:ascii="Arial" w:cs="Arial" w:eastAsia="Arial" w:hAnsi="Arial"/>
          <w:sz w:val="17"/>
          <w:szCs w:val="17"/>
          <w:color w:val="auto"/>
        </w:rPr>
      </w:pPr>
    </w:p>
    <w:p>
      <w:pPr>
        <w:ind w:left="436" w:right="480" w:hanging="436"/>
        <w:spacing w:after="0" w:line="277" w:lineRule="auto"/>
        <w:tabs>
          <w:tab w:leader="none" w:pos="4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Observer shall be entitled to receive reimbursement by the Company for reasonable out-of-pocket expenses incurred in his or her capacity as a Board Observer.</w:t>
      </w:r>
    </w:p>
    <w:p>
      <w:pPr>
        <w:spacing w:after="0" w:line="75" w:lineRule="exact"/>
        <w:rPr>
          <w:rFonts w:ascii="Arial" w:cs="Arial" w:eastAsia="Arial" w:hAnsi="Arial"/>
          <w:sz w:val="18"/>
          <w:szCs w:val="18"/>
          <w:color w:val="auto"/>
        </w:rPr>
      </w:pPr>
    </w:p>
    <w:p>
      <w:pPr>
        <w:ind w:left="436" w:right="20" w:hanging="436"/>
        <w:spacing w:after="0" w:line="264" w:lineRule="auto"/>
        <w:tabs>
          <w:tab w:leader="none" w:pos="4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Should the Unaffiliated Directors determine that any individual serving as the Board Observer is not reasonably acceptable, they may remove such individual from serving as Board Observer, and Tontine may appoint another individual deemed reasonably acceptable by such Unaffiliated Directors to serve as Board Observer.</w:t>
      </w:r>
    </w:p>
    <w:p>
      <w:pPr>
        <w:spacing w:after="0" w:line="86" w:lineRule="exact"/>
        <w:rPr>
          <w:rFonts w:ascii="Arial" w:cs="Arial" w:eastAsia="Arial" w:hAnsi="Arial"/>
          <w:sz w:val="18"/>
          <w:szCs w:val="18"/>
          <w:color w:val="auto"/>
        </w:rPr>
      </w:pPr>
    </w:p>
    <w:p>
      <w:pPr>
        <w:ind w:left="436" w:hanging="436"/>
        <w:spacing w:after="0" w:line="264" w:lineRule="auto"/>
        <w:tabs>
          <w:tab w:leader="none" w:pos="4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hereby acknowledges that the Board Observer shall not have, or be deemed to have, or otherwise be subject to, any duties (fiduciary or otherwise) to the Company or its stockholders other than pursuant to any confidentiality agreement entered into between the Company and the Board Observer.</w:t>
      </w:r>
    </w:p>
    <w:p>
      <w:pPr>
        <w:spacing w:after="0" w:line="86" w:lineRule="exact"/>
        <w:rPr>
          <w:rFonts w:ascii="Arial" w:cs="Arial" w:eastAsia="Arial" w:hAnsi="Arial"/>
          <w:sz w:val="18"/>
          <w:szCs w:val="18"/>
          <w:color w:val="auto"/>
        </w:rPr>
      </w:pPr>
    </w:p>
    <w:p>
      <w:pPr>
        <w:ind w:left="436" w:hanging="436"/>
        <w:spacing w:after="0" w:line="279" w:lineRule="auto"/>
        <w:tabs>
          <w:tab w:leader="none" w:pos="4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Board Observer shall be entitled to coverage under the Company’s directors’ and officers’ liability insurance policy to the same, or substantially the same, extent provided by the Company to its directors. The Company acknowledges and agrees that the foregoing rights to insurance coverage constitute third-party rights extended to the Board Observer by the Company and do not constitute rights to insurance coverage as a result of the Board Observer serving as a director, officer, employee or agent of the Company.</w:t>
      </w:r>
    </w:p>
    <w:p>
      <w:pPr>
        <w:sectPr>
          <w:pgSz w:w="11900" w:h="16838" w:orient="portrait"/>
          <w:cols w:equalWidth="0" w:num="1">
            <w:col w:w="11016"/>
          </w:cols>
          <w:pgMar w:left="444" w:top="274" w:right="439" w:bottom="1440" w:gutter="0" w:footer="0" w:header="0"/>
        </w:sectPr>
      </w:pPr>
    </w:p>
    <w:bookmarkStart w:id="97" w:name="page98"/>
    <w:bookmarkEnd w:id="97"/>
    <w:p>
      <w:pPr>
        <w:ind w:left="-20" w:right="220" w:firstLine="444"/>
        <w:spacing w:after="0" w:line="342" w:lineRule="auto"/>
        <w:tabs>
          <w:tab w:leader="none" w:pos="73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w:t>
      </w:r>
      <w:r>
        <w:rPr>
          <w:rFonts w:ascii="Arial" w:cs="Arial" w:eastAsia="Arial" w:hAnsi="Arial"/>
          <w:sz w:val="16"/>
          <w:szCs w:val="16"/>
          <w:color w:val="auto"/>
        </w:rPr>
        <w:t>. This Letter Agreement constitutes the entire agreement between the Parties hereto with respect to the subject matter hereof and supersedes all other prior letters and understandings, both written and verbal, between the Parties hereto with respect to the subject matter hereof.</w:t>
      </w:r>
    </w:p>
    <w:p>
      <w:pPr>
        <w:spacing w:after="0" w:line="123" w:lineRule="exact"/>
        <w:rPr>
          <w:rFonts w:ascii="Arial" w:cs="Arial" w:eastAsia="Arial" w:hAnsi="Arial"/>
          <w:sz w:val="16"/>
          <w:szCs w:val="16"/>
          <w:color w:val="auto"/>
        </w:rPr>
      </w:pPr>
    </w:p>
    <w:p>
      <w:pPr>
        <w:ind w:left="-20" w:right="540" w:firstLine="444"/>
        <w:spacing w:after="0" w:line="277" w:lineRule="auto"/>
        <w:tabs>
          <w:tab w:leader="none" w:pos="73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Letter Agreement is solely for the benefit of the Parties hereto, and, to the fullest extent permitted by law, will not be assignable by any Party without the prior written consent of the other Party.</w:t>
      </w:r>
    </w:p>
    <w:p>
      <w:pPr>
        <w:spacing w:after="0" w:line="170" w:lineRule="exact"/>
        <w:rPr>
          <w:rFonts w:ascii="Arial" w:cs="Arial" w:eastAsia="Arial" w:hAnsi="Arial"/>
          <w:sz w:val="18"/>
          <w:szCs w:val="18"/>
          <w:color w:val="auto"/>
        </w:rPr>
      </w:pPr>
    </w:p>
    <w:p>
      <w:pPr>
        <w:ind w:left="-20" w:firstLine="444"/>
        <w:spacing w:after="0" w:line="276" w:lineRule="auto"/>
        <w:tabs>
          <w:tab w:leader="none" w:pos="73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Letter Agreement shall be governed by and be construed and have effect in accordance with the Laws of the State of Delaware, excluding any choice of law rules that may direct application of Laws of another jurisdiction. This Letter Agreement may be amended and the observance of any provision may be waived only with the mutual written consent of each of the Parties hereto. Descriptive headings are for convenience only and will not control or affect the meaning or construction of any provision of this Letter Agreement. This Letter Agreement may be executed in multiple counterparts which, when taken together, shall constitute one and the same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00"/>
          </w:cols>
          <w:pgMar w:left="460" w:top="274" w:right="439" w:bottom="1440" w:gutter="0" w:footer="0" w:header="0"/>
        </w:sectPr>
      </w:pPr>
    </w:p>
    <w:bookmarkStart w:id="98" w:name="page99"/>
    <w:bookmarkEnd w:id="9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above correctly reflects our understanding and agreement with respect to the foregoing matters, please so confirm by signing and returning the enclosed copy of this Letter Agreement.</w:t>
      </w:r>
    </w:p>
    <w:p>
      <w:pPr>
        <w:sectPr>
          <w:pgSz w:w="11900" w:h="16838" w:orient="portrait"/>
          <w:cols w:equalWidth="0" w:num="1">
            <w:col w:w="10880"/>
          </w:cols>
          <w:pgMar w:left="440" w:top="27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Acknowledged as of the date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TONTINE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JEFFREY L. GENDELL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IES HOLDINGS, INC.</w:t>
      </w:r>
    </w:p>
    <w:p>
      <w:pPr>
        <w:spacing w:after="0" w:line="22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By: /s/ ROBERT W. LEWEY</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Name: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-116205</wp:posOffset>
            </wp:positionV>
            <wp:extent cx="26155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Letter Agreement</w:t>
      </w:r>
    </w:p>
    <w:p>
      <w:pPr>
        <w:sectPr>
          <w:pgSz w:w="11900" w:h="16838" w:orient="portrait"/>
          <w:cols w:equalWidth="0" w:num="2">
            <w:col w:w="3720" w:space="500"/>
            <w:col w:w="6660"/>
          </w:cols>
          <w:pgMar w:left="440" w:top="274" w:right="5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760" w:type="dxa"/>
            <w:vAlign w:val="bottom"/>
          </w:tcPr>
          <w:p>
            <w:pPr>
              <w:ind w:left="82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c>
          <w:tcPr>
            <w:tcW w:w="5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160" w:type="dxa"/>
            <w:vAlign w:val="bottom"/>
            <w:gridSpan w:val="2"/>
          </w:tcPr>
          <w:p>
            <w:pPr>
              <w:ind w:left="660"/>
              <w:spacing w:after="0"/>
              <w:rPr>
                <w:sz w:val="20"/>
                <w:szCs w:val="20"/>
                <w:color w:val="auto"/>
              </w:rPr>
            </w:pPr>
            <w:r>
              <w:rPr>
                <w:rFonts w:ascii="Arial" w:cs="Arial" w:eastAsia="Arial" w:hAnsi="Arial"/>
                <w:sz w:val="18"/>
                <w:szCs w:val="18"/>
                <w:b w:val="1"/>
                <w:bCs w:val="1"/>
                <w:color w:val="auto"/>
              </w:rPr>
              <w:t>As of September 30, 2018</w:t>
            </w:r>
          </w:p>
        </w:tc>
      </w:tr>
      <w:tr>
        <w:trPr>
          <w:trHeight w:val="412"/>
        </w:trPr>
        <w:tc>
          <w:tcPr>
            <w:tcW w:w="3880" w:type="dxa"/>
            <w:vAlign w:val="bottom"/>
            <w:gridSpan w:val="2"/>
          </w:tcPr>
          <w:p>
            <w:pPr>
              <w:spacing w:after="0"/>
              <w:rPr>
                <w:sz w:val="20"/>
                <w:szCs w:val="20"/>
                <w:color w:val="auto"/>
              </w:rPr>
            </w:pPr>
            <w:r>
              <w:rPr>
                <w:rFonts w:ascii="Arial" w:cs="Arial" w:eastAsia="Arial" w:hAnsi="Arial"/>
                <w:sz w:val="14"/>
                <w:szCs w:val="14"/>
                <w:color w:val="auto"/>
              </w:rPr>
              <w:t>Subsidiary</w:t>
            </w:r>
          </w:p>
        </w:tc>
        <w:tc>
          <w:tcPr>
            <w:tcW w:w="540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Arial" w:cs="Arial" w:eastAsia="Arial" w:hAnsi="Arial"/>
                <w:sz w:val="14"/>
                <w:szCs w:val="14"/>
                <w:color w:val="auto"/>
                <w:w w:val="99"/>
              </w:rPr>
              <w:t>Jurisdiction of Incorporation</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Azimuth</w:t>
            </w:r>
          </w:p>
        </w:tc>
        <w:tc>
          <w:tcPr>
            <w:tcW w:w="3240" w:type="dxa"/>
            <w:vAlign w:val="bottom"/>
          </w:tcPr>
          <w:p>
            <w:pPr>
              <w:ind w:left="40"/>
              <w:spacing w:after="0" w:line="189" w:lineRule="exact"/>
              <w:rPr>
                <w:sz w:val="20"/>
                <w:szCs w:val="20"/>
                <w:color w:val="auto"/>
              </w:rPr>
            </w:pPr>
            <w:r>
              <w:rPr>
                <w:rFonts w:ascii="Arial" w:cs="Arial" w:eastAsia="Arial" w:hAnsi="Arial"/>
                <w:sz w:val="18"/>
                <w:szCs w:val="18"/>
                <w:color w:val="auto"/>
              </w:rPr>
              <w:t>Communications, Inc.</w:t>
            </w:r>
          </w:p>
        </w:tc>
        <w:tc>
          <w:tcPr>
            <w:tcW w:w="540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Oregon</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Calumet Armature and Electric,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Illinois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Freeman Enclosure Systems,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Ohio</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HK Engine Components,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Indiana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ICS Holdings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Arizona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Commercial,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Communications,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Consolidation,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Infrastructure Solutions,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Management, LP</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Management ROO, LP</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Operations Group,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Properties,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Purchasing &amp; Materials,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Renewable Energy,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Residential,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Shared Services,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IES Subsidiary Holdings,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IES Tangible Properties,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Integrated Electrical Finance,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Key Electrical Supply,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Texas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Magnetech Industrial Services,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Indiana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NEXT Electric,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Wisconsin</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Shanahan Mechanical and Electrical,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Nebraska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Southern Industrial Sales and Services,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Georgia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STR Mechanical,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North Carolina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Technibus, Inc.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Delaware</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Technical Services II, LLC</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Virginia</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Thomas Popp &amp; Company</w:t>
            </w:r>
          </w:p>
        </w:tc>
        <w:tc>
          <w:tcPr>
            <w:tcW w:w="7160" w:type="dxa"/>
            <w:vAlign w:val="bottom"/>
            <w:gridSpan w:val="2"/>
          </w:tcPr>
          <w:p>
            <w:pPr>
              <w:ind w:left="5380"/>
              <w:spacing w:after="0"/>
              <w:rPr>
                <w:sz w:val="20"/>
                <w:szCs w:val="20"/>
                <w:color w:val="auto"/>
              </w:rPr>
            </w:pPr>
            <w:r>
              <w:rPr>
                <w:rFonts w:ascii="Arial" w:cs="Arial" w:eastAsia="Arial" w:hAnsi="Arial"/>
                <w:sz w:val="18"/>
                <w:szCs w:val="18"/>
                <w:color w:val="auto"/>
              </w:rPr>
              <w:t>Ohio</w:t>
            </w:r>
          </w:p>
        </w:tc>
      </w:tr>
      <w:tr>
        <w:trPr>
          <w:trHeight w:val="365"/>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0" w:type="dxa"/>
            <w:vAlign w:val="bottom"/>
          </w:tcPr>
          <w:p>
            <w:pPr>
              <w:ind w:left="1540"/>
              <w:spacing w:after="0"/>
              <w:rPr>
                <w:sz w:val="20"/>
                <w:szCs w:val="20"/>
                <w:color w:val="auto"/>
              </w:rPr>
            </w:pPr>
            <w:r>
              <w:rPr>
                <w:rFonts w:ascii="Arial" w:cs="Arial" w:eastAsia="Arial" w:hAnsi="Arial"/>
                <w:sz w:val="18"/>
                <w:szCs w:val="18"/>
                <w:color w:val="auto"/>
              </w:rPr>
              <w:t>81</w:t>
            </w:r>
          </w:p>
        </w:tc>
        <w:tc>
          <w:tcPr>
            <w:tcW w:w="1760" w:type="dxa"/>
            <w:vAlign w:val="bottom"/>
          </w:tcPr>
          <w:p>
            <w:pPr>
              <w:spacing w:after="0"/>
              <w:rPr>
                <w:sz w:val="24"/>
                <w:szCs w:val="24"/>
                <w:color w:val="auto"/>
              </w:rPr>
            </w:pPr>
          </w:p>
        </w:tc>
      </w:tr>
    </w:tbl>
    <w:p>
      <w:pPr>
        <w:sectPr>
          <w:pgSz w:w="11900" w:h="16838" w:orient="portrait"/>
          <w:cols w:equalWidth="0" w:num="1">
            <w:col w:w="11040"/>
          </w:cols>
          <w:pgMar w:left="440" w:top="121" w:right="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860" w:hanging="4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on Form S-8 (No. 333-209483) pertaining to the Amended and Restated 2006 Equity Incentive Plan of IES Holdings, Inc.;</w:t>
      </w:r>
    </w:p>
    <w:p>
      <w:pPr>
        <w:spacing w:after="0" w:line="197" w:lineRule="exact"/>
        <w:rPr>
          <w:rFonts w:ascii="Arial" w:cs="Arial" w:eastAsia="Arial" w:hAnsi="Arial"/>
          <w:sz w:val="18"/>
          <w:szCs w:val="18"/>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on Form S-8 (No. 333-134100) pertaining to the 2006 Equity Incentive Plan of IES Holdings, Inc.;</w:t>
      </w:r>
    </w:p>
    <w:p>
      <w:pPr>
        <w:spacing w:after="0" w:line="252"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on Form S-3 (No. 333-186786) pertaining to the registration for resale of common stock of IES Holdings, Inc. by the selling stockholders named therein;</w:t>
      </w:r>
    </w:p>
    <w:p>
      <w:pPr>
        <w:spacing w:after="0" w:line="197" w:lineRule="exact"/>
        <w:rPr>
          <w:rFonts w:ascii="Arial" w:cs="Arial" w:eastAsia="Arial" w:hAnsi="Arial"/>
          <w:sz w:val="18"/>
          <w:szCs w:val="18"/>
          <w:color w:val="auto"/>
        </w:rPr>
      </w:pPr>
    </w:p>
    <w:p>
      <w:pPr>
        <w:ind w:left="860" w:right="80" w:hanging="424"/>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on Form S-3 (No. 333-215071) pertaining to the registration for resale of common stock of IES holdings, Inc. by the selling stockholders named therein;</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December 7, 2018,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2018.</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121" w:right="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117" w:lineRule="exact"/>
        <w:rPr>
          <w:sz w:val="20"/>
          <w:szCs w:val="20"/>
          <w:color w:val="auto"/>
        </w:rPr>
      </w:pPr>
    </w:p>
    <w:p>
      <w:pPr>
        <w:ind w:left="620" w:hanging="17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IES Holdings,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60" w:firstLine="444"/>
        <w:spacing w:after="0" w:line="264" w:lineRule="auto"/>
        <w:tabs>
          <w:tab w:leader="none" w:pos="6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444"/>
        <w:spacing w:after="0" w:line="264"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86" w:lineRule="auto"/>
        <w:tabs>
          <w:tab w:leader="none" w:pos="6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57" w:lineRule="exact"/>
        <w:rPr>
          <w:rFonts w:ascii="Arial" w:cs="Arial" w:eastAsia="Arial" w:hAnsi="Arial"/>
          <w:sz w:val="17"/>
          <w:szCs w:val="17"/>
          <w:color w:val="auto"/>
        </w:rPr>
      </w:pPr>
    </w:p>
    <w:p>
      <w:pPr>
        <w:ind w:right="560" w:firstLine="444"/>
        <w:spacing w:after="0" w:line="342"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444"/>
        <w:spacing w:after="0" w:line="342" w:lineRule="auto"/>
        <w:tabs>
          <w:tab w:leader="none" w:pos="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20" w:firstLine="444"/>
        <w:spacing w:after="0" w:line="277" w:lineRule="auto"/>
        <w:tabs>
          <w:tab w:leader="none" w:pos="6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444"/>
        <w:spacing w:after="0" w:line="277" w:lineRule="auto"/>
        <w:tabs>
          <w:tab w:leader="none" w:pos="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President and Director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as Principal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121"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117" w:lineRule="exact"/>
        <w:rPr>
          <w:sz w:val="20"/>
          <w:szCs w:val="20"/>
          <w:color w:val="auto"/>
        </w:rPr>
      </w:pPr>
    </w:p>
    <w:p>
      <w:pPr>
        <w:ind w:left="620" w:hanging="176"/>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IES Holdings, Inc.;</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60" w:firstLine="444"/>
        <w:spacing w:after="0" w:line="264" w:lineRule="auto"/>
        <w:tabs>
          <w:tab w:leader="none" w:pos="6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444"/>
        <w:spacing w:after="0" w:line="264"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500" w:firstLine="444"/>
        <w:spacing w:after="0" w:line="286" w:lineRule="auto"/>
        <w:tabs>
          <w:tab w:leader="none" w:pos="6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57" w:lineRule="exact"/>
        <w:rPr>
          <w:rFonts w:ascii="Arial" w:cs="Arial" w:eastAsia="Arial" w:hAnsi="Arial"/>
          <w:sz w:val="17"/>
          <w:szCs w:val="17"/>
          <w:color w:val="auto"/>
        </w:rPr>
      </w:pPr>
    </w:p>
    <w:p>
      <w:pPr>
        <w:ind w:right="560" w:firstLine="444"/>
        <w:spacing w:after="0" w:line="342" w:lineRule="auto"/>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 w:firstLine="444"/>
        <w:spacing w:after="0" w:line="342" w:lineRule="auto"/>
        <w:tabs>
          <w:tab w:leader="none" w:pos="61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20" w:firstLine="444"/>
        <w:spacing w:after="0" w:line="277" w:lineRule="auto"/>
        <w:tabs>
          <w:tab w:leader="none" w:pos="6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444"/>
        <w:spacing w:after="0" w:line="277" w:lineRule="auto"/>
        <w:tabs>
          <w:tab w:leader="none" w:pos="6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2018</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14605</wp:posOffset>
            </wp:positionV>
            <wp:extent cx="41935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6"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as Principal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121"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Annual Report of IES Holdings, Inc. (the “Company”) on Form 10-K for the period ending September 30, 2018 (the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“Report”), I, Robert W. Lewey, President of the Company, certify, pursuant to 18 U.S.C. § 1350, as adopted pursuant to § 906 of the Sarbanes-Oxley Act of 2002, that:</w:t>
      </w:r>
    </w:p>
    <w:p>
      <w:pPr>
        <w:spacing w:after="0" w:line="89" w:lineRule="exact"/>
        <w:rPr>
          <w:sz w:val="20"/>
          <w:szCs w:val="20"/>
          <w:color w:val="auto"/>
        </w:rPr>
      </w:pPr>
    </w:p>
    <w:p>
      <w:pPr>
        <w:ind w:left="860" w:hanging="4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December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 and Director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121"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Annual Report of IES Holdings, Inc. (the “Company”) on Form 10-K for the period ending September 30, 2018 (the</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“Report”), I, Tracy A. McLauchlin, Senior Vice President, Chief Financial Officer and Treasurer of the Company, certify, pursuant to 18 U.S.C. § 1350, as adopted pursuant to § 906 of the Sarbanes-Oxley Act of 2002, that:</w:t>
      </w:r>
    </w:p>
    <w:p>
      <w:pPr>
        <w:spacing w:after="0" w:line="89" w:lineRule="exact"/>
        <w:rPr>
          <w:sz w:val="20"/>
          <w:szCs w:val="20"/>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December 7, 2018</w:t>
      </w:r>
      <w:r>
        <w:rPr>
          <w:sz w:val="20"/>
          <w:szCs w:val="20"/>
          <w:color w:val="auto"/>
        </w:rPr>
        <w:tab/>
      </w:r>
      <w:r>
        <w:rPr>
          <w:rFonts w:ascii="Arial" w:cs="Arial" w:eastAsia="Arial" w:hAnsi="Arial"/>
          <w:sz w:val="18"/>
          <w:szCs w:val="18"/>
          <w:color w:val="auto"/>
        </w:rPr>
        <w:t>By:</w:t>
        <w:tab/>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Roman"/>
      <w:start w:val="4"/>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decimal"/>
      <w:start w:val="2"/>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7" Type="http://schemas.openxmlformats.org/officeDocument/2006/relationships/image" Target="media/image100.png"/><Relationship Id="rId127" Type="http://schemas.openxmlformats.org/officeDocument/2006/relationships/image" Target="media/image101.png"/><Relationship Id="rId140"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07" Type="http://schemas.openxmlformats.org/officeDocument/2006/relationships/hyperlink" Target="http://www.sec.gov/Archives/edgar/data/1048268/000119312513105462/d502169dex21.htm" TargetMode="External"/><Relationship Id="rId108" Type="http://schemas.openxmlformats.org/officeDocument/2006/relationships/hyperlink" Target="http://www.sec.gov/Archives/edgar/data/1048268/000119312513287371/d566538dex21.htm" TargetMode="External"/><Relationship Id="rId109" Type="http://schemas.openxmlformats.org/officeDocument/2006/relationships/hyperlink" Target="http://www.sec.gov/Archives/edgar/data/1048268/000119312516621943/d148351dex21.htm" TargetMode="External"/><Relationship Id="rId110" Type="http://schemas.openxmlformats.org/officeDocument/2006/relationships/hyperlink" Target="http://www.sec.gov/Archives/edgar/data/1048268/000119312516674386/d211495dex31.htm" TargetMode="External"/><Relationship Id="rId111" Type="http://schemas.openxmlformats.org/officeDocument/2006/relationships/hyperlink" Target="http://www.sec.gov/Archives/edgar/data/1048268/000119312513026383/d474722dex31.htm" TargetMode="External"/><Relationship Id="rId112" Type="http://schemas.openxmlformats.org/officeDocument/2006/relationships/hyperlink" Target="http://www.sec.gov/Archives/edgar/data/1048268/000119312516600652/d197326dex32.htm" TargetMode="External"/><Relationship Id="rId113" Type="http://schemas.openxmlformats.org/officeDocument/2006/relationships/hyperlink" Target="http://www.sec.gov/Archives/edgar/data/1048268/000119312516789187/d310826dex41.htm" TargetMode="External"/><Relationship Id="rId114" Type="http://schemas.openxmlformats.org/officeDocument/2006/relationships/hyperlink" Target="http://www.sec.gov/Archives/edgar/data/1048268/000119312516763155/d487615dex41.htm" TargetMode="External"/><Relationship Id="rId115" Type="http://schemas.openxmlformats.org/officeDocument/2006/relationships/hyperlink" Target="http://www.sec.gov/Archives/edgar/data/1048268/000095012906005627/h36237exv10w5.htm" TargetMode="External"/><Relationship Id="rId116" Type="http://schemas.openxmlformats.org/officeDocument/2006/relationships/hyperlink" Target="http://www.sec.gov/Archives/edgar/data/1048268/000119312512503507/d452277dex1024.htm" TargetMode="External"/><Relationship Id="rId118" Type="http://schemas.openxmlformats.org/officeDocument/2006/relationships/hyperlink" Target="http://www.sec.gov/Archives/edgar/data/1048268/000095012906005627/h36237exv10w4.htm" TargetMode="External"/><Relationship Id="rId119" Type="http://schemas.openxmlformats.org/officeDocument/2006/relationships/hyperlink" Target="http://www.sec.gov/Archives/edgar/data/1048268/000116923206004252/d69762_ex10-1.htm" TargetMode="External"/><Relationship Id="rId120" Type="http://schemas.openxmlformats.org/officeDocument/2006/relationships/hyperlink" Target="http://www.sec.gov/Archives/edgar/data/1048268/000116923207003907/d72817_ex10-1.txt" TargetMode="External"/><Relationship Id="rId121" Type="http://schemas.openxmlformats.org/officeDocument/2006/relationships/hyperlink" Target="http://www.sec.gov/Archives/edgar/data/1048268/000116923207003907/d72817_ex10-2.txt" TargetMode="External"/><Relationship Id="rId122" Type="http://schemas.openxmlformats.org/officeDocument/2006/relationships/hyperlink" Target="http://www.sec.gov/Archives/edgar/data/1048268/000095012908005299/h64625exv10w1.htm" TargetMode="External"/><Relationship Id="rId123" Type="http://schemas.openxmlformats.org/officeDocument/2006/relationships/hyperlink" Target="http://www.sec.gov/Archives/edgar/data/1048268/000095012310049149/h73084exv10w1.htm" TargetMode="External"/><Relationship Id="rId124" Type="http://schemas.openxmlformats.org/officeDocument/2006/relationships/hyperlink" Target="http://www.sec.gov/Archives/edgar/data/1048268/000104826812000030/ies_amd1indemnityagmt-2012.htm" TargetMode="External"/><Relationship Id="rId125" Type="http://schemas.openxmlformats.org/officeDocument/2006/relationships/hyperlink" Target="http://www.sec.gov/Archives/edgar/data/1048268/000119312513215581/d535788dex101.htm" TargetMode="External"/><Relationship Id="rId126" Type="http://schemas.openxmlformats.org/officeDocument/2006/relationships/hyperlink" Target="http://www.sec.gov/Archives/edgar/data/1048268/000119312516708628/d258745dex101.htm" TargetMode="External"/><Relationship Id="rId128" Type="http://schemas.openxmlformats.org/officeDocument/2006/relationships/hyperlink" Target="http://www.sec.gov/Archives/edgar/data/1048268/000119312517227986/d419769dex101.htm" TargetMode="External"/><Relationship Id="rId129" Type="http://schemas.openxmlformats.org/officeDocument/2006/relationships/hyperlink" Target="http://www.sec.gov/Archives/edgar/data/1048268/000119312517118614/d375708dex101.htm" TargetMode="External"/><Relationship Id="rId130" Type="http://schemas.openxmlformats.org/officeDocument/2006/relationships/hyperlink" Target="http://www.sec.gov/Archives/edgar/data/1048268/000119312517248190/d437455dex102.htm" TargetMode="External"/><Relationship Id="rId131" Type="http://schemas.openxmlformats.org/officeDocument/2006/relationships/hyperlink" Target="http://www.sec.gov/Archives/edgar/data/1048268/000119312517248190/d437455dex104.htm" TargetMode="External"/><Relationship Id="rId132" Type="http://schemas.openxmlformats.org/officeDocument/2006/relationships/hyperlink" Target="http://www.sec.gov/Archives/edgar/data/1048268/000119312518223804/d527044dex101.htm" TargetMode="External"/><Relationship Id="rId133" Type="http://schemas.openxmlformats.org/officeDocument/2006/relationships/hyperlink" Target="http://www.sec.gov/Archives/edgar/data/1048268/000095012906005456/h36181exv4w1.htm" TargetMode="External"/><Relationship Id="rId134" Type="http://schemas.openxmlformats.org/officeDocument/2006/relationships/hyperlink" Target="http://www.sec.gov/Archives/edgar/data/1048268/000119312516582843/d193200dex105.htm" TargetMode="External"/><Relationship Id="rId135" Type="http://schemas.openxmlformats.org/officeDocument/2006/relationships/hyperlink" Target="http://www.sec.gov/Archives/edgar/data/1048268/000104826807000040/d72828_ex10-3.htm" TargetMode="External"/><Relationship Id="rId136" Type="http://schemas.openxmlformats.org/officeDocument/2006/relationships/hyperlink" Target="http://www.sec.gov/Archives/edgar/data/1048268/000104826807000040/d72828_ex10-1.htm" TargetMode="External"/><Relationship Id="rId137" Type="http://schemas.openxmlformats.org/officeDocument/2006/relationships/hyperlink" Target="http://www.sec.gov/Archives/edgar/data/1048268/000119312516453210/d133572dex101.htm" TargetMode="External"/><Relationship Id="rId138" Type="http://schemas.openxmlformats.org/officeDocument/2006/relationships/hyperlink" Target="http://www.sec.gov/Archives/edgar/data/1048268/000119312515413732/d103218ddef14a.htm" TargetMode="External"/><Relationship Id="rId139" Type="http://schemas.openxmlformats.org/officeDocument/2006/relationships/hyperlink" Target="http://www.sec.gov/Archives/edgar/data/1048268/000119312516582843/d193200dex104.htm" TargetMode="External"/><Relationship Id="rId141" Type="http://schemas.openxmlformats.org/officeDocument/2006/relationships/hyperlink" Target="http://www.sec.gov/Archives/edgar/data/1048268/000119312516582843/d193200dex103.htm" TargetMode="External"/><Relationship Id="rId142" Type="http://schemas.openxmlformats.org/officeDocument/2006/relationships/hyperlink" Target="http://www.sec.gov/Archives/edgar/data/1048268/000119312516582843/d193200dex102.htm" TargetMode="External"/><Relationship Id="rId143" Type="http://schemas.openxmlformats.org/officeDocument/2006/relationships/hyperlink" Target="http://www.sec.gov/Archives/edgar/data/1048268/000119312516615339/d173606dex101.htm" TargetMode="External"/><Relationship Id="rId144" Type="http://schemas.openxmlformats.org/officeDocument/2006/relationships/hyperlink" Target="http://www.sec.gov/Archives/edgar/data/1048268/000119312516615339/d173606dex102.htm" TargetMode="External"/><Relationship Id="rId145" Type="http://schemas.openxmlformats.org/officeDocument/2006/relationships/hyperlink" Target="http://www.sec.gov/Archives/edgar/data/1048268/000104746908013171/a2188873zex-10_34.htm" TargetMode="External"/><Relationship Id="rId146" Type="http://schemas.openxmlformats.org/officeDocument/2006/relationships/hyperlink" Target="http://www.sec.gov/Archives/edgar/data/1048268/000104826809000014/ltipfy2009_2010.htm" TargetMode="External"/><Relationship Id="rId147" Type="http://schemas.openxmlformats.org/officeDocument/2006/relationships/hyperlink" Target="http://www.sec.gov/Archives/edgar/data/1048268/000119312516789187/d310826d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2019-12-28T17:30:42Z</dcterms:created>
  <dcterms:modified xsi:type="dcterms:W3CDTF">2019-12-28T17:30:42Z</dcterms:modified>
</cp:coreProperties>
</file>