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17145</wp:posOffset>
            </wp:positionV>
            <wp:extent cx="2267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26" w:lineRule="exact"/>
        <w:rPr>
          <w:sz w:val="24"/>
          <w:szCs w:val="24"/>
          <w:color w:val="auto"/>
        </w:rPr>
      </w:pPr>
    </w:p>
    <w:p>
      <w:pPr>
        <w:ind w:left="6100"/>
        <w:spacing w:after="0"/>
        <w:rPr>
          <w:sz w:val="20"/>
          <w:szCs w:val="20"/>
          <w:color w:val="auto"/>
        </w:rPr>
      </w:pPr>
      <w:r>
        <w:rPr>
          <w:rFonts w:ascii="Arial" w:cs="Arial" w:eastAsia="Arial" w:hAnsi="Arial"/>
          <w:sz w:val="19"/>
          <w:szCs w:val="19"/>
          <w:b w:val="1"/>
          <w:bCs w:val="1"/>
          <w:color w:val="auto"/>
        </w:rPr>
        <w:t>FORM 10-Q</w:t>
      </w:r>
    </w:p>
    <w:p>
      <w:pPr>
        <w:ind w:left="280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-59055</wp:posOffset>
            </wp:positionV>
            <wp:extent cx="226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7"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(Mark One)</w:t>
      </w:r>
    </w:p>
    <w:p>
      <w:pPr>
        <w:spacing w:after="0" w:line="42" w:lineRule="exact"/>
        <w:rPr>
          <w:sz w:val="24"/>
          <w:szCs w:val="24"/>
          <w:color w:val="auto"/>
        </w:rPr>
      </w:pPr>
    </w:p>
    <w:p>
      <w:pPr>
        <w:ind w:left="280" w:hanging="232"/>
        <w:spacing w:after="0"/>
        <w:tabs>
          <w:tab w:leader="none" w:pos="28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55" w:lineRule="exact"/>
        <w:rPr>
          <w:rFonts w:ascii="MS PGothic" w:cs="MS PGothic" w:eastAsia="MS PGothic" w:hAnsi="MS PGothic"/>
          <w:sz w:val="19"/>
          <w:szCs w:val="19"/>
          <w:color w:val="auto"/>
        </w:rPr>
      </w:pPr>
    </w:p>
    <w:p>
      <w:pPr>
        <w:ind w:left="4300"/>
        <w:spacing w:after="0"/>
        <w:rPr>
          <w:rFonts w:ascii="MS PGothic" w:cs="MS PGothic" w:eastAsia="MS PGothic" w:hAnsi="MS PGothic"/>
          <w:sz w:val="19"/>
          <w:szCs w:val="19"/>
          <w:color w:val="auto"/>
        </w:rPr>
      </w:pPr>
      <w:r>
        <w:rPr>
          <w:rFonts w:ascii="Arial" w:cs="Arial" w:eastAsia="Arial" w:hAnsi="Arial"/>
          <w:sz w:val="15"/>
          <w:szCs w:val="15"/>
          <w:b w:val="1"/>
          <w:bCs w:val="1"/>
          <w:color w:val="auto"/>
        </w:rPr>
        <w:t>For the quarterly period ended December 31, 2021</w:t>
      </w:r>
    </w:p>
    <w:p>
      <w:pPr>
        <w:spacing w:after="0" w:line="15" w:lineRule="exact"/>
        <w:rPr>
          <w:rFonts w:ascii="MS PGothic" w:cs="MS PGothic" w:eastAsia="MS PGothic" w:hAnsi="MS PGothic"/>
          <w:sz w:val="19"/>
          <w:szCs w:val="19"/>
          <w:color w:val="auto"/>
        </w:rPr>
      </w:pPr>
    </w:p>
    <w:p>
      <w:pPr>
        <w:ind w:left="5640"/>
        <w:spacing w:after="0"/>
        <w:rPr>
          <w:rFonts w:ascii="MS PGothic" w:cs="MS PGothic" w:eastAsia="MS PGothic" w:hAnsi="MS PGothic"/>
          <w:sz w:val="19"/>
          <w:szCs w:val="19"/>
          <w:color w:val="auto"/>
        </w:rPr>
      </w:pPr>
      <w:r>
        <w:rPr>
          <w:rFonts w:ascii="Arial" w:cs="Arial" w:eastAsia="Arial" w:hAnsi="Arial"/>
          <w:sz w:val="15"/>
          <w:szCs w:val="15"/>
          <w:b w:val="1"/>
          <w:bCs w:val="1"/>
          <w:color w:val="auto"/>
        </w:rPr>
        <w:t>OR</w:t>
      </w:r>
    </w:p>
    <w:p>
      <w:pPr>
        <w:spacing w:after="0" w:line="29" w:lineRule="exact"/>
        <w:rPr>
          <w:sz w:val="24"/>
          <w:szCs w:val="24"/>
          <w:color w:val="auto"/>
        </w:rPr>
      </w:pPr>
    </w:p>
    <w:p>
      <w:pPr>
        <w:ind w:left="280" w:hanging="232"/>
        <w:spacing w:after="0"/>
        <w:tabs>
          <w:tab w:leader="none" w:pos="28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1" w:lineRule="exact"/>
        <w:rPr>
          <w:sz w:val="24"/>
          <w:szCs w:val="24"/>
          <w:color w:val="auto"/>
        </w:rPr>
      </w:pPr>
    </w:p>
    <w:p>
      <w:pPr>
        <w:ind w:left="3720"/>
        <w:spacing w:after="0"/>
        <w:tabs>
          <w:tab w:leader="none" w:pos="656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3661410</wp:posOffset>
            </wp:positionH>
            <wp:positionV relativeFrom="paragraph">
              <wp:posOffset>-1905</wp:posOffset>
            </wp:positionV>
            <wp:extent cx="111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3155" cy="8255"/>
                    </a:xfrm>
                    <a:prstGeom prst="rect">
                      <a:avLst/>
                    </a:prstGeom>
                    <a:noFill/>
                  </pic:spPr>
                </pic:pic>
              </a:graphicData>
            </a:graphic>
          </wp:anchor>
        </w:drawing>
      </w:r>
    </w:p>
    <w:p>
      <w:pPr>
        <w:spacing w:after="0" w:line="323"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color w:val="auto"/>
        </w:rPr>
        <w:t>Commission file number 001-13783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2408555</wp:posOffset>
            </wp:positionH>
            <wp:positionV relativeFrom="paragraph">
              <wp:posOffset>22225</wp:posOffset>
            </wp:positionV>
            <wp:extent cx="23247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120650</wp:posOffset>
            </wp:positionV>
            <wp:extent cx="1064260" cy="53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4260" cy="532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IES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3596005</wp:posOffset>
            </wp:positionH>
            <wp:positionV relativeFrom="paragraph">
              <wp:posOffset>44450</wp:posOffset>
            </wp:positionV>
            <wp:extent cx="2128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285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2120" w:type="dxa"/>
        <w:tblCellMar>
          <w:top w:w="0" w:type="dxa"/>
          <w:left w:w="0" w:type="dxa"/>
          <w:bottom w:w="0" w:type="dxa"/>
          <w:right w:w="0" w:type="dxa"/>
        </w:tblCellMar>
      </w:tblPr>
      <w:tr>
        <w:trPr>
          <w:trHeight w:val="202"/>
        </w:trPr>
        <w:tc>
          <w:tcPr>
            <w:tcW w:w="4540" w:type="dxa"/>
            <w:vAlign w:val="bottom"/>
          </w:tcPr>
          <w:p>
            <w:pPr>
              <w:ind w:left="12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2100" w:type="dxa"/>
            <w:vAlign w:val="bottom"/>
          </w:tcPr>
          <w:p>
            <w:pPr>
              <w:spacing w:after="0"/>
              <w:rPr>
                <w:sz w:val="17"/>
                <w:szCs w:val="17"/>
                <w:color w:val="auto"/>
              </w:rPr>
            </w:pPr>
          </w:p>
        </w:tc>
      </w:tr>
      <w:tr>
        <w:trPr>
          <w:trHeight w:val="215"/>
        </w:trPr>
        <w:tc>
          <w:tcPr>
            <w:tcW w:w="4540" w:type="dxa"/>
            <w:vAlign w:val="bottom"/>
          </w:tcPr>
          <w:p>
            <w:pPr>
              <w:jc w:val="center"/>
              <w:ind w:right="2667"/>
              <w:spacing w:after="0"/>
              <w:rPr>
                <w:sz w:val="20"/>
                <w:szCs w:val="20"/>
                <w:color w:val="auto"/>
              </w:rPr>
            </w:pPr>
            <w:r>
              <w:rPr>
                <w:rFonts w:ascii="Arial" w:cs="Arial" w:eastAsia="Arial" w:hAnsi="Arial"/>
                <w:sz w:val="15"/>
                <w:szCs w:val="15"/>
                <w:b w:val="1"/>
                <w:bCs w:val="1"/>
                <w:color w:val="auto"/>
                <w:w w:val="97"/>
              </w:rPr>
              <w:t>Delaware</w:t>
            </w:r>
          </w:p>
        </w:tc>
        <w:tc>
          <w:tcPr>
            <w:tcW w:w="2100" w:type="dxa"/>
            <w:vAlign w:val="bottom"/>
          </w:tcPr>
          <w:p>
            <w:pPr>
              <w:jc w:val="center"/>
              <w:ind w:left="928"/>
              <w:spacing w:after="0"/>
              <w:rPr>
                <w:sz w:val="20"/>
                <w:szCs w:val="20"/>
                <w:color w:val="auto"/>
              </w:rPr>
            </w:pPr>
            <w:r>
              <w:rPr>
                <w:rFonts w:ascii="Arial" w:cs="Arial" w:eastAsia="Arial" w:hAnsi="Arial"/>
                <w:sz w:val="15"/>
                <w:szCs w:val="15"/>
                <w:b w:val="1"/>
                <w:bCs w:val="1"/>
                <w:color w:val="auto"/>
                <w:w w:val="92"/>
              </w:rPr>
              <w:t>76-0542208</w:t>
            </w:r>
          </w:p>
        </w:tc>
      </w:tr>
      <w:tr>
        <w:trPr>
          <w:trHeight w:val="178"/>
        </w:trPr>
        <w:tc>
          <w:tcPr>
            <w:tcW w:w="4540" w:type="dxa"/>
            <w:vAlign w:val="bottom"/>
          </w:tcPr>
          <w:p>
            <w:pPr>
              <w:jc w:val="center"/>
              <w:ind w:right="2667"/>
              <w:spacing w:after="0"/>
              <w:rPr>
                <w:sz w:val="20"/>
                <w:szCs w:val="20"/>
                <w:color w:val="auto"/>
              </w:rPr>
            </w:pPr>
            <w:r>
              <w:rPr>
                <w:rFonts w:ascii="Arial" w:cs="Arial" w:eastAsia="Arial" w:hAnsi="Arial"/>
                <w:sz w:val="14"/>
                <w:szCs w:val="14"/>
                <w:b w:val="1"/>
                <w:bCs w:val="1"/>
                <w:color w:val="auto"/>
                <w:w w:val="89"/>
              </w:rPr>
              <w:t>(State or other jurisdiction of</w:t>
            </w:r>
          </w:p>
        </w:tc>
        <w:tc>
          <w:tcPr>
            <w:tcW w:w="2100" w:type="dxa"/>
            <w:vAlign w:val="bottom"/>
          </w:tcPr>
          <w:p>
            <w:pPr>
              <w:jc w:val="center"/>
              <w:ind w:left="948"/>
              <w:spacing w:after="0"/>
              <w:rPr>
                <w:sz w:val="20"/>
                <w:szCs w:val="20"/>
                <w:color w:val="auto"/>
              </w:rPr>
            </w:pPr>
            <w:r>
              <w:rPr>
                <w:rFonts w:ascii="Arial" w:cs="Arial" w:eastAsia="Arial" w:hAnsi="Arial"/>
                <w:sz w:val="14"/>
                <w:szCs w:val="14"/>
                <w:b w:val="1"/>
                <w:bCs w:val="1"/>
                <w:color w:val="auto"/>
                <w:w w:val="93"/>
              </w:rPr>
              <w:t>(I.R.S. Employer</w:t>
            </w:r>
          </w:p>
        </w:tc>
      </w:tr>
      <w:tr>
        <w:trPr>
          <w:trHeight w:val="180"/>
        </w:trPr>
        <w:tc>
          <w:tcPr>
            <w:tcW w:w="4540" w:type="dxa"/>
            <w:vAlign w:val="bottom"/>
          </w:tcPr>
          <w:p>
            <w:pPr>
              <w:jc w:val="center"/>
              <w:ind w:right="2667"/>
              <w:spacing w:after="0"/>
              <w:rPr>
                <w:sz w:val="20"/>
                <w:szCs w:val="20"/>
                <w:color w:val="auto"/>
              </w:rPr>
            </w:pPr>
            <w:r>
              <w:rPr>
                <w:rFonts w:ascii="Arial" w:cs="Arial" w:eastAsia="Arial" w:hAnsi="Arial"/>
                <w:sz w:val="14"/>
                <w:szCs w:val="14"/>
                <w:b w:val="1"/>
                <w:bCs w:val="1"/>
                <w:color w:val="auto"/>
                <w:w w:val="90"/>
              </w:rPr>
              <w:t>incorporation or organization)</w:t>
            </w:r>
          </w:p>
        </w:tc>
        <w:tc>
          <w:tcPr>
            <w:tcW w:w="2100" w:type="dxa"/>
            <w:vAlign w:val="bottom"/>
          </w:tcPr>
          <w:p>
            <w:pPr>
              <w:jc w:val="center"/>
              <w:ind w:left="948"/>
              <w:spacing w:after="0"/>
              <w:rPr>
                <w:sz w:val="20"/>
                <w:szCs w:val="20"/>
                <w:color w:val="auto"/>
              </w:rPr>
            </w:pPr>
            <w:r>
              <w:rPr>
                <w:rFonts w:ascii="Arial" w:cs="Arial" w:eastAsia="Arial" w:hAnsi="Arial"/>
                <w:sz w:val="14"/>
                <w:szCs w:val="14"/>
                <w:b w:val="1"/>
                <w:bCs w:val="1"/>
                <w:color w:val="auto"/>
                <w:w w:val="91"/>
              </w:rPr>
              <w:t>Identification No.)</w:t>
            </w:r>
          </w:p>
        </w:tc>
      </w:tr>
    </w:tbl>
    <w:p>
      <w:pPr>
        <w:spacing w:after="0" w:line="88" w:lineRule="exact"/>
        <w:rPr>
          <w:sz w:val="24"/>
          <w:szCs w:val="24"/>
          <w:color w:val="auto"/>
        </w:rPr>
      </w:pPr>
    </w:p>
    <w:p>
      <w:pPr>
        <w:ind w:left="3760"/>
        <w:spacing w:after="0"/>
        <w:rPr>
          <w:sz w:val="20"/>
          <w:szCs w:val="20"/>
          <w:color w:val="auto"/>
        </w:rPr>
      </w:pPr>
      <w:r>
        <w:rPr>
          <w:rFonts w:ascii="Arial" w:cs="Arial" w:eastAsia="Arial" w:hAnsi="Arial"/>
          <w:sz w:val="15"/>
          <w:szCs w:val="15"/>
          <w:b w:val="1"/>
          <w:bCs w:val="1"/>
          <w:color w:val="auto"/>
        </w:rPr>
        <w:t>5433 Westheimer Road, Suite 500, Houston, Texas 77056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(713) 860-1500</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30" w:lineRule="exact"/>
        <w:rPr>
          <w:sz w:val="24"/>
          <w:szCs w:val="24"/>
          <w:color w:val="auto"/>
        </w:rPr>
      </w:pPr>
    </w:p>
    <w:tbl>
      <w:tblPr>
        <w:tblLayout w:type="fixed"/>
        <w:tblInd w:w="580" w:type="dxa"/>
        <w:tblCellMar>
          <w:top w:w="0" w:type="dxa"/>
          <w:left w:w="0" w:type="dxa"/>
          <w:bottom w:w="0" w:type="dxa"/>
          <w:right w:w="0" w:type="dxa"/>
        </w:tblCellMar>
      </w:tblPr>
      <w:tr>
        <w:trPr>
          <w:trHeight w:val="172"/>
        </w:trPr>
        <w:tc>
          <w:tcPr>
            <w:tcW w:w="4460" w:type="dxa"/>
            <w:vAlign w:val="bottom"/>
            <w:gridSpan w:val="2"/>
            <w:vMerge w:val="restart"/>
          </w:tcPr>
          <w:p>
            <w:pPr>
              <w:ind w:left="1640"/>
              <w:spacing w:after="0"/>
              <w:rPr>
                <w:sz w:val="20"/>
                <w:szCs w:val="20"/>
                <w:color w:val="auto"/>
              </w:rPr>
            </w:pPr>
            <w:r>
              <w:rPr>
                <w:rFonts w:ascii="Arial" w:cs="Arial" w:eastAsia="Arial" w:hAnsi="Arial"/>
                <w:sz w:val="15"/>
                <w:szCs w:val="15"/>
                <w:b w:val="1"/>
                <w:bCs w:val="1"/>
                <w:color w:val="auto"/>
              </w:rPr>
              <w:t>Title of each class</w:t>
            </w:r>
          </w:p>
        </w:tc>
        <w:tc>
          <w:tcPr>
            <w:tcW w:w="280" w:type="dxa"/>
            <w:vAlign w:val="bottom"/>
            <w:vMerge w:val="restart"/>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8"/>
              </w:rPr>
              <w:t>Trading</w:t>
            </w:r>
          </w:p>
        </w:tc>
        <w:tc>
          <w:tcPr>
            <w:tcW w:w="4240" w:type="dxa"/>
            <w:vAlign w:val="bottom"/>
            <w:gridSpan w:val="2"/>
            <w:vMerge w:val="restart"/>
          </w:tcPr>
          <w:p>
            <w:pPr>
              <w:ind w:left="780"/>
              <w:spacing w:after="0"/>
              <w:rPr>
                <w:sz w:val="20"/>
                <w:szCs w:val="20"/>
                <w:color w:val="auto"/>
              </w:rPr>
            </w:pPr>
            <w:r>
              <w:rPr>
                <w:rFonts w:ascii="Arial" w:cs="Arial" w:eastAsia="Arial" w:hAnsi="Arial"/>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4460" w:type="dxa"/>
            <w:vAlign w:val="bottom"/>
            <w:tcBorders>
              <w:bottom w:val="single" w:sz="8" w:color="auto"/>
            </w:tcBorders>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Symbol</w:t>
            </w:r>
          </w:p>
        </w:tc>
        <w:tc>
          <w:tcPr>
            <w:tcW w:w="260" w:type="dxa"/>
            <w:vAlign w:val="bottom"/>
          </w:tcPr>
          <w:p>
            <w:pPr>
              <w:spacing w:after="0"/>
              <w:rPr>
                <w:sz w:val="17"/>
                <w:szCs w:val="17"/>
                <w:color w:val="auto"/>
              </w:rPr>
            </w:pPr>
          </w:p>
        </w:tc>
        <w:tc>
          <w:tcPr>
            <w:tcW w:w="4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gridSpan w:val="3"/>
          </w:tcPr>
          <w:p>
            <w:pPr>
              <w:ind w:left="760"/>
              <w:spacing w:after="0"/>
              <w:rPr>
                <w:sz w:val="20"/>
                <w:szCs w:val="20"/>
                <w:color w:val="auto"/>
              </w:rPr>
            </w:pPr>
            <w:r>
              <w:rPr>
                <w:rFonts w:ascii="Arial" w:cs="Arial" w:eastAsia="Arial" w:hAnsi="Arial"/>
                <w:sz w:val="15"/>
                <w:szCs w:val="15"/>
                <w:b w:val="1"/>
                <w:bCs w:val="1"/>
                <w:color w:val="auto"/>
              </w:rPr>
              <w:t>Common Stock, par value $0.01 per share</w:t>
            </w: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IESC</w:t>
            </w:r>
          </w:p>
        </w:tc>
        <w:tc>
          <w:tcPr>
            <w:tcW w:w="86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5"/>
                <w:szCs w:val="15"/>
                <w:b w:val="1"/>
                <w:bCs w:val="1"/>
                <w:color w:val="auto"/>
              </w:rPr>
              <w:t>NASDAQ Global Market</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08" w:lineRule="exact"/>
        <w:rPr>
          <w:sz w:val="24"/>
          <w:szCs w:val="24"/>
          <w:color w:val="auto"/>
        </w:rPr>
      </w:pPr>
    </w:p>
    <w:p>
      <w:pPr>
        <w:spacing w:after="0" w:line="19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1" w:lineRule="exact"/>
        <w:rPr>
          <w:sz w:val="24"/>
          <w:szCs w:val="24"/>
          <w:color w:val="auto"/>
        </w:rPr>
      </w:pPr>
    </w:p>
    <w:p>
      <w:pPr>
        <w:spacing w:after="0" w:line="19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Arial" w:cs="Arial" w:eastAsia="Arial" w:hAnsi="Arial"/>
                <w:sz w:val="15"/>
                <w:szCs w:val="15"/>
                <w:color w:val="auto"/>
              </w:rPr>
              <w:t>Accelerated filer</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6"/>
        </w:trPr>
        <w:tc>
          <w:tcPr>
            <w:tcW w:w="2100" w:type="dxa"/>
            <w:vAlign w:val="bottom"/>
          </w:tcPr>
          <w:p>
            <w:pPr>
              <w:spacing w:after="0"/>
              <w:rPr>
                <w:sz w:val="20"/>
                <w:szCs w:val="20"/>
                <w:color w:val="auto"/>
              </w:rPr>
            </w:pPr>
            <w:r>
              <w:rPr>
                <w:rFonts w:ascii="Arial" w:cs="Arial" w:eastAsia="Arial" w:hAnsi="Arial"/>
                <w:sz w:val="15"/>
                <w:szCs w:val="15"/>
                <w:color w:val="auto"/>
              </w:rPr>
              <w:t>Non-accelerated filer</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ind w:left="2180"/>
              <w:spacing w:after="0"/>
              <w:rPr>
                <w:sz w:val="20"/>
                <w:szCs w:val="20"/>
                <w:color w:val="auto"/>
              </w:rPr>
            </w:pPr>
            <w:r>
              <w:rPr>
                <w:rFonts w:ascii="Arial" w:cs="Arial" w:eastAsia="Arial" w:hAnsi="Arial"/>
                <w:sz w:val="15"/>
                <w:szCs w:val="15"/>
                <w:color w:val="auto"/>
              </w:rPr>
              <w:t>Smaller reporting company</w:t>
            </w:r>
          </w:p>
        </w:tc>
        <w:tc>
          <w:tcPr>
            <w:tcW w:w="560" w:type="dxa"/>
            <w:vAlign w:val="bottom"/>
          </w:tcPr>
          <w:p>
            <w:pPr>
              <w:ind w:left="4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4"/>
        </w:trPr>
        <w:tc>
          <w:tcPr>
            <w:tcW w:w="210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7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428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173" w:lineRule="exact"/>
        <w:rPr>
          <w:sz w:val="24"/>
          <w:szCs w:val="24"/>
          <w:color w:val="auto"/>
        </w:rPr>
      </w:pPr>
    </w:p>
    <w:p>
      <w:pPr>
        <w:ind w:right="480"/>
        <w:spacing w:after="0" w:line="197"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1" w:lineRule="exact"/>
        <w:rPr>
          <w:sz w:val="24"/>
          <w:szCs w:val="24"/>
          <w:color w:val="auto"/>
        </w:rPr>
      </w:pPr>
    </w:p>
    <w:p>
      <w:pPr>
        <w:ind w:right="3360"/>
        <w:spacing w:after="0" w:line="255"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On January 31, 2022, there were 20,785,498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Arial" w:cs="Arial" w:eastAsia="Arial" w:hAnsi="Arial"/>
                <w:sz w:val="17"/>
                <w:szCs w:val="17"/>
                <w:b w:val="1"/>
                <w:bCs w:val="1"/>
                <w:color w:val="auto"/>
              </w:rPr>
              <w:t>Page</w:t>
            </w:r>
          </w:p>
        </w:tc>
      </w:tr>
      <w:tr>
        <w:trPr>
          <w:trHeight w:val="162"/>
        </w:trPr>
        <w:tc>
          <w:tcPr>
            <w:tcW w:w="180" w:type="dxa"/>
            <w:vAlign w:val="bottom"/>
          </w:tcPr>
          <w:p>
            <w:pPr>
              <w:spacing w:after="0"/>
              <w:rPr>
                <w:sz w:val="14"/>
                <w:szCs w:val="14"/>
                <w:color w:val="auto"/>
              </w:rPr>
            </w:pPr>
          </w:p>
        </w:tc>
        <w:tc>
          <w:tcPr>
            <w:tcW w:w="9920" w:type="dxa"/>
            <w:vAlign w:val="bottom"/>
            <w:gridSpan w:val="21"/>
          </w:tcPr>
          <w:p>
            <w:pPr>
              <w:spacing w:after="0" w:line="162" w:lineRule="exact"/>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99"/>
        </w:trPr>
        <w:tc>
          <w:tcPr>
            <w:tcW w:w="18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980" w:type="dxa"/>
            <w:vAlign w:val="bottom"/>
            <w:tcBorders>
              <w:top w:val="single" w:sz="8" w:color="0000FF"/>
              <w:bottom w:val="single" w:sz="8" w:color="0000FF"/>
            </w:tcBorders>
            <w:gridSpan w:val="8"/>
          </w:tcPr>
          <w:p>
            <w:pPr>
              <w:spacing w:after="0"/>
              <w:rPr>
                <w:rFonts w:ascii="Arial" w:cs="Arial" w:eastAsia="Arial" w:hAnsi="Arial"/>
                <w:sz w:val="17"/>
                <w:szCs w:val="17"/>
                <w:color w:val="0000FF"/>
                <w:w w:val="90"/>
              </w:rPr>
            </w:pPr>
            <w:hyperlink w:anchor="page5">
              <w:r>
                <w:rPr>
                  <w:rFonts w:ascii="Arial" w:cs="Arial" w:eastAsia="Arial" w:hAnsi="Arial"/>
                  <w:sz w:val="17"/>
                  <w:szCs w:val="17"/>
                  <w:color w:val="0000FF"/>
                  <w:w w:val="90"/>
                </w:rPr>
                <w:t>Item 1. Financial Statements</w:t>
              </w:r>
            </w:hyperlink>
          </w:p>
        </w:tc>
        <w:tc>
          <w:tcPr>
            <w:tcW w:w="460" w:type="dxa"/>
            <w:vAlign w:val="bottom"/>
            <w:tcBorders>
              <w:top w:val="single" w:sz="8" w:color="0000FF"/>
            </w:tcBorders>
            <w:gridSpan w:val="2"/>
          </w:tcPr>
          <w:p>
            <w:pPr>
              <w:spacing w:after="0"/>
              <w:rPr>
                <w:sz w:val="17"/>
                <w:szCs w:val="17"/>
                <w:color w:val="auto"/>
              </w:rPr>
            </w:pPr>
          </w:p>
        </w:tc>
        <w:tc>
          <w:tcPr>
            <w:tcW w:w="7180" w:type="dxa"/>
            <w:vAlign w:val="bottom"/>
            <w:gridSpan w:val="10"/>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80" w:type="dxa"/>
            <w:vAlign w:val="bottom"/>
            <w:tcBorders>
              <w:bottom w:val="single" w:sz="8" w:color="0000FF"/>
            </w:tcBorders>
            <w:gridSpan w:val="14"/>
          </w:tcPr>
          <w:p>
            <w:pPr>
              <w:spacing w:after="0"/>
              <w:rPr>
                <w:rFonts w:ascii="Arial" w:cs="Arial" w:eastAsia="Arial" w:hAnsi="Arial"/>
                <w:sz w:val="17"/>
                <w:szCs w:val="17"/>
                <w:color w:val="0000FF"/>
                <w:w w:val="89"/>
              </w:rPr>
            </w:pPr>
            <w:hyperlink w:anchor="page6">
              <w:r>
                <w:rPr>
                  <w:rFonts w:ascii="Arial" w:cs="Arial" w:eastAsia="Arial" w:hAnsi="Arial"/>
                  <w:sz w:val="17"/>
                  <w:szCs w:val="17"/>
                  <w:color w:val="0000FF"/>
                  <w:w w:val="89"/>
                </w:rPr>
                <w:t xml:space="preserve">Condensed Consolidated Balance Sheets as of December </w:t>
              </w:r>
            </w:hyperlink>
            <w:r>
              <w:rPr>
                <w:rFonts w:ascii="Arial" w:cs="Arial" w:eastAsia="Arial" w:hAnsi="Arial"/>
                <w:sz w:val="17"/>
                <w:szCs w:val="17"/>
                <w:color w:val="0000FF"/>
                <w:w w:val="89"/>
              </w:rPr>
              <w:t xml:space="preserve">31, </w:t>
            </w:r>
            <w:hyperlink w:anchor="page6">
              <w:r>
                <w:rPr>
                  <w:rFonts w:ascii="Arial" w:cs="Arial" w:eastAsia="Arial" w:hAnsi="Arial"/>
                  <w:sz w:val="17"/>
                  <w:szCs w:val="17"/>
                  <w:color w:val="0000FF"/>
                  <w:w w:val="89"/>
                </w:rPr>
                <w:t xml:space="preserve">2021 and September 30, </w:t>
              </w:r>
            </w:hyperlink>
            <w:r>
              <w:rPr>
                <w:rFonts w:ascii="Arial" w:cs="Arial" w:eastAsia="Arial" w:hAnsi="Arial"/>
                <w:sz w:val="17"/>
                <w:szCs w:val="17"/>
                <w:color w:val="0000FF"/>
                <w:w w:val="89"/>
              </w:rPr>
              <w:t>2021</w:t>
            </w:r>
          </w:p>
        </w:tc>
        <w:tc>
          <w:tcPr>
            <w:tcW w:w="2980" w:type="dxa"/>
            <w:vAlign w:val="bottom"/>
            <w:gridSpan w:val="5"/>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60" w:type="dxa"/>
            <w:vAlign w:val="bottom"/>
            <w:gridSpan w:val="19"/>
          </w:tcPr>
          <w:p>
            <w:pPr>
              <w:spacing w:after="0"/>
              <w:rPr>
                <w:rFonts w:ascii="Arial" w:cs="Arial" w:eastAsia="Arial" w:hAnsi="Arial"/>
                <w:sz w:val="17"/>
                <w:szCs w:val="17"/>
                <w:color w:val="0000FF"/>
                <w:w w:val="99"/>
              </w:rPr>
            </w:pPr>
            <w:hyperlink w:anchor="page6">
              <w:r>
                <w:rPr>
                  <w:rFonts w:ascii="Arial" w:cs="Arial" w:eastAsia="Arial" w:hAnsi="Arial"/>
                  <w:sz w:val="17"/>
                  <w:szCs w:val="17"/>
                  <w:color w:val="0000FF"/>
                  <w:w w:val="99"/>
                </w:rPr>
                <w:t xml:space="preserve">Condensed Consolidated Statements of Comprehensive Income for the Three Months Ended </w:t>
              </w:r>
            </w:hyperlink>
            <w:r>
              <w:rPr>
                <w:rFonts w:ascii="Arial" w:cs="Arial" w:eastAsia="Arial" w:hAnsi="Arial"/>
                <w:sz w:val="17"/>
                <w:szCs w:val="17"/>
                <w:color w:val="0000FF"/>
                <w:w w:val="99"/>
              </w:rPr>
              <w:t xml:space="preserve">December 31, </w:t>
            </w:r>
            <w:hyperlink w:anchor="page6">
              <w:r>
                <w:rPr>
                  <w:rFonts w:ascii="Arial" w:cs="Arial" w:eastAsia="Arial" w:hAnsi="Arial"/>
                  <w:sz w:val="17"/>
                  <w:szCs w:val="17"/>
                  <w:color w:val="0000FF"/>
                  <w:w w:val="99"/>
                </w:rPr>
                <w:t>2021 and 2020</w:t>
              </w:r>
            </w:hyperlink>
          </w:p>
        </w:tc>
        <w:tc>
          <w:tcPr>
            <w:tcW w:w="102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20" w:type="dxa"/>
            <w:vAlign w:val="bottom"/>
            <w:tcBorders>
              <w:top w:val="single" w:sz="8" w:color="0000FF"/>
            </w:tcBorders>
            <w:gridSpan w:val="18"/>
          </w:tcPr>
          <w:p>
            <w:pPr>
              <w:spacing w:after="0"/>
              <w:rPr>
                <w:rFonts w:ascii="Arial" w:cs="Arial" w:eastAsia="Arial" w:hAnsi="Arial"/>
                <w:sz w:val="17"/>
                <w:szCs w:val="17"/>
                <w:color w:val="0000FF"/>
                <w:w w:val="92"/>
              </w:rPr>
            </w:pPr>
            <w:hyperlink w:anchor="page7">
              <w:r>
                <w:rPr>
                  <w:rFonts w:ascii="Arial" w:cs="Arial" w:eastAsia="Arial" w:hAnsi="Arial"/>
                  <w:sz w:val="17"/>
                  <w:szCs w:val="17"/>
                  <w:color w:val="0000FF"/>
                  <w:w w:val="92"/>
                </w:rPr>
                <w:t xml:space="preserve">Condensed Consolidated Statements of Stockholders’ Equity for the Three Months Ended December </w:t>
              </w:r>
            </w:hyperlink>
            <w:r>
              <w:rPr>
                <w:rFonts w:ascii="Arial" w:cs="Arial" w:eastAsia="Arial" w:hAnsi="Arial"/>
                <w:sz w:val="17"/>
                <w:szCs w:val="17"/>
                <w:color w:val="0000FF"/>
                <w:w w:val="92"/>
              </w:rPr>
              <w:t xml:space="preserve">31, </w:t>
            </w:r>
            <w:hyperlink w:anchor="page7">
              <w:r>
                <w:rPr>
                  <w:rFonts w:ascii="Arial" w:cs="Arial" w:eastAsia="Arial" w:hAnsi="Arial"/>
                  <w:sz w:val="17"/>
                  <w:szCs w:val="17"/>
                  <w:color w:val="0000FF"/>
                  <w:w w:val="92"/>
                </w:rPr>
                <w:t>2021 and 2020</w:t>
              </w:r>
            </w:hyperlink>
          </w:p>
        </w:tc>
        <w:tc>
          <w:tcPr>
            <w:tcW w:w="840" w:type="dxa"/>
            <w:vAlign w:val="bottom"/>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8</w:t>
              </w:r>
            </w:hyperlink>
          </w:p>
        </w:tc>
        <w:tc>
          <w:tcPr>
            <w:tcW w:w="120" w:type="dxa"/>
            <w:vAlign w:val="bottom"/>
          </w:tcPr>
          <w:p>
            <w:pPr>
              <w:spacing w:after="0"/>
              <w:rPr>
                <w:sz w:val="17"/>
                <w:szCs w:val="17"/>
                <w:color w:val="auto"/>
              </w:rPr>
            </w:pPr>
          </w:p>
        </w:tc>
      </w:tr>
      <w:tr>
        <w:trPr>
          <w:trHeight w:val="212"/>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0" w:type="dxa"/>
            <w:vAlign w:val="bottom"/>
            <w:tcBorders>
              <w:top w:val="single" w:sz="8" w:color="0000FF"/>
              <w:bottom w:val="single" w:sz="8" w:color="0000FF"/>
            </w:tcBorders>
            <w:gridSpan w:val="16"/>
          </w:tcPr>
          <w:p>
            <w:pPr>
              <w:spacing w:after="0"/>
              <w:rPr>
                <w:rFonts w:ascii="Arial" w:cs="Arial" w:eastAsia="Arial" w:hAnsi="Arial"/>
                <w:sz w:val="17"/>
                <w:szCs w:val="17"/>
                <w:color w:val="0000FF"/>
                <w:w w:val="90"/>
              </w:rPr>
            </w:pPr>
            <w:hyperlink w:anchor="page8">
              <w:r>
                <w:rPr>
                  <w:rFonts w:ascii="Arial" w:cs="Arial" w:eastAsia="Arial" w:hAnsi="Arial"/>
                  <w:sz w:val="17"/>
                  <w:szCs w:val="17"/>
                  <w:color w:val="0000FF"/>
                  <w:w w:val="90"/>
                </w:rPr>
                <w:t xml:space="preserve">Condensed Consolidated Statements of Cash Flows for the Three Months Ended December </w:t>
              </w:r>
            </w:hyperlink>
            <w:r>
              <w:rPr>
                <w:rFonts w:ascii="Arial" w:cs="Arial" w:eastAsia="Arial" w:hAnsi="Arial"/>
                <w:sz w:val="17"/>
                <w:szCs w:val="17"/>
                <w:color w:val="0000FF"/>
                <w:w w:val="90"/>
              </w:rPr>
              <w:t xml:space="preserve">31, </w:t>
            </w:r>
            <w:hyperlink w:anchor="page8">
              <w:r>
                <w:rPr>
                  <w:rFonts w:ascii="Arial" w:cs="Arial" w:eastAsia="Arial" w:hAnsi="Arial"/>
                  <w:sz w:val="17"/>
                  <w:szCs w:val="17"/>
                  <w:color w:val="0000FF"/>
                  <w:w w:val="90"/>
                </w:rPr>
                <w:t>2021 and 2020</w:t>
              </w:r>
            </w:hyperlink>
          </w:p>
        </w:tc>
        <w:tc>
          <w:tcPr>
            <w:tcW w:w="640" w:type="dxa"/>
            <w:vAlign w:val="bottom"/>
            <w:tcBorders>
              <w:top w:val="single" w:sz="8" w:color="0000FF"/>
              <w:bottom w:val="single" w:sz="8" w:color="0000FF"/>
            </w:tcBorders>
          </w:tcPr>
          <w:p>
            <w:pPr>
              <w:spacing w:after="0"/>
              <w:rPr>
                <w:sz w:val="18"/>
                <w:szCs w:val="18"/>
                <w:color w:val="auto"/>
              </w:rPr>
            </w:pPr>
          </w:p>
        </w:tc>
        <w:tc>
          <w:tcPr>
            <w:tcW w:w="1020" w:type="dxa"/>
            <w:vAlign w:val="bottom"/>
            <w:gridSpan w:val="2"/>
          </w:tcPr>
          <w:p>
            <w:pPr>
              <w:spacing w:after="0"/>
              <w:rPr>
                <w:sz w:val="18"/>
                <w:szCs w:val="18"/>
                <w:color w:val="auto"/>
              </w:rPr>
            </w:pPr>
          </w:p>
        </w:tc>
        <w:tc>
          <w:tcPr>
            <w:tcW w:w="1020" w:type="dxa"/>
            <w:vAlign w:val="bottom"/>
          </w:tcPr>
          <w:p>
            <w:pPr>
              <w:jc w:val="right"/>
              <w:spacing w:after="0"/>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120" w:type="dxa"/>
            <w:vAlign w:val="bottom"/>
          </w:tcPr>
          <w:p>
            <w:pPr>
              <w:spacing w:after="0"/>
              <w:rPr>
                <w:sz w:val="18"/>
                <w:szCs w:val="18"/>
                <w:color w:val="auto"/>
              </w:rPr>
            </w:pPr>
          </w:p>
        </w:tc>
      </w:tr>
      <w:tr>
        <w:trPr>
          <w:trHeight w:val="225"/>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60" w:type="dxa"/>
            <w:vAlign w:val="bottom"/>
            <w:gridSpan w:val="19"/>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w:t>
              </w:r>
            </w:hyperlink>
          </w:p>
        </w:tc>
        <w:tc>
          <w:tcPr>
            <w:tcW w:w="102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12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tcBorders>
              <w:bottom w:val="single" w:sz="8" w:color="0000FF"/>
            </w:tcBorders>
            <w:gridSpan w:val="16"/>
          </w:tcPr>
          <w:p>
            <w:pPr>
              <w:spacing w:after="0"/>
              <w:rPr>
                <w:rFonts w:ascii="Arial" w:cs="Arial" w:eastAsia="Arial" w:hAnsi="Arial"/>
                <w:sz w:val="17"/>
                <w:szCs w:val="17"/>
                <w:color w:val="0000FF"/>
                <w:w w:val="92"/>
              </w:rPr>
            </w:pPr>
            <w:hyperlink w:anchor="page22">
              <w:r>
                <w:rPr>
                  <w:rFonts w:ascii="Arial" w:cs="Arial" w:eastAsia="Arial" w:hAnsi="Arial"/>
                  <w:sz w:val="17"/>
                  <w:szCs w:val="17"/>
                  <w:color w:val="0000FF"/>
                  <w:w w:val="92"/>
                </w:rPr>
                <w:t>Item 2. Management’s Discussion and Analysis of Financial Condition and Results of Operations</w:t>
              </w:r>
            </w:hyperlink>
          </w:p>
        </w:tc>
        <w:tc>
          <w:tcPr>
            <w:tcW w:w="2920" w:type="dxa"/>
            <w:vAlign w:val="bottom"/>
            <w:gridSpan w:val="4"/>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22">
              <w:r>
                <w:rPr>
                  <w:rFonts w:ascii="Arial" w:cs="Arial" w:eastAsia="Arial" w:hAnsi="Arial"/>
                  <w:sz w:val="17"/>
                  <w:szCs w:val="17"/>
                  <w:color w:val="0000FF"/>
                </w:rPr>
                <w:t>22</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FF"/>
            </w:tcBorders>
            <w:gridSpan w:val="14"/>
          </w:tcPr>
          <w:p>
            <w:pPr>
              <w:spacing w:after="0"/>
              <w:rPr>
                <w:rFonts w:ascii="Arial" w:cs="Arial" w:eastAsia="Arial" w:hAnsi="Arial"/>
                <w:sz w:val="17"/>
                <w:szCs w:val="17"/>
                <w:color w:val="0000FF"/>
                <w:w w:val="93"/>
              </w:rPr>
            </w:pPr>
            <w:hyperlink w:anchor="page30">
              <w:r>
                <w:rPr>
                  <w:rFonts w:ascii="Arial" w:cs="Arial" w:eastAsia="Arial" w:hAnsi="Arial"/>
                  <w:sz w:val="17"/>
                  <w:szCs w:val="17"/>
                  <w:color w:val="0000FF"/>
                  <w:w w:val="93"/>
                </w:rPr>
                <w:t>Item 3. Quantitative and Qualitative Disclosures About Market Risk</w:t>
              </w:r>
            </w:hyperlink>
          </w:p>
        </w:tc>
        <w:tc>
          <w:tcPr>
            <w:tcW w:w="4920" w:type="dxa"/>
            <w:vAlign w:val="bottom"/>
            <w:gridSpan w:val="6"/>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0">
              <w:r>
                <w:rPr>
                  <w:rFonts w:ascii="Arial" w:cs="Arial" w:eastAsia="Arial" w:hAnsi="Arial"/>
                  <w:sz w:val="17"/>
                  <w:szCs w:val="17"/>
                  <w:color w:val="0000FF"/>
                </w:rPr>
                <w:t>31</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Item 4. Controls and Procedures</w:t>
              </w:r>
            </w:hyperlink>
          </w:p>
        </w:tc>
        <w:tc>
          <w:tcPr>
            <w:tcW w:w="1020" w:type="dxa"/>
            <w:vAlign w:val="bottom"/>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c>
          <w:tcPr>
            <w:tcW w:w="1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2520" w:type="dxa"/>
            <w:vAlign w:val="bottom"/>
            <w:tcBorders>
              <w:bottom w:val="single" w:sz="8" w:color="0000FF"/>
            </w:tcBorders>
            <w:gridSpan w:val="10"/>
          </w:tcPr>
          <w:p>
            <w:pPr>
              <w:spacing w:after="0"/>
              <w:rPr>
                <w:rFonts w:ascii="Arial" w:cs="Arial" w:eastAsia="Arial" w:hAnsi="Arial"/>
                <w:sz w:val="17"/>
                <w:szCs w:val="17"/>
                <w:color w:val="0000FF"/>
                <w:w w:val="98"/>
              </w:rPr>
            </w:pPr>
            <w:hyperlink w:anchor="page31">
              <w:r>
                <w:rPr>
                  <w:rFonts w:ascii="Arial" w:cs="Arial" w:eastAsia="Arial" w:hAnsi="Arial"/>
                  <w:sz w:val="17"/>
                  <w:szCs w:val="17"/>
                  <w:color w:val="0000FF"/>
                  <w:w w:val="98"/>
                </w:rPr>
                <w:t>PART II. OTHER INFORMATION</w:t>
              </w:r>
            </w:hyperlink>
          </w:p>
        </w:tc>
        <w:tc>
          <w:tcPr>
            <w:tcW w:w="7400" w:type="dxa"/>
            <w:vAlign w:val="bottom"/>
            <w:gridSpan w:val="11"/>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Item 1. Legal Proceedings</w:t>
              </w:r>
            </w:hyperlink>
          </w:p>
        </w:tc>
        <w:tc>
          <w:tcPr>
            <w:tcW w:w="1020" w:type="dxa"/>
            <w:vAlign w:val="bottom"/>
          </w:tcPr>
          <w:p>
            <w:pPr>
              <w:jc w:val="right"/>
              <w:spacing w:after="0"/>
              <w:rPr>
                <w:rFonts w:ascii="Arial" w:cs="Arial" w:eastAsia="Arial" w:hAnsi="Arial"/>
                <w:sz w:val="17"/>
                <w:szCs w:val="17"/>
                <w:color w:val="0000FF"/>
              </w:rPr>
            </w:pPr>
            <w:hyperlink w:anchor="page31">
              <w:r>
                <w:rPr>
                  <w:rFonts w:ascii="Arial" w:cs="Arial" w:eastAsia="Arial" w:hAnsi="Arial"/>
                  <w:sz w:val="17"/>
                  <w:szCs w:val="17"/>
                  <w:color w:val="0000FF"/>
                </w:rPr>
                <w:t>32</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Borders>
              <w:top w:val="single" w:sz="8" w:color="0000FF"/>
            </w:tcBorders>
            <w:gridSpan w:val="7"/>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Item 1A. Risk Factors</w:t>
              </w:r>
            </w:hyperlink>
          </w:p>
        </w:tc>
        <w:tc>
          <w:tcPr>
            <w:tcW w:w="7820" w:type="dxa"/>
            <w:vAlign w:val="bottom"/>
            <w:gridSpan w:val="13"/>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c>
          <w:tcPr>
            <w:tcW w:w="12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Item 2. Unregistered Sales of Equity Securities and Use of Proceeds</w:t>
              </w:r>
            </w:hyperlink>
          </w:p>
        </w:tc>
        <w:tc>
          <w:tcPr>
            <w:tcW w:w="102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11"/>
          </w:tcPr>
          <w:p>
            <w:pPr>
              <w:spacing w:after="0"/>
              <w:rPr>
                <w:rFonts w:ascii="Arial" w:cs="Arial" w:eastAsia="Arial" w:hAnsi="Arial"/>
                <w:sz w:val="17"/>
                <w:szCs w:val="17"/>
                <w:color w:val="0000FF"/>
                <w:w w:val="92"/>
              </w:rPr>
            </w:pPr>
            <w:hyperlink w:anchor="page32">
              <w:r>
                <w:rPr>
                  <w:rFonts w:ascii="Arial" w:cs="Arial" w:eastAsia="Arial" w:hAnsi="Arial"/>
                  <w:sz w:val="17"/>
                  <w:szCs w:val="17"/>
                  <w:color w:val="0000FF"/>
                  <w:w w:val="92"/>
                </w:rPr>
                <w:t>Item 3. Defaults Upon Senior Securities</w:t>
              </w:r>
            </w:hyperlink>
          </w:p>
        </w:tc>
        <w:tc>
          <w:tcPr>
            <w:tcW w:w="192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20"/>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Item 4. Mine Safety Disclosures</w:t>
              </w:r>
            </w:hyperlink>
          </w:p>
        </w:tc>
        <w:tc>
          <w:tcPr>
            <w:tcW w:w="102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Borders>
              <w:top w:val="single" w:sz="8" w:color="0000FF"/>
            </w:tcBorders>
            <w:gridSpan w:val="9"/>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Item 5. Other Information</w:t>
              </w:r>
            </w:hyperlink>
          </w:p>
        </w:tc>
        <w:tc>
          <w:tcPr>
            <w:tcW w:w="7400" w:type="dxa"/>
            <w:vAlign w:val="bottom"/>
            <w:gridSpan w:val="11"/>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32</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Borders>
              <w:top w:val="single" w:sz="8" w:color="0000FF"/>
            </w:tcBorders>
            <w:gridSpan w:val="6"/>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Item 6. Exhibits</w:t>
              </w:r>
            </w:hyperlink>
          </w:p>
        </w:tc>
        <w:tc>
          <w:tcPr>
            <w:tcW w:w="7840" w:type="dxa"/>
            <w:vAlign w:val="bottom"/>
            <w:gridSpan w:val="14"/>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2">
              <w:r>
                <w:rPr>
                  <w:rFonts w:ascii="Arial" w:cs="Arial" w:eastAsia="Arial" w:hAnsi="Arial"/>
                  <w:sz w:val="17"/>
                  <w:szCs w:val="17"/>
                  <w:color w:val="0000FF"/>
                </w:rPr>
                <w:t>33</w:t>
              </w:r>
            </w:hyperlink>
          </w:p>
        </w:tc>
        <w:tc>
          <w:tcPr>
            <w:tcW w:w="120" w:type="dxa"/>
            <w:vAlign w:val="bottom"/>
          </w:tcPr>
          <w:p>
            <w:pPr>
              <w:spacing w:after="0"/>
              <w:rPr>
                <w:sz w:val="17"/>
                <w:szCs w:val="17"/>
                <w:color w:val="auto"/>
              </w:rPr>
            </w:pPr>
          </w:p>
        </w:tc>
      </w:tr>
      <w:tr>
        <w:trPr>
          <w:trHeight w:val="199"/>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top w:val="single" w:sz="8" w:color="0000FF"/>
            </w:tcBorders>
            <w:gridSpan w:val="4"/>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Signatures</w:t>
              </w:r>
            </w:hyperlink>
          </w:p>
        </w:tc>
        <w:tc>
          <w:tcPr>
            <w:tcW w:w="8520" w:type="dxa"/>
            <w:vAlign w:val="bottom"/>
            <w:gridSpan w:val="16"/>
          </w:tcPr>
          <w:p>
            <w:pPr>
              <w:spacing w:after="0"/>
              <w:rPr>
                <w:sz w:val="17"/>
                <w:szCs w:val="17"/>
                <w:color w:val="auto"/>
              </w:rPr>
            </w:pPr>
          </w:p>
        </w:tc>
        <w:tc>
          <w:tcPr>
            <w:tcW w:w="1020" w:type="dxa"/>
            <w:vAlign w:val="bottom"/>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34</w:t>
              </w:r>
            </w:hyperlink>
          </w:p>
        </w:tc>
        <w:tc>
          <w:tcPr>
            <w:tcW w:w="120" w:type="dxa"/>
            <w:vAlign w:val="bottom"/>
          </w:tcPr>
          <w:p>
            <w:pPr>
              <w:spacing w:after="0"/>
              <w:rPr>
                <w:sz w:val="17"/>
                <w:szCs w:val="17"/>
                <w:color w:val="auto"/>
              </w:rPr>
            </w:pPr>
          </w:p>
        </w:tc>
      </w:tr>
      <w:tr>
        <w:trPr>
          <w:trHeight w:val="649"/>
        </w:trPr>
        <w:tc>
          <w:tcPr>
            <w:tcW w:w="480" w:type="dxa"/>
            <w:vAlign w:val="bottom"/>
            <w:gridSpan w:val="2"/>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5920" w:type="dxa"/>
            <w:vAlign w:val="bottom"/>
            <w:gridSpan w:val="12"/>
          </w:tcPr>
          <w:p>
            <w:pPr>
              <w:jc w:val="right"/>
              <w:ind w:right="146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205105</wp:posOffset>
            </wp:positionH>
            <wp:positionV relativeFrom="page">
              <wp:posOffset>351155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t>PART I. FINANCIAL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DEFINITIONS</w:t>
      </w:r>
    </w:p>
    <w:p>
      <w:pPr>
        <w:spacing w:after="0" w:line="24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this Quarterly Report on Form 10-Q, the words “IES”, the “Company”, the “Registrant”, “we”, “our”, “ours” and “us” refer to IES Holdings, Inc. and, except as otherwise specified herein, to our subsidiaries.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DISCLOSURE REGARDING FORWARD-LOOKING STATEMENTS</w:t>
      </w:r>
    </w:p>
    <w:p>
      <w:pPr>
        <w:spacing w:after="0" w:line="249"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96" w:lineRule="exact"/>
        <w:rPr>
          <w:sz w:val="20"/>
          <w:szCs w:val="20"/>
          <w:color w:val="auto"/>
        </w:rPr>
      </w:pPr>
    </w:p>
    <w:p>
      <w:pPr>
        <w:ind w:left="620" w:right="60" w:hanging="307"/>
        <w:spacing w:after="0" w:line="24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204" w:lineRule="exact"/>
        <w:rPr>
          <w:rFonts w:ascii="Arial" w:cs="Arial" w:eastAsia="Arial" w:hAnsi="Arial"/>
          <w:sz w:val="17"/>
          <w:szCs w:val="17"/>
          <w:color w:val="auto"/>
        </w:rPr>
      </w:pPr>
    </w:p>
    <w:p>
      <w:pPr>
        <w:ind w:left="620" w:right="120" w:hanging="307"/>
        <w:spacing w:after="0" w:line="26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in the industries in which we operate, both from third parties and former employees, which could result in the loss of one or more customers or lead to lower margins on new projects;</w:t>
      </w:r>
    </w:p>
    <w:p>
      <w:pPr>
        <w:spacing w:after="0" w:line="188" w:lineRule="exact"/>
        <w:rPr>
          <w:rFonts w:ascii="Arial" w:cs="Arial" w:eastAsia="Arial" w:hAnsi="Arial"/>
          <w:sz w:val="17"/>
          <w:szCs w:val="17"/>
          <w:color w:val="auto"/>
        </w:rPr>
      </w:pPr>
    </w:p>
    <w:p>
      <w:pPr>
        <w:ind w:left="620" w:hanging="307"/>
        <w:spacing w:after="0" w:line="250"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201" w:lineRule="exact"/>
        <w:rPr>
          <w:rFonts w:ascii="Arial" w:cs="Arial" w:eastAsia="Arial" w:hAnsi="Arial"/>
          <w:sz w:val="17"/>
          <w:szCs w:val="17"/>
          <w:color w:val="auto"/>
        </w:rPr>
      </w:pPr>
    </w:p>
    <w:p>
      <w:pPr>
        <w:ind w:left="620" w:right="200" w:hanging="307"/>
        <w:spacing w:after="0" w:line="26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supply chain disruptions due to our suppliers' access to materials and labor, their ability to ship products timely, or credit or liquidity problems they may face;</w:t>
      </w:r>
    </w:p>
    <w:p>
      <w:pPr>
        <w:spacing w:after="0" w:line="188"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and the terms of, future contracts;</w:t>
      </w:r>
    </w:p>
    <w:p>
      <w:pPr>
        <w:spacing w:after="0" w:line="229" w:lineRule="exact"/>
        <w:rPr>
          <w:rFonts w:ascii="Arial" w:cs="Arial" w:eastAsia="Arial" w:hAnsi="Arial"/>
          <w:sz w:val="17"/>
          <w:szCs w:val="17"/>
          <w:color w:val="auto"/>
        </w:rPr>
      </w:pPr>
    </w:p>
    <w:p>
      <w:pPr>
        <w:ind w:left="620" w:right="100" w:hanging="307"/>
        <w:spacing w:after="0" w:line="264"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88"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challenges integrating new businesses into the Company or new types of work, products or processes into our segments;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general reduction in the demand for our products or services;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backlog that may not be realized or may not result in profits;</w:t>
      </w:r>
    </w:p>
    <w:p>
      <w:pPr>
        <w:spacing w:after="0" w:line="22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adequately recover on contract change orders or claims against customers;</w:t>
      </w:r>
    </w:p>
    <w:p>
      <w:pPr>
        <w:spacing w:after="0" w:line="229"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closures or sales of facilities resulting in significant future charges, including potential warranty losses or other unexpected liabilities, or a significant disruption of our operations;</w:t>
      </w:r>
    </w:p>
    <w:p>
      <w:pPr>
        <w:spacing w:after="0" w:line="177"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seasonality, adverse weather conditions, and climate change;</w:t>
      </w:r>
    </w:p>
    <w:p>
      <w:pPr>
        <w:spacing w:after="0" w:line="229"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increased cost of surety bonds affecting margins on work and the potential for our surety providers to refuse bonding or require additional collateral at their discretion;</w:t>
      </w:r>
    </w:p>
    <w:p>
      <w:pPr>
        <w:spacing w:after="0" w:line="190" w:lineRule="exact"/>
        <w:rPr>
          <w:rFonts w:ascii="Arial" w:cs="Arial" w:eastAsia="Arial" w:hAnsi="Arial"/>
          <w:sz w:val="17"/>
          <w:szCs w:val="17"/>
          <w:color w:val="auto"/>
        </w:rPr>
      </w:pPr>
    </w:p>
    <w:p>
      <w:pPr>
        <w:ind w:left="620" w:right="8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operating activity due to downturns in levels of construction or the housing market, seasonality and differing regional economic conditions;</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increases in bad debt expense and days sales outstanding due to liquidity problems faced by our customers;</w:t>
      </w:r>
    </w:p>
    <w:p>
      <w:pPr>
        <w:spacing w:after="0" w:line="24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accidents resulting from the physical hazards associated with our work and the potential for accidents;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3" w:name="page4"/>
    <w:bookmarkEnd w:id="3"/>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our current insurance coverage may not be adequate or that we may not be able to obtain policies at acceptable rates;</w:t>
      </w:r>
    </w:p>
    <w:p>
      <w:pPr>
        <w:spacing w:after="0" w:line="242" w:lineRule="exact"/>
        <w:rPr>
          <w:rFonts w:ascii="Arial" w:cs="Arial" w:eastAsia="Arial" w:hAnsi="Arial"/>
          <w:sz w:val="17"/>
          <w:szCs w:val="17"/>
          <w:color w:val="auto"/>
        </w:rPr>
      </w:pPr>
    </w:p>
    <w:p>
      <w:pPr>
        <w:ind w:left="307" w:right="18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of litigation, claims and contingencies, including warranty losses, damages or other latent defect claims in excess of our existing reserves and accruals;</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interruptions to our information systems and cyber security or data breaches;</w:t>
      </w:r>
    </w:p>
    <w:p>
      <w:pPr>
        <w:spacing w:after="0" w:line="229"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liabilities under laws and regulations protecting the environment, including those laws related to climate change;</w:t>
      </w:r>
    </w:p>
    <w:p>
      <w:pPr>
        <w:spacing w:after="0" w:line="217"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expenditures to comply with future changes in environmental laws and regulations, including those relating to climate change;</w:t>
      </w:r>
    </w:p>
    <w:p>
      <w:pPr>
        <w:spacing w:after="0" w:line="229"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 of key personnel and effective transition of new management, or inability to transfer, renew and obtain electrical and other professional licenses;</w:t>
      </w:r>
    </w:p>
    <w:p>
      <w:pPr>
        <w:spacing w:after="0" w:line="254" w:lineRule="exact"/>
        <w:rPr>
          <w:rFonts w:ascii="Arial" w:cs="Arial" w:eastAsia="Arial" w:hAnsi="Arial"/>
          <w:sz w:val="16"/>
          <w:szCs w:val="16"/>
          <w:color w:val="auto"/>
        </w:rPr>
      </w:pPr>
    </w:p>
    <w:p>
      <w:pPr>
        <w:ind w:left="307" w:right="20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certain tax benefits of our net operating losses may be restricted or reduced in a change in ownership or a decrease in the federal tax rate;</w:t>
      </w:r>
    </w:p>
    <w:p>
      <w:pPr>
        <w:spacing w:after="0" w:line="190" w:lineRule="exact"/>
        <w:rPr>
          <w:rFonts w:ascii="Arial" w:cs="Arial" w:eastAsia="Arial" w:hAnsi="Arial"/>
          <w:sz w:val="17"/>
          <w:szCs w:val="17"/>
          <w:color w:val="auto"/>
        </w:rPr>
      </w:pPr>
    </w:p>
    <w:p>
      <w:pPr>
        <w:ind w:left="307" w:right="2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recognition of tax benefits related to uncertain tax positions and the potential for disagreements with taxing authorities with regard to tax positions we have adopted;</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recognition of valuation allowances or write-downs on deferred tax assets;</w:t>
      </w:r>
    </w:p>
    <w:p>
      <w:pPr>
        <w:spacing w:after="0" w:line="242" w:lineRule="exact"/>
        <w:rPr>
          <w:rFonts w:ascii="Arial" w:cs="Arial" w:eastAsia="Arial" w:hAnsi="Arial"/>
          <w:sz w:val="17"/>
          <w:szCs w:val="17"/>
          <w:color w:val="auto"/>
        </w:rPr>
      </w:pPr>
    </w:p>
    <w:p>
      <w:pPr>
        <w:ind w:left="307" w:right="14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limitations on the availability of sufficient credit or cash flow to fund our working capital needs and capital expenditures, complete acquisitions, and for debt service;</w:t>
      </w:r>
    </w:p>
    <w:p>
      <w:pPr>
        <w:spacing w:after="0" w:line="190" w:lineRule="exact"/>
        <w:rPr>
          <w:rFonts w:ascii="Arial" w:cs="Arial" w:eastAsia="Arial" w:hAnsi="Arial"/>
          <w:sz w:val="17"/>
          <w:szCs w:val="17"/>
          <w:color w:val="auto"/>
        </w:rPr>
      </w:pPr>
    </w:p>
    <w:p>
      <w:pPr>
        <w:ind w:left="307" w:right="18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90" w:lineRule="exact"/>
        <w:rPr>
          <w:rFonts w:ascii="Arial" w:cs="Arial" w:eastAsia="Arial" w:hAnsi="Arial"/>
          <w:sz w:val="17"/>
          <w:szCs w:val="17"/>
          <w:color w:val="auto"/>
        </w:rPr>
      </w:pPr>
    </w:p>
    <w:p>
      <w:pPr>
        <w:ind w:left="307" w:right="34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90" w:lineRule="exact"/>
        <w:rPr>
          <w:rFonts w:ascii="Arial" w:cs="Arial" w:eastAsia="Arial" w:hAnsi="Arial"/>
          <w:sz w:val="17"/>
          <w:szCs w:val="17"/>
          <w:color w:val="auto"/>
        </w:rPr>
      </w:pPr>
    </w:p>
    <w:p>
      <w:pPr>
        <w:ind w:left="307" w:right="120" w:hanging="307"/>
        <w:spacing w:after="0" w:line="312" w:lineRule="auto"/>
        <w:tabs>
          <w:tab w:leader="none" w:pos="303" w:val="left"/>
        </w:tabs>
        <w:numPr>
          <w:ilvl w:val="0"/>
          <w:numId w:val="4"/>
        </w:numPr>
        <w:rPr>
          <w:rFonts w:ascii="Arial" w:cs="Arial" w:eastAsia="Arial" w:hAnsi="Arial"/>
          <w:sz w:val="16"/>
          <w:szCs w:val="16"/>
          <w:color w:val="auto"/>
        </w:rPr>
      </w:pPr>
      <w:r>
        <w:rPr>
          <w:rFonts w:ascii="Arial" w:cs="Arial" w:eastAsia="Arial" w:hAnsi="Arial"/>
          <w:sz w:val="16"/>
          <w:szCs w:val="16"/>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66" w:lineRule="exact"/>
        <w:rPr>
          <w:rFonts w:ascii="Arial" w:cs="Arial" w:eastAsia="Arial" w:hAnsi="Arial"/>
          <w:sz w:val="16"/>
          <w:szCs w:val="16"/>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uncertainties inherent in estimating future operating results, including revenues, operating income or cash flow;</w:t>
      </w:r>
    </w:p>
    <w:p>
      <w:pPr>
        <w:spacing w:after="0" w:line="242"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recognition of potential goodwill, long-lived assets and other investment impairments;</w:t>
      </w:r>
    </w:p>
    <w:p>
      <w:pPr>
        <w:spacing w:after="0" w:line="242" w:lineRule="exact"/>
        <w:rPr>
          <w:rFonts w:ascii="Arial" w:cs="Arial" w:eastAsia="Arial" w:hAnsi="Arial"/>
          <w:sz w:val="17"/>
          <w:szCs w:val="17"/>
          <w:color w:val="auto"/>
        </w:rPr>
      </w:pPr>
    </w:p>
    <w:p>
      <w:pPr>
        <w:ind w:left="307" w:right="140" w:hanging="307"/>
        <w:spacing w:after="0" w:line="266"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200" w:lineRule="exact"/>
        <w:rPr>
          <w:rFonts w:ascii="Arial" w:cs="Arial" w:eastAsia="Arial" w:hAnsi="Arial"/>
          <w:sz w:val="17"/>
          <w:szCs w:val="17"/>
          <w:color w:val="auto"/>
        </w:rPr>
      </w:pPr>
    </w:p>
    <w:p>
      <w:pPr>
        <w:ind w:left="307" w:right="34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90" w:lineRule="exact"/>
        <w:rPr>
          <w:rFonts w:ascii="Arial" w:cs="Arial" w:eastAsia="Arial" w:hAnsi="Arial"/>
          <w:sz w:val="17"/>
          <w:szCs w:val="17"/>
          <w:color w:val="auto"/>
        </w:rPr>
      </w:pPr>
    </w:p>
    <w:p>
      <w:pPr>
        <w:ind w:left="307" w:right="40" w:hanging="307"/>
        <w:spacing w:after="0" w:line="279"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90" w:lineRule="exact"/>
        <w:rPr>
          <w:rFonts w:ascii="Arial" w:cs="Arial" w:eastAsia="Arial" w:hAnsi="Arial"/>
          <w:sz w:val="17"/>
          <w:szCs w:val="17"/>
          <w:color w:val="auto"/>
        </w:rPr>
      </w:pPr>
    </w:p>
    <w:p>
      <w:pPr>
        <w:ind w:left="307" w:hanging="307"/>
        <w:spacing w:after="0"/>
        <w:tabs>
          <w:tab w:leader="none" w:pos="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substantial sales of our common stock, which could adversely affect our stock price;</w:t>
      </w:r>
    </w:p>
    <w:p>
      <w:pPr>
        <w:spacing w:after="0" w:line="229" w:lineRule="exact"/>
        <w:rPr>
          <w:rFonts w:ascii="Arial" w:cs="Arial" w:eastAsia="Arial" w:hAnsi="Arial"/>
          <w:sz w:val="17"/>
          <w:szCs w:val="17"/>
          <w:color w:val="auto"/>
        </w:rPr>
      </w:pPr>
    </w:p>
    <w:p>
      <w:pPr>
        <w:ind w:left="307" w:hanging="307"/>
        <w:spacing w:after="0" w:line="248"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increasing scrutiny and changing expectations from investors and customers, or new or changing regulations, with respect to environmental, social and governance practices;</w:t>
      </w:r>
    </w:p>
    <w:p>
      <w:pPr>
        <w:spacing w:after="0" w:line="189" w:lineRule="exact"/>
        <w:rPr>
          <w:rFonts w:ascii="Arial" w:cs="Arial" w:eastAsia="Arial" w:hAnsi="Arial"/>
          <w:sz w:val="17"/>
          <w:szCs w:val="17"/>
          <w:color w:val="auto"/>
        </w:rPr>
      </w:pPr>
    </w:p>
    <w:p>
      <w:pPr>
        <w:ind w:left="307" w:right="120" w:hanging="307"/>
        <w:spacing w:after="0" w:line="248" w:lineRule="auto"/>
        <w:tabs>
          <w:tab w:leader="none" w:pos="3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53"/>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87"/>
          </w:cols>
          <w:pgMar w:left="633" w:top="669" w:right="379" w:bottom="1440" w:gutter="0" w:footer="0" w:header="0"/>
        </w:sectPr>
      </w:pPr>
    </w:p>
    <w:bookmarkStart w:id="4" w:name="page5"/>
    <w:bookmarkEnd w:id="4"/>
    <w:p>
      <w:pPr>
        <w:ind w:left="620" w:right="120" w:hanging="307"/>
        <w:spacing w:after="0" w:line="279"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internal controls over financial reporting and our disclosure controls and procedures may not prevent all possible errors that could occur; and</w:t>
      </w:r>
    </w:p>
    <w:p>
      <w:pPr>
        <w:spacing w:after="0" w:line="190"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other factors discussed elsewhere in this Quarterly Report on Form 10-Q.</w:t>
      </w:r>
    </w:p>
    <w:p>
      <w:pPr>
        <w:spacing w:after="0" w:line="24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You should understand that the foregoing, as well as other risk factors discussed in this document, including those listed in Part I, Item 1A of our Annual Report on Form 10-K for the fiscal year ended September 30, 2021,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8260" w:type="dxa"/>
            <w:vAlign w:val="bottom"/>
          </w:tcPr>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70"/>
        </w:trPr>
        <w:tc>
          <w:tcPr>
            <w:tcW w:w="8260" w:type="dxa"/>
            <w:vAlign w:val="bottom"/>
          </w:tcPr>
          <w:p>
            <w:pPr>
              <w:jc w:val="center"/>
              <w:ind w:left="2894"/>
              <w:spacing w:after="0"/>
              <w:rPr>
                <w:sz w:val="20"/>
                <w:szCs w:val="20"/>
                <w:color w:val="auto"/>
              </w:rPr>
            </w:pPr>
            <w:r>
              <w:rPr>
                <w:rFonts w:ascii="Arial" w:cs="Arial" w:eastAsia="Arial" w:hAnsi="Arial"/>
                <w:sz w:val="17"/>
                <w:szCs w:val="17"/>
                <w:b w:val="1"/>
                <w:bCs w:val="1"/>
                <w:color w:val="auto"/>
              </w:rPr>
              <w:t>IES HOLDINGS,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8260" w:type="dxa"/>
            <w:vAlign w:val="bottom"/>
          </w:tcPr>
          <w:p>
            <w:pPr>
              <w:jc w:val="center"/>
              <w:ind w:left="2894"/>
              <w:spacing w:after="0"/>
              <w:rPr>
                <w:sz w:val="20"/>
                <w:szCs w:val="20"/>
                <w:color w:val="auto"/>
              </w:rPr>
            </w:pPr>
            <w:r>
              <w:rPr>
                <w:rFonts w:ascii="Arial" w:cs="Arial" w:eastAsia="Arial" w:hAnsi="Arial"/>
                <w:sz w:val="17"/>
                <w:szCs w:val="17"/>
                <w:b w:val="1"/>
                <w:bCs w:val="1"/>
                <w:color w:val="auto"/>
                <w:w w:val="88"/>
              </w:rPr>
              <w:t>Condensed Consolidated Balance Sheets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8260" w:type="dxa"/>
            <w:vAlign w:val="bottom"/>
          </w:tcPr>
          <w:p>
            <w:pPr>
              <w:jc w:val="center"/>
              <w:ind w:left="2894"/>
              <w:spacing w:after="0"/>
              <w:rPr>
                <w:sz w:val="20"/>
                <w:szCs w:val="20"/>
                <w:color w:val="auto"/>
              </w:rPr>
            </w:pPr>
            <w:r>
              <w:rPr>
                <w:rFonts w:ascii="Arial" w:cs="Arial" w:eastAsia="Arial" w:hAnsi="Arial"/>
                <w:sz w:val="17"/>
                <w:szCs w:val="17"/>
                <w:b w:val="1"/>
                <w:bCs w:val="1"/>
                <w:color w:val="auto"/>
                <w:w w:val="92"/>
              </w:rPr>
              <w:t>(In Thousands, Except Share Information)</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5"/>
        </w:trPr>
        <w:tc>
          <w:tcPr>
            <w:tcW w:w="8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December 31,</w:t>
            </w:r>
          </w:p>
        </w:tc>
        <w:tc>
          <w:tcPr>
            <w:tcW w:w="16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7"/>
                <w:szCs w:val="17"/>
                <w:color w:val="auto"/>
                <w:w w:val="91"/>
              </w:rPr>
              <w:t>September 30,</w:t>
            </w:r>
          </w:p>
        </w:tc>
      </w:tr>
      <w:tr>
        <w:trPr>
          <w:trHeight w:val="220"/>
        </w:trPr>
        <w:tc>
          <w:tcPr>
            <w:tcW w:w="8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89"/>
              </w:rPr>
              <w:t>2021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2021</w:t>
            </w:r>
          </w:p>
        </w:tc>
      </w:tr>
      <w:tr>
        <w:trPr>
          <w:trHeight w:val="211"/>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(Unaudited)</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tcPr>
          <w:p>
            <w:pPr>
              <w:ind w:left="376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CURRENT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7,826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23,105</w:t>
            </w: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8"/>
        </w:trPr>
        <w:tc>
          <w:tcPr>
            <w:tcW w:w="8260" w:type="dxa"/>
            <w:vAlign w:val="bottom"/>
          </w:tcPr>
          <w:p>
            <w:pPr>
              <w:ind w:left="440"/>
              <w:spacing w:after="0"/>
              <w:rPr>
                <w:sz w:val="20"/>
                <w:szCs w:val="20"/>
                <w:color w:val="auto"/>
              </w:rPr>
            </w:pPr>
            <w:r>
              <w:rPr>
                <w:rFonts w:ascii="Arial" w:cs="Arial" w:eastAsia="Arial" w:hAnsi="Arial"/>
                <w:sz w:val="17"/>
                <w:szCs w:val="17"/>
                <w:color w:val="auto"/>
              </w:rPr>
              <w:t>Trade, net of allowance of $2,497 and $2,387,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294,789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286,707</w:t>
            </w:r>
          </w:p>
        </w:tc>
      </w:tr>
      <w:tr>
        <w:trPr>
          <w:trHeight w:val="220"/>
        </w:trPr>
        <w:tc>
          <w:tcPr>
            <w:tcW w:w="8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Retainage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41,341</w:t>
            </w: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68,573</w:t>
            </w: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Costs and estimated earnings in excess of billings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43,389</w:t>
            </w:r>
          </w:p>
        </w:tc>
      </w:tr>
      <w:tr>
        <w:trPr>
          <w:trHeight w:val="218"/>
        </w:trPr>
        <w:tc>
          <w:tcPr>
            <w:tcW w:w="82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21,065</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496,489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484,180</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35,454</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w:t>
            </w: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82,093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85,619</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Deferred tax assets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19,009</w:t>
            </w: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Operating right of use assets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42,531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42,916</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7,049</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785,228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766,622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shd w:val="clear" w:color="auto" w:fill="CCEEFF"/>
          </w:tcPr>
          <w:p>
            <w:pPr>
              <w:ind w:left="2300"/>
              <w:spacing w:after="0" w:line="186" w:lineRule="exact"/>
              <w:rPr>
                <w:sz w:val="20"/>
                <w:szCs w:val="20"/>
                <w:color w:val="auto"/>
              </w:rPr>
            </w:pPr>
            <w:r>
              <w:rPr>
                <w:rFonts w:ascii="Arial" w:cs="Arial" w:eastAsia="Arial" w:hAnsi="Arial"/>
                <w:sz w:val="17"/>
                <w:szCs w:val="17"/>
                <w:color w:val="auto"/>
              </w:rPr>
              <w:t>LIABILITIES AND STOCKHOLDERS’ EQUITY</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8"/>
        </w:trPr>
        <w:tc>
          <w:tcPr>
            <w:tcW w:w="8260" w:type="dxa"/>
            <w:vAlign w:val="bottom"/>
          </w:tcPr>
          <w:p>
            <w:pPr>
              <w:ind w:left="60"/>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 and accrued expenses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249,114</w:t>
            </w:r>
          </w:p>
        </w:tc>
      </w:tr>
      <w:tr>
        <w:trPr>
          <w:trHeight w:val="218"/>
        </w:trPr>
        <w:tc>
          <w:tcPr>
            <w:tcW w:w="82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Billings in excess of costs and estimated earnings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62,486</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298,790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311,600</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Long-term debt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39,746</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Operating long-term lease liabilities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28,649</w:t>
            </w:r>
          </w:p>
        </w:tc>
      </w:tr>
      <w:tr>
        <w:trPr>
          <w:trHeight w:val="218"/>
        </w:trPr>
        <w:tc>
          <w:tcPr>
            <w:tcW w:w="82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16,080</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404,698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396,075</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Noncontrolling interest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24,070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24,594</w:t>
            </w:r>
          </w:p>
        </w:tc>
      </w:tr>
      <w:tr>
        <w:trPr>
          <w:trHeight w:val="220"/>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Preferred stock, $0.01 par value, 10,000,000 shares authorized, none issued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and outstanding</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Common stock, $0.01 par value, 100,000,000 shares authorized; 22,049,529</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82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issued and 20,788,085 and 20,732,531 outstanding, respectively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18"/>
        </w:trPr>
        <w:tc>
          <w:tcPr>
            <w:tcW w:w="8260" w:type="dxa"/>
            <w:vAlign w:val="bottom"/>
          </w:tcPr>
          <w:p>
            <w:pPr>
              <w:ind w:left="300"/>
              <w:spacing w:after="0"/>
              <w:rPr>
                <w:sz w:val="20"/>
                <w:szCs w:val="20"/>
                <w:color w:val="auto"/>
              </w:rPr>
            </w:pPr>
            <w:r>
              <w:rPr>
                <w:rFonts w:ascii="Arial" w:cs="Arial" w:eastAsia="Arial" w:hAnsi="Arial"/>
                <w:sz w:val="17"/>
                <w:szCs w:val="17"/>
                <w:color w:val="auto"/>
              </w:rPr>
              <w:t>Treasury stock, at cost, 1,261,444 and 1,316,998 shares, respectively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(29,300)</w:t>
            </w:r>
          </w:p>
        </w:tc>
      </w:tr>
      <w:tr>
        <w:trPr>
          <w:trHeight w:val="220"/>
        </w:trPr>
        <w:tc>
          <w:tcPr>
            <w:tcW w:w="82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201,899</w:t>
            </w:r>
          </w:p>
        </w:tc>
      </w:tr>
      <w:tr>
        <w:trPr>
          <w:trHeight w:val="218"/>
        </w:trPr>
        <w:tc>
          <w:tcPr>
            <w:tcW w:w="826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Retained earnings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187,538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173,134</w:t>
            </w:r>
          </w:p>
        </w:tc>
      </w:tr>
      <w:tr>
        <w:trPr>
          <w:trHeight w:val="213"/>
        </w:trPr>
        <w:tc>
          <w:tcPr>
            <w:tcW w:w="8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356,460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345,953</w:t>
            </w:r>
          </w:p>
        </w:tc>
      </w:tr>
      <w:tr>
        <w:trPr>
          <w:trHeight w:val="211"/>
        </w:trPr>
        <w:tc>
          <w:tcPr>
            <w:tcW w:w="8260" w:type="dxa"/>
            <w:vAlign w:val="bottom"/>
          </w:tcPr>
          <w:p>
            <w:pPr>
              <w:ind w:left="6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785,228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766,622</w:t>
            </w: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7"/>
                <w:szCs w:val="17"/>
                <w:color w:val="auto"/>
                <w:w w:val="96"/>
              </w:rPr>
              <w:t>Three Months Ended December 31,</w:t>
            </w:r>
          </w:p>
        </w:tc>
      </w:tr>
      <w:tr>
        <w:trPr>
          <w:trHeight w:val="212"/>
        </w:trPr>
        <w:tc>
          <w:tcPr>
            <w:tcW w:w="7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2020</w:t>
            </w:r>
          </w:p>
        </w:tc>
      </w:tr>
      <w:tr>
        <w:trPr>
          <w:trHeight w:val="213"/>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Revenues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480,509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314,838</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Cost of services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400,782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256,159</w:t>
            </w:r>
          </w:p>
        </w:tc>
      </w:tr>
      <w:tr>
        <w:trPr>
          <w:trHeight w:val="213"/>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79,727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58,679</w:t>
            </w:r>
          </w:p>
        </w:tc>
      </w:tr>
      <w:tr>
        <w:trPr>
          <w:trHeight w:val="218"/>
        </w:trPr>
        <w:tc>
          <w:tcPr>
            <w:tcW w:w="7780" w:type="dxa"/>
            <w:vAlign w:val="bottom"/>
          </w:tcPr>
          <w:p>
            <w:pPr>
              <w:ind w:left="260"/>
              <w:spacing w:after="0"/>
              <w:rPr>
                <w:sz w:val="20"/>
                <w:szCs w:val="20"/>
                <w:color w:val="auto"/>
              </w:rPr>
            </w:pPr>
            <w:r>
              <w:rPr>
                <w:rFonts w:ascii="Arial" w:cs="Arial" w:eastAsia="Arial" w:hAnsi="Arial"/>
                <w:sz w:val="17"/>
                <w:szCs w:val="17"/>
                <w:color w:val="auto"/>
              </w:rPr>
              <w:t>Selling, general and administrative expenses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59,402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42,786</w:t>
            </w:r>
          </w:p>
        </w:tc>
      </w:tr>
      <w:tr>
        <w:trPr>
          <w:trHeight w:val="220"/>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Contingent consideration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Gain on sale of assets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13"/>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15,903</w:t>
            </w:r>
          </w:p>
        </w:tc>
      </w:tr>
      <w:tr>
        <w:trPr>
          <w:trHeight w:val="198"/>
        </w:trPr>
        <w:tc>
          <w:tcPr>
            <w:tcW w:w="7780" w:type="dxa"/>
            <w:vAlign w:val="bottom"/>
          </w:tcPr>
          <w:p>
            <w:pPr>
              <w:ind w:left="260"/>
              <w:spacing w:after="0"/>
              <w:rPr>
                <w:sz w:val="20"/>
                <w:szCs w:val="20"/>
                <w:color w:val="auto"/>
              </w:rPr>
            </w:pPr>
            <w:r>
              <w:rPr>
                <w:rFonts w:ascii="Arial" w:cs="Arial" w:eastAsia="Arial" w:hAnsi="Arial"/>
                <w:sz w:val="17"/>
                <w:szCs w:val="17"/>
                <w:color w:val="auto"/>
              </w:rPr>
              <w:t>Interest and other (income) expense:</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0"/>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(income) expense, net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r>
      <w:tr>
        <w:trPr>
          <w:trHeight w:val="213"/>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from operations before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15,849</w:t>
            </w:r>
          </w:p>
        </w:tc>
      </w:tr>
      <w:tr>
        <w:trPr>
          <w:trHeight w:val="218"/>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3,639</w:t>
            </w:r>
          </w:p>
        </w:tc>
      </w:tr>
      <w:tr>
        <w:trPr>
          <w:trHeight w:val="213"/>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15,079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12,210</w:t>
            </w:r>
          </w:p>
        </w:tc>
      </w:tr>
      <w:tr>
        <w:trPr>
          <w:trHeight w:val="211"/>
        </w:trPr>
        <w:tc>
          <w:tcPr>
            <w:tcW w:w="77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38"/>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Comprehensive income attributable to IES Holdings, Inc.</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7780" w:type="dxa"/>
            <w:vAlign w:val="bottom"/>
          </w:tcPr>
          <w:p>
            <w:pPr>
              <w:ind w:left="5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0.70</w:t>
            </w:r>
          </w:p>
        </w:tc>
        <w:tc>
          <w:tcPr>
            <w:tcW w:w="12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0.58</w:t>
            </w:r>
          </w:p>
        </w:tc>
      </w:tr>
      <w:tr>
        <w:trPr>
          <w:trHeight w:val="220"/>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06"/>
        </w:trPr>
        <w:tc>
          <w:tcPr>
            <w:tcW w:w="7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Shares used in the computation of earnings per share: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7780" w:type="dxa"/>
            <w:vAlign w:val="bottom"/>
          </w:tcPr>
          <w:p>
            <w:pPr>
              <w:ind w:left="5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20,702,844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20,734,516</w:t>
            </w:r>
          </w:p>
        </w:tc>
      </w:tr>
      <w:tr>
        <w:trPr>
          <w:trHeight w:val="220"/>
        </w:trPr>
        <w:tc>
          <w:tcPr>
            <w:tcW w:w="77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20,958,887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21,061,355</w:t>
            </w: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2"/>
          </w:tcPr>
          <w:p>
            <w:pPr>
              <w:ind w:left="680"/>
              <w:spacing w:after="0"/>
              <w:rPr>
                <w:sz w:val="20"/>
                <w:szCs w:val="20"/>
                <w:color w:val="auto"/>
              </w:rPr>
            </w:pPr>
            <w:r>
              <w:rPr>
                <w:rFonts w:ascii="Arial" w:cs="Arial" w:eastAsia="Arial" w:hAnsi="Arial"/>
                <w:sz w:val="14"/>
                <w:szCs w:val="14"/>
                <w:color w:val="auto"/>
              </w:rPr>
              <w:t>Three Months Ended December 31, 2021</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511"/>
              <w:spacing w:after="0"/>
              <w:rPr>
                <w:sz w:val="20"/>
                <w:szCs w:val="20"/>
                <w:color w:val="auto"/>
              </w:rPr>
            </w:pPr>
            <w:r>
              <w:rPr>
                <w:rFonts w:ascii="Arial" w:cs="Arial" w:eastAsia="Arial" w:hAnsi="Arial"/>
                <w:sz w:val="14"/>
                <w:szCs w:val="14"/>
                <w:color w:val="auto"/>
              </w:rPr>
              <w:t>Common Stock</w:t>
            </w:r>
          </w:p>
        </w:tc>
        <w:tc>
          <w:tcPr>
            <w:tcW w:w="120" w:type="dxa"/>
            <w:vAlign w:val="bottom"/>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right"/>
              <w:ind w:right="571"/>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vMerge w:val="restart"/>
          </w:tcPr>
          <w:p>
            <w:pPr>
              <w:ind w:left="3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24"/>
                <w:szCs w:val="24"/>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color w:val="auto"/>
              </w:rPr>
              <w:t>Amount</w:t>
            </w:r>
          </w:p>
        </w:tc>
        <w:tc>
          <w:tcPr>
            <w:tcW w:w="1280" w:type="dxa"/>
            <w:vAlign w:val="bottom"/>
            <w:gridSpan w:val="5"/>
          </w:tcPr>
          <w:p>
            <w:pPr>
              <w:ind w:left="80"/>
              <w:spacing w:after="0"/>
              <w:rPr>
                <w:sz w:val="20"/>
                <w:szCs w:val="20"/>
                <w:color w:val="auto"/>
              </w:rPr>
            </w:pPr>
            <w:r>
              <w:rPr>
                <w:rFonts w:ascii="Arial" w:cs="Arial" w:eastAsia="Arial" w:hAnsi="Arial"/>
                <w:sz w:val="14"/>
                <w:szCs w:val="14"/>
                <w:color w:val="auto"/>
              </w:rPr>
              <w:t>Additional Paid-In</w:t>
            </w:r>
          </w:p>
        </w:tc>
        <w:tc>
          <w:tcPr>
            <w:tcW w:w="1180" w:type="dxa"/>
            <w:vAlign w:val="bottom"/>
            <w:gridSpan w:val="5"/>
            <w:vMerge w:val="restart"/>
          </w:tcPr>
          <w:p>
            <w:pPr>
              <w:jc w:val="right"/>
              <w:ind w:right="160"/>
              <w:spacing w:after="0"/>
              <w:rPr>
                <w:sz w:val="20"/>
                <w:szCs w:val="20"/>
                <w:color w:val="auto"/>
              </w:rPr>
            </w:pPr>
            <w:r>
              <w:rPr>
                <w:rFonts w:ascii="Arial" w:cs="Arial" w:eastAsia="Arial" w:hAnsi="Arial"/>
                <w:sz w:val="14"/>
                <w:szCs w:val="14"/>
                <w:color w:val="auto"/>
                <w:w w:val="86"/>
              </w:rPr>
              <w:t>Retained Earnings</w:t>
            </w:r>
          </w:p>
        </w:tc>
        <w:tc>
          <w:tcPr>
            <w:tcW w:w="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4"/>
                <w:szCs w:val="14"/>
                <w:color w:val="auto"/>
                <w:w w:val="92"/>
              </w:rPr>
              <w:t>Total 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Capital</w:t>
            </w:r>
          </w:p>
        </w:tc>
        <w:tc>
          <w:tcPr>
            <w:tcW w:w="118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BALANCE, September 30, 2021</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(1,316,998)</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(29,300)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201,899</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gridSpan w:val="2"/>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173,134</w:t>
            </w: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345,953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ind w:left="200"/>
              <w:spacing w:after="0"/>
              <w:rPr>
                <w:sz w:val="20"/>
                <w:szCs w:val="20"/>
                <w:color w:val="auto"/>
              </w:rPr>
            </w:pPr>
            <w:r>
              <w:rPr>
                <w:rFonts w:ascii="Arial" w:cs="Arial" w:eastAsia="Arial" w:hAnsi="Arial"/>
                <w:sz w:val="14"/>
                <w:szCs w:val="14"/>
                <w:color w:val="auto"/>
              </w:rPr>
              <w:t>Issuances under compensation plans</w:t>
            </w:r>
          </w:p>
        </w:tc>
        <w:tc>
          <w:tcPr>
            <w:tcW w:w="20" w:type="dxa"/>
            <w:vAlign w:val="bottom"/>
          </w:tcPr>
          <w:p>
            <w:pPr>
              <w:spacing w:after="0"/>
              <w:rPr>
                <w:sz w:val="15"/>
                <w:szCs w:val="15"/>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157,167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(3,637)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of treasury stock</w:t>
            </w:r>
          </w:p>
        </w:tc>
        <w:tc>
          <w:tcPr>
            <w:tcW w:w="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(101,613)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ind w:left="200"/>
              <w:spacing w:after="0"/>
              <w:rPr>
                <w:sz w:val="20"/>
                <w:szCs w:val="20"/>
                <w:color w:val="auto"/>
              </w:rPr>
            </w:pPr>
            <w:r>
              <w:rPr>
                <w:rFonts w:ascii="Arial" w:cs="Arial" w:eastAsia="Arial" w:hAnsi="Arial"/>
                <w:sz w:val="14"/>
                <w:szCs w:val="14"/>
                <w:color w:val="auto"/>
              </w:rPr>
              <w:t>Non-cash compensation</w:t>
            </w:r>
          </w:p>
        </w:tc>
        <w:tc>
          <w:tcPr>
            <w:tcW w:w="20" w:type="dxa"/>
            <w:vAlign w:val="bottom"/>
          </w:tcPr>
          <w:p>
            <w:pPr>
              <w:spacing w:after="0"/>
              <w:rPr>
                <w:sz w:val="15"/>
                <w:szCs w:val="15"/>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Increase in noncontrolling interest</w:t>
            </w:r>
          </w:p>
        </w:tc>
        <w:tc>
          <w:tcPr>
            <w:tcW w:w="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ind w:left="200"/>
              <w:spacing w:after="0"/>
              <w:rPr>
                <w:sz w:val="20"/>
                <w:szCs w:val="20"/>
                <w:color w:val="auto"/>
              </w:rPr>
            </w:pPr>
            <w:r>
              <w:rPr>
                <w:rFonts w:ascii="Arial" w:cs="Arial" w:eastAsia="Arial" w:hAnsi="Arial"/>
                <w:sz w:val="14"/>
                <w:szCs w:val="14"/>
                <w:color w:val="auto"/>
              </w:rPr>
              <w:t>Net income attributable to IES Holdings, Inc.</w:t>
            </w:r>
          </w:p>
        </w:tc>
        <w:tc>
          <w:tcPr>
            <w:tcW w:w="20" w:type="dxa"/>
            <w:vAlign w:val="bottom"/>
          </w:tcPr>
          <w:p>
            <w:pPr>
              <w:spacing w:after="0"/>
              <w:rPr>
                <w:sz w:val="15"/>
                <w:szCs w:val="15"/>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14,464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BALANCE, December 31, 2021</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22,049,529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(1,261,444)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199,162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187,538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12"/>
          </w:tcPr>
          <w:p>
            <w:pPr>
              <w:ind w:left="700"/>
              <w:spacing w:after="0"/>
              <w:rPr>
                <w:sz w:val="20"/>
                <w:szCs w:val="20"/>
                <w:color w:val="auto"/>
              </w:rPr>
            </w:pPr>
            <w:r>
              <w:rPr>
                <w:rFonts w:ascii="Arial" w:cs="Arial" w:eastAsia="Arial" w:hAnsi="Arial"/>
                <w:sz w:val="14"/>
                <w:szCs w:val="14"/>
                <w:color w:val="auto"/>
              </w:rPr>
              <w:t>Three Months Ended December 31, 2020</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vMerge w:val="restart"/>
          </w:tcPr>
          <w:p>
            <w:pPr>
              <w:ind w:left="36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4"/>
                <w:szCs w:val="14"/>
                <w:color w:val="auto"/>
              </w:rPr>
              <w:t>Amount</w:t>
            </w:r>
          </w:p>
        </w:tc>
        <w:tc>
          <w:tcPr>
            <w:tcW w:w="60" w:type="dxa"/>
            <w:vAlign w:val="bottom"/>
          </w:tcPr>
          <w:p>
            <w:pPr>
              <w:spacing w:after="0"/>
              <w:rPr>
                <w:sz w:val="24"/>
                <w:szCs w:val="24"/>
                <w:color w:val="auto"/>
              </w:rPr>
            </w:pPr>
          </w:p>
        </w:tc>
        <w:tc>
          <w:tcPr>
            <w:tcW w:w="1000" w:type="dxa"/>
            <w:vAlign w:val="bottom"/>
            <w:gridSpan w:val="3"/>
            <w:vMerge w:val="restart"/>
          </w:tcPr>
          <w:p>
            <w:pPr>
              <w:ind w:left="28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4"/>
                <w:szCs w:val="14"/>
                <w:color w:val="auto"/>
                <w:w w:val="98"/>
              </w:rPr>
              <w:t>Additional Paid -</w:t>
            </w:r>
          </w:p>
        </w:tc>
        <w:tc>
          <w:tcPr>
            <w:tcW w:w="40" w:type="dxa"/>
            <w:vAlign w:val="bottom"/>
          </w:tcPr>
          <w:p>
            <w:pPr>
              <w:spacing w:after="0"/>
              <w:rPr>
                <w:sz w:val="24"/>
                <w:szCs w:val="24"/>
                <w:color w:val="auto"/>
              </w:rPr>
            </w:pPr>
          </w:p>
        </w:tc>
        <w:tc>
          <w:tcPr>
            <w:tcW w:w="114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w w:val="88"/>
              </w:rPr>
              <w:t>Retained Earnings</w:t>
            </w:r>
          </w:p>
        </w:tc>
        <w:tc>
          <w:tcPr>
            <w:tcW w:w="6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color w:val="auto"/>
                <w:w w:val="91"/>
              </w:rPr>
              <w:t>Total Stockholders'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In Capital</w:t>
            </w:r>
          </w:p>
        </w:tc>
        <w:tc>
          <w:tcPr>
            <w:tcW w:w="4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September 30, 2020</w:t>
            </w:r>
          </w:p>
        </w:tc>
        <w:tc>
          <w:tcPr>
            <w:tcW w:w="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22,049,529</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(1,287,134)</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(24,499)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200,587</w:t>
            </w:r>
          </w:p>
        </w:tc>
        <w:tc>
          <w:tcPr>
            <w:tcW w:w="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107,005</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283,313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auto"/>
              </w:rPr>
              <w:t>Issuances under compensation plans</w:t>
            </w:r>
          </w:p>
        </w:tc>
        <w:tc>
          <w:tcPr>
            <w:tcW w:w="20" w:type="dxa"/>
            <w:vAlign w:val="bottom"/>
          </w:tcPr>
          <w:p>
            <w:pPr>
              <w:spacing w:after="0"/>
              <w:rPr>
                <w:sz w:val="15"/>
                <w:szCs w:val="15"/>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38,467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treasury stock</w:t>
            </w:r>
          </w:p>
        </w:tc>
        <w:tc>
          <w:tcPr>
            <w:tcW w:w="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(30,878)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(1,226)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auto"/>
              </w:rPr>
              <w:t>Non-cash compensation</w:t>
            </w:r>
          </w:p>
        </w:tc>
        <w:tc>
          <w:tcPr>
            <w:tcW w:w="20" w:type="dxa"/>
            <w:vAlign w:val="bottom"/>
          </w:tcPr>
          <w:p>
            <w:pPr>
              <w:spacing w:after="0"/>
              <w:rPr>
                <w:sz w:val="15"/>
                <w:szCs w:val="15"/>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Decrease in noncontrolling interest</w:t>
            </w:r>
          </w:p>
        </w:tc>
        <w:tc>
          <w:tcPr>
            <w:tcW w:w="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20" w:type="dxa"/>
            <w:vAlign w:val="bottom"/>
          </w:tcPr>
          <w:p>
            <w:pPr>
              <w:ind w:left="120"/>
              <w:spacing w:after="0" w:line="129" w:lineRule="exact"/>
              <w:rPr>
                <w:sz w:val="20"/>
                <w:szCs w:val="20"/>
                <w:color w:val="auto"/>
              </w:rPr>
            </w:pPr>
            <w:r>
              <w:rPr>
                <w:rFonts w:ascii="Arial" w:cs="Arial" w:eastAsia="Arial" w:hAnsi="Arial"/>
                <w:sz w:val="14"/>
                <w:szCs w:val="14"/>
                <w:color w:val="auto"/>
                <w:w w:val="97"/>
              </w:rPr>
              <w:t>Cumulative effect adjustment from adoption of new</w:t>
            </w: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20" w:type="dxa"/>
            <w:vAlign w:val="bottom"/>
          </w:tcPr>
          <w:p>
            <w:pPr>
              <w:ind w:left="120"/>
              <w:spacing w:after="0"/>
              <w:rPr>
                <w:sz w:val="20"/>
                <w:szCs w:val="20"/>
                <w:color w:val="auto"/>
              </w:rPr>
            </w:pPr>
            <w:r>
              <w:rPr>
                <w:rFonts w:ascii="Arial" w:cs="Arial" w:eastAsia="Arial" w:hAnsi="Arial"/>
                <w:sz w:val="14"/>
                <w:szCs w:val="14"/>
                <w:color w:val="auto"/>
              </w:rPr>
              <w:t>accounting standard</w:t>
            </w: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3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 attributable to IES Holdings, Inc.</w:t>
            </w:r>
          </w:p>
        </w:tc>
        <w:tc>
          <w:tcPr>
            <w:tcW w:w="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20" w:type="dxa"/>
            <w:vAlign w:val="bottom"/>
          </w:tcPr>
          <w:p>
            <w:pPr>
              <w:ind w:left="40"/>
              <w:spacing w:after="0"/>
              <w:rPr>
                <w:sz w:val="20"/>
                <w:szCs w:val="20"/>
                <w:color w:val="auto"/>
              </w:rPr>
            </w:pPr>
            <w:r>
              <w:rPr>
                <w:rFonts w:ascii="Arial" w:cs="Arial" w:eastAsia="Arial" w:hAnsi="Arial"/>
                <w:sz w:val="14"/>
                <w:szCs w:val="14"/>
                <w:color w:val="auto"/>
              </w:rPr>
              <w:t>BALANCE, December 31, 2020</w:t>
            </w:r>
          </w:p>
        </w:tc>
        <w:tc>
          <w:tcPr>
            <w:tcW w:w="20" w:type="dxa"/>
            <w:vAlign w:val="bottom"/>
          </w:tcPr>
          <w:p>
            <w:pPr>
              <w:spacing w:after="0"/>
              <w:rPr>
                <w:sz w:val="15"/>
                <w:szCs w:val="15"/>
                <w:color w:val="auto"/>
              </w:rPr>
            </w:pPr>
          </w:p>
        </w:tc>
        <w:tc>
          <w:tcPr>
            <w:tcW w:w="10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22,049,529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(1,279,545)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(24,984)</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201,219</w:t>
            </w: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119,007</w:t>
            </w: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11240"/>
          </w:cols>
          <w:pgMar w:left="320" w:top="624"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IES HOLDINGS,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7"/>
                <w:szCs w:val="17"/>
                <w:color w:val="auto"/>
                <w:w w:val="95"/>
              </w:rPr>
              <w:t>Three Months Ended December 31,</w:t>
            </w:r>
          </w:p>
        </w:tc>
      </w:tr>
      <w:tr>
        <w:trPr>
          <w:trHeight w:val="212"/>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0"/>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15,079</w:t>
            </w:r>
          </w:p>
        </w:tc>
        <w:tc>
          <w:tcPr>
            <w:tcW w:w="1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12,210</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Bad debt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Deferred financing cost amortization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4,020</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Loss (gain) on sale of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Non-cash compensation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842</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Deferred income taxes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2,751</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Accounts receivable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6,008</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Inventories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(5,192)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(4,320)</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Costs and estimated earnings in excess of billings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6,101</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(5,366)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(2,466)</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Other non-current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(23,179)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(14,764)</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Billings in excess of costs and estimated earnings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8,992</w:t>
            </w:r>
          </w:p>
        </w:tc>
      </w:tr>
      <w:tr>
        <w:trPr>
          <w:trHeight w:val="218"/>
        </w:trPr>
        <w:tc>
          <w:tcPr>
            <w:tcW w:w="798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1,310</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(24,463)</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20,250</w:t>
            </w:r>
          </w:p>
        </w:tc>
      </w:tr>
      <w:tr>
        <w:trPr>
          <w:trHeight w:val="198"/>
        </w:trPr>
        <w:tc>
          <w:tcPr>
            <w:tcW w:w="798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Purchases of property and equipment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Proceeds from sale of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paid in conjunction with equity investments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Cash paid in conjunction with business combinations</w:t>
            </w:r>
          </w:p>
        </w:tc>
        <w:tc>
          <w:tcPr>
            <w:tcW w:w="2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(54,774)</w:t>
            </w:r>
          </w:p>
        </w:tc>
      </w:tr>
      <w:tr>
        <w:trPr>
          <w:trHeight w:val="21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(12,755)</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(55,944)</w:t>
            </w:r>
          </w:p>
        </w:tc>
      </w:tr>
      <w:tr>
        <w:trPr>
          <w:trHeight w:val="198"/>
        </w:trPr>
        <w:tc>
          <w:tcPr>
            <w:tcW w:w="798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Borrowings of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444,159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25,115</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Repayments of debt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(415,937)</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(10,099)</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Cash paid for finance leases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18"/>
        </w:trPr>
        <w:tc>
          <w:tcPr>
            <w:tcW w:w="7980" w:type="dxa"/>
            <w:vAlign w:val="bottom"/>
          </w:tcPr>
          <w:p>
            <w:pPr>
              <w:ind w:left="280"/>
              <w:spacing w:after="0"/>
              <w:rPr>
                <w:sz w:val="20"/>
                <w:szCs w:val="20"/>
                <w:color w:val="auto"/>
              </w:rPr>
            </w:pPr>
            <w:r>
              <w:rPr>
                <w:rFonts w:ascii="Arial" w:cs="Arial" w:eastAsia="Arial" w:hAnsi="Arial"/>
                <w:sz w:val="17"/>
                <w:szCs w:val="17"/>
                <w:color w:val="auto"/>
              </w:rPr>
              <w:t>Distribution to noncontrolling interest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(1,215)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9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Purchase of treasury stock</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r>
      <w:tr>
        <w:trPr>
          <w:trHeight w:val="211"/>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21,939</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14,211</w:t>
            </w:r>
          </w:p>
        </w:tc>
      </w:tr>
      <w:tr>
        <w:trPr>
          <w:trHeight w:val="21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(15,279)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(21,483)</w:t>
            </w:r>
          </w:p>
        </w:tc>
      </w:tr>
      <w:tr>
        <w:trPr>
          <w:trHeight w:val="218"/>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23,105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53,577</w:t>
            </w:r>
          </w:p>
        </w:tc>
      </w:tr>
      <w:tr>
        <w:trPr>
          <w:trHeight w:val="27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7,826</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1"/>
                <w:szCs w:val="2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7980" w:type="dxa"/>
            <w:vAlign w:val="bottom"/>
          </w:tcPr>
          <w:p>
            <w:pPr>
              <w:ind w:left="540"/>
              <w:spacing w:after="0"/>
              <w:rPr>
                <w:sz w:val="20"/>
                <w:szCs w:val="20"/>
                <w:color w:val="auto"/>
              </w:rPr>
            </w:pPr>
            <w:r>
              <w:rPr>
                <w:rFonts w:ascii="Arial" w:cs="Arial" w:eastAsia="Arial" w:hAnsi="Arial"/>
                <w:sz w:val="17"/>
                <w:szCs w:val="17"/>
                <w:color w:val="auto"/>
              </w:rPr>
              <w:t>Cash paid for interest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501</w:t>
            </w:r>
          </w:p>
        </w:tc>
        <w:tc>
          <w:tcPr>
            <w:tcW w:w="14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0"/>
        </w:trPr>
        <w:tc>
          <w:tcPr>
            <w:tcW w:w="7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Cash paid for income taxes (net)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bl>
    <w:p>
      <w:pPr>
        <w:spacing w:after="0" w:line="200" w:lineRule="exact"/>
        <w:rPr>
          <w:sz w:val="20"/>
          <w:szCs w:val="20"/>
          <w:color w:val="auto"/>
        </w:rPr>
      </w:pPr>
    </w:p>
    <w:p>
      <w:pPr>
        <w:spacing w:after="0" w:line="329"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7"/>
          <w:szCs w:val="17"/>
          <w:b w:val="1"/>
          <w:bCs w:val="1"/>
          <w:color w:val="auto"/>
        </w:rPr>
        <w:t>IES HOLDINGS,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(All Amounts in Thousands Except Share Amounts)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ACCOUNTING POLICIES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 of the Business</w:t>
      </w:r>
    </w:p>
    <w:p>
      <w:pPr>
        <w:spacing w:after="0" w:line="2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IES Holdings, Inc. designs and installs integrated electrical and technology systems and provides infrastructure products and services to a variety of end-markets, including data centers, residential housing and commercial and industrial facilities. Our operations are organized into four principal business segments, based upon the nature of our services:</w:t>
      </w:r>
    </w:p>
    <w:p>
      <w:pPr>
        <w:spacing w:after="0" w:line="201" w:lineRule="exact"/>
        <w:rPr>
          <w:sz w:val="20"/>
          <w:szCs w:val="20"/>
          <w:color w:val="auto"/>
        </w:rPr>
      </w:pPr>
    </w:p>
    <w:p>
      <w:pPr>
        <w:ind w:left="620" w:right="480" w:hanging="307"/>
        <w:spacing w:after="0" w:line="294" w:lineRule="auto"/>
        <w:tabs>
          <w:tab w:leader="none" w:pos="616" w:val="left"/>
        </w:tabs>
        <w:numPr>
          <w:ilvl w:val="0"/>
          <w:numId w:val="6"/>
        </w:numPr>
        <w:rPr>
          <w:rFonts w:ascii="Arial" w:cs="Arial" w:eastAsia="Arial" w:hAnsi="Arial"/>
          <w:sz w:val="15"/>
          <w:szCs w:val="15"/>
          <w:color w:val="auto"/>
        </w:rPr>
      </w:pPr>
      <w:r>
        <w:rPr>
          <w:rFonts w:ascii="Arial" w:cs="Arial" w:eastAsia="Arial" w:hAnsi="Arial"/>
          <w:sz w:val="15"/>
          <w:szCs w:val="15"/>
          <w:u w:val="single" w:color="auto"/>
          <w:color w:val="auto"/>
        </w:rPr>
        <w:t>Communications</w:t>
      </w:r>
      <w:r>
        <w:rPr>
          <w:rFonts w:ascii="Arial" w:cs="Arial" w:eastAsia="Arial" w:hAnsi="Arial"/>
          <w:sz w:val="15"/>
          <w:szCs w:val="15"/>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280" w:hanging="307"/>
        <w:spacing w:after="0" w:line="253"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40" w:hanging="307"/>
        <w:spacing w:after="0" w:line="253"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Infrastructure Solutions</w:t>
      </w:r>
      <w:r>
        <w:rPr>
          <w:rFonts w:ascii="Arial" w:cs="Arial" w:eastAsia="Arial" w:hAnsi="Arial"/>
          <w:sz w:val="17"/>
          <w:szCs w:val="17"/>
          <w:color w:val="auto"/>
        </w:rPr>
        <w:t xml:space="preserve"> – Provider of electro-mechanical solutions for industrial operations, including apparatus repair and custom-engineered products such as generator enclosures to be used in data centers and other industrial applications.</w:t>
      </w:r>
    </w:p>
    <w:p>
      <w:pPr>
        <w:ind w:left="620" w:hanging="307"/>
        <w:spacing w:after="0" w:line="298" w:lineRule="auto"/>
        <w:tabs>
          <w:tab w:leader="none" w:pos="616"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Commercial &amp; Industrial</w:t>
      </w:r>
      <w:r>
        <w:rPr>
          <w:rFonts w:ascii="Arial" w:cs="Arial" w:eastAsia="Arial" w:hAnsi="Arial"/>
          <w:sz w:val="16"/>
          <w:szCs w:val="16"/>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words “IES”, the “Company”, “we”, “our”, and “us” refer to IES Holdings, Inc. and, except as otherwise specified herein, to our consolidated subsidiaries.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 and Quarterly Fluctuations</w:t>
      </w:r>
    </w:p>
    <w:p>
      <w:pPr>
        <w:spacing w:after="0" w:line="24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Financial Statement Preparation</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2021.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Noncontrolling Interest</w:t>
      </w:r>
    </w:p>
    <w:p>
      <w:pPr>
        <w:spacing w:after="0" w:line="243"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In connection with our acquisitions of Edmonson Electric, LLC (“Edmonson”) and Bayonet Plumbing, Heating &amp; Air-Conditioning, LLC (“Bayonet”) in fiscal 2021, and NEXT Electric, LLC in fiscal 2017,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663" w:right="379" w:bottom="1440" w:gutter="0" w:footer="0" w:header="0"/>
        </w:sectPr>
      </w:pPr>
    </w:p>
    <w:bookmarkStart w:id="10" w:name="page11"/>
    <w:bookmarkEnd w:id="10"/>
    <w:p>
      <w:pPr>
        <w:ind w:right="100"/>
        <w:spacing w:after="0" w:line="279" w:lineRule="auto"/>
        <w:rPr>
          <w:sz w:val="20"/>
          <w:szCs w:val="20"/>
          <w:color w:val="auto"/>
        </w:rPr>
      </w:pPr>
      <w:r>
        <w:rPr>
          <w:rFonts w:ascii="Arial" w:cs="Arial" w:eastAsia="Arial" w:hAnsi="Arial"/>
          <w:sz w:val="17"/>
          <w:szCs w:val="17"/>
          <w:color w:val="auto"/>
        </w:rPr>
        <w:t>amounts assuming the noncontrolling interests were redeemable at the balance sheet date. If all of the noncontrolling interests remaining outstanding at December 31, 2021 had been redeemable at that date, the redemption amount would have been $19,680.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243"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credit losses, stock-based compensation, reserves for legal matters, realizability of deferred tax assets, unrecognized tax benefits and self-insured claims liabilities and related reserves.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4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 xml:space="preserve">Other (Income) Expense, Net includes primarily unrealized gains or losses on equity securities, including those related to our Executive Deferred Compensation Plan. These securities are recorded at fair value (Level 1) at the end of each reporting period. Please refer to </w:t>
      </w:r>
      <w:r>
        <w:rPr>
          <w:rFonts w:ascii="Arial" w:cs="Arial" w:eastAsia="Arial" w:hAnsi="Arial"/>
          <w:sz w:val="17"/>
          <w:szCs w:val="17"/>
          <w:i w:val="1"/>
          <w:iCs w:val="1"/>
          <w:color w:val="auto"/>
        </w:rPr>
        <w:t>Note 9 - Fair Value Measurements</w:t>
      </w:r>
      <w:r>
        <w:rPr>
          <w:rFonts w:ascii="Arial" w:cs="Arial" w:eastAsia="Arial" w:hAnsi="Arial"/>
          <w:sz w:val="17"/>
          <w:szCs w:val="17"/>
          <w:color w:val="auto"/>
        </w:rPr>
        <w:t xml:space="preserve"> for further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Recently Adopted</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December 2019, the Financial Accounting Standards Board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adopted this standard on October 1, 2021 with immaterial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CONTROLLING STOCKHOLDER</w:t>
      </w:r>
    </w:p>
    <w:p>
      <w:pPr>
        <w:spacing w:after="0" w:line="249"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Tontine Associates, L.L.C. ("Tontine Associates"), together with its affiliates (collectively, “Tontine”), is the Company’s controlling stockholder, owning approximately 56 percent of the Company’s outstanding common stock based on the Form 4 filed by Tontine with the SEC on December 3, 2021 and the Company's shares outstanding as of January 31, 2022. Accordingly, Tontine has the ability to exercise significant control over our affairs, including the election of directors and most actions requiring the approval of stockholders.</w:t>
      </w:r>
    </w:p>
    <w:p>
      <w:pPr>
        <w:spacing w:after="0" w:line="204"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7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Should Tontine sell or otherwise dispose of all or a portion of its position in IES, a change in ownership of IES could occur. A change in ownership, as defined by Internal Revenue Code Section 382, could reduce the availability of the Company’s net operating loss carryforwards for federal and state income tax purposes. Furthermore, a change of control would trigger the change of control provisions in a number of our material agreements, including our credit agreement, bonding agreements with our sureties and our executive severance plan.</w:t>
      </w:r>
    </w:p>
    <w:p>
      <w:pPr>
        <w:spacing w:after="0" w:line="20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spacing w:after="0" w:line="194"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1" w:name="page12"/>
    <w:bookmarkEnd w:id="11"/>
    <w:p>
      <w:pPr>
        <w:spacing w:after="0" w:line="275" w:lineRule="auto"/>
        <w:rPr>
          <w:sz w:val="20"/>
          <w:szCs w:val="20"/>
          <w:color w:val="auto"/>
        </w:rPr>
      </w:pPr>
      <w:r>
        <w:rPr>
          <w:rFonts w:ascii="Arial" w:cs="Arial" w:eastAsia="Arial" w:hAnsi="Arial"/>
          <w:sz w:val="16"/>
          <w:szCs w:val="16"/>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RECOGNITION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Contracts</w:t>
      </w:r>
    </w:p>
    <w:p>
      <w:pPr>
        <w:spacing w:after="0" w:line="24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We account for a contract when: (i) it has approval and commitment from both parties, (ii) the rights of the parties are identified, (iii) payment terms are identified,</w:t>
      </w:r>
    </w:p>
    <w:p>
      <w:pPr>
        <w:spacing w:after="0" w:line="45" w:lineRule="exact"/>
        <w:rPr>
          <w:sz w:val="20"/>
          <w:szCs w:val="20"/>
          <w:color w:val="auto"/>
        </w:rPr>
      </w:pPr>
    </w:p>
    <w:p>
      <w:pPr>
        <w:ind w:right="60" w:firstLine="3"/>
        <w:spacing w:after="0" w:line="266" w:lineRule="auto"/>
        <w:tabs>
          <w:tab w:leader="none" w:pos="29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 Obligations</w:t>
      </w:r>
    </w:p>
    <w:p>
      <w:pPr>
        <w:spacing w:after="0" w:line="2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190"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color w:val="auto"/>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spacing w:after="0" w:line="196"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 w:name="page13"/>
    <w:bookmarkEnd w:id="12"/>
    <w:p>
      <w:pPr>
        <w:spacing w:after="0"/>
        <w:rPr>
          <w:sz w:val="20"/>
          <w:szCs w:val="20"/>
          <w:color w:val="auto"/>
        </w:rPr>
      </w:pPr>
      <w:r>
        <w:rPr>
          <w:rFonts w:ascii="Arial" w:cs="Arial" w:eastAsia="Arial" w:hAnsi="Arial"/>
          <w:sz w:val="17"/>
          <w:szCs w:val="17"/>
          <w:i w:val="1"/>
          <w:iCs w:val="1"/>
          <w:color w:val="auto"/>
        </w:rPr>
        <w:t>Variable Consideration</w:t>
      </w:r>
    </w:p>
    <w:p>
      <w:pPr>
        <w:spacing w:after="0" w:line="24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which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243"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three months ended December 31, 2021 and 2020 was derived from the following activities. See details in the following tables: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gridSpan w:val="11"/>
          </w:tcPr>
          <w:p>
            <w:pPr>
              <w:ind w:left="420"/>
              <w:spacing w:after="0"/>
              <w:rPr>
                <w:sz w:val="20"/>
                <w:szCs w:val="20"/>
                <w:color w:val="auto"/>
              </w:rPr>
            </w:pPr>
            <w:r>
              <w:rPr>
                <w:rFonts w:ascii="Arial" w:cs="Arial" w:eastAsia="Arial" w:hAnsi="Arial"/>
                <w:sz w:val="17"/>
                <w:szCs w:val="17"/>
                <w:color w:val="auto"/>
              </w:rPr>
              <w:t>Three Months Ended December 31,</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center"/>
              <w:ind w:right="454"/>
              <w:spacing w:after="0"/>
              <w:rPr>
                <w:sz w:val="20"/>
                <w:szCs w:val="20"/>
                <w:color w:val="auto"/>
              </w:rPr>
            </w:pPr>
            <w:r>
              <w:rPr>
                <w:rFonts w:ascii="Arial" w:cs="Arial" w:eastAsia="Arial" w:hAnsi="Arial"/>
                <w:sz w:val="17"/>
                <w:szCs w:val="17"/>
                <w:color w:val="auto"/>
                <w:w w:val="89"/>
              </w:rPr>
              <w:t>2021</w:t>
            </w:r>
          </w:p>
        </w:tc>
        <w:tc>
          <w:tcPr>
            <w:tcW w:w="1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color w:val="auto"/>
                <w:w w:val="89"/>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Pr>
          <w:p>
            <w:pPr>
              <w:spacing w:after="0"/>
              <w:rPr>
                <w:sz w:val="18"/>
                <w:szCs w:val="18"/>
                <w:color w:val="auto"/>
              </w:rPr>
            </w:pPr>
          </w:p>
        </w:tc>
        <w:tc>
          <w:tcPr>
            <w:tcW w:w="23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Communications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127,389</w:t>
            </w:r>
          </w:p>
        </w:tc>
        <w:tc>
          <w:tcPr>
            <w:tcW w:w="4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300" w:type="dxa"/>
            <w:vAlign w:val="bottom"/>
            <w:gridSpan w:val="3"/>
          </w:tcPr>
          <w:p>
            <w:pPr>
              <w:ind w:left="60"/>
              <w:spacing w:after="0"/>
              <w:rPr>
                <w:sz w:val="20"/>
                <w:szCs w:val="20"/>
                <w:color w:val="auto"/>
              </w:rPr>
            </w:pPr>
            <w:r>
              <w:rPr>
                <w:rFonts w:ascii="Arial" w:cs="Arial" w:eastAsia="Arial" w:hAnsi="Arial"/>
                <w:sz w:val="17"/>
                <w:szCs w:val="17"/>
                <w:color w:val="auto"/>
              </w:rPr>
              <w:t>Residential</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Single-family</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173,528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30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Multi-family and Other</w:t>
            </w: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68,248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Pr>
          <w:p>
            <w:pPr>
              <w:spacing w:after="0"/>
              <w:rPr>
                <w:sz w:val="18"/>
                <w:szCs w:val="18"/>
                <w:color w:val="auto"/>
              </w:rPr>
            </w:pPr>
          </w:p>
        </w:tc>
        <w:tc>
          <w:tcPr>
            <w:tcW w:w="23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Total Residential</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241,776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300" w:type="dxa"/>
            <w:vAlign w:val="bottom"/>
            <w:gridSpan w:val="3"/>
          </w:tcPr>
          <w:p>
            <w:pPr>
              <w:ind w:left="60"/>
              <w:spacing w:after="0"/>
              <w:rPr>
                <w:sz w:val="20"/>
                <w:szCs w:val="20"/>
                <w:color w:val="auto"/>
              </w:rPr>
            </w:pPr>
            <w:r>
              <w:rPr>
                <w:rFonts w:ascii="Arial" w:cs="Arial" w:eastAsia="Arial" w:hAnsi="Arial"/>
                <w:sz w:val="17"/>
                <w:szCs w:val="17"/>
                <w:color w:val="auto"/>
              </w:rPr>
              <w:t>Infrastructure Solutions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60" w:type="dxa"/>
            <w:vAlign w:val="bottom"/>
          </w:tcPr>
          <w:p>
            <w:pPr>
              <w:spacing w:after="0"/>
              <w:rPr>
                <w:sz w:val="19"/>
                <w:szCs w:val="19"/>
                <w:color w:val="auto"/>
              </w:rPr>
            </w:pP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Industrial Services</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300" w:type="dxa"/>
            <w:vAlign w:val="bottom"/>
            <w:tcBorders>
              <w:bottom w:val="single" w:sz="8" w:color="CCEEFF"/>
            </w:tcBorders>
            <w:gridSpan w:val="3"/>
          </w:tcPr>
          <w:p>
            <w:pPr>
              <w:ind w:left="220"/>
              <w:spacing w:after="0"/>
              <w:rPr>
                <w:sz w:val="20"/>
                <w:szCs w:val="20"/>
                <w:color w:val="auto"/>
              </w:rPr>
            </w:pPr>
            <w:r>
              <w:rPr>
                <w:rFonts w:ascii="Arial" w:cs="Arial" w:eastAsia="Arial" w:hAnsi="Arial"/>
                <w:sz w:val="17"/>
                <w:szCs w:val="17"/>
                <w:color w:val="auto"/>
              </w:rPr>
              <w:t>Custom Power Solutions</w:t>
            </w: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27,280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tcPr>
          <w:p>
            <w:pPr>
              <w:spacing w:after="0"/>
              <w:rPr>
                <w:sz w:val="18"/>
                <w:szCs w:val="18"/>
                <w:color w:val="auto"/>
              </w:rPr>
            </w:pPr>
          </w:p>
        </w:tc>
        <w:tc>
          <w:tcPr>
            <w:tcW w:w="230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Total Infrastructure Solutions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42,096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60" w:type="dxa"/>
            <w:vAlign w:val="bottom"/>
          </w:tcPr>
          <w:p>
            <w:pPr>
              <w:spacing w:after="0"/>
              <w:rPr>
                <w:sz w:val="18"/>
                <w:szCs w:val="18"/>
                <w:color w:val="auto"/>
              </w:rPr>
            </w:pPr>
          </w:p>
        </w:tc>
        <w:tc>
          <w:tcPr>
            <w:tcW w:w="2300" w:type="dxa"/>
            <w:vAlign w:val="bottom"/>
            <w:tcBorders>
              <w:bottom w:val="single" w:sz="8" w:color="CCEEFF"/>
            </w:tcBorders>
            <w:gridSpan w:val="3"/>
          </w:tcPr>
          <w:p>
            <w:pPr>
              <w:ind w:left="60"/>
              <w:spacing w:after="0"/>
              <w:rPr>
                <w:sz w:val="20"/>
                <w:szCs w:val="20"/>
                <w:color w:val="auto"/>
              </w:rPr>
            </w:pPr>
            <w:r>
              <w:rPr>
                <w:rFonts w:ascii="Arial" w:cs="Arial" w:eastAsia="Arial" w:hAnsi="Arial"/>
                <w:sz w:val="17"/>
                <w:szCs w:val="17"/>
                <w:color w:val="auto"/>
              </w:rPr>
              <w:t>Commercial &amp; Industrial</w:t>
            </w: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69,248</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60" w:type="dxa"/>
            <w:vAlign w:val="bottom"/>
          </w:tcPr>
          <w:p>
            <w:pPr>
              <w:spacing w:after="0"/>
              <w:rPr>
                <w:sz w:val="20"/>
                <w:szCs w:val="20"/>
                <w:color w:val="auto"/>
              </w:rPr>
            </w:pPr>
          </w:p>
        </w:tc>
        <w:tc>
          <w:tcPr>
            <w:tcW w:w="230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480,509</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314,838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2"/>
          </w:tcPr>
          <w:p>
            <w:pPr>
              <w:ind w:left="300"/>
              <w:spacing w:after="0"/>
              <w:rPr>
                <w:sz w:val="20"/>
                <w:szCs w:val="20"/>
                <w:color w:val="auto"/>
              </w:rPr>
            </w:pPr>
            <w:r>
              <w:rPr>
                <w:rFonts w:ascii="Arial" w:cs="Arial" w:eastAsia="Arial" w:hAnsi="Arial"/>
                <w:sz w:val="17"/>
                <w:szCs w:val="17"/>
                <w:color w:val="auto"/>
              </w:rPr>
              <w:t>Three Months Ended December 31, 2021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ind w:right="114"/>
              <w:spacing w:after="0"/>
              <w:rPr>
                <w:sz w:val="20"/>
                <w:szCs w:val="20"/>
                <w:color w:val="auto"/>
              </w:rPr>
            </w:pPr>
            <w:r>
              <w:rPr>
                <w:rFonts w:ascii="Arial" w:cs="Arial" w:eastAsia="Arial" w:hAnsi="Arial"/>
                <w:sz w:val="17"/>
                <w:szCs w:val="17"/>
                <w:color w:val="auto"/>
                <w:w w:val="93"/>
              </w:rPr>
              <w:t>Communications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right"/>
              <w:ind w:right="214"/>
              <w:spacing w:after="0"/>
              <w:rPr>
                <w:sz w:val="20"/>
                <w:szCs w:val="20"/>
                <w:color w:val="auto"/>
              </w:rPr>
            </w:pPr>
            <w:r>
              <w:rPr>
                <w:rFonts w:ascii="Arial" w:cs="Arial" w:eastAsia="Arial" w:hAnsi="Arial"/>
                <w:sz w:val="17"/>
                <w:szCs w:val="17"/>
                <w:color w:val="auto"/>
                <w:w w:val="95"/>
              </w:rPr>
              <w:t>Residential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300"/>
              <w:spacing w:after="0" w:line="162" w:lineRule="exact"/>
              <w:rPr>
                <w:sz w:val="20"/>
                <w:szCs w:val="20"/>
                <w:color w:val="auto"/>
              </w:rPr>
            </w:pPr>
            <w:r>
              <w:rPr>
                <w:rFonts w:ascii="Arial" w:cs="Arial" w:eastAsia="Arial" w:hAnsi="Arial"/>
                <w:sz w:val="17"/>
                <w:szCs w:val="17"/>
                <w:color w:val="auto"/>
                <w:w w:val="91"/>
              </w:rPr>
              <w:t>Infrastructure</w:t>
            </w:r>
          </w:p>
        </w:tc>
        <w:tc>
          <w:tcPr>
            <w:tcW w:w="140" w:type="dxa"/>
            <w:vAlign w:val="bottom"/>
          </w:tcPr>
          <w:p>
            <w:pPr>
              <w:spacing w:after="0"/>
              <w:rPr>
                <w:sz w:val="14"/>
                <w:szCs w:val="14"/>
                <w:color w:val="auto"/>
              </w:rPr>
            </w:pPr>
          </w:p>
        </w:tc>
        <w:tc>
          <w:tcPr>
            <w:tcW w:w="1320" w:type="dxa"/>
            <w:vAlign w:val="bottom"/>
            <w:gridSpan w:val="3"/>
          </w:tcPr>
          <w:p>
            <w:pPr>
              <w:jc w:val="center"/>
              <w:ind w:right="260"/>
              <w:spacing w:after="0" w:line="162" w:lineRule="exact"/>
              <w:rPr>
                <w:sz w:val="20"/>
                <w:szCs w:val="20"/>
                <w:color w:val="auto"/>
              </w:rPr>
            </w:pPr>
            <w:r>
              <w:rPr>
                <w:rFonts w:ascii="Arial" w:cs="Arial" w:eastAsia="Arial" w:hAnsi="Arial"/>
                <w:sz w:val="17"/>
                <w:szCs w:val="17"/>
                <w:color w:val="auto"/>
                <w:w w:val="95"/>
              </w:rPr>
              <w:t>Commercial &amp;</w:t>
            </w:r>
          </w:p>
        </w:tc>
        <w:tc>
          <w:tcPr>
            <w:tcW w:w="320" w:type="dxa"/>
            <w:vAlign w:val="bottom"/>
          </w:tcPr>
          <w:p>
            <w:pPr>
              <w:spacing w:after="0"/>
              <w:rPr>
                <w:sz w:val="14"/>
                <w:szCs w:val="14"/>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166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7"/>
                <w:szCs w:val="17"/>
                <w:color w:val="auto"/>
                <w:w w:val="91"/>
              </w:rPr>
              <w:t>Solutions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color w:val="auto"/>
                <w:w w:val="95"/>
              </w:rPr>
              <w:t>Industrial</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2300" w:type="dxa"/>
            <w:vAlign w:val="bottom"/>
            <w:gridSpan w:val="3"/>
            <w:shd w:val="clear" w:color="auto" w:fill="CCEEFF"/>
          </w:tcPr>
          <w:p>
            <w:pPr>
              <w:ind w:left="21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241,776</w:t>
            </w:r>
          </w:p>
        </w:tc>
        <w:tc>
          <w:tcPr>
            <w:tcW w:w="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40,453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64,860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435,511</w:t>
            </w:r>
          </w:p>
        </w:tc>
        <w:tc>
          <w:tcPr>
            <w:tcW w:w="0" w:type="dxa"/>
            <w:vAlign w:val="bottom"/>
          </w:tcPr>
          <w:p>
            <w:pPr>
              <w:spacing w:after="0"/>
              <w:rPr>
                <w:sz w:val="1"/>
                <w:szCs w:val="1"/>
                <w:color w:val="auto"/>
              </w:rPr>
            </w:pPr>
          </w:p>
        </w:tc>
      </w:tr>
      <w:tr>
        <w:trPr>
          <w:trHeight w:val="218"/>
        </w:trPr>
        <w:tc>
          <w:tcPr>
            <w:tcW w:w="16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Time-and-material</w:t>
            </w: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1,643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4,388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44,998</w:t>
            </w:r>
          </w:p>
        </w:tc>
        <w:tc>
          <w:tcPr>
            <w:tcW w:w="0" w:type="dxa"/>
            <w:vAlign w:val="bottom"/>
          </w:tcPr>
          <w:p>
            <w:pPr>
              <w:spacing w:after="0"/>
              <w:rPr>
                <w:sz w:val="1"/>
                <w:szCs w:val="1"/>
                <w:color w:val="auto"/>
              </w:rPr>
            </w:pPr>
          </w:p>
        </w:tc>
      </w:tr>
      <w:tr>
        <w:trPr>
          <w:trHeight w:val="233"/>
        </w:trPr>
        <w:tc>
          <w:tcPr>
            <w:tcW w:w="16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214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241,776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42,096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69,248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480,509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2"/>
          </w:tcPr>
          <w:p>
            <w:pPr>
              <w:ind w:left="300"/>
              <w:spacing w:after="0"/>
              <w:rPr>
                <w:sz w:val="20"/>
                <w:szCs w:val="20"/>
                <w:color w:val="auto"/>
              </w:rPr>
            </w:pPr>
            <w:r>
              <w:rPr>
                <w:rFonts w:ascii="Arial" w:cs="Arial" w:eastAsia="Arial" w:hAnsi="Arial"/>
                <w:sz w:val="17"/>
                <w:szCs w:val="17"/>
                <w:color w:val="auto"/>
              </w:rPr>
              <w:t>Three Months Ended December 31, 2020</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auto"/>
                <w:w w:val="93"/>
              </w:rPr>
              <w:t>Communications</w:t>
            </w:r>
          </w:p>
        </w:tc>
        <w:tc>
          <w:tcPr>
            <w:tcW w:w="260" w:type="dxa"/>
            <w:vAlign w:val="bottom"/>
          </w:tcPr>
          <w:p>
            <w:pPr>
              <w:spacing w:after="0"/>
              <w:rPr>
                <w:sz w:val="14"/>
                <w:szCs w:val="14"/>
                <w:color w:val="auto"/>
              </w:rPr>
            </w:pPr>
          </w:p>
        </w:tc>
        <w:tc>
          <w:tcPr>
            <w:tcW w:w="1120" w:type="dxa"/>
            <w:vAlign w:val="bottom"/>
            <w:gridSpan w:val="2"/>
            <w:vMerge w:val="restart"/>
          </w:tcPr>
          <w:p>
            <w:pPr>
              <w:jc w:val="right"/>
              <w:ind w:right="214"/>
              <w:spacing w:after="0"/>
              <w:rPr>
                <w:sz w:val="20"/>
                <w:szCs w:val="20"/>
                <w:color w:val="auto"/>
              </w:rPr>
            </w:pPr>
            <w:r>
              <w:rPr>
                <w:rFonts w:ascii="Arial" w:cs="Arial" w:eastAsia="Arial" w:hAnsi="Arial"/>
                <w:sz w:val="17"/>
                <w:szCs w:val="17"/>
                <w:color w:val="auto"/>
                <w:w w:val="95"/>
              </w:rPr>
              <w:t>Residential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center"/>
              <w:ind w:right="300"/>
              <w:spacing w:after="0" w:line="162" w:lineRule="exact"/>
              <w:rPr>
                <w:sz w:val="20"/>
                <w:szCs w:val="20"/>
                <w:color w:val="auto"/>
              </w:rPr>
            </w:pPr>
            <w:r>
              <w:rPr>
                <w:rFonts w:ascii="Arial" w:cs="Arial" w:eastAsia="Arial" w:hAnsi="Arial"/>
                <w:sz w:val="17"/>
                <w:szCs w:val="17"/>
                <w:color w:val="auto"/>
                <w:w w:val="91"/>
              </w:rPr>
              <w:t>Infrastructure</w:t>
            </w:r>
          </w:p>
        </w:tc>
        <w:tc>
          <w:tcPr>
            <w:tcW w:w="140" w:type="dxa"/>
            <w:vAlign w:val="bottom"/>
          </w:tcPr>
          <w:p>
            <w:pPr>
              <w:spacing w:after="0"/>
              <w:rPr>
                <w:sz w:val="14"/>
                <w:szCs w:val="14"/>
                <w:color w:val="auto"/>
              </w:rPr>
            </w:pPr>
          </w:p>
        </w:tc>
        <w:tc>
          <w:tcPr>
            <w:tcW w:w="1320" w:type="dxa"/>
            <w:vAlign w:val="bottom"/>
            <w:gridSpan w:val="3"/>
          </w:tcPr>
          <w:p>
            <w:pPr>
              <w:jc w:val="center"/>
              <w:ind w:right="260"/>
              <w:spacing w:after="0" w:line="162" w:lineRule="exact"/>
              <w:rPr>
                <w:sz w:val="20"/>
                <w:szCs w:val="20"/>
                <w:color w:val="auto"/>
              </w:rPr>
            </w:pPr>
            <w:r>
              <w:rPr>
                <w:rFonts w:ascii="Arial" w:cs="Arial" w:eastAsia="Arial" w:hAnsi="Arial"/>
                <w:sz w:val="17"/>
                <w:szCs w:val="17"/>
                <w:color w:val="auto"/>
                <w:w w:val="95"/>
              </w:rPr>
              <w:t>Commercial &amp;</w:t>
            </w:r>
          </w:p>
        </w:tc>
        <w:tc>
          <w:tcPr>
            <w:tcW w:w="320" w:type="dxa"/>
            <w:vAlign w:val="bottom"/>
          </w:tcPr>
          <w:p>
            <w:pPr>
              <w:spacing w:after="0"/>
              <w:rPr>
                <w:sz w:val="14"/>
                <w:szCs w:val="14"/>
                <w:color w:val="auto"/>
              </w:rPr>
            </w:pPr>
          </w:p>
        </w:tc>
        <w:tc>
          <w:tcPr>
            <w:tcW w:w="1000" w:type="dxa"/>
            <w:vAlign w:val="bottom"/>
            <w:vMerge w:val="restart"/>
          </w:tcPr>
          <w:p>
            <w:pPr>
              <w:jc w:val="right"/>
              <w:ind w:right="39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166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7"/>
                <w:szCs w:val="17"/>
                <w:color w:val="auto"/>
                <w:w w:val="91"/>
              </w:rPr>
              <w:t>Solutions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7"/>
                <w:szCs w:val="17"/>
                <w:color w:val="auto"/>
                <w:w w:val="95"/>
              </w:rPr>
              <w:t>Industrial</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6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Fixed-price</w:t>
            </w:r>
          </w:p>
        </w:tc>
        <w:tc>
          <w:tcPr>
            <w:tcW w:w="2300" w:type="dxa"/>
            <w:vAlign w:val="bottom"/>
            <w:gridSpan w:val="3"/>
            <w:shd w:val="clear" w:color="auto" w:fill="CCEEFF"/>
          </w:tcPr>
          <w:p>
            <w:pPr>
              <w:ind w:left="21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119,491</w:t>
            </w:r>
          </w:p>
        </w:tc>
        <w:tc>
          <w:tcPr>
            <w:tcW w:w="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32,664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60,687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288,856</w:t>
            </w:r>
          </w:p>
        </w:tc>
        <w:tc>
          <w:tcPr>
            <w:tcW w:w="0" w:type="dxa"/>
            <w:vAlign w:val="bottom"/>
          </w:tcPr>
          <w:p>
            <w:pPr>
              <w:spacing w:after="0"/>
              <w:rPr>
                <w:sz w:val="1"/>
                <w:szCs w:val="1"/>
                <w:color w:val="auto"/>
              </w:rPr>
            </w:pPr>
          </w:p>
        </w:tc>
      </w:tr>
      <w:tr>
        <w:trPr>
          <w:trHeight w:val="218"/>
        </w:trPr>
        <w:tc>
          <w:tcPr>
            <w:tcW w:w="16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Time-and-material</w:t>
            </w: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1,737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1,903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25,982</w:t>
            </w:r>
          </w:p>
        </w:tc>
        <w:tc>
          <w:tcPr>
            <w:tcW w:w="0" w:type="dxa"/>
            <w:vAlign w:val="bottom"/>
          </w:tcPr>
          <w:p>
            <w:pPr>
              <w:spacing w:after="0"/>
              <w:rPr>
                <w:sz w:val="1"/>
                <w:szCs w:val="1"/>
                <w:color w:val="auto"/>
              </w:rPr>
            </w:pPr>
          </w:p>
        </w:tc>
      </w:tr>
      <w:tr>
        <w:trPr>
          <w:trHeight w:val="233"/>
        </w:trPr>
        <w:tc>
          <w:tcPr>
            <w:tcW w:w="1660" w:type="dxa"/>
            <w:vAlign w:val="bottom"/>
            <w:shd w:val="clear" w:color="auto" w:fill="CCEEFF"/>
          </w:tcPr>
          <w:p>
            <w:pPr>
              <w:ind w:left="60"/>
              <w:spacing w:after="0"/>
              <w:rPr>
                <w:sz w:val="20"/>
                <w:szCs w:val="20"/>
                <w:color w:val="auto"/>
              </w:rPr>
            </w:pPr>
            <w:r>
              <w:rPr>
                <w:rFonts w:ascii="Arial" w:cs="Arial" w:eastAsia="Arial" w:hAnsi="Arial"/>
                <w:sz w:val="17"/>
                <w:szCs w:val="17"/>
                <w:color w:val="auto"/>
              </w:rPr>
              <w:t>Total revenue</w:t>
            </w:r>
          </w:p>
        </w:tc>
        <w:tc>
          <w:tcPr>
            <w:tcW w:w="2300" w:type="dxa"/>
            <w:vAlign w:val="bottom"/>
            <w:gridSpan w:val="3"/>
            <w:shd w:val="clear" w:color="auto" w:fill="CCEEFF"/>
          </w:tcPr>
          <w:p>
            <w:pPr>
              <w:ind w:left="218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98,356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119,491</w:t>
            </w:r>
          </w:p>
        </w:tc>
        <w:tc>
          <w:tcPr>
            <w:tcW w:w="3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34,401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62,590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314,838</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1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7"/>
                <w:szCs w:val="17"/>
                <w:color w:val="auto"/>
                <w:w w:val="94"/>
              </w:rPr>
              <w:t>13</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66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color w:val="auto"/>
        </w:rPr>
        <w:t>Accounts Receivable and Allowance for Credit Losses</w:t>
      </w:r>
    </w:p>
    <w:p>
      <w:pPr>
        <w:spacing w:after="0" w:line="243"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Accounts receivable include amounts that we have billed or have an unconditional right to bill our customers. As of December 31, 2021, Accounts receivable included $20,767 of unbilled receivables for which we have an unconditional right to bill.</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spacing w:after="0" w:line="190"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Other than trade receivables due in one year or less, we do not have any other financial assets that are past due or are on non-accrual status.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Liabilities</w:t>
      </w:r>
    </w:p>
    <w:p>
      <w:pPr>
        <w:spacing w:after="0" w:line="243"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spacing w:after="0" w:line="18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three months ended December 31, 2021 and 2020, we recognized revenue of $28,341 and $25,225 related to our contract liabilities at October 1, 2021 and 2020,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any impairment losses recognized on our receivables or contract assets for the three months ended December 31, 2021 or 2020.</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w:t>
      </w:r>
    </w:p>
    <w:p>
      <w:pPr>
        <w:spacing w:after="0" w:line="24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December 31, 2021, we had remaining performance obligations of $721,126. The Company expects to recognize revenue on approximately $653,218 of the remaining performance obligations over the next 12 months, with the remaining recognized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December 31, 2021, net revenue recognized from our performance obligations satisfied in previous periods was not material.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3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At December 31, 2021 and September 30, 2021, we had $68,560 and $40,339, respectively, in borrowings outstanding under our revolving credit facility with Wells Fargo Bank, N.A. ("Wells Fargo"), and long-term debt related to loans on capital expenditures of $39 and $63, respectively. At December 31, 2021, we also had $5,292 in outstanding letters of credit and total availability of $51,148 under our revolving credit facility without triggering our financial covenants under the Amended Credit Agreement (as defined below).</w:t>
      </w:r>
    </w:p>
    <w:p>
      <w:pPr>
        <w:spacing w:after="0" w:line="204"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We maintain a $125,000 revolving credit facility that matures on September 30, 2026, pursuant to our Second Amended and Restated Credit and Security Agreement with Wells Fargo (as amended, the "Amended Credit Agreement"). The Amended Credit Agreement contains customary affirmative, negative and financial covenants as disclosed in Item 7 of our Annual Report on Form 10-K for the year ended September 30, 2021.</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As of December 31, 2021, the Company was in compliance with the financial covenants under the Amended Credit Agreement.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60" w:type="dxa"/>
            <w:vAlign w:val="bottom"/>
          </w:tcPr>
          <w:p>
            <w:pPr>
              <w:spacing w:after="0"/>
              <w:rPr>
                <w:sz w:val="20"/>
                <w:szCs w:val="20"/>
                <w:color w:val="auto"/>
              </w:rPr>
            </w:pPr>
            <w:r>
              <w:rPr>
                <w:rFonts w:ascii="Arial" w:cs="Arial" w:eastAsia="Arial" w:hAnsi="Arial"/>
                <w:sz w:val="17"/>
                <w:szCs w:val="17"/>
                <w:b w:val="1"/>
                <w:bCs w:val="1"/>
                <w:color w:val="auto"/>
              </w:rPr>
              <w:t>5. PER SHARE INFORMATION</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8"/>
        </w:trPr>
        <w:tc>
          <w:tcPr>
            <w:tcW w:w="10100" w:type="dxa"/>
            <w:vAlign w:val="bottom"/>
            <w:gridSpan w:val="5"/>
          </w:tcPr>
          <w:p>
            <w:pPr>
              <w:spacing w:after="0"/>
              <w:rPr>
                <w:sz w:val="20"/>
                <w:szCs w:val="20"/>
                <w:color w:val="auto"/>
              </w:rPr>
            </w:pPr>
            <w:r>
              <w:rPr>
                <w:rFonts w:ascii="Arial" w:cs="Arial" w:eastAsia="Arial" w:hAnsi="Arial"/>
                <w:sz w:val="17"/>
                <w:szCs w:val="17"/>
                <w:color w:val="auto"/>
                <w:w w:val="92"/>
              </w:rPr>
              <w:t>The following tables reconcile the components of basic and diluted earnings per share for the three months ended December 31, 2021 and 2020:</w:t>
            </w:r>
          </w:p>
        </w:tc>
        <w:tc>
          <w:tcPr>
            <w:tcW w:w="1140" w:type="dxa"/>
            <w:vAlign w:val="bottom"/>
          </w:tcPr>
          <w:p>
            <w:pPr>
              <w:spacing w:after="0"/>
              <w:rPr>
                <w:sz w:val="24"/>
                <w:szCs w:val="24"/>
                <w:color w:val="auto"/>
              </w:rPr>
            </w:pPr>
          </w:p>
        </w:tc>
      </w:tr>
      <w:tr>
        <w:trPr>
          <w:trHeight w:val="246"/>
        </w:trPr>
        <w:tc>
          <w:tcPr>
            <w:tcW w:w="8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7"/>
                <w:szCs w:val="17"/>
                <w:color w:val="auto"/>
                <w:w w:val="94"/>
              </w:rPr>
              <w:t>Three Months Ended December 31,</w:t>
            </w:r>
          </w:p>
        </w:tc>
      </w:tr>
      <w:tr>
        <w:trPr>
          <w:trHeight w:val="212"/>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2020</w:t>
            </w:r>
          </w:p>
        </w:tc>
      </w:tr>
      <w:tr>
        <w:trPr>
          <w:trHeight w:val="20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Net income attributable to IES Holdings, Inc.</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14,464</w:t>
            </w:r>
          </w:p>
        </w:tc>
        <w:tc>
          <w:tcPr>
            <w:tcW w:w="100" w:type="dxa"/>
            <w:vAlign w:val="bottom"/>
          </w:tcPr>
          <w:p>
            <w:pPr>
              <w:spacing w:after="0"/>
              <w:rPr>
                <w:sz w:val="18"/>
                <w:szCs w:val="18"/>
                <w:color w:val="auto"/>
              </w:rPr>
            </w:pPr>
          </w:p>
        </w:tc>
        <w:tc>
          <w:tcPr>
            <w:tcW w:w="4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12,098</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 (decrease) in noncontrolling interest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 attributable to restricted stockholders of IES Holdings, Inc.</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attributable to common stockholders of IES Holdings, Inc.</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12,204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20,702,844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20,734,516</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dilutive stock options and non-vested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256,043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326,839</w:t>
            </w:r>
          </w:p>
        </w:tc>
      </w:tr>
      <w:tr>
        <w:trPr>
          <w:trHeight w:val="211"/>
        </w:trPr>
        <w:tc>
          <w:tcPr>
            <w:tcW w:w="8060" w:type="dxa"/>
            <w:vAlign w:val="bottom"/>
          </w:tcPr>
          <w:p>
            <w:pPr>
              <w:ind w:left="20"/>
              <w:spacing w:after="0"/>
              <w:rPr>
                <w:sz w:val="20"/>
                <w:szCs w:val="20"/>
                <w:color w:val="auto"/>
              </w:rPr>
            </w:pPr>
            <w:r>
              <w:rPr>
                <w:rFonts w:ascii="Arial" w:cs="Arial" w:eastAsia="Arial" w:hAnsi="Arial"/>
                <w:sz w:val="17"/>
                <w:szCs w:val="17"/>
                <w:color w:val="auto"/>
              </w:rPr>
              <w:t>Weighted average common and common equivalent shares outstanding — diluted</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20,958,887</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21,061,355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2"/>
        </w:trPr>
        <w:tc>
          <w:tcPr>
            <w:tcW w:w="8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8"/>
        </w:trPr>
        <w:tc>
          <w:tcPr>
            <w:tcW w:w="8060" w:type="dxa"/>
            <w:vAlign w:val="bottom"/>
          </w:tcPr>
          <w:p>
            <w:pPr>
              <w:ind w:left="20"/>
              <w:spacing w:after="0"/>
              <w:rPr>
                <w:sz w:val="20"/>
                <w:szCs w:val="20"/>
                <w:color w:val="auto"/>
              </w:rPr>
            </w:pPr>
            <w:r>
              <w:rPr>
                <w:rFonts w:ascii="Arial" w:cs="Arial" w:eastAsia="Arial" w:hAnsi="Arial"/>
                <w:sz w:val="17"/>
                <w:szCs w:val="17"/>
                <w:color w:val="auto"/>
              </w:rPr>
              <w:t>Earnings per share attributable to common stockholders of IES Holdings, Inc.:</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8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r>
      <w:tr>
        <w:trPr>
          <w:trHeight w:val="218"/>
        </w:trPr>
        <w:tc>
          <w:tcPr>
            <w:tcW w:w="8060" w:type="dxa"/>
            <w:vAlign w:val="bottom"/>
          </w:tcPr>
          <w:p>
            <w:pPr>
              <w:ind w:left="180"/>
              <w:spacing w:after="0"/>
              <w:rPr>
                <w:sz w:val="20"/>
                <w:szCs w:val="20"/>
                <w:color w:val="auto"/>
              </w:rPr>
            </w:pPr>
            <w:r>
              <w:rPr>
                <w:rFonts w:ascii="Arial" w:cs="Arial" w:eastAsia="Arial" w:hAnsi="Arial"/>
                <w:sz w:val="17"/>
                <w:szCs w:val="17"/>
                <w:color w:val="auto"/>
              </w:rPr>
              <w:t>Diluted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0.69</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0.58</w:t>
            </w:r>
          </w:p>
        </w:tc>
      </w:tr>
    </w:tbl>
    <w:p>
      <w:pPr>
        <w:spacing w:after="0" w:line="23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the three months ended December 31, 2021 and 2020, the average price of our common shares exceeded the exercise price of all of our outstanding options; therefore, all of our outstanding stock options were included in the computation of diluted earnings per share.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6. OPERATING SEGMENTS</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We manage and measure performance of our business in four distinct operating segments: Communications, Residential, Infrastructure Solutions, and Commercial</w:t>
      </w:r>
    </w:p>
    <w:p>
      <w:pPr>
        <w:spacing w:after="0" w:line="45" w:lineRule="exact"/>
        <w:rPr>
          <w:sz w:val="20"/>
          <w:szCs w:val="20"/>
          <w:color w:val="auto"/>
        </w:rPr>
      </w:pPr>
    </w:p>
    <w:p>
      <w:pPr>
        <w:ind w:right="520" w:firstLine="3"/>
        <w:spacing w:after="0" w:line="266" w:lineRule="auto"/>
        <w:tabs>
          <w:tab w:leader="none" w:pos="177" w:val="left"/>
        </w:tabs>
        <w:numPr>
          <w:ilvl w:val="0"/>
          <w:numId w:val="8"/>
        </w:numPr>
        <w:rPr>
          <w:rFonts w:ascii="Arial" w:cs="Arial" w:eastAsia="Arial" w:hAnsi="Arial"/>
          <w:sz w:val="17"/>
          <w:szCs w:val="17"/>
          <w:color w:val="auto"/>
        </w:rPr>
      </w:pPr>
      <w:r>
        <w:rPr>
          <w:rFonts w:ascii="Arial" w:cs="Arial" w:eastAsia="Arial" w:hAnsi="Arial"/>
          <w:sz w:val="17"/>
          <w:szCs w:val="17"/>
          <w:color w:val="auto"/>
        </w:rPr>
        <w:t>Industrial. These segments are reflective of how the Company’s Chief Operating Decision Maker (“CODM”) reviews operating results for the purpose of allocating resources and assessing performance. The Company’s CODM is its Chief Executive Officer.</w:t>
      </w:r>
    </w:p>
    <w:p>
      <w:pPr>
        <w:spacing w:after="0" w:line="20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Transactions between segments, if any, are eliminated in consolidation. Our corporate office provides general and administrative services, as well as support services, to each of our four operating segments. Management allocates certain shared costs between segments for selling, general and administrative expenses and depreciation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Segment information for the three months ended December 31, 2021 and 2020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10"/>
          </w:tcPr>
          <w:p>
            <w:pPr>
              <w:spacing w:after="0"/>
              <w:rPr>
                <w:sz w:val="20"/>
                <w:szCs w:val="20"/>
                <w:color w:val="auto"/>
              </w:rPr>
            </w:pPr>
            <w:r>
              <w:rPr>
                <w:rFonts w:ascii="Arial" w:cs="Arial" w:eastAsia="Arial" w:hAnsi="Arial"/>
                <w:sz w:val="15"/>
                <w:szCs w:val="15"/>
                <w:color w:val="auto"/>
                <w:w w:val="99"/>
              </w:rPr>
              <w:t>Three Months Ended December 31, 2021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Arial" w:cs="Arial" w:eastAsia="Arial" w:hAnsi="Arial"/>
                <w:sz w:val="15"/>
                <w:szCs w:val="15"/>
                <w:color w:val="auto"/>
                <w:w w:val="99"/>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80"/>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60"/>
              <w:spacing w:after="0" w:line="156" w:lineRule="exact"/>
              <w:rPr>
                <w:sz w:val="20"/>
                <w:szCs w:val="20"/>
                <w:color w:val="auto"/>
              </w:rPr>
            </w:pPr>
            <w:r>
              <w:rPr>
                <w:rFonts w:ascii="Arial" w:cs="Arial" w:eastAsia="Arial" w:hAnsi="Arial"/>
                <w:sz w:val="15"/>
                <w:szCs w:val="15"/>
                <w:color w:val="auto"/>
                <w:w w:val="99"/>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23"/>
              <w:spacing w:after="0"/>
              <w:rPr>
                <w:sz w:val="20"/>
                <w:szCs w:val="20"/>
                <w:color w:val="auto"/>
              </w:rPr>
            </w:pPr>
            <w:r>
              <w:rPr>
                <w:rFonts w:ascii="Arial" w:cs="Arial" w:eastAsia="Arial" w:hAnsi="Arial"/>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color w:val="auto"/>
                <w:w w:val="97"/>
              </w:rPr>
              <w:t>Solutions</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95"/>
              </w:rPr>
              <w:t>Industrial</w:t>
            </w:r>
          </w:p>
        </w:tc>
        <w:tc>
          <w:tcPr>
            <w:tcW w:w="14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127,389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241,776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69,248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480,509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106,891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199,138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34,375</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60,378</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400,782</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20,498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42,638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79,727</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11,384</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30,995</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6,059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7,268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3,696</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59,402</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Loss (gain) on sale of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2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9,120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11,566</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(3,696)</w:t>
            </w:r>
          </w:p>
        </w:tc>
        <w:tc>
          <w:tcPr>
            <w:tcW w:w="1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20,261</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Other data: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3,852</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6,214</w:t>
            </w: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594</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1,184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10,316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245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12,339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161,419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338,824</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145,722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94,157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45,106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785,228</w:t>
            </w:r>
          </w:p>
        </w:tc>
        <w:tc>
          <w:tcPr>
            <w:tcW w:w="0" w:type="dxa"/>
            <w:vAlign w:val="bottom"/>
          </w:tcPr>
          <w:p>
            <w:pPr>
              <w:spacing w:after="0"/>
              <w:rPr>
                <w:sz w:val="1"/>
                <w:szCs w:val="1"/>
                <w:color w:val="auto"/>
              </w:rPr>
            </w:pPr>
          </w:p>
        </w:tc>
      </w:tr>
      <w:tr>
        <w:trPr>
          <w:trHeight w:val="320"/>
        </w:trPr>
        <w:tc>
          <w:tcPr>
            <w:tcW w:w="3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spacing w:after="0"/>
              <w:rPr>
                <w:sz w:val="20"/>
                <w:szCs w:val="20"/>
                <w:color w:val="auto"/>
              </w:rPr>
            </w:pPr>
            <w:r>
              <w:rPr>
                <w:rFonts w:ascii="Arial" w:cs="Arial" w:eastAsia="Arial" w:hAnsi="Arial"/>
                <w:sz w:val="15"/>
                <w:szCs w:val="15"/>
                <w:color w:val="auto"/>
                <w:w w:val="99"/>
              </w:rPr>
              <w:t>Three Months Ended December 31, 2020</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03"/>
              <w:spacing w:after="0"/>
              <w:rPr>
                <w:sz w:val="20"/>
                <w:szCs w:val="20"/>
                <w:color w:val="auto"/>
              </w:rPr>
            </w:pPr>
            <w:r>
              <w:rPr>
                <w:rFonts w:ascii="Arial" w:cs="Arial" w:eastAsia="Arial" w:hAnsi="Arial"/>
                <w:sz w:val="15"/>
                <w:szCs w:val="15"/>
                <w:color w:val="auto"/>
                <w:w w:val="96"/>
              </w:rPr>
              <w:t>Communications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63"/>
              <w:spacing w:after="0"/>
              <w:rPr>
                <w:sz w:val="20"/>
                <w:szCs w:val="20"/>
                <w:color w:val="auto"/>
              </w:rPr>
            </w:pPr>
            <w:r>
              <w:rPr>
                <w:rFonts w:ascii="Arial" w:cs="Arial" w:eastAsia="Arial" w:hAnsi="Arial"/>
                <w:sz w:val="15"/>
                <w:szCs w:val="15"/>
                <w:color w:val="auto"/>
                <w:w w:val="99"/>
              </w:rPr>
              <w:t>Residential</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6" w:lineRule="exact"/>
              <w:rPr>
                <w:sz w:val="20"/>
                <w:szCs w:val="20"/>
                <w:color w:val="auto"/>
              </w:rPr>
            </w:pPr>
            <w:r>
              <w:rPr>
                <w:rFonts w:ascii="Arial" w:cs="Arial" w:eastAsia="Arial" w:hAnsi="Arial"/>
                <w:sz w:val="15"/>
                <w:szCs w:val="15"/>
                <w:color w:val="auto"/>
                <w:w w:val="95"/>
              </w:rPr>
              <w:t>Infrastructure</w:t>
            </w:r>
          </w:p>
        </w:tc>
        <w:tc>
          <w:tcPr>
            <w:tcW w:w="120" w:type="dxa"/>
            <w:vAlign w:val="bottom"/>
          </w:tcPr>
          <w:p>
            <w:pPr>
              <w:spacing w:after="0"/>
              <w:rPr>
                <w:sz w:val="13"/>
                <w:szCs w:val="13"/>
                <w:color w:val="auto"/>
              </w:rPr>
            </w:pPr>
          </w:p>
        </w:tc>
        <w:tc>
          <w:tcPr>
            <w:tcW w:w="1200" w:type="dxa"/>
            <w:vAlign w:val="bottom"/>
            <w:gridSpan w:val="3"/>
          </w:tcPr>
          <w:p>
            <w:pPr>
              <w:jc w:val="center"/>
              <w:ind w:right="240"/>
              <w:spacing w:after="0" w:line="156" w:lineRule="exact"/>
              <w:rPr>
                <w:sz w:val="20"/>
                <w:szCs w:val="20"/>
                <w:color w:val="auto"/>
              </w:rPr>
            </w:pPr>
            <w:r>
              <w:rPr>
                <w:rFonts w:ascii="Arial" w:cs="Arial" w:eastAsia="Arial" w:hAnsi="Arial"/>
                <w:sz w:val="15"/>
                <w:szCs w:val="15"/>
                <w:color w:val="auto"/>
                <w:w w:val="97"/>
              </w:rPr>
              <w:t>Commercial &amp;</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03"/>
              <w:spacing w:after="0"/>
              <w:rPr>
                <w:sz w:val="20"/>
                <w:szCs w:val="20"/>
                <w:color w:val="auto"/>
              </w:rPr>
            </w:pPr>
            <w:r>
              <w:rPr>
                <w:rFonts w:ascii="Arial" w:cs="Arial" w:eastAsia="Arial" w:hAnsi="Arial"/>
                <w:sz w:val="15"/>
                <w:szCs w:val="15"/>
                <w:color w:val="auto"/>
              </w:rPr>
              <w:t>Corporate</w:t>
            </w:r>
          </w:p>
        </w:tc>
        <w:tc>
          <w:tcPr>
            <w:tcW w:w="12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63"/>
              <w:spacing w:after="0"/>
              <w:rPr>
                <w:sz w:val="20"/>
                <w:szCs w:val="20"/>
                <w:color w:val="auto"/>
              </w:rPr>
            </w:pPr>
            <w:r>
              <w:rPr>
                <w:rFonts w:ascii="Arial" w:cs="Arial" w:eastAsia="Arial" w:hAnsi="Arial"/>
                <w:sz w:val="15"/>
                <w:szCs w:val="15"/>
                <w:color w:val="auto"/>
              </w:rPr>
              <w:t>Total</w:t>
            </w:r>
          </w:p>
        </w:tc>
        <w:tc>
          <w:tcPr>
            <w:tcW w:w="0" w:type="dxa"/>
            <w:vAlign w:val="bottom"/>
          </w:tcPr>
          <w:p>
            <w:pPr>
              <w:spacing w:after="0"/>
              <w:rPr>
                <w:sz w:val="1"/>
                <w:szCs w:val="1"/>
                <w:color w:val="auto"/>
              </w:rPr>
            </w:pPr>
          </w:p>
        </w:tc>
      </w:tr>
      <w:tr>
        <w:trPr>
          <w:trHeight w:val="199"/>
        </w:trPr>
        <w:tc>
          <w:tcPr>
            <w:tcW w:w="3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color w:val="auto"/>
                <w:w w:val="93"/>
              </w:rPr>
              <w:t>Solutions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color w:val="auto"/>
                <w:w w:val="98"/>
              </w:rPr>
              <w:t>Industrial</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98,356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119,491</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314,838</w:t>
            </w:r>
          </w:p>
        </w:tc>
        <w:tc>
          <w:tcPr>
            <w:tcW w:w="0" w:type="dxa"/>
            <w:vAlign w:val="bottom"/>
          </w:tcPr>
          <w:p>
            <w:pPr>
              <w:spacing w:after="0"/>
              <w:rPr>
                <w:sz w:val="1"/>
                <w:szCs w:val="1"/>
                <w:color w:val="auto"/>
              </w:rPr>
            </w:pPr>
          </w:p>
        </w:tc>
      </w:tr>
      <w:tr>
        <w:trPr>
          <w:trHeight w:val="203"/>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Cost of services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79,817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95,963</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23,464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56,915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256,159</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18,539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23,528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10,937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5,675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58,679</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9,341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17,327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5,611</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6,424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4,083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42,786</w:t>
            </w: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(gain) on sale of assets</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2"/>
        </w:trPr>
        <w:tc>
          <w:tcPr>
            <w:tcW w:w="3220" w:type="dxa"/>
            <w:vAlign w:val="bottom"/>
          </w:tcPr>
          <w:p>
            <w:pPr>
              <w:ind w:left="20"/>
              <w:spacing w:after="0"/>
              <w:rPr>
                <w:sz w:val="20"/>
                <w:szCs w:val="20"/>
                <w:color w:val="auto"/>
              </w:rPr>
            </w:pPr>
            <w:r>
              <w:rPr>
                <w:rFonts w:ascii="Arial" w:cs="Arial" w:eastAsia="Arial" w:hAnsi="Arial"/>
                <w:sz w:val="15"/>
                <w:szCs w:val="15"/>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9,198</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6,201</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5,327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(4,083)</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15,903</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data:</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tcPr>
          <w:p>
            <w:pPr>
              <w:ind w:left="140"/>
              <w:spacing w:after="0"/>
              <w:rPr>
                <w:sz w:val="20"/>
                <w:szCs w:val="20"/>
                <w:color w:val="auto"/>
              </w:rPr>
            </w:pPr>
            <w:r>
              <w:rPr>
                <w:rFonts w:ascii="Arial" w:cs="Arial" w:eastAsia="Arial" w:hAnsi="Arial"/>
                <w:sz w:val="15"/>
                <w:szCs w:val="15"/>
                <w:color w:val="auto"/>
              </w:rPr>
              <w:t>Depreciation and amortization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347</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1,504</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1,441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694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4,020</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w:t>
            </w:r>
          </w:p>
        </w:tc>
        <w:tc>
          <w:tcPr>
            <w:tcW w:w="0" w:type="dxa"/>
            <w:vAlign w:val="bottom"/>
          </w:tcPr>
          <w:p>
            <w:pPr>
              <w:spacing w:after="0"/>
              <w:rPr>
                <w:sz w:val="1"/>
                <w:szCs w:val="1"/>
                <w:color w:val="auto"/>
              </w:rPr>
            </w:pPr>
          </w:p>
        </w:tc>
      </w:tr>
      <w:tr>
        <w:trPr>
          <w:trHeight w:val="201"/>
        </w:trPr>
        <w:tc>
          <w:tcPr>
            <w:tcW w:w="3220" w:type="dxa"/>
            <w:vAlign w:val="bottom"/>
          </w:tcPr>
          <w:p>
            <w:pPr>
              <w:ind w:left="120"/>
              <w:spacing w:after="0"/>
              <w:rPr>
                <w:sz w:val="20"/>
                <w:szCs w:val="20"/>
                <w:color w:val="auto"/>
              </w:rPr>
            </w:pPr>
            <w:r>
              <w:rPr>
                <w:rFonts w:ascii="Arial" w:cs="Arial" w:eastAsia="Arial" w:hAnsi="Arial"/>
                <w:sz w:val="15"/>
                <w:szCs w:val="15"/>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137,457</w:t>
            </w:r>
          </w:p>
        </w:tc>
        <w:tc>
          <w:tcPr>
            <w:tcW w:w="12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198,227</w:t>
            </w:r>
          </w:p>
        </w:tc>
        <w:tc>
          <w:tcPr>
            <w:tcW w:w="26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129,283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72,148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72,255</w:t>
            </w:r>
          </w:p>
        </w:tc>
        <w:tc>
          <w:tcPr>
            <w:tcW w:w="12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609,370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STOCKHOLDERS’ 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Incentive Plan</w:t>
      </w:r>
    </w:p>
    <w:p>
      <w:pPr>
        <w:spacing w:after="0" w:line="243" w:lineRule="exact"/>
        <w:rPr>
          <w:sz w:val="20"/>
          <w:szCs w:val="20"/>
          <w:color w:val="auto"/>
        </w:rPr>
      </w:pPr>
    </w:p>
    <w:p>
      <w:pPr>
        <w:jc w:val="both"/>
        <w:ind w:right="40"/>
        <w:spacing w:after="0" w:line="266" w:lineRule="auto"/>
        <w:rPr>
          <w:sz w:val="20"/>
          <w:szCs w:val="20"/>
          <w:color w:val="auto"/>
        </w:rPr>
      </w:pPr>
      <w:r>
        <w:rPr>
          <w:rFonts w:ascii="Arial" w:cs="Arial" w:eastAsia="Arial" w:hAnsi="Arial"/>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715,054 shares were available for issuance at December 31,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color w:val="auto"/>
        </w:rPr>
        <w:t>Stock Repurchase Program</w:t>
      </w:r>
    </w:p>
    <w:p>
      <w:pPr>
        <w:spacing w:after="0" w:line="243"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56,415 shares of our common stock during the three months ended December 31, 2021 in open market transactions at an average price of $46.71 per share. We repurchased no shares of our common stock during the three months ended December 31, 2020 in open market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Treasury Stock</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During the three months ended December 31, 2021, we issued 73,627 shares of common stock from treasury stock to employees and repurchased 45,198 shares of common stock from our employees to satisfy statutory tax withholding requirements upon the vesting of certain performance phantom stock units under the Equity Incentive Plan. In addition, we issued 83,540 shares from treasury stock to satisfy the vesting of Director PSUs (as defined below) in conjunction with the departure of a Board member.</w:t>
      </w:r>
    </w:p>
    <w:p>
      <w:pPr>
        <w:spacing w:after="0" w:line="204"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During the three months ended December 31, 2020, we issued 38,087 shares of common stock from treasury stock to employees and repurchased 16,882 shares of common stock from our employees to satisfy statutory tax withholding requirements upon the vesting of certain performance phantom stock units under the Equity Incentive Plan. In addition, 13,996 restricted shares were forfeited by certain former employees upon their departure and returned to treasury stock</w:t>
      </w:r>
      <w:r>
        <w:rPr>
          <w:rFonts w:ascii="Arial" w:cs="Arial" w:eastAsia="Arial" w:hAnsi="Arial"/>
          <w:sz w:val="14"/>
          <w:szCs w:val="14"/>
          <w:color w:val="auto"/>
        </w:rPr>
        <w:t>.</w:t>
      </w:r>
      <w:r>
        <w:rPr>
          <w:rFonts w:ascii="Arial" w:cs="Arial" w:eastAsia="Arial" w:hAnsi="Arial"/>
          <w:sz w:val="16"/>
          <w:szCs w:val="16"/>
          <w:color w:val="auto"/>
        </w:rPr>
        <w:t xml:space="preserve"> We also issued 380 unrestricted shares of common stock from treasury to members of our Board of Directors as part of their overall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Stock</w:t>
      </w:r>
    </w:p>
    <w:p>
      <w:pPr>
        <w:spacing w:after="0" w:line="243" w:lineRule="exact"/>
        <w:rPr>
          <w:sz w:val="20"/>
          <w:szCs w:val="20"/>
          <w:color w:val="auto"/>
        </w:rPr>
      </w:pPr>
    </w:p>
    <w:p>
      <w:pPr>
        <w:ind w:right="240"/>
        <w:spacing w:after="0" w:line="307" w:lineRule="auto"/>
        <w:rPr>
          <w:sz w:val="20"/>
          <w:szCs w:val="20"/>
          <w:color w:val="auto"/>
        </w:rPr>
      </w:pPr>
      <w:r>
        <w:rPr>
          <w:rFonts w:ascii="Arial" w:cs="Arial" w:eastAsia="Arial" w:hAnsi="Arial"/>
          <w:sz w:val="15"/>
          <w:szCs w:val="15"/>
          <w:color w:val="auto"/>
        </w:rPr>
        <w:t>We granted no restricted shares to executives during the three months ended December 31, 2021. Of the awards previously granted, 3,118 shares vested. The remaining restricted shares either vest subject to the achievement of specified levels of cumulative net income before taxes or vest based on the passage of time. During the three months ended December 31, 2021 and 2020, we recognized $36 and $38, respectively, in compensation expense related to all restricted stock awards. At December 31, 2021, the unamortized compensation cost related to outstanding unvested restricted stock was $131.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Phantom Stock Units</w:t>
      </w:r>
    </w:p>
    <w:p>
      <w:pPr>
        <w:spacing w:after="0" w:line="243"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During the three months ended December 31, 2021 and 2020, we recognized $96 and $96, respectively, in compensation expense related to these grants.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Employee Phantom Stock Units</w:t>
      </w:r>
    </w:p>
    <w:p>
      <w:pPr>
        <w:spacing w:after="0" w:line="24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201"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As of December 31, 2021, the Company had outstanding Employee PSUs, which, subject to the achievement of certain performance metrics, could result in the issuance of 321,463 shares of common stock. During the three months ended December 31, 2021, we granted 150,447 Employee PSUs, 4,962 were forfeited, and 106,964 vested. During the three months ended December 31, 2021 and 2020, we recognized $768 and $697, respectively, in compensation expense related to Employee PSU grants.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8. EMPLOYEE BENEFIT PLANS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 November 1998, we established the IES Holdings, Inc. 401(k) Retirement Savings Plan. All full-time IES employees are eligible to participate on the first day of the month subsequent to completing sixty days of service and attaining age twenty one. Participants become vested in our matching contributions following three years of service. We also maintain several subsidiary retirement savings plans. During the three months ended December 31, 2021 and 2020, we recognized $921 and $706, respectively, in matching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 Accounting</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Fair value is considered the price to sell an asset, or transfer a liability, between market participants on the measurement date. Fair value measurements assume that</w:t>
      </w:r>
    </w:p>
    <w:p>
      <w:pPr>
        <w:spacing w:after="0" w:line="45" w:lineRule="exact"/>
        <w:rPr>
          <w:sz w:val="20"/>
          <w:szCs w:val="20"/>
          <w:color w:val="auto"/>
        </w:rPr>
      </w:pPr>
    </w:p>
    <w:p>
      <w:pPr>
        <w:ind w:right="120" w:firstLine="3"/>
        <w:spacing w:after="0" w:line="255" w:lineRule="auto"/>
        <w:tabs>
          <w:tab w:leader="none" w:pos="24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21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At December 31, 2021, financial assets and liabilities measured at fair value on a recurring basis were limited to our Executive Deferred Compensation Plan, under which certain employees are permitted to defer a portion of their base salary and/or bonus for a Plan Year (as defined in the plan), equity securities held for sale, and contingent consideration liabilities related to certain of our acquisitions.</w:t>
      </w:r>
    </w:p>
    <w:p>
      <w:pPr>
        <w:spacing w:after="0" w:line="201"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Financial assets and liabilities measured at fair value on a recurring basis as of December 31, 2021 and September 30, 2021,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December 31, 2021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7"/>
                <w:szCs w:val="17"/>
                <w:color w:val="auto"/>
              </w:rPr>
              <w:t>Total 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Arial" w:cs="Arial" w:eastAsia="Arial" w:hAnsi="Arial"/>
                <w:sz w:val="17"/>
                <w:szCs w:val="17"/>
                <w:color w:val="auto"/>
                <w:w w:val="92"/>
              </w:rPr>
              <w:t>Unobservable Inputs</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color w:val="auto"/>
                <w:w w:val="96"/>
              </w:rPr>
              <w:t>(Level 1)</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1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1,206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Executive savings plan liabilities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Contingent consideration liability</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(4,216)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(4,216)</w:t>
            </w:r>
          </w:p>
        </w:tc>
        <w:tc>
          <w:tcPr>
            <w:tcW w:w="0" w:type="dxa"/>
            <w:vAlign w:val="bottom"/>
          </w:tcPr>
          <w:p>
            <w:pPr>
              <w:spacing w:after="0"/>
              <w:rPr>
                <w:sz w:val="1"/>
                <w:szCs w:val="1"/>
                <w:color w:val="auto"/>
              </w:rPr>
            </w:pPr>
          </w:p>
        </w:tc>
      </w:tr>
      <w:tr>
        <w:trPr>
          <w:trHeight w:val="238"/>
        </w:trPr>
        <w:tc>
          <w:tcPr>
            <w:tcW w:w="6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September 30, 2021</w:t>
            </w: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168"/>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7"/>
                <w:szCs w:val="17"/>
                <w:color w:val="auto"/>
              </w:rPr>
              <w:t>Total 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spacing w:after="0" w:line="167" w:lineRule="exact"/>
              <w:rPr>
                <w:sz w:val="20"/>
                <w:szCs w:val="20"/>
                <w:color w:val="auto"/>
              </w:rPr>
            </w:pPr>
            <w:r>
              <w:rPr>
                <w:rFonts w:ascii="Arial" w:cs="Arial" w:eastAsia="Arial" w:hAnsi="Arial"/>
                <w:sz w:val="17"/>
                <w:szCs w:val="17"/>
                <w:color w:val="auto"/>
                <w:w w:val="92"/>
              </w:rPr>
              <w:t>Unobservable Inputs</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color w:val="auto"/>
                <w:w w:val="96"/>
              </w:rPr>
              <w:t>(Level 1)</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1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Executive savings plan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Executive savings plan liabilities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Contingent consideration liability</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w:t>
            </w:r>
          </w:p>
        </w:tc>
        <w:tc>
          <w:tcPr>
            <w:tcW w:w="0" w:type="dxa"/>
            <w:vAlign w:val="bottom"/>
          </w:tcPr>
          <w:p>
            <w:pPr>
              <w:spacing w:after="0"/>
              <w:rPr>
                <w:sz w:val="1"/>
                <w:szCs w:val="1"/>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(4,050)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(4,181)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right="340"/>
        <w:spacing w:after="0" w:line="266" w:lineRule="auto"/>
        <w:rPr>
          <w:sz w:val="20"/>
          <w:szCs w:val="20"/>
          <w:color w:val="auto"/>
        </w:rPr>
      </w:pPr>
      <w:r>
        <w:rPr>
          <w:rFonts w:ascii="Arial" w:cs="Arial" w:eastAsia="Arial" w:hAnsi="Arial"/>
          <w:sz w:val="17"/>
          <w:szCs w:val="17"/>
          <w:color w:val="auto"/>
        </w:rPr>
        <w:t>In fiscal year 2021, we entered into a contingent consideration arrangement related to the acquisition of Bayonet. At December 31, 2021, we estimated the fair value of this contingent consideration liability at $4,216. The table below presents the fair value of this obligation, which used significant unobservable inputs (Level 3).</w:t>
      </w:r>
    </w:p>
    <w:tbl>
      <w:tblPr>
        <w:tblLayout w:type="fixed"/>
        <w:tblInd w:w="0" w:type="dxa"/>
        <w:tblCellMar>
          <w:top w:w="0" w:type="dxa"/>
          <w:left w:w="0" w:type="dxa"/>
          <w:bottom w:w="0" w:type="dxa"/>
          <w:right w:w="0" w:type="dxa"/>
        </w:tblCellMar>
      </w:tblPr>
      <w:tr>
        <w:trPr>
          <w:trHeight w:val="175"/>
        </w:trPr>
        <w:tc>
          <w:tcPr>
            <w:tcW w:w="2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80" w:type="dxa"/>
            <w:vAlign w:val="bottom"/>
            <w:gridSpan w:val="2"/>
          </w:tcPr>
          <w:p>
            <w:pPr>
              <w:jc w:val="center"/>
              <w:ind w:right="2880"/>
              <w:spacing w:after="0" w:line="176" w:lineRule="exact"/>
              <w:rPr>
                <w:sz w:val="20"/>
                <w:szCs w:val="20"/>
                <w:color w:val="auto"/>
              </w:rPr>
            </w:pPr>
            <w:r>
              <w:rPr>
                <w:rFonts w:ascii="Arial" w:cs="Arial" w:eastAsia="Arial" w:hAnsi="Arial"/>
                <w:sz w:val="17"/>
                <w:szCs w:val="17"/>
                <w:color w:val="auto"/>
                <w:w w:val="92"/>
              </w:rPr>
              <w:t>Contingent</w:t>
            </w: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80" w:type="dxa"/>
            <w:vAlign w:val="bottom"/>
            <w:gridSpan w:val="2"/>
          </w:tcPr>
          <w:p>
            <w:pPr>
              <w:jc w:val="center"/>
              <w:ind w:right="2880"/>
              <w:spacing w:after="0" w:line="167" w:lineRule="exact"/>
              <w:rPr>
                <w:sz w:val="20"/>
                <w:szCs w:val="20"/>
                <w:color w:val="auto"/>
              </w:rPr>
            </w:pPr>
            <w:r>
              <w:rPr>
                <w:rFonts w:ascii="Arial" w:cs="Arial" w:eastAsia="Arial" w:hAnsi="Arial"/>
                <w:sz w:val="17"/>
                <w:szCs w:val="17"/>
                <w:color w:val="auto"/>
                <w:w w:val="91"/>
              </w:rPr>
              <w:t>Consideration</w:t>
            </w:r>
          </w:p>
        </w:tc>
        <w:tc>
          <w:tcPr>
            <w:tcW w:w="0" w:type="dxa"/>
            <w:vAlign w:val="bottom"/>
          </w:tcPr>
          <w:p>
            <w:pPr>
              <w:spacing w:after="0"/>
              <w:rPr>
                <w:sz w:val="1"/>
                <w:szCs w:val="1"/>
                <w:color w:val="auto"/>
              </w:rPr>
            </w:pPr>
          </w:p>
        </w:tc>
      </w:tr>
      <w:tr>
        <w:trPr>
          <w:trHeight w:val="218"/>
        </w:trPr>
        <w:tc>
          <w:tcPr>
            <w:tcW w:w="29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80" w:type="dxa"/>
            <w:vAlign w:val="bottom"/>
            <w:gridSpan w:val="2"/>
          </w:tcPr>
          <w:p>
            <w:pPr>
              <w:jc w:val="center"/>
              <w:ind w:right="2900"/>
              <w:spacing w:after="0"/>
              <w:rPr>
                <w:sz w:val="20"/>
                <w:szCs w:val="20"/>
                <w:color w:val="auto"/>
              </w:rPr>
            </w:pPr>
            <w:r>
              <w:rPr>
                <w:rFonts w:ascii="Arial" w:cs="Arial" w:eastAsia="Arial" w:hAnsi="Arial"/>
                <w:sz w:val="17"/>
                <w:szCs w:val="17"/>
                <w:color w:val="auto"/>
                <w:w w:val="89"/>
              </w:rPr>
              <w:t>Agreements</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w w:val="96"/>
              </w:rPr>
              <w:t>Fair value at September 30, 2021</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(4,181)</w:t>
            </w: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00" w:type="dxa"/>
            <w:vAlign w:val="bottom"/>
          </w:tcPr>
          <w:p>
            <w:pPr>
              <w:spacing w:after="0"/>
              <w:rPr>
                <w:sz w:val="18"/>
                <w:szCs w:val="18"/>
                <w:color w:val="auto"/>
              </w:rPr>
            </w:pPr>
          </w:p>
        </w:tc>
        <w:tc>
          <w:tcPr>
            <w:tcW w:w="24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adjustments to fair value</w:t>
            </w:r>
          </w:p>
        </w:tc>
        <w:tc>
          <w:tcPr>
            <w:tcW w:w="12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Fair value at December 31, 2021</w:t>
            </w:r>
          </w:p>
        </w:tc>
        <w:tc>
          <w:tcPr>
            <w:tcW w:w="1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(4,216)</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774"/>
              <w:spacing w:after="0"/>
              <w:rPr>
                <w:sz w:val="20"/>
                <w:szCs w:val="20"/>
                <w:color w:val="auto"/>
              </w:rPr>
            </w:pPr>
            <w:r>
              <w:rPr>
                <w:rFonts w:ascii="Arial" w:cs="Arial" w:eastAsia="Arial" w:hAnsi="Arial"/>
                <w:sz w:val="17"/>
                <w:szCs w:val="17"/>
                <w:color w:val="auto"/>
              </w:rPr>
              <w:t>18</w:t>
            </w: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3"/>
        </w:trPr>
        <w:tc>
          <w:tcPr>
            <w:tcW w:w="2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0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7560" w:type="dxa"/>
            <w:vAlign w:val="bottom"/>
          </w:tcPr>
          <w:p>
            <w:pPr>
              <w:spacing w:after="0"/>
              <w:rPr>
                <w:sz w:val="20"/>
                <w:szCs w:val="20"/>
                <w:color w:val="auto"/>
              </w:rPr>
            </w:pPr>
            <w:r>
              <w:rPr>
                <w:rFonts w:ascii="Arial" w:cs="Arial" w:eastAsia="Arial" w:hAnsi="Arial"/>
                <w:sz w:val="17"/>
                <w:szCs w:val="17"/>
                <w:b w:val="1"/>
                <w:bCs w:val="1"/>
                <w:color w:val="auto"/>
              </w:rPr>
              <w:t>10. INVENTORY</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51"/>
        </w:trPr>
        <w:tc>
          <w:tcPr>
            <w:tcW w:w="7560" w:type="dxa"/>
            <w:vAlign w:val="bottom"/>
          </w:tcPr>
          <w:p>
            <w:pPr>
              <w:spacing w:after="0"/>
              <w:rPr>
                <w:sz w:val="20"/>
                <w:szCs w:val="20"/>
                <w:color w:val="auto"/>
              </w:rPr>
            </w:pPr>
            <w:r>
              <w:rPr>
                <w:rFonts w:ascii="Arial" w:cs="Arial" w:eastAsia="Arial" w:hAnsi="Arial"/>
                <w:sz w:val="17"/>
                <w:szCs w:val="17"/>
                <w:color w:val="auto"/>
              </w:rPr>
              <w:t>Inventories consist of the following components: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5"/>
        </w:trPr>
        <w:tc>
          <w:tcPr>
            <w:tcW w:w="7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2"/>
          </w:tcPr>
          <w:p>
            <w:pPr>
              <w:ind w:left="140"/>
              <w:spacing w:after="0"/>
              <w:rPr>
                <w:sz w:val="20"/>
                <w:szCs w:val="20"/>
                <w:color w:val="auto"/>
              </w:rPr>
            </w:pPr>
            <w:r>
              <w:rPr>
                <w:rFonts w:ascii="Arial" w:cs="Arial" w:eastAsia="Arial" w:hAnsi="Arial"/>
                <w:sz w:val="17"/>
                <w:szCs w:val="17"/>
                <w:color w:val="auto"/>
              </w:rPr>
              <w:t>December 31,</w:t>
            </w:r>
          </w:p>
        </w:tc>
        <w:tc>
          <w:tcPr>
            <w:tcW w:w="260" w:type="dxa"/>
            <w:vAlign w:val="bottom"/>
          </w:tcPr>
          <w:p>
            <w:pPr>
              <w:spacing w:after="0"/>
              <w:rPr>
                <w:sz w:val="21"/>
                <w:szCs w:val="21"/>
                <w:color w:val="auto"/>
              </w:rPr>
            </w:pPr>
          </w:p>
        </w:tc>
        <w:tc>
          <w:tcPr>
            <w:tcW w:w="1520" w:type="dxa"/>
            <w:vAlign w:val="bottom"/>
          </w:tcPr>
          <w:p>
            <w:pPr>
              <w:jc w:val="right"/>
              <w:ind w:right="294"/>
              <w:spacing w:after="0"/>
              <w:rPr>
                <w:sz w:val="20"/>
                <w:szCs w:val="20"/>
                <w:color w:val="auto"/>
              </w:rPr>
            </w:pPr>
            <w:r>
              <w:rPr>
                <w:rFonts w:ascii="Arial" w:cs="Arial" w:eastAsia="Arial" w:hAnsi="Arial"/>
                <w:sz w:val="17"/>
                <w:szCs w:val="17"/>
                <w:color w:val="auto"/>
              </w:rPr>
              <w:t>September 30,</w:t>
            </w:r>
          </w:p>
        </w:tc>
      </w:tr>
      <w:tr>
        <w:trPr>
          <w:trHeight w:val="220"/>
        </w:trPr>
        <w:tc>
          <w:tcPr>
            <w:tcW w:w="7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2021</w:t>
            </w:r>
          </w:p>
        </w:tc>
      </w:tr>
      <w:tr>
        <w:trPr>
          <w:trHeight w:val="213"/>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5,819</w:t>
            </w:r>
          </w:p>
        </w:tc>
      </w:tr>
      <w:tr>
        <w:trPr>
          <w:trHeight w:val="218"/>
        </w:trPr>
        <w:tc>
          <w:tcPr>
            <w:tcW w:w="7560" w:type="dxa"/>
            <w:vAlign w:val="bottom"/>
          </w:tcPr>
          <w:p>
            <w:pPr>
              <w:ind w:left="20"/>
              <w:spacing w:after="0"/>
              <w:rPr>
                <w:sz w:val="20"/>
                <w:szCs w:val="20"/>
                <w:color w:val="auto"/>
              </w:rPr>
            </w:pPr>
            <w:r>
              <w:rPr>
                <w:rFonts w:ascii="Arial" w:cs="Arial" w:eastAsia="Arial" w:hAnsi="Arial"/>
                <w:sz w:val="17"/>
                <w:szCs w:val="17"/>
                <w:color w:val="auto"/>
              </w:rPr>
              <w:t>Work in process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7,639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6,848</w:t>
            </w: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1,554</w:t>
            </w:r>
          </w:p>
        </w:tc>
      </w:tr>
      <w:tr>
        <w:trPr>
          <w:trHeight w:val="218"/>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Parts and supplies</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58,628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54,352</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inventories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68,573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GOODWILL AND INTANGIBLE ASSETS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carrying value of goodwill by segment at December 31, 2021, which was unchanged from September 30, 2021: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7"/>
                <w:szCs w:val="17"/>
                <w:color w:val="auto"/>
                <w:w w:val="94"/>
              </w:rPr>
              <w:t>Communications</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vMerge w:val="restart"/>
          </w:tcPr>
          <w:p>
            <w:pPr>
              <w:ind w:left="200"/>
              <w:spacing w:after="0"/>
              <w:rPr>
                <w:sz w:val="20"/>
                <w:szCs w:val="20"/>
                <w:color w:val="auto"/>
              </w:rPr>
            </w:pPr>
            <w:r>
              <w:rPr>
                <w:rFonts w:ascii="Arial" w:cs="Arial" w:eastAsia="Arial" w:hAnsi="Arial"/>
                <w:sz w:val="17"/>
                <w:szCs w:val="17"/>
                <w:color w:val="auto"/>
              </w:rPr>
              <w:t>Residential</w:t>
            </w:r>
          </w:p>
        </w:tc>
        <w:tc>
          <w:tcPr>
            <w:tcW w:w="140" w:type="dxa"/>
            <w:vAlign w:val="bottom"/>
            <w:gridSpan w:val="3"/>
            <w:vMerge w:val="restart"/>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Infrastructure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6"/>
          </w:tcPr>
          <w:p>
            <w:pPr>
              <w:jc w:val="center"/>
              <w:ind w:right="540"/>
              <w:spacing w:after="0"/>
              <w:rPr>
                <w:sz w:val="20"/>
                <w:szCs w:val="20"/>
                <w:color w:val="auto"/>
              </w:rPr>
            </w:pPr>
            <w:r>
              <w:rPr>
                <w:rFonts w:ascii="Arial" w:cs="Arial" w:eastAsia="Arial" w:hAnsi="Arial"/>
                <w:sz w:val="17"/>
                <w:szCs w:val="17"/>
                <w:color w:val="auto"/>
                <w:w w:val="97"/>
              </w:rPr>
              <w:t>Commercial &amp;</w:t>
            </w:r>
          </w:p>
        </w:tc>
        <w:tc>
          <w:tcPr>
            <w:tcW w:w="360" w:type="dxa"/>
            <w:vAlign w:val="bottom"/>
          </w:tcPr>
          <w:p>
            <w:pPr>
              <w:spacing w:after="0"/>
              <w:rPr>
                <w:sz w:val="16"/>
                <w:szCs w:val="16"/>
                <w:color w:val="auto"/>
              </w:rPr>
            </w:pPr>
          </w:p>
        </w:tc>
        <w:tc>
          <w:tcPr>
            <w:tcW w:w="980" w:type="dxa"/>
            <w:vAlign w:val="bottom"/>
            <w:vMerge w:val="restart"/>
          </w:tcPr>
          <w:p>
            <w:pPr>
              <w:jc w:val="right"/>
              <w:ind w:right="514"/>
              <w:spacing w:after="0"/>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218"/>
        </w:trPr>
        <w:tc>
          <w:tcPr>
            <w:tcW w:w="3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vMerge w:val="continue"/>
          </w:tcPr>
          <w:p>
            <w:pPr>
              <w:spacing w:after="0"/>
              <w:rPr>
                <w:sz w:val="18"/>
                <w:szCs w:val="18"/>
                <w:color w:val="auto"/>
              </w:rPr>
            </w:pPr>
          </w:p>
        </w:tc>
        <w:tc>
          <w:tcPr>
            <w:tcW w:w="140" w:type="dxa"/>
            <w:vAlign w:val="bottom"/>
            <w:tcBorders>
              <w:bottom w:val="single" w:sz="8" w:color="CCEEFF"/>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274"/>
              <w:spacing w:after="0"/>
              <w:rPr>
                <w:sz w:val="20"/>
                <w:szCs w:val="20"/>
                <w:color w:val="auto"/>
              </w:rPr>
            </w:pPr>
            <w:r>
              <w:rPr>
                <w:rFonts w:ascii="Arial" w:cs="Arial" w:eastAsia="Arial" w:hAnsi="Arial"/>
                <w:sz w:val="17"/>
                <w:szCs w:val="17"/>
                <w:color w:val="auto"/>
                <w:w w:val="94"/>
              </w:rPr>
              <w:t>Solutions</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7"/>
                <w:szCs w:val="17"/>
                <w:color w:val="auto"/>
                <w:w w:val="95"/>
              </w:rPr>
              <w:t>Industrial</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3"/>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60"/>
              <w:spacing w:after="0"/>
              <w:rPr>
                <w:sz w:val="20"/>
                <w:szCs w:val="20"/>
                <w:color w:val="auto"/>
              </w:rPr>
            </w:pPr>
            <w:r>
              <w:rPr>
                <w:rFonts w:ascii="Arial" w:cs="Arial" w:eastAsia="Arial" w:hAnsi="Arial"/>
                <w:sz w:val="17"/>
                <w:szCs w:val="17"/>
                <w:color w:val="auto"/>
              </w:rPr>
              <w:t>Goodwill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51,370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38,209</w:t>
            </w:r>
          </w:p>
        </w:tc>
        <w:tc>
          <w:tcPr>
            <w:tcW w:w="120" w:type="dxa"/>
            <w:vAlign w:val="bottom"/>
            <w:shd w:val="clear" w:color="auto" w:fill="CCEEFF"/>
          </w:tcPr>
          <w:p>
            <w:pPr>
              <w:spacing w:after="0"/>
              <w:rPr>
                <w:sz w:val="20"/>
                <w:szCs w:val="20"/>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gridSpan w:val="5"/>
            <w:shd w:val="clear" w:color="auto" w:fill="CCEEFF"/>
          </w:tcPr>
          <w:p>
            <w:pPr>
              <w:ind w:left="740"/>
              <w:spacing w:after="0"/>
              <w:rPr>
                <w:sz w:val="20"/>
                <w:szCs w:val="20"/>
                <w:color w:val="auto"/>
              </w:rPr>
            </w:pPr>
            <w:r>
              <w:rPr>
                <w:rFonts w:ascii="Arial" w:cs="Arial" w:eastAsia="Arial" w:hAnsi="Arial"/>
                <w:sz w:val="17"/>
                <w:szCs w:val="17"/>
                <w:color w:val="auto"/>
              </w:rPr>
              <w:t>—   $</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Intangible Assets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000" w:type="dxa"/>
            <w:vAlign w:val="bottom"/>
          </w:tcPr>
          <w:p>
            <w:pPr>
              <w:spacing w:after="0"/>
              <w:rPr>
                <w:sz w:val="20"/>
                <w:szCs w:val="20"/>
                <w:color w:val="auto"/>
              </w:rPr>
            </w:pPr>
            <w:r>
              <w:rPr>
                <w:rFonts w:ascii="Arial" w:cs="Arial" w:eastAsia="Arial" w:hAnsi="Arial"/>
                <w:sz w:val="17"/>
                <w:szCs w:val="17"/>
                <w:color w:val="auto"/>
                <w:w w:val="96"/>
              </w:rPr>
              <w:t>Intangible assets consist of the following:</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7"/>
                <w:szCs w:val="17"/>
                <w:color w:val="auto"/>
                <w:w w:val="91"/>
              </w:rPr>
              <w:t>December 31, 2021</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7"/>
          </w:tcPr>
          <w:p>
            <w:pPr>
              <w:jc w:val="center"/>
              <w:ind w:right="160"/>
              <w:spacing w:after="0" w:line="175" w:lineRule="exact"/>
              <w:rPr>
                <w:sz w:val="20"/>
                <w:szCs w:val="20"/>
                <w:color w:val="auto"/>
              </w:rPr>
            </w:pPr>
            <w:r>
              <w:rPr>
                <w:rFonts w:ascii="Arial" w:cs="Arial" w:eastAsia="Arial" w:hAnsi="Arial"/>
                <w:sz w:val="17"/>
                <w:szCs w:val="17"/>
                <w:color w:val="auto"/>
                <w:w w:val="93"/>
              </w:rPr>
              <w:t>Estimated Useful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80"/>
              <w:spacing w:after="0" w:line="175" w:lineRule="exact"/>
              <w:rPr>
                <w:sz w:val="20"/>
                <w:szCs w:val="20"/>
                <w:color w:val="auto"/>
              </w:rPr>
            </w:pPr>
            <w:r>
              <w:rPr>
                <w:rFonts w:ascii="Arial" w:cs="Arial" w:eastAsia="Arial" w:hAnsi="Arial"/>
                <w:sz w:val="17"/>
                <w:szCs w:val="17"/>
                <w:color w:val="auto"/>
                <w:w w:val="92"/>
              </w:rPr>
              <w:t>Gross Carrying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5"/>
          </w:tcPr>
          <w:p>
            <w:pPr>
              <w:ind w:left="60"/>
              <w:spacing w:after="0" w:line="175" w:lineRule="exact"/>
              <w:rPr>
                <w:sz w:val="20"/>
                <w:szCs w:val="20"/>
                <w:color w:val="auto"/>
              </w:rPr>
            </w:pPr>
            <w:r>
              <w:rPr>
                <w:rFonts w:ascii="Arial" w:cs="Arial" w:eastAsia="Arial" w:hAnsi="Arial"/>
                <w:sz w:val="17"/>
                <w:szCs w:val="17"/>
                <w:color w:val="auto"/>
              </w:rPr>
              <w:t>Accumulated</w:t>
            </w:r>
          </w:p>
        </w:tc>
        <w:tc>
          <w:tcPr>
            <w:tcW w:w="360" w:type="dxa"/>
            <w:vAlign w:val="bottom"/>
          </w:tcPr>
          <w:p>
            <w:pPr>
              <w:spacing w:after="0"/>
              <w:rPr>
                <w:sz w:val="15"/>
                <w:szCs w:val="15"/>
                <w:color w:val="auto"/>
              </w:rPr>
            </w:pPr>
          </w:p>
        </w:tc>
        <w:tc>
          <w:tcPr>
            <w:tcW w:w="980" w:type="dxa"/>
            <w:vAlign w:val="bottom"/>
            <w:vMerge w:val="restart"/>
          </w:tcPr>
          <w:p>
            <w:pPr>
              <w:jc w:val="right"/>
              <w:ind w:right="45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8"/>
        </w:trPr>
        <w:tc>
          <w:tcPr>
            <w:tcW w:w="3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3"/>
              </w:rPr>
              <w:t>Lives (in Years)</w:t>
            </w:r>
          </w:p>
        </w:tc>
        <w:tc>
          <w:tcPr>
            <w:tcW w:w="140" w:type="dxa"/>
            <w:vAlign w:val="bottom"/>
            <w:tcBorders>
              <w:bottom w:val="single" w:sz="8" w:color="CCEEFF"/>
            </w:tcBorders>
            <w:gridSpan w:val="3"/>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95"/>
              </w:rPr>
              <w:t>Amount</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color w:val="auto"/>
              </w:rPr>
              <w:t>Amortization</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Trademarks/trade names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jc w:val="center"/>
              <w:ind w:left="15"/>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15,262</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(3,323)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11,939</w:t>
            </w:r>
          </w:p>
        </w:tc>
        <w:tc>
          <w:tcPr>
            <w:tcW w:w="0" w:type="dxa"/>
            <w:vAlign w:val="bottom"/>
          </w:tcPr>
          <w:p>
            <w:pPr>
              <w:spacing w:after="0"/>
              <w:rPr>
                <w:sz w:val="1"/>
                <w:szCs w:val="1"/>
                <w:color w:val="auto"/>
              </w:rPr>
            </w:pPr>
          </w:p>
        </w:tc>
      </w:tr>
      <w:tr>
        <w:trPr>
          <w:trHeight w:val="218"/>
        </w:trPr>
        <w:tc>
          <w:tcPr>
            <w:tcW w:w="3000" w:type="dxa"/>
            <w:vAlign w:val="bottom"/>
          </w:tcPr>
          <w:p>
            <w:pPr>
              <w:ind w:left="60"/>
              <w:spacing w:after="0"/>
              <w:rPr>
                <w:sz w:val="20"/>
                <w:szCs w:val="20"/>
                <w:color w:val="auto"/>
              </w:rPr>
            </w:pPr>
            <w:r>
              <w:rPr>
                <w:rFonts w:ascii="Arial" w:cs="Arial" w:eastAsia="Arial" w:hAnsi="Arial"/>
                <w:sz w:val="17"/>
                <w:szCs w:val="17"/>
                <w:color w:val="auto"/>
              </w:rPr>
              <w:t>Technical library</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center"/>
              <w:ind w:left="15"/>
              <w:spacing w:after="0"/>
              <w:rPr>
                <w:sz w:val="20"/>
                <w:szCs w:val="20"/>
                <w:color w:val="auto"/>
              </w:rPr>
            </w:pPr>
            <w:r>
              <w:rPr>
                <w:rFonts w:ascii="Arial" w:cs="Arial" w:eastAsia="Arial" w:hAnsi="Arial"/>
                <w:sz w:val="17"/>
                <w:szCs w:val="17"/>
                <w:color w:val="auto"/>
                <w:w w:val="84"/>
              </w:rPr>
              <w:t>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(166)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jc w:val="center"/>
              <w:ind w:left="15"/>
              <w:spacing w:after="0"/>
              <w:rPr>
                <w:sz w:val="20"/>
                <w:szCs w:val="20"/>
                <w:color w:val="auto"/>
              </w:rPr>
            </w:pPr>
            <w:r>
              <w:rPr>
                <w:rFonts w:ascii="Arial" w:cs="Arial" w:eastAsia="Arial" w:hAnsi="Arial"/>
                <w:sz w:val="16"/>
                <w:szCs w:val="16"/>
                <w:color w:val="auto"/>
                <w:w w:val="74"/>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96,879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(26,980)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69,899</w:t>
            </w:r>
          </w:p>
        </w:tc>
        <w:tc>
          <w:tcPr>
            <w:tcW w:w="0" w:type="dxa"/>
            <w:vAlign w:val="bottom"/>
          </w:tcPr>
          <w:p>
            <w:pPr>
              <w:spacing w:after="0"/>
              <w:rPr>
                <w:sz w:val="1"/>
                <w:szCs w:val="1"/>
                <w:color w:val="auto"/>
              </w:rPr>
            </w:pPr>
          </w:p>
        </w:tc>
      </w:tr>
      <w:tr>
        <w:trPr>
          <w:trHeight w:val="218"/>
        </w:trPr>
        <w:tc>
          <w:tcPr>
            <w:tcW w:w="3000" w:type="dxa"/>
            <w:vAlign w:val="bottom"/>
          </w:tcPr>
          <w:p>
            <w:pPr>
              <w:ind w:left="60"/>
              <w:spacing w:after="0"/>
              <w:rPr>
                <w:sz w:val="20"/>
                <w:szCs w:val="20"/>
                <w:color w:val="auto"/>
              </w:rPr>
            </w:pPr>
            <w:r>
              <w:rPr>
                <w:rFonts w:ascii="Arial" w:cs="Arial" w:eastAsia="Arial" w:hAnsi="Arial"/>
                <w:sz w:val="17"/>
                <w:szCs w:val="17"/>
                <w:color w:val="auto"/>
              </w:rPr>
              <w:t>Non-competition arrangements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center"/>
              <w:ind w:left="15"/>
              <w:spacing w:after="0"/>
              <w:rPr>
                <w:sz w:val="20"/>
                <w:szCs w:val="20"/>
                <w:color w:val="auto"/>
              </w:rPr>
            </w:pPr>
            <w:r>
              <w:rPr>
                <w:rFonts w:ascii="Arial" w:cs="Arial" w:eastAsia="Arial" w:hAnsi="Arial"/>
                <w:sz w:val="17"/>
                <w:szCs w:val="17"/>
                <w:color w:val="auto"/>
                <w:w w:val="84"/>
              </w:rPr>
              <w:t>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w w:val="84"/>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4,957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(4,949)</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3"/>
        </w:trPr>
        <w:tc>
          <w:tcPr>
            <w:tcW w:w="3000" w:type="dxa"/>
            <w:vAlign w:val="bottom"/>
          </w:tcPr>
          <w:p>
            <w:pPr>
              <w:ind w:left="60"/>
              <w:spacing w:after="0"/>
              <w:rPr>
                <w:sz w:val="20"/>
                <w:szCs w:val="20"/>
                <w:color w:val="auto"/>
              </w:rPr>
            </w:pPr>
            <w:r>
              <w:rPr>
                <w:rFonts w:ascii="Arial" w:cs="Arial" w:eastAsia="Arial" w:hAnsi="Arial"/>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117,538</w:t>
            </w:r>
          </w:p>
        </w:tc>
        <w:tc>
          <w:tcPr>
            <w:tcW w:w="5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(35,445)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82,093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4"/>
        </w:trPr>
        <w:tc>
          <w:tcPr>
            <w:tcW w:w="3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7"/>
                <w:szCs w:val="17"/>
                <w:color w:val="auto"/>
                <w:w w:val="89"/>
              </w:rPr>
              <w:t>September 30, 2021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7"/>
          </w:tcPr>
          <w:p>
            <w:pPr>
              <w:jc w:val="center"/>
              <w:ind w:right="180"/>
              <w:spacing w:after="0" w:line="175" w:lineRule="exact"/>
              <w:rPr>
                <w:sz w:val="20"/>
                <w:szCs w:val="20"/>
                <w:color w:val="auto"/>
              </w:rPr>
            </w:pPr>
            <w:r>
              <w:rPr>
                <w:rFonts w:ascii="Arial" w:cs="Arial" w:eastAsia="Arial" w:hAnsi="Arial"/>
                <w:sz w:val="17"/>
                <w:szCs w:val="17"/>
                <w:color w:val="auto"/>
                <w:w w:val="91"/>
              </w:rPr>
              <w:t>Estimated Useful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120"/>
              <w:spacing w:after="0" w:line="175" w:lineRule="exact"/>
              <w:rPr>
                <w:sz w:val="20"/>
                <w:szCs w:val="20"/>
                <w:color w:val="auto"/>
              </w:rPr>
            </w:pPr>
            <w:r>
              <w:rPr>
                <w:rFonts w:ascii="Arial" w:cs="Arial" w:eastAsia="Arial" w:hAnsi="Arial"/>
                <w:sz w:val="17"/>
                <w:szCs w:val="17"/>
                <w:color w:val="auto"/>
                <w:w w:val="92"/>
              </w:rPr>
              <w:t>Gross Carrying</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5"/>
          </w:tcPr>
          <w:p>
            <w:pPr>
              <w:ind w:left="40"/>
              <w:spacing w:after="0" w:line="175" w:lineRule="exact"/>
              <w:rPr>
                <w:sz w:val="20"/>
                <w:szCs w:val="20"/>
                <w:color w:val="auto"/>
              </w:rPr>
            </w:pPr>
            <w:r>
              <w:rPr>
                <w:rFonts w:ascii="Arial" w:cs="Arial" w:eastAsia="Arial" w:hAnsi="Arial"/>
                <w:sz w:val="17"/>
                <w:szCs w:val="17"/>
                <w:color w:val="auto"/>
              </w:rPr>
              <w:t>Accumulated</w:t>
            </w:r>
          </w:p>
        </w:tc>
        <w:tc>
          <w:tcPr>
            <w:tcW w:w="360" w:type="dxa"/>
            <w:vAlign w:val="bottom"/>
          </w:tcPr>
          <w:p>
            <w:pPr>
              <w:spacing w:after="0"/>
              <w:rPr>
                <w:sz w:val="15"/>
                <w:szCs w:val="15"/>
                <w:color w:val="auto"/>
              </w:rPr>
            </w:pPr>
          </w:p>
        </w:tc>
        <w:tc>
          <w:tcPr>
            <w:tcW w:w="980" w:type="dxa"/>
            <w:vAlign w:val="bottom"/>
            <w:vMerge w:val="restart"/>
          </w:tcPr>
          <w:p>
            <w:pPr>
              <w:jc w:val="right"/>
              <w:ind w:right="454"/>
              <w:spacing w:after="0"/>
              <w:rPr>
                <w:sz w:val="20"/>
                <w:szCs w:val="20"/>
                <w:color w:val="auto"/>
              </w:rPr>
            </w:pPr>
            <w:r>
              <w:rPr>
                <w:rFonts w:ascii="Arial" w:cs="Arial" w:eastAsia="Arial" w:hAnsi="Arial"/>
                <w:sz w:val="17"/>
                <w:szCs w:val="17"/>
                <w:color w:val="auto"/>
              </w:rPr>
              <w:t>Net</w:t>
            </w:r>
          </w:p>
        </w:tc>
        <w:tc>
          <w:tcPr>
            <w:tcW w:w="0" w:type="dxa"/>
            <w:vAlign w:val="bottom"/>
          </w:tcPr>
          <w:p>
            <w:pPr>
              <w:spacing w:after="0"/>
              <w:rPr>
                <w:sz w:val="1"/>
                <w:szCs w:val="1"/>
                <w:color w:val="auto"/>
              </w:rPr>
            </w:pPr>
          </w:p>
        </w:tc>
      </w:tr>
      <w:tr>
        <w:trPr>
          <w:trHeight w:val="218"/>
        </w:trPr>
        <w:tc>
          <w:tcPr>
            <w:tcW w:w="3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3"/>
              </w:rPr>
              <w:t>Lives (in Years)</w:t>
            </w:r>
          </w:p>
        </w:tc>
        <w:tc>
          <w:tcPr>
            <w:tcW w:w="160" w:type="dxa"/>
            <w:vAlign w:val="bottom"/>
            <w:tcBorders>
              <w:bottom w:val="single" w:sz="8" w:color="CCEEFF"/>
            </w:tcBorders>
            <w:gridSpan w:val="4"/>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color w:val="auto"/>
                <w:w w:val="95"/>
              </w:rPr>
              <w:t>Amount</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color w:val="auto"/>
              </w:rPr>
              <w:t>Amortization</w:t>
            </w:r>
          </w:p>
        </w:tc>
        <w:tc>
          <w:tcPr>
            <w:tcW w:w="140" w:type="dxa"/>
            <w:vAlign w:val="bottom"/>
            <w:tcBorders>
              <w:bottom w:val="single" w:sz="8" w:color="CCEEFF"/>
            </w:tcBorders>
            <w:gridSpan w:val="2"/>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60"/>
              <w:spacing w:after="0"/>
              <w:rPr>
                <w:sz w:val="20"/>
                <w:szCs w:val="20"/>
                <w:color w:val="auto"/>
              </w:rPr>
            </w:pPr>
            <w:r>
              <w:rPr>
                <w:rFonts w:ascii="Arial" w:cs="Arial" w:eastAsia="Arial" w:hAnsi="Arial"/>
                <w:sz w:val="17"/>
                <w:szCs w:val="17"/>
                <w:color w:val="auto"/>
              </w:rPr>
              <w:t>Trademarks/trade names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15,262</w:t>
            </w: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12,371</w:t>
            </w:r>
          </w:p>
        </w:tc>
        <w:tc>
          <w:tcPr>
            <w:tcW w:w="0" w:type="dxa"/>
            <w:vAlign w:val="bottom"/>
          </w:tcPr>
          <w:p>
            <w:pPr>
              <w:spacing w:after="0"/>
              <w:rPr>
                <w:sz w:val="1"/>
                <w:szCs w:val="1"/>
                <w:color w:val="auto"/>
              </w:rPr>
            </w:pPr>
          </w:p>
        </w:tc>
      </w:tr>
      <w:tr>
        <w:trPr>
          <w:trHeight w:val="218"/>
        </w:trPr>
        <w:tc>
          <w:tcPr>
            <w:tcW w:w="3000" w:type="dxa"/>
            <w:vAlign w:val="bottom"/>
          </w:tcPr>
          <w:p>
            <w:pPr>
              <w:ind w:left="60"/>
              <w:spacing w:after="0"/>
              <w:rPr>
                <w:sz w:val="20"/>
                <w:szCs w:val="20"/>
                <w:color w:val="auto"/>
              </w:rPr>
            </w:pPr>
            <w:r>
              <w:rPr>
                <w:rFonts w:ascii="Arial" w:cs="Arial" w:eastAsia="Arial" w:hAnsi="Arial"/>
                <w:sz w:val="17"/>
                <w:szCs w:val="17"/>
                <w:color w:val="auto"/>
              </w:rPr>
              <w:t>Technical library</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(161)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20"/>
        </w:trPr>
        <w:tc>
          <w:tcPr>
            <w:tcW w:w="30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Customer relationships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96,879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(24,021)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72,858</w:t>
            </w:r>
          </w:p>
        </w:tc>
        <w:tc>
          <w:tcPr>
            <w:tcW w:w="0" w:type="dxa"/>
            <w:vAlign w:val="bottom"/>
          </w:tcPr>
          <w:p>
            <w:pPr>
              <w:spacing w:after="0"/>
              <w:rPr>
                <w:sz w:val="1"/>
                <w:szCs w:val="1"/>
                <w:color w:val="auto"/>
              </w:rPr>
            </w:pPr>
          </w:p>
        </w:tc>
      </w:tr>
      <w:tr>
        <w:trPr>
          <w:trHeight w:val="218"/>
        </w:trPr>
        <w:tc>
          <w:tcPr>
            <w:tcW w:w="3000" w:type="dxa"/>
            <w:vAlign w:val="bottom"/>
          </w:tcPr>
          <w:p>
            <w:pPr>
              <w:ind w:left="60"/>
              <w:spacing w:after="0"/>
              <w:rPr>
                <w:sz w:val="20"/>
                <w:szCs w:val="20"/>
                <w:color w:val="auto"/>
              </w:rPr>
            </w:pPr>
            <w:r>
              <w:rPr>
                <w:rFonts w:ascii="Arial" w:cs="Arial" w:eastAsia="Arial" w:hAnsi="Arial"/>
                <w:sz w:val="17"/>
                <w:szCs w:val="17"/>
                <w:color w:val="auto"/>
              </w:rPr>
              <w:t>Non-competition arrangements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7"/>
                <w:szCs w:val="17"/>
                <w:color w:val="auto"/>
              </w:rPr>
              <w:t>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Backlog and construction contracts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4,957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(4,821)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3"/>
        </w:trPr>
        <w:tc>
          <w:tcPr>
            <w:tcW w:w="3000" w:type="dxa"/>
            <w:vAlign w:val="bottom"/>
          </w:tcPr>
          <w:p>
            <w:pPr>
              <w:ind w:left="60"/>
              <w:spacing w:after="0"/>
              <w:rPr>
                <w:sz w:val="20"/>
                <w:szCs w:val="20"/>
                <w:color w:val="auto"/>
              </w:rPr>
            </w:pPr>
            <w:r>
              <w:rPr>
                <w:rFonts w:ascii="Arial" w:cs="Arial" w:eastAsia="Arial" w:hAnsi="Arial"/>
                <w:sz w:val="17"/>
                <w:szCs w:val="17"/>
                <w:color w:val="auto"/>
              </w:rPr>
              <w:t>Total intangible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117,538</w:t>
            </w:r>
          </w:p>
        </w:tc>
        <w:tc>
          <w:tcPr>
            <w:tcW w:w="5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(31,919)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85,619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Matters</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19" w:name="page20"/>
    <w:bookmarkEnd w:id="19"/>
    <w:p>
      <w:pPr>
        <w:ind w:right="400"/>
        <w:spacing w:after="0" w:line="279" w:lineRule="auto"/>
        <w:rPr>
          <w:sz w:val="20"/>
          <w:szCs w:val="20"/>
          <w:color w:val="auto"/>
        </w:rPr>
      </w:pPr>
      <w:r>
        <w:rPr>
          <w:rFonts w:ascii="Arial" w:cs="Arial" w:eastAsia="Arial" w:hAnsi="Arial"/>
          <w:sz w:val="17"/>
          <w:szCs w:val="17"/>
          <w:color w:val="auto"/>
        </w:rPr>
        <w:t>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9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On June 22, 2021, the United States Department of Labor Wage and Hour Division (the “DOL”) notified IES Residential, Inc. (“IESR”), a wholly-owned subsidiary of the Company, that the DOL had commenced an administrative investigation of IESR’s compliance with laws regulating employee wage payment. The inquiry concerned overtime calculations and record keeping with respect to certain Arizona employees who are paid on a piece rate basis. In response to certain DOL requests, IESR produced documents and made employees available for interviews.</w:t>
      </w:r>
    </w:p>
    <w:p>
      <w:pPr>
        <w:spacing w:after="0" w:line="204"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November 10, 2021, the DOL indicated that it believes IESR piece rate employees did not record all hours worked, and therefore, IESR was not in compliance with the Fair Labor Standards Act. We dispute this claim, and plan to vigorously defend ourselves. To date, the Company has not established a reserve with respect to this matter, as we believe the likelihood of our responsibility for damages is not probable and a potential range of exposure is not reasonably estimable.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Management</w:t>
      </w:r>
    </w:p>
    <w:p>
      <w:pPr>
        <w:spacing w:after="0" w:line="243"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December 31, 2021 and September 30, 2021, we had $5,428 and $5,787,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186"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2021 and September 30, 2021, $5,092 and $4,327, respectively, of our outstanding letters of credit was utilized to collateralize our insurance program.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Surety</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of December 31, 2021, the estimated cost to complete our bonded projects was approximately $75,455.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Commitments and Contingencies</w:t>
      </w:r>
    </w:p>
    <w:p>
      <w:pPr>
        <w:spacing w:after="0" w:line="24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2021, we had commitments of $12,058 outstanding under agreements to purchase copper wire and other materials over the next 12 months in the ordinary course of business.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LEASES</w:t>
      </w:r>
    </w:p>
    <w:p>
      <w:pPr>
        <w:spacing w:after="0" w:line="232"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We enter into various contractual arrangements for the right to use facilities, vehicles and equipment. The lease terms generally range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6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Current operating and finance liabilities of $14,508 and $1,260, respectively, as of December 31, 2021, and $13,973 and $1,033, respectively, as of September 30, 2021, were included in “Accounts payable and accrued expenses” in the Condensed Consolidated Balance Sheets. Non-current finance lease liabilities and finance lease right-of-use assets were included in the “Other non-current liabilities” and “Other non-current assets”, respectively, in the Condensed Consolidated Balance Sheets.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7"/>
        </w:trPr>
        <w:tc>
          <w:tcPr>
            <w:tcW w:w="6160" w:type="dxa"/>
            <w:vAlign w:val="bottom"/>
          </w:tcPr>
          <w:p>
            <w:pPr>
              <w:spacing w:after="0"/>
              <w:rPr>
                <w:sz w:val="20"/>
                <w:szCs w:val="20"/>
                <w:color w:val="auto"/>
              </w:rPr>
            </w:pPr>
            <w:r>
              <w:rPr>
                <w:rFonts w:ascii="Arial" w:cs="Arial" w:eastAsia="Arial" w:hAnsi="Arial"/>
                <w:sz w:val="17"/>
                <w:szCs w:val="17"/>
                <w:color w:val="auto"/>
              </w:rPr>
              <w:t>The maturities of our lease liabilities as of December 31, 2021 are as follows: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7"/>
                <w:szCs w:val="17"/>
                <w:color w:val="auto"/>
              </w:rPr>
              <w:t>Operating Leases</w:t>
            </w:r>
          </w:p>
        </w:tc>
        <w:tc>
          <w:tcPr>
            <w:tcW w:w="18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Arial" w:cs="Arial" w:eastAsia="Arial" w:hAnsi="Arial"/>
                <w:sz w:val="17"/>
                <w:szCs w:val="17"/>
                <w:color w:val="auto"/>
              </w:rPr>
              <w:t>Finance Leases</w:t>
            </w:r>
          </w:p>
        </w:tc>
        <w:tc>
          <w:tcPr>
            <w:tcW w:w="360" w:type="dxa"/>
            <w:vAlign w:val="bottom"/>
          </w:tcPr>
          <w:p>
            <w:pPr>
              <w:spacing w:after="0"/>
              <w:rPr>
                <w:sz w:val="21"/>
                <w:szCs w:val="21"/>
                <w:color w:val="auto"/>
              </w:rPr>
            </w:pPr>
          </w:p>
        </w:tc>
        <w:tc>
          <w:tcPr>
            <w:tcW w:w="1200" w:type="dxa"/>
            <w:vAlign w:val="bottom"/>
          </w:tcPr>
          <w:p>
            <w:pPr>
              <w:jc w:val="right"/>
              <w:ind w:right="514"/>
              <w:spacing w:after="0"/>
              <w:rPr>
                <w:sz w:val="20"/>
                <w:szCs w:val="20"/>
                <w:color w:val="auto"/>
              </w:rPr>
            </w:pPr>
            <w:r>
              <w:rPr>
                <w:rFonts w:ascii="Arial" w:cs="Arial" w:eastAsia="Arial" w:hAnsi="Arial"/>
                <w:sz w:val="17"/>
                <w:szCs w:val="17"/>
                <w:color w:val="auto"/>
              </w:rPr>
              <w:t>Total</w:t>
            </w:r>
          </w:p>
        </w:tc>
      </w:tr>
      <w:tr>
        <w:trPr>
          <w:trHeight w:val="21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Remainder of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12,318</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11,795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1,286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13,081</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9,398</w:t>
            </w: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5,709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1,059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6,768</w:t>
            </w: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4,302</w:t>
            </w:r>
          </w:p>
        </w:tc>
      </w:tr>
      <w:tr>
        <w:trPr>
          <w:trHeight w:val="21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4,765</w:t>
            </w:r>
          </w:p>
        </w:tc>
      </w:tr>
      <w:tr>
        <w:trPr>
          <w:trHeight w:val="213"/>
        </w:trPr>
        <w:tc>
          <w:tcPr>
            <w:tcW w:w="6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45,516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50,632</w:t>
            </w:r>
          </w:p>
        </w:tc>
      </w:tr>
      <w:tr>
        <w:trPr>
          <w:trHeight w:val="211"/>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3,902</w:t>
            </w:r>
          </w:p>
        </w:tc>
      </w:tr>
      <w:tr>
        <w:trPr>
          <w:trHeight w:val="23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42,027</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4,703</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46,730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total future undiscounted cash flows related to lease agreements committed to but not yet commenced as of December 31, 2021 is $1,819.</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Lease cost recognized in our Condensed Consolidated Statements of Comprehensive Income is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874"/>
              <w:spacing w:after="0"/>
              <w:rPr>
                <w:sz w:val="20"/>
                <w:szCs w:val="20"/>
                <w:color w:val="auto"/>
              </w:rPr>
            </w:pPr>
            <w:r>
              <w:rPr>
                <w:rFonts w:ascii="Arial" w:cs="Arial" w:eastAsia="Arial" w:hAnsi="Arial"/>
                <w:sz w:val="17"/>
                <w:szCs w:val="17"/>
                <w:color w:val="auto"/>
              </w:rPr>
              <w:t>Three Months Ended</w:t>
            </w:r>
          </w:p>
        </w:tc>
        <w:tc>
          <w:tcPr>
            <w:tcW w:w="260" w:type="dxa"/>
            <w:vAlign w:val="bottom"/>
            <w:gridSpan w:val="2"/>
          </w:tcPr>
          <w:p>
            <w:pPr>
              <w:spacing w:after="0"/>
              <w:rPr>
                <w:sz w:val="18"/>
                <w:szCs w:val="18"/>
                <w:color w:val="auto"/>
              </w:rPr>
            </w:pPr>
          </w:p>
        </w:tc>
      </w:tr>
      <w:tr>
        <w:trPr>
          <w:trHeight w:val="212"/>
        </w:trPr>
        <w:tc>
          <w:tcPr>
            <w:tcW w:w="7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9"/>
              </w:rPr>
              <w:t>December 31, 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color w:val="auto"/>
                <w:w w:val="91"/>
              </w:rPr>
              <w:t>December 31, 2020</w:t>
            </w:r>
          </w:p>
        </w:tc>
        <w:tc>
          <w:tcPr>
            <w:tcW w:w="260" w:type="dxa"/>
            <w:vAlign w:val="bottom"/>
            <w:tcBorders>
              <w:bottom w:val="single" w:sz="8" w:color="CCEEFF"/>
            </w:tcBorders>
            <w:gridSpan w:val="2"/>
          </w:tcPr>
          <w:p>
            <w:pPr>
              <w:spacing w:after="0"/>
              <w:rPr>
                <w:sz w:val="18"/>
                <w:szCs w:val="18"/>
                <w:color w:val="auto"/>
              </w:rPr>
            </w:pPr>
          </w:p>
        </w:tc>
      </w:tr>
      <w:tr>
        <w:trPr>
          <w:trHeight w:val="213"/>
        </w:trPr>
        <w:tc>
          <w:tcPr>
            <w:tcW w:w="7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Operating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3,287</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3,246 $0</w:t>
            </w:r>
          </w:p>
        </w:tc>
      </w:tr>
      <w:tr>
        <w:trPr>
          <w:trHeight w:val="218"/>
        </w:trPr>
        <w:tc>
          <w:tcPr>
            <w:tcW w:w="7600" w:type="dxa"/>
            <w:vAlign w:val="bottom"/>
            <w:gridSpan w:val="2"/>
          </w:tcPr>
          <w:p>
            <w:pPr>
              <w:ind w:left="60"/>
              <w:spacing w:after="0"/>
              <w:rPr>
                <w:sz w:val="20"/>
                <w:szCs w:val="20"/>
                <w:color w:val="auto"/>
              </w:rPr>
            </w:pPr>
            <w:r>
              <w:rPr>
                <w:rFonts w:ascii="Arial" w:cs="Arial" w:eastAsia="Arial" w:hAnsi="Arial"/>
                <w:sz w:val="17"/>
                <w:szCs w:val="17"/>
                <w:color w:val="auto"/>
              </w:rPr>
              <w:t>Finance lease cost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0"/>
        </w:trPr>
        <w:tc>
          <w:tcPr>
            <w:tcW w:w="76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Amortization of lease 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8"/>
        </w:trPr>
        <w:tc>
          <w:tcPr>
            <w:tcW w:w="76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Interest on lease liabilities</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3"/>
        </w:trPr>
        <w:tc>
          <w:tcPr>
            <w:tcW w:w="76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Finance lease cost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8"/>
        </w:trPr>
        <w:tc>
          <w:tcPr>
            <w:tcW w:w="7600" w:type="dxa"/>
            <w:vAlign w:val="bottom"/>
            <w:gridSpan w:val="2"/>
          </w:tcPr>
          <w:p>
            <w:pPr>
              <w:ind w:left="60"/>
              <w:spacing w:after="0"/>
              <w:rPr>
                <w:sz w:val="20"/>
                <w:szCs w:val="20"/>
                <w:color w:val="auto"/>
              </w:rPr>
            </w:pPr>
            <w:r>
              <w:rPr>
                <w:rFonts w:ascii="Arial" w:cs="Arial" w:eastAsia="Arial" w:hAnsi="Arial"/>
                <w:sz w:val="17"/>
                <w:szCs w:val="17"/>
                <w:color w:val="auto"/>
              </w:rPr>
              <w:t>Short-term lease cost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7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3"/>
        </w:trPr>
        <w:tc>
          <w:tcPr>
            <w:tcW w:w="7600" w:type="dxa"/>
            <w:vAlign w:val="bottom"/>
            <w:gridSpan w:val="2"/>
          </w:tcPr>
          <w:p>
            <w:pPr>
              <w:ind w:left="60"/>
              <w:spacing w:after="0"/>
              <w:rPr>
                <w:sz w:val="20"/>
                <w:szCs w:val="20"/>
                <w:color w:val="auto"/>
              </w:rPr>
            </w:pPr>
            <w:r>
              <w:rPr>
                <w:rFonts w:ascii="Arial" w:cs="Arial" w:eastAsia="Arial" w:hAnsi="Arial"/>
                <w:sz w:val="17"/>
                <w:szCs w:val="17"/>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4,147</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6"/>
        </w:trPr>
        <w:tc>
          <w:tcPr>
            <w:tcW w:w="9340" w:type="dxa"/>
            <w:vAlign w:val="bottom"/>
            <w:gridSpan w:val="6"/>
          </w:tcPr>
          <w:p>
            <w:pPr>
              <w:spacing w:after="0"/>
              <w:rPr>
                <w:sz w:val="20"/>
                <w:szCs w:val="20"/>
                <w:color w:val="auto"/>
              </w:rPr>
            </w:pPr>
            <w:r>
              <w:rPr>
                <w:rFonts w:ascii="Arial" w:cs="Arial" w:eastAsia="Arial" w:hAnsi="Arial"/>
                <w:sz w:val="17"/>
                <w:szCs w:val="17"/>
                <w:color w:val="auto"/>
                <w:w w:val="94"/>
              </w:rPr>
              <w:t>Other information about lease amounts recognized in our Condensed Consolidated Financial Statements is summarized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6"/>
        </w:trPr>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7"/>
          </w:tcPr>
          <w:p>
            <w:pPr>
              <w:ind w:left="82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21"/>
                <w:szCs w:val="21"/>
                <w:color w:val="auto"/>
              </w:rPr>
            </w:pPr>
          </w:p>
        </w:tc>
      </w:tr>
      <w:tr>
        <w:trPr>
          <w:trHeight w:val="212"/>
        </w:trPr>
        <w:tc>
          <w:tcPr>
            <w:tcW w:w="75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w w:val="92"/>
              </w:rPr>
              <w:t>December 31, 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91"/>
              </w:rPr>
              <w:t>December 31, 2020</w:t>
            </w:r>
          </w:p>
        </w:tc>
        <w:tc>
          <w:tcPr>
            <w:tcW w:w="80" w:type="dxa"/>
            <w:vAlign w:val="bottom"/>
            <w:tcBorders>
              <w:bottom w:val="single" w:sz="8" w:color="CCEEFF"/>
            </w:tcBorders>
          </w:tcPr>
          <w:p>
            <w:pPr>
              <w:spacing w:after="0"/>
              <w:rPr>
                <w:sz w:val="18"/>
                <w:szCs w:val="18"/>
                <w:color w:val="auto"/>
              </w:rPr>
            </w:pPr>
          </w:p>
        </w:tc>
      </w:tr>
      <w:tr>
        <w:trPr>
          <w:trHeight w:val="213"/>
        </w:trPr>
        <w:tc>
          <w:tcPr>
            <w:tcW w:w="7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Operating cash flows used for operating leases</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center"/>
              <w:ind w:left="954"/>
              <w:spacing w:after="0"/>
              <w:rPr>
                <w:sz w:val="20"/>
                <w:szCs w:val="20"/>
                <w:color w:val="auto"/>
              </w:rPr>
            </w:pPr>
            <w:r>
              <w:rPr>
                <w:rFonts w:ascii="Arial" w:cs="Arial" w:eastAsia="Arial" w:hAnsi="Arial"/>
                <w:sz w:val="17"/>
                <w:szCs w:val="17"/>
                <w:color w:val="auto"/>
                <w:w w:val="93"/>
              </w:rPr>
              <w:t>4,240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3,651</w:t>
            </w:r>
          </w:p>
        </w:tc>
        <w:tc>
          <w:tcPr>
            <w:tcW w:w="80" w:type="dxa"/>
            <w:vAlign w:val="bottom"/>
            <w:shd w:val="clear" w:color="auto" w:fill="CCEEFF"/>
          </w:tcPr>
          <w:p>
            <w:pPr>
              <w:spacing w:after="0"/>
              <w:rPr>
                <w:sz w:val="18"/>
                <w:szCs w:val="18"/>
                <w:color w:val="auto"/>
              </w:rPr>
            </w:pPr>
          </w:p>
        </w:tc>
      </w:tr>
      <w:tr>
        <w:trPr>
          <w:trHeight w:val="218"/>
        </w:trPr>
        <w:tc>
          <w:tcPr>
            <w:tcW w:w="7600" w:type="dxa"/>
            <w:vAlign w:val="bottom"/>
            <w:gridSpan w:val="2"/>
          </w:tcPr>
          <w:p>
            <w:pPr>
              <w:ind w:left="60"/>
              <w:spacing w:after="0"/>
              <w:rPr>
                <w:sz w:val="20"/>
                <w:szCs w:val="20"/>
                <w:color w:val="auto"/>
              </w:rPr>
            </w:pPr>
            <w:r>
              <w:rPr>
                <w:rFonts w:ascii="Arial" w:cs="Arial" w:eastAsia="Arial" w:hAnsi="Arial"/>
                <w:sz w:val="17"/>
                <w:szCs w:val="17"/>
                <w:color w:val="auto"/>
              </w:rPr>
              <w:t>Operating cash flows used for finance leases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1260"/>
              <w:spacing w:after="0"/>
              <w:rPr>
                <w:sz w:val="20"/>
                <w:szCs w:val="20"/>
                <w:color w:val="auto"/>
              </w:rPr>
            </w:pPr>
            <w:r>
              <w:rPr>
                <w:rFonts w:ascii="Arial" w:cs="Arial" w:eastAsia="Arial" w:hAnsi="Arial"/>
                <w:sz w:val="17"/>
                <w:szCs w:val="17"/>
                <w:color w:val="auto"/>
                <w:w w:val="84"/>
              </w:rPr>
              <w:t>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r>
      <w:tr>
        <w:trPr>
          <w:trHeight w:val="220"/>
        </w:trPr>
        <w:tc>
          <w:tcPr>
            <w:tcW w:w="76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954"/>
              <w:spacing w:after="0"/>
              <w:rPr>
                <w:sz w:val="20"/>
                <w:szCs w:val="20"/>
                <w:color w:val="auto"/>
              </w:rPr>
            </w:pPr>
            <w:r>
              <w:rPr>
                <w:rFonts w:ascii="Arial" w:cs="Arial" w:eastAsia="Arial" w:hAnsi="Arial"/>
                <w:sz w:val="17"/>
                <w:szCs w:val="17"/>
                <w:color w:val="auto"/>
                <w:w w:val="93"/>
              </w:rPr>
              <w:t>6,982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7,760</w:t>
            </w:r>
          </w:p>
        </w:tc>
        <w:tc>
          <w:tcPr>
            <w:tcW w:w="80" w:type="dxa"/>
            <w:vAlign w:val="bottom"/>
            <w:shd w:val="clear" w:color="auto" w:fill="CCEEFF"/>
          </w:tcPr>
          <w:p>
            <w:pPr>
              <w:spacing w:after="0"/>
              <w:rPr>
                <w:sz w:val="19"/>
                <w:szCs w:val="19"/>
                <w:color w:val="auto"/>
              </w:rPr>
            </w:pPr>
          </w:p>
        </w:tc>
      </w:tr>
      <w:tr>
        <w:trPr>
          <w:trHeight w:val="218"/>
        </w:trPr>
        <w:tc>
          <w:tcPr>
            <w:tcW w:w="7600" w:type="dxa"/>
            <w:vAlign w:val="bottom"/>
            <w:gridSpan w:val="2"/>
          </w:tcPr>
          <w:p>
            <w:pPr>
              <w:ind w:left="60"/>
              <w:spacing w:after="0"/>
              <w:rPr>
                <w:sz w:val="20"/>
                <w:szCs w:val="20"/>
                <w:color w:val="auto"/>
              </w:rPr>
            </w:pPr>
            <w:r>
              <w:rPr>
                <w:rFonts w:ascii="Arial" w:cs="Arial" w:eastAsia="Arial" w:hAnsi="Arial"/>
                <w:sz w:val="17"/>
                <w:szCs w:val="17"/>
                <w:color w:val="auto"/>
              </w:rPr>
              <w:t>Right-of-use assets obtained in exchange for new finance lease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left="954"/>
              <w:spacing w:after="0"/>
              <w:rPr>
                <w:sz w:val="20"/>
                <w:szCs w:val="20"/>
                <w:color w:val="auto"/>
              </w:rPr>
            </w:pPr>
            <w:r>
              <w:rPr>
                <w:rFonts w:ascii="Arial" w:cs="Arial" w:eastAsia="Arial" w:hAnsi="Arial"/>
                <w:sz w:val="17"/>
                <w:szCs w:val="17"/>
                <w:color w:val="auto"/>
                <w:w w:val="93"/>
              </w:rPr>
              <w:t>1,092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7"/>
                <w:szCs w:val="17"/>
                <w:color w:val="auto"/>
              </w:rPr>
              <w:t>564</w:t>
            </w:r>
          </w:p>
        </w:tc>
        <w:tc>
          <w:tcPr>
            <w:tcW w:w="80" w:type="dxa"/>
            <w:vAlign w:val="bottom"/>
          </w:tcPr>
          <w:p>
            <w:pPr>
              <w:spacing w:after="0"/>
              <w:rPr>
                <w:sz w:val="18"/>
                <w:szCs w:val="18"/>
                <w:color w:val="auto"/>
              </w:rPr>
            </w:pPr>
          </w:p>
        </w:tc>
      </w:tr>
      <w:tr>
        <w:trPr>
          <w:trHeight w:val="568"/>
        </w:trPr>
        <w:tc>
          <w:tcPr>
            <w:tcW w:w="75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color w:val="auto"/>
              </w:rPr>
              <w:t>December 31,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0"/>
              </w:rPr>
              <w:t>September 30, 2021</w:t>
            </w:r>
          </w:p>
        </w:tc>
      </w:tr>
      <w:tr>
        <w:trPr>
          <w:trHeight w:val="21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 operating leases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w w:val="85"/>
              </w:rPr>
              <w:t>4.3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5.0 years</w:t>
            </w:r>
          </w:p>
        </w:tc>
      </w:tr>
      <w:tr>
        <w:trPr>
          <w:trHeight w:val="218"/>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Weighted-average remaining lease term - finance leases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820"/>
              <w:spacing w:after="0"/>
              <w:rPr>
                <w:sz w:val="20"/>
                <w:szCs w:val="20"/>
                <w:color w:val="auto"/>
              </w:rPr>
            </w:pPr>
            <w:r>
              <w:rPr>
                <w:rFonts w:ascii="Arial" w:cs="Arial" w:eastAsia="Arial" w:hAnsi="Arial"/>
                <w:sz w:val="17"/>
                <w:szCs w:val="17"/>
                <w:color w:val="auto"/>
                <w:w w:val="85"/>
              </w:rPr>
              <w:t>4.2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7"/>
                <w:szCs w:val="17"/>
                <w:color w:val="auto"/>
              </w:rPr>
              <w:t>4.2 years</w:t>
            </w:r>
          </w:p>
        </w:tc>
      </w:tr>
      <w:tr>
        <w:trPr>
          <w:trHeight w:val="22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discount rate - operating leases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left="954"/>
              <w:spacing w:after="0"/>
              <w:rPr>
                <w:sz w:val="20"/>
                <w:szCs w:val="20"/>
                <w:color w:val="auto"/>
              </w:rPr>
            </w:pPr>
            <w:r>
              <w:rPr>
                <w:rFonts w:ascii="Arial" w:cs="Arial" w:eastAsia="Arial" w:hAnsi="Arial"/>
                <w:sz w:val="17"/>
                <w:szCs w:val="17"/>
                <w:color w:val="auto"/>
                <w:w w:val="91"/>
              </w:rPr>
              <w:t>3.4 %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3.7 %</w:t>
            </w:r>
          </w:p>
        </w:tc>
      </w:tr>
      <w:tr>
        <w:trPr>
          <w:trHeight w:val="218"/>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Weighted-average discount rate - finance leases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left="954"/>
              <w:spacing w:after="0"/>
              <w:rPr>
                <w:sz w:val="20"/>
                <w:szCs w:val="20"/>
                <w:color w:val="auto"/>
              </w:rPr>
            </w:pPr>
            <w:r>
              <w:rPr>
                <w:rFonts w:ascii="Arial" w:cs="Arial" w:eastAsia="Arial" w:hAnsi="Arial"/>
                <w:sz w:val="17"/>
                <w:szCs w:val="17"/>
                <w:color w:val="auto"/>
                <w:w w:val="91"/>
              </w:rPr>
              <w:t>4.2 %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7"/>
                <w:szCs w:val="17"/>
                <w:color w:val="auto"/>
              </w:rPr>
              <w:t>4.3 %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BUSINESS COMBINATIONS AND DIVESTITURES</w:t>
      </w:r>
    </w:p>
    <w:p>
      <w:pPr>
        <w:spacing w:after="0" w:line="24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completed no acquisitions during the three months ended December 31, 2021. We completed four acquisitions in fiscal year 2021 for total aggregate cash consideration of $92,462. In November 2020, we acquired both Wedlake Fabricating, Inc., a Tulsa, Oklahoma-based manufacturer of custom generator enclosures that are primarily used by data centers and large commercial and industrial facilities, and K.E.P. Electric, Inc., a Batavia, Ohio-based electrical contractor specializing in the design and installation of electrical systems for single-family housing and multi-family developments. In December 2020, we acquired an 80% interest in Bayonet Plumbing, Heating &amp; Air-Conditioning, LLC, a Hudson, Florida-based provider of residential heating, ventilation and air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21" w:name="page22"/>
    <w:bookmarkEnd w:id="21"/>
    <w:p>
      <w:pPr>
        <w:ind w:right="140"/>
        <w:spacing w:after="0" w:line="279" w:lineRule="auto"/>
        <w:rPr>
          <w:sz w:val="20"/>
          <w:szCs w:val="20"/>
          <w:color w:val="auto"/>
        </w:rPr>
      </w:pPr>
      <w:r>
        <w:rPr>
          <w:rFonts w:ascii="Arial" w:cs="Arial" w:eastAsia="Arial" w:hAnsi="Arial"/>
          <w:sz w:val="17"/>
          <w:szCs w:val="17"/>
          <w:color w:val="auto"/>
        </w:rPr>
        <w:t>conditioning ("HVAC") and plumbing installation and maintenance services. In May 2021, we acquired an 80% ownership interest in Edmonson Electric, LLC, a Land O'Lakes, Florida-based provider of residential electric, low voltage, and HVAC installation services.</w:t>
      </w:r>
    </w:p>
    <w:p>
      <w:pPr>
        <w:spacing w:after="0" w:line="19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addition to the cash consideration, the purchase price included contingent consideration with respect to the acquisition of Bayonet of up to $4,500 due in December 2023. Amounts to be paid are contingent on earnings achieved over a three year period, and will accrue interest on the $4,500 at a rate of 3%, to be paid quarterly. This contingent liability was valued at $4,074 as of the date of the acquisition.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 xml:space="preserve">The following discussion and analysis should be read in conjunction with our Consolidated Financial Statements and the notes thereto, set forth in Part II, Item 8. </w:t>
      </w:r>
      <w:r>
        <w:rPr>
          <w:rFonts w:ascii="Arial" w:cs="Arial" w:eastAsia="Arial" w:hAnsi="Arial"/>
          <w:sz w:val="15"/>
          <w:szCs w:val="15"/>
          <w:i w:val="1"/>
          <w:iCs w:val="1"/>
          <w:color w:val="auto"/>
        </w:rPr>
        <w:t xml:space="preserve">“Financial Statements and Supplementary Data” </w:t>
      </w:r>
      <w:r>
        <w:rPr>
          <w:rFonts w:ascii="Arial" w:cs="Arial" w:eastAsia="Arial" w:hAnsi="Arial"/>
          <w:sz w:val="15"/>
          <w:szCs w:val="15"/>
          <w:color w:val="auto"/>
        </w:rPr>
        <w:t>as set forth in our Annual Report on Form 10-K for the year ended September 30, 2021, and the Condensed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Consolidated Financial Statements and notes thereto included in Part I, Item 1 of this Quarterly Report on Form 10-Q. The following discussion may contain forward looking statements. For additional information, see </w:t>
      </w:r>
      <w:r>
        <w:rPr>
          <w:rFonts w:ascii="Arial" w:cs="Arial" w:eastAsia="Arial" w:hAnsi="Arial"/>
          <w:sz w:val="15"/>
          <w:szCs w:val="15"/>
          <w:i w:val="1"/>
          <w:iCs w:val="1"/>
          <w:color w:val="auto"/>
        </w:rPr>
        <w:t>“Disclosure Regarding Forward Looking Statements”</w:t>
      </w:r>
      <w:r>
        <w:rPr>
          <w:rFonts w:ascii="Arial" w:cs="Arial" w:eastAsia="Arial" w:hAnsi="Arial"/>
          <w:sz w:val="15"/>
          <w:szCs w:val="15"/>
          <w:color w:val="auto"/>
        </w:rPr>
        <w:t xml:space="preserve"> in Part I of this Quarterly Report on Form 10-Q.</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4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 xml:space="preserve">Please refer to Part I,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of our Annual Report on Form 10-K for the year ended September 30, 2021, for a discussion of the Company’s services and corporate strategy. IES Holdings, Inc., a Delaware corporation, designs and installs integrated electrical and technology systems and provides infrastructure products and services to a variety of end markets. Our operations are organized into four principal business segments: Communications, Residential, Infrastructure Solutions and Commercial &amp; Industrial.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and Current Market Conditions on Our Business</w:t>
      </w:r>
    </w:p>
    <w:p>
      <w:pPr>
        <w:spacing w:after="0" w:line="23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coronavirus disease 2019 (“COVID-19”) pandemic and its ongoing impact on markets, the supply chain and the labor force continue to influence trends affecting our business. While many customers that delayed projects or reduced operations earlier in the pandemic have resumed more normal levels of activity, certain customers have recently experienced increased COVID-19-related employee absences and supply chain challenges, resulting in disruptions to projects on which we are working. Continuing effects of supply chain disruptions include elevated prices, limited availability or delays in deliveries for certain materials necessary for our projects, notably copper, steel, electronic components, and certain plastics. Reduced availability of certain materials has resulted in a need to take actions such as carrying higher levels of inventory than we typically hold, or, in some cases, substituting higher-cost materials or sourcing materials from new suppliers which may offer less favorable terms or pricing than our usual suppliers. We seek to mitigate supply chain risk by maintaining relationships with multiple vendors, and to recoup higher materials costs through adjusted pricing. However, we may not be able to pass on all increased costs, and our suppliers may be unable to provide the materials we require. We are also experiencing a recent increase in employee absences related to exposure to, or illness from, COVID-19, which can result in production inefficiencies and delays, higher overtime costs, or the need to outsource activities or use more expensive contract labor. An inability to procure materials in a timely manner, to complete work on schedule, or to reflect higher materials or labor costs in our pricing to customers could result in a loss of revenue or lower profit margins, and could have a significant impact on our operating results.</w:t>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COVID-19 pandemic and related responses are continuing to evolve, and therefore, continue to present potential new risks to our business, particularly in light of new variants of the virus. To date, the COVID-19 pandemic has had a number of adverse impacts on our results of operations. We continue to monitor and implement evolving health and safety protocols, including vaccine mandates or testing requirements imposed by governmental entities or our customers. Factors that we expect will continue to affect our results of operations in the future include, but are not limited to, the potential impacts on our workforce of either illness or the shut-down of job sites; the impact of any vaccine mandates or testing requirements on employee recruiting and retention; a reduced demand for our services; increases in operating costs due to disruptions, personal protective equipment requirements and other increased employment-related costs; supply chain disruptions; increased material prices; and limitations on the ability of our customers to pay us on a timely basis. With respect to employees working remotely, we may also be more vulnerable to security breaches, cyber-attacks, computer viruses, ransomware, or other similar events. Although we have implemented policies, procedures and security software intended to protect our information technology systems, networks and infrastructure, these measures may not be effective against all potential cybersecurity threats.</w:t>
      </w:r>
    </w:p>
    <w:p>
      <w:pPr>
        <w:spacing w:after="0" w:line="20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We are continuing to monitor conditions affecting our business and will take actions as may be necessary to protect the health and safety of our employees and to serve our customers. The ultimate impact and the extent to which the COVID-19 pandemic will continue to affect our business, results of operations and financial condition are difficult to predict and depend on numerous evolving factors outside our control including: emergence of new variants of the virus; government, social, business and other actions taken in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22" w:name="page23"/>
    <w:bookmarkEnd w:id="22"/>
    <w:p>
      <w:pPr>
        <w:ind w:right="340"/>
        <w:spacing w:after="0" w:line="266" w:lineRule="auto"/>
        <w:rPr>
          <w:sz w:val="20"/>
          <w:szCs w:val="20"/>
          <w:color w:val="auto"/>
        </w:rPr>
      </w:pPr>
      <w:r>
        <w:rPr>
          <w:rFonts w:ascii="Arial" w:cs="Arial" w:eastAsia="Arial" w:hAnsi="Arial"/>
          <w:sz w:val="17"/>
          <w:szCs w:val="17"/>
          <w:color w:val="auto"/>
        </w:rPr>
        <w:t>response to the pandemic; any additional waves of COVID-19 infections; vaccine efficacy on new variants of the virus; the impact of government or customer vaccine mandates or testing requirements on employee recruiting and retention; and the effect of the pandemic on short- and long-term general economic conditions, including the supply chain.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212529"/>
        </w:rPr>
        <w:t xml:space="preserve">Please refer to Part I. Item 1A. </w:t>
      </w:r>
      <w:r>
        <w:rPr>
          <w:rFonts w:ascii="Arial" w:cs="Arial" w:eastAsia="Arial" w:hAnsi="Arial"/>
          <w:sz w:val="17"/>
          <w:szCs w:val="17"/>
          <w:i w:val="1"/>
          <w:iCs w:val="1"/>
          <w:color w:val="212529"/>
        </w:rPr>
        <w:t>"Risk Factors</w:t>
      </w:r>
      <w:r>
        <w:rPr>
          <w:rFonts w:ascii="Arial" w:cs="Arial" w:eastAsia="Arial" w:hAnsi="Arial"/>
          <w:sz w:val="17"/>
          <w:szCs w:val="17"/>
          <w:color w:val="212529"/>
        </w:rPr>
        <w:t>" of our Annual Report on Form 10-K for the year ended September 30, 2021 for further information.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as well as the results of acquired businesses from the dates acquired.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7"/>
                <w:szCs w:val="17"/>
                <w:color w:val="auto"/>
                <w:w w:val="91"/>
              </w:rPr>
              <w:t>Three Months Ended December 31,</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7"/>
                <w:szCs w:val="17"/>
                <w:color w:val="auto"/>
              </w:rPr>
              <w:t>2021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2020</w:t>
            </w: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212"/>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60" w:type="dxa"/>
            <w:vAlign w:val="bottom"/>
            <w:gridSpan w:val="9"/>
          </w:tcPr>
          <w:p>
            <w:pPr>
              <w:jc w:val="center"/>
              <w:ind w:left="474"/>
              <w:spacing w:after="0"/>
              <w:rPr>
                <w:sz w:val="20"/>
                <w:szCs w:val="20"/>
                <w:color w:val="auto"/>
              </w:rPr>
            </w:pPr>
            <w:r>
              <w:rPr>
                <w:rFonts w:ascii="Arial" w:cs="Arial" w:eastAsia="Arial" w:hAnsi="Arial"/>
                <w:sz w:val="17"/>
                <w:szCs w:val="17"/>
                <w:color w:val="auto"/>
                <w:w w:val="90"/>
              </w:rPr>
              <w:t>(Dollars in thousands, Percentage of revenues)</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0"/>
        </w:trPr>
        <w:tc>
          <w:tcPr>
            <w:tcW w:w="6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480,509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Cost of services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400,782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256,159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79,727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16.6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60" w:type="dxa"/>
            <w:vAlign w:val="bottom"/>
          </w:tcPr>
          <w:p>
            <w:pPr>
              <w:ind w:left="36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59,402</w:t>
            </w:r>
          </w:p>
        </w:tc>
        <w:tc>
          <w:tcPr>
            <w:tcW w:w="10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12.4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42,786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7"/>
                <w:szCs w:val="17"/>
                <w:color w:val="auto"/>
              </w:rPr>
              <w:t>13.6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Gain on sale of assets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Operating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20,261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Interest and other (income) expense, net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Income from operations before income taxes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Provision for income taxes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0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15,079</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60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Net income attributable to noncontrolling interest</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(0.1)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income attributable to IES Holdings, Inc.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14,464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3.8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580"/>
        <w:spacing w:after="0" w:line="349" w:lineRule="auto"/>
        <w:rPr>
          <w:sz w:val="20"/>
          <w:szCs w:val="20"/>
          <w:color w:val="auto"/>
        </w:rPr>
      </w:pPr>
      <w:r>
        <w:rPr>
          <w:rFonts w:ascii="Arial" w:cs="Arial" w:eastAsia="Arial" w:hAnsi="Arial"/>
          <w:sz w:val="15"/>
          <w:szCs w:val="15"/>
          <w:color w:val="auto"/>
        </w:rPr>
        <w:t>Consolidated revenues for the three months ended December 31, 2021, were $165.7 million higher than for the three months ended December 31, 2020, an increase of 52.6%, with increases at all four of our operating segments driven by strong demand and the contribution of businesses acquired in fiscal 2021.</w:t>
      </w:r>
    </w:p>
    <w:p>
      <w:pPr>
        <w:spacing w:after="0" w:line="143"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Consolidated gross profit for the three months ended December 31, 2021 increased $21.0 million compared to the three months ended December 31, 2020. Our overall gross profit percentage decreased to 16.6% during the three months ended December 31, 2021, as compared to 18.6% during the three months ended December 31, 2020. Gross profit as a percentage of revenue increased at our Commercial &amp; Industrial segment, while decreasing at our Communications, Residential and Infrastructure Solutions segments. See further discussion below of changes in gross margin for our individual segments.</w:t>
      </w:r>
    </w:p>
    <w:p>
      <w:pPr>
        <w:spacing w:after="0" w:line="189" w:lineRule="exact"/>
        <w:rPr>
          <w:sz w:val="20"/>
          <w:szCs w:val="20"/>
          <w:color w:val="auto"/>
        </w:rPr>
      </w:pPr>
    </w:p>
    <w:p>
      <w:pPr>
        <w:ind w:right="380"/>
        <w:spacing w:after="0" w:line="307" w:lineRule="auto"/>
        <w:rPr>
          <w:sz w:val="20"/>
          <w:szCs w:val="20"/>
          <w:color w:val="auto"/>
        </w:rPr>
      </w:pPr>
      <w:r>
        <w:rPr>
          <w:rFonts w:ascii="Arial" w:cs="Arial" w:eastAsia="Arial" w:hAnsi="Arial"/>
          <w:sz w:val="15"/>
          <w:szCs w:val="15"/>
          <w:color w:val="auto"/>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During the three months ended December 31, 2021, our selling, general and administrative expenses were $59.4 million, an increase of $16.6 million, or 38.8%, over the three months ended December 31, 2020, driven largely by increased personnel costs at our Residential operating segment in connection with its growth, and by expenses incurred at businesses acquired during fiscal 2021, including amortization of intangible assets. Selling, general and administrative expense as a percent of revenue decreased from 13.6% for the three months ended December 31, 2020 to 12.4% for the three months ended December 31, 2021,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5360" w:type="dxa"/>
            <w:vAlign w:val="bottom"/>
          </w:tcPr>
          <w:p>
            <w:pPr>
              <w:ind w:left="40"/>
              <w:spacing w:after="0"/>
              <w:rPr>
                <w:sz w:val="20"/>
                <w:szCs w:val="20"/>
                <w:color w:val="auto"/>
              </w:rPr>
            </w:pPr>
            <w:r>
              <w:rPr>
                <w:rFonts w:ascii="Arial" w:cs="Arial" w:eastAsia="Arial" w:hAnsi="Arial"/>
                <w:sz w:val="17"/>
                <w:szCs w:val="17"/>
                <w:b w:val="1"/>
                <w:bCs w:val="1"/>
                <w:color w:val="auto"/>
              </w:rPr>
              <w:t>Communications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6"/>
        </w:trPr>
        <w:tc>
          <w:tcPr>
            <w:tcW w:w="5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7"/>
          </w:tcPr>
          <w:p>
            <w:pPr>
              <w:jc w:val="center"/>
              <w:ind w:right="620"/>
              <w:spacing w:after="0"/>
              <w:rPr>
                <w:sz w:val="20"/>
                <w:szCs w:val="20"/>
                <w:color w:val="auto"/>
              </w:rPr>
            </w:pPr>
            <w:r>
              <w:rPr>
                <w:rFonts w:ascii="Arial" w:cs="Arial" w:eastAsia="Arial" w:hAnsi="Arial"/>
                <w:sz w:val="17"/>
                <w:szCs w:val="17"/>
                <w:color w:val="auto"/>
                <w:w w:val="91"/>
              </w:rPr>
              <w:t>Three Months Ended December 31,</w:t>
            </w:r>
          </w:p>
        </w:tc>
        <w:tc>
          <w:tcPr>
            <w:tcW w:w="7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2021</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2020</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8"/>
          </w:tcPr>
          <w:p>
            <w:pPr>
              <w:jc w:val="center"/>
              <w:ind w:right="440"/>
              <w:spacing w:after="0"/>
              <w:rPr>
                <w:sz w:val="20"/>
                <w:szCs w:val="20"/>
                <w:color w:val="auto"/>
              </w:rPr>
            </w:pPr>
            <w:r>
              <w:rPr>
                <w:rFonts w:ascii="Arial" w:cs="Arial" w:eastAsia="Arial" w:hAnsi="Arial"/>
                <w:sz w:val="15"/>
                <w:szCs w:val="15"/>
                <w:color w:val="auto"/>
                <w:w w:val="91"/>
              </w:rPr>
              <w:t>(Dollars in thousands, Percentage of revenues)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127,389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3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106,891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79,817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36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9,341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9.5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536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9,120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9,198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9.4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Our Communications segment’s revenues increased by $29.0 million during the three months ended December 31, 2021, or 29.5%,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December 31, 2020. The increase primarily resulted from increased demand from our data center customers.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Communications segment’s gross profit during the three months ended December 31, 2021 increased by $2.0 million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December 31, 2020. Gross profit as a percentage of revenue decreased from 18.8% to 16.1% as we performed work under a higher proportion of cost-plus contracts, which generally have lower margins than fixed-price contracts. We have also experienced a decrease in project efficiency, particularly as employee absences related to illness from or exposure to COVID-19 have increased. Finally, we continue to invest in hiring and training personnel, particularly in estimating and project management, to grow the business.</w:t>
      </w:r>
    </w:p>
    <w:p>
      <w:pPr>
        <w:spacing w:after="0" w:line="209"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Our Communications segment’s selling, general and administrative expenses increased by $2.0 million, or 21.9%,</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three months ended December 31, 2021, compared to the three months ended December 31, 2020. The increase is a result of higher personnel cost in connection with the growth of our business, as well as higher wages in an increasingly competitive labor market. We also experienced a more typical level of selling expense for the three months ended December 31, 2021 as compared to the same period in 2020, when travel and other activities were curtailed due to the pandemic. Selling, general and administrative expenses as a percentage of revenue in the Communications segment were 8.9% during the three months ended December 31, 2021, compared to 9.5% for the three months ended December 31, 2020, as we have benefited from the scale of our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80" w:type="dxa"/>
            <w:vAlign w:val="bottom"/>
          </w:tcPr>
          <w:p>
            <w:pPr>
              <w:ind w:left="40"/>
              <w:spacing w:after="0"/>
              <w:rPr>
                <w:sz w:val="20"/>
                <w:szCs w:val="20"/>
                <w:color w:val="auto"/>
              </w:rPr>
            </w:pPr>
            <w:r>
              <w:rPr>
                <w:rFonts w:ascii="Arial" w:cs="Arial" w:eastAsia="Arial" w:hAnsi="Arial"/>
                <w:sz w:val="17"/>
                <w:szCs w:val="17"/>
                <w:b w:val="1"/>
                <w:bCs w:val="1"/>
                <w:color w:val="auto"/>
              </w:rPr>
              <w:t>Residential</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6"/>
        </w:trPr>
        <w:tc>
          <w:tcPr>
            <w:tcW w:w="56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7"/>
                <w:szCs w:val="17"/>
                <w:color w:val="auto"/>
                <w:w w:val="91"/>
              </w:rPr>
              <w:t>Three Months Ended December 31,</w:t>
            </w:r>
          </w:p>
        </w:tc>
        <w:tc>
          <w:tcPr>
            <w:tcW w:w="7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2021</w:t>
            </w: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2020</w:t>
            </w: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340" w:type="dxa"/>
            <w:vAlign w:val="bottom"/>
            <w:gridSpan w:val="9"/>
          </w:tcPr>
          <w:p>
            <w:pPr>
              <w:jc w:val="center"/>
              <w:ind w:right="240"/>
              <w:spacing w:after="0"/>
              <w:rPr>
                <w:sz w:val="20"/>
                <w:szCs w:val="20"/>
                <w:color w:val="auto"/>
              </w:rPr>
            </w:pPr>
            <w:r>
              <w:rPr>
                <w:rFonts w:ascii="Arial" w:cs="Arial" w:eastAsia="Arial" w:hAnsi="Arial"/>
                <w:sz w:val="15"/>
                <w:szCs w:val="15"/>
                <w:color w:val="auto"/>
                <w:w w:val="92"/>
              </w:rPr>
              <w:t>(Dollars in thousands, Percentage of revenues)</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241,776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119,491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68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199,138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82.4</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95,963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80.3</w:t>
            </w:r>
          </w:p>
        </w:tc>
        <w:tc>
          <w:tcPr>
            <w:tcW w:w="280" w:type="dxa"/>
            <w:vAlign w:val="bottom"/>
            <w:tcBorders>
              <w:bottom w:val="single" w:sz="8" w:color="auto"/>
            </w:tcBorders>
          </w:tcPr>
          <w:p>
            <w:pPr>
              <w:spacing w:after="0"/>
              <w:rPr>
                <w:sz w:val="18"/>
                <w:szCs w:val="18"/>
                <w:color w:val="auto"/>
              </w:rPr>
            </w:pPr>
          </w:p>
        </w:tc>
      </w:tr>
      <w:tr>
        <w:trPr>
          <w:trHeight w:val="213"/>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19.7</w:t>
            </w:r>
          </w:p>
        </w:tc>
        <w:tc>
          <w:tcPr>
            <w:tcW w:w="280" w:type="dxa"/>
            <w:vAlign w:val="bottom"/>
            <w:shd w:val="clear" w:color="auto" w:fill="CCEEFF"/>
          </w:tcPr>
          <w:p>
            <w:pPr>
              <w:spacing w:after="0"/>
              <w:rPr>
                <w:sz w:val="18"/>
                <w:szCs w:val="18"/>
                <w:color w:val="auto"/>
              </w:rPr>
            </w:pPr>
          </w:p>
        </w:tc>
      </w:tr>
      <w:tr>
        <w:trPr>
          <w:trHeight w:val="218"/>
        </w:trPr>
        <w:tc>
          <w:tcPr>
            <w:tcW w:w="568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30,995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12.8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17,327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14.5</w:t>
            </w:r>
          </w:p>
        </w:tc>
        <w:tc>
          <w:tcPr>
            <w:tcW w:w="280" w:type="dxa"/>
            <w:vAlign w:val="bottom"/>
          </w:tcPr>
          <w:p>
            <w:pPr>
              <w:spacing w:after="0"/>
              <w:rPr>
                <w:sz w:val="18"/>
                <w:szCs w:val="18"/>
                <w:color w:val="auto"/>
              </w:rPr>
            </w:pPr>
          </w:p>
        </w:tc>
      </w:tr>
      <w:tr>
        <w:trPr>
          <w:trHeight w:val="220"/>
        </w:trPr>
        <w:tc>
          <w:tcPr>
            <w:tcW w:w="5680" w:type="dxa"/>
            <w:vAlign w:val="bottom"/>
            <w:shd w:val="clear" w:color="auto" w:fill="CCEEFF"/>
          </w:tcPr>
          <w:p>
            <w:pPr>
              <w:ind w:left="60"/>
              <w:spacing w:after="0"/>
              <w:rPr>
                <w:sz w:val="20"/>
                <w:szCs w:val="20"/>
                <w:color w:val="auto"/>
              </w:rPr>
            </w:pPr>
            <w:r>
              <w:rPr>
                <w:rFonts w:ascii="Arial" w:cs="Arial" w:eastAsia="Arial" w:hAnsi="Arial"/>
                <w:sz w:val="17"/>
                <w:szCs w:val="17"/>
                <w:color w:val="auto"/>
              </w:rPr>
              <w:t>Contingent consideration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r>
      <w:tr>
        <w:trPr>
          <w:trHeight w:val="218"/>
        </w:trPr>
        <w:tc>
          <w:tcPr>
            <w:tcW w:w="5680" w:type="dxa"/>
            <w:vAlign w:val="bottom"/>
          </w:tcPr>
          <w:p>
            <w:pPr>
              <w:ind w:left="60"/>
              <w:spacing w:after="0"/>
              <w:rPr>
                <w:sz w:val="20"/>
                <w:szCs w:val="20"/>
                <w:color w:val="auto"/>
              </w:rPr>
            </w:pPr>
            <w:r>
              <w:rPr>
                <w:rFonts w:ascii="Arial" w:cs="Arial" w:eastAsia="Arial" w:hAnsi="Arial"/>
                <w:sz w:val="17"/>
                <w:szCs w:val="17"/>
                <w:color w:val="auto"/>
              </w:rPr>
              <w:t>Loss on sale of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r>
      <w:tr>
        <w:trPr>
          <w:trHeight w:val="213"/>
        </w:trPr>
        <w:tc>
          <w:tcPr>
            <w:tcW w:w="56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Operating income</w:t>
            </w: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4.8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5.2</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Our Residential segment’s revenues increased by $122.3 million, or 102.3%, during the three months ended December 31, 2021 compared to the three</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months ended December 31, 2020. The increase was driven by the revenue contributed by the businesses acquired in fiscal 2021, strong demand for single-family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multi-family housing and the impact of price increases in connection with a higher cost of materials. Businesses acquired during fiscal 2021 contributed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$79.4 million of the total increase in revenue for the three months ended December 31, 2021 compared to the three months ended December 31, 2020. Inclusive of</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those acquired businesses, single-family revenues and multi-family and other revenues increased by $101.4 million and $20.9 million, respectively, for the three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months ended December 31, 2021 compared to 2020. Excluding the impact of the fiscal 2021 acquisitions, our Residential segment's revenues grew by 38.4% for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three months ended December 31, 2021 compared to the three months ended December 31, 2020.</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24" w:name="page25"/>
    <w:bookmarkEnd w:id="24"/>
    <w:p>
      <w:pPr>
        <w:ind w:right="200"/>
        <w:spacing w:after="0" w:line="25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During the three months ended December 31, 2021, our Residential segment's gross profit increased by $19.1 million, or 81.2%,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December 31, 2020. The increase in gross profit was driven primarily by contributions from the 2021 acquisitions, as well as the impact of price increases. Gross profit as a percentage of revenue decreased to 17.6% during the three months ended December 31, 2021, from 19.7% for the three months ended December 31, 2020, primarily as a result of increased commodity prices and a reduction in project efficiency related to supply-chain challenges and the COVID-19 pandemic.</w:t>
      </w:r>
    </w:p>
    <w:p>
      <w:pPr>
        <w:spacing w:after="0" w:line="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Residential segment's selling, general and administrative expenses increased by $13.7 million, or 78.9%,</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three months ended December 31, 2021, compared to the three months ended December 31, 2020. Selling, general and administrative expenses incurred at businesses acquired during fiscal 2021, including amortization of intangible assets, contributed $9.0 million of the net increase. We have also increased staffing to support the growth of our operations. Selling, general and administrative expenses as a percentage of revenue in the Residential segment decreased to 12.8% of segment revenue during the three months ended December 31, 2021, compared to 14.5% in the three months ended December 31, 2020, as we benefited from the scale of our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tcPr>
          <w:p>
            <w:pPr>
              <w:ind w:left="40"/>
              <w:spacing w:after="0"/>
              <w:rPr>
                <w:sz w:val="20"/>
                <w:szCs w:val="20"/>
                <w:color w:val="auto"/>
              </w:rPr>
            </w:pPr>
            <w:r>
              <w:rPr>
                <w:rFonts w:ascii="Arial" w:cs="Arial" w:eastAsia="Arial" w:hAnsi="Arial"/>
                <w:sz w:val="17"/>
                <w:szCs w:val="17"/>
                <w:b w:val="1"/>
                <w:bCs w:val="1"/>
                <w:color w:val="auto"/>
              </w:rPr>
              <w:t>Infrastructure Solutions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6"/>
        </w:trPr>
        <w:tc>
          <w:tcPr>
            <w:tcW w:w="5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7"/>
                <w:szCs w:val="17"/>
                <w:color w:val="auto"/>
                <w:w w:val="91"/>
              </w:rPr>
              <w:t>Three Months Ended December 31,</w:t>
            </w:r>
          </w:p>
        </w:tc>
        <w:tc>
          <w:tcPr>
            <w:tcW w:w="7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2021</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7"/>
                <w:szCs w:val="17"/>
                <w:color w:val="auto"/>
              </w:rPr>
              <w:t>2020</w:t>
            </w: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2"/>
        </w:trPr>
        <w:tc>
          <w:tcPr>
            <w:tcW w:w="5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8"/>
                <w:szCs w:val="18"/>
                <w:color w:val="auto"/>
              </w:rPr>
            </w:pPr>
          </w:p>
        </w:tc>
      </w:tr>
      <w:tr>
        <w:trPr>
          <w:trHeight w:val="197"/>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gridSpan w:val="10"/>
          </w:tcPr>
          <w:p>
            <w:pPr>
              <w:jc w:val="right"/>
              <w:ind w:right="560"/>
              <w:spacing w:after="0"/>
              <w:rPr>
                <w:sz w:val="20"/>
                <w:szCs w:val="20"/>
                <w:color w:val="auto"/>
              </w:rPr>
            </w:pPr>
            <w:r>
              <w:rPr>
                <w:rFonts w:ascii="Arial" w:cs="Arial" w:eastAsia="Arial" w:hAnsi="Arial"/>
                <w:sz w:val="15"/>
                <w:szCs w:val="15"/>
                <w:color w:val="auto"/>
              </w:rPr>
              <w:t>(Dollars in thousands, Percentage of revenues)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22"/>
        </w:trPr>
        <w:tc>
          <w:tcPr>
            <w:tcW w:w="5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34,401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54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34,375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81.7</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23,464</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68.2</w:t>
            </w:r>
          </w:p>
        </w:tc>
        <w:tc>
          <w:tcPr>
            <w:tcW w:w="280" w:type="dxa"/>
            <w:vAlign w:val="bottom"/>
            <w:tcBorders>
              <w:bottom w:val="single" w:sz="8" w:color="auto"/>
            </w:tcBorders>
          </w:tcPr>
          <w:p>
            <w:pPr>
              <w:spacing w:after="0"/>
              <w:rPr>
                <w:sz w:val="18"/>
                <w:szCs w:val="18"/>
                <w:color w:val="auto"/>
              </w:rPr>
            </w:pPr>
          </w:p>
        </w:tc>
      </w:tr>
      <w:tr>
        <w:trPr>
          <w:trHeight w:val="213"/>
        </w:trPr>
        <w:tc>
          <w:tcPr>
            <w:tcW w:w="5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18.3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31.8</w:t>
            </w:r>
          </w:p>
        </w:tc>
        <w:tc>
          <w:tcPr>
            <w:tcW w:w="280" w:type="dxa"/>
            <w:vAlign w:val="bottom"/>
            <w:shd w:val="clear" w:color="auto" w:fill="CCEEFF"/>
          </w:tcPr>
          <w:p>
            <w:pPr>
              <w:spacing w:after="0"/>
              <w:rPr>
                <w:sz w:val="18"/>
                <w:szCs w:val="18"/>
                <w:color w:val="auto"/>
              </w:rPr>
            </w:pPr>
          </w:p>
        </w:tc>
      </w:tr>
      <w:tr>
        <w:trPr>
          <w:trHeight w:val="218"/>
        </w:trPr>
        <w:tc>
          <w:tcPr>
            <w:tcW w:w="554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4"/>
              <w:spacing w:after="0"/>
              <w:rPr>
                <w:sz w:val="20"/>
                <w:szCs w:val="20"/>
                <w:color w:val="auto"/>
              </w:rPr>
            </w:pPr>
            <w:r>
              <w:rPr>
                <w:rFonts w:ascii="Arial" w:cs="Arial" w:eastAsia="Arial" w:hAnsi="Arial"/>
                <w:sz w:val="17"/>
                <w:szCs w:val="17"/>
                <w:color w:val="auto"/>
              </w:rPr>
              <w:t>14.4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5,611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16.3</w:t>
            </w:r>
          </w:p>
        </w:tc>
        <w:tc>
          <w:tcPr>
            <w:tcW w:w="280" w:type="dxa"/>
            <w:vAlign w:val="bottom"/>
          </w:tcPr>
          <w:p>
            <w:pPr>
              <w:spacing w:after="0"/>
              <w:rPr>
                <w:sz w:val="18"/>
                <w:szCs w:val="18"/>
                <w:color w:val="auto"/>
              </w:rPr>
            </w:pPr>
          </w:p>
        </w:tc>
      </w:tr>
      <w:tr>
        <w:trPr>
          <w:trHeight w:val="220"/>
        </w:trPr>
        <w:tc>
          <w:tcPr>
            <w:tcW w:w="554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2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r>
      <w:tr>
        <w:trPr>
          <w:trHeight w:val="210"/>
        </w:trPr>
        <w:tc>
          <w:tcPr>
            <w:tcW w:w="5540" w:type="dxa"/>
            <w:vAlign w:val="bottom"/>
          </w:tcPr>
          <w:p>
            <w:pPr>
              <w:ind w:left="60"/>
              <w:spacing w:after="0"/>
              <w:rPr>
                <w:sz w:val="20"/>
                <w:szCs w:val="20"/>
                <w:color w:val="auto"/>
              </w:rPr>
            </w:pPr>
            <w:r>
              <w:rPr>
                <w:rFonts w:ascii="Arial" w:cs="Arial" w:eastAsia="Arial" w:hAnsi="Arial"/>
                <w:sz w:val="17"/>
                <w:szCs w:val="17"/>
                <w:color w:val="auto"/>
              </w:rPr>
              <w:t>Operating income</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3.9</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5,327</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15.5</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r>
    </w:tbl>
    <w:p>
      <w:pPr>
        <w:spacing w:after="0" w:line="31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Revenues in our Infrastructure Solutions segment increased $7.7 million during the three months ended December 31, 2021, an increase of 22.4%</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three months ended December 31, 2020. The increase in revenue was driven primarily by increased demand at our generator enclosure business as well as the acquisition of Wedlake Fabricating, Inc. ("Wedlake") during the first fiscal quarter of 2021, which contributed $3.3 million of the increase.</w:t>
      </w:r>
    </w:p>
    <w:p>
      <w:pPr>
        <w:spacing w:after="0" w:line="165"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Infrastructure Solutions segment’s gross profit during the three months ended December 31, 2021 decreased $3.2 million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December 31, 2020, reflecting the impact of supply chain disruptions on our generator enclosure business, COVID-19 related labor inefficiencies, and operating inefficiencies in connection with the expansion and relocation of the Wedlake business to a newly acquired operating facility. Additionally, during the three months ended December 31, 2020, we benefited from workers' compensation refunds received from the State of Ohio. Gross profit as a percentage of revenue decreased from 31.8% to 18.3%.</w:t>
      </w:r>
    </w:p>
    <w:p>
      <w:pPr>
        <w:spacing w:after="0" w:line="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Infrastructure Solutions segment’s selling, general and administrative expenses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increased $0.4 million when compared to the three months ended December 31, 2020, primarily as a result of expense incurred at the Wedlake business acquired during the first fiscal quarter of 2021, including amortization of intangible assets. Selling, general and administrative expenses as a percent of revenue decreased from 16.3% to 14.4%, as we benefited from the scale of our operations.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ind w:left="40"/>
              <w:spacing w:after="0"/>
              <w:rPr>
                <w:sz w:val="20"/>
                <w:szCs w:val="20"/>
                <w:color w:val="auto"/>
              </w:rPr>
            </w:pPr>
            <w:r>
              <w:rPr>
                <w:rFonts w:ascii="Arial" w:cs="Arial" w:eastAsia="Arial" w:hAnsi="Arial"/>
                <w:sz w:val="17"/>
                <w:szCs w:val="17"/>
                <w:b w:val="1"/>
                <w:bCs w:val="1"/>
                <w:color w:val="auto"/>
              </w:rPr>
              <w:t>Commercial &amp; Industrial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6"/>
        </w:trPr>
        <w:tc>
          <w:tcPr>
            <w:tcW w:w="5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7"/>
          </w:tcPr>
          <w:p>
            <w:pPr>
              <w:jc w:val="center"/>
              <w:ind w:right="640"/>
              <w:spacing w:after="0"/>
              <w:rPr>
                <w:sz w:val="20"/>
                <w:szCs w:val="20"/>
                <w:color w:val="auto"/>
              </w:rPr>
            </w:pPr>
            <w:r>
              <w:rPr>
                <w:rFonts w:ascii="Arial" w:cs="Arial" w:eastAsia="Arial" w:hAnsi="Arial"/>
                <w:sz w:val="17"/>
                <w:szCs w:val="17"/>
                <w:color w:val="auto"/>
                <w:w w:val="91"/>
              </w:rPr>
              <w:t>Three Months Ended December 31,</w:t>
            </w: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2"/>
        </w:trPr>
        <w:tc>
          <w:tcPr>
            <w:tcW w:w="5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2021</w:t>
            </w: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2020</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2"/>
        </w:trPr>
        <w:tc>
          <w:tcPr>
            <w:tcW w:w="5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r>
      <w:tr>
        <w:trPr>
          <w:trHeight w:val="19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gridSpan w:val="8"/>
          </w:tcPr>
          <w:p>
            <w:pPr>
              <w:jc w:val="center"/>
              <w:ind w:right="420"/>
              <w:spacing w:after="0"/>
              <w:rPr>
                <w:sz w:val="20"/>
                <w:szCs w:val="20"/>
                <w:color w:val="auto"/>
              </w:rPr>
            </w:pPr>
            <w:r>
              <w:rPr>
                <w:rFonts w:ascii="Arial" w:cs="Arial" w:eastAsia="Arial" w:hAnsi="Arial"/>
                <w:sz w:val="15"/>
                <w:szCs w:val="15"/>
                <w:color w:val="auto"/>
                <w:w w:val="91"/>
              </w:rPr>
              <w:t>(Dollars in thousands, Percentage of revenues)</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2"/>
        </w:trPr>
        <w:tc>
          <w:tcPr>
            <w:tcW w:w="5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69,248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62,590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40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Cost of services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60,378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87.2</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56,915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90.9</w:t>
            </w:r>
          </w:p>
        </w:tc>
        <w:tc>
          <w:tcPr>
            <w:tcW w:w="260" w:type="dxa"/>
            <w:vAlign w:val="bottom"/>
            <w:tcBorders>
              <w:bottom w:val="single" w:sz="8" w:color="auto"/>
            </w:tcBorders>
          </w:tcPr>
          <w:p>
            <w:pPr>
              <w:spacing w:after="0"/>
              <w:rPr>
                <w:sz w:val="18"/>
                <w:szCs w:val="18"/>
                <w:color w:val="auto"/>
              </w:rPr>
            </w:pPr>
          </w:p>
        </w:tc>
      </w:tr>
      <w:tr>
        <w:trPr>
          <w:trHeight w:val="213"/>
        </w:trPr>
        <w:tc>
          <w:tcPr>
            <w:tcW w:w="5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9.1</w:t>
            </w:r>
          </w:p>
        </w:tc>
        <w:tc>
          <w:tcPr>
            <w:tcW w:w="260" w:type="dxa"/>
            <w:vAlign w:val="bottom"/>
            <w:shd w:val="clear" w:color="auto" w:fill="CCEEFF"/>
          </w:tcPr>
          <w:p>
            <w:pPr>
              <w:spacing w:after="0"/>
              <w:rPr>
                <w:sz w:val="18"/>
                <w:szCs w:val="18"/>
                <w:color w:val="auto"/>
              </w:rPr>
            </w:pPr>
          </w:p>
        </w:tc>
      </w:tr>
      <w:tr>
        <w:trPr>
          <w:trHeight w:val="218"/>
        </w:trPr>
        <w:tc>
          <w:tcPr>
            <w:tcW w:w="5400" w:type="dxa"/>
            <w:vAlign w:val="bottom"/>
          </w:tcPr>
          <w:p>
            <w:pPr>
              <w:ind w:left="60"/>
              <w:spacing w:after="0"/>
              <w:rPr>
                <w:sz w:val="20"/>
                <w:szCs w:val="20"/>
                <w:color w:val="auto"/>
              </w:rPr>
            </w:pPr>
            <w:r>
              <w:rPr>
                <w:rFonts w:ascii="Arial" w:cs="Arial" w:eastAsia="Arial" w:hAnsi="Arial"/>
                <w:sz w:val="17"/>
                <w:szCs w:val="17"/>
                <w:color w:val="auto"/>
              </w:rPr>
              <w:t>Selling, general and administrative expenses</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7,268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10.5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18"/>
                <w:szCs w:val="18"/>
                <w:color w:val="auto"/>
              </w:rPr>
            </w:pPr>
          </w:p>
        </w:tc>
      </w:tr>
      <w:tr>
        <w:trPr>
          <w:trHeight w:val="220"/>
        </w:trPr>
        <w:tc>
          <w:tcPr>
            <w:tcW w:w="5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Gain on sale of assets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r>
      <w:tr>
        <w:trPr>
          <w:trHeight w:val="210"/>
        </w:trPr>
        <w:tc>
          <w:tcPr>
            <w:tcW w:w="5400" w:type="dxa"/>
            <w:vAlign w:val="bottom"/>
          </w:tcPr>
          <w:p>
            <w:pPr>
              <w:ind w:left="60"/>
              <w:spacing w:after="0"/>
              <w:rPr>
                <w:sz w:val="20"/>
                <w:szCs w:val="20"/>
                <w:color w:val="auto"/>
              </w:rPr>
            </w:pPr>
            <w:r>
              <w:rPr>
                <w:rFonts w:ascii="Arial" w:cs="Arial" w:eastAsia="Arial" w:hAnsi="Arial"/>
                <w:sz w:val="17"/>
                <w:szCs w:val="17"/>
                <w:color w:val="auto"/>
              </w:rPr>
              <w:t>Operating income (loss)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1,609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696"/>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914"/>
              <w:spacing w:after="0"/>
              <w:rPr>
                <w:sz w:val="20"/>
                <w:szCs w:val="20"/>
                <w:color w:val="auto"/>
              </w:rPr>
            </w:pPr>
            <w:r>
              <w:rPr>
                <w:rFonts w:ascii="Arial" w:cs="Arial" w:eastAsia="Arial" w:hAnsi="Arial"/>
                <w:sz w:val="17"/>
                <w:szCs w:val="17"/>
                <w:color w:val="auto"/>
                <w:w w:val="73"/>
              </w:rPr>
              <w:t>25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0"/>
        </w:trPr>
        <w:tc>
          <w:tcPr>
            <w:tcW w:w="5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right="20"/>
        <w:spacing w:after="0" w:line="256"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 our Commercial &amp; Industrial segment increased $6.7 million, or 10.6%, during the three months ended December 31,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December 31, 2020. During the quarter ended December 31, 2021, we benefited from the start-up of projects that were delayed in fiscal 2021. While activity in this segment has been curtailed during the COVID-19 pandemic, many customers are returning to more typical levels of activity. However, this market remains highly competitive.</w:t>
      </w:r>
    </w:p>
    <w:p>
      <w:pPr>
        <w:spacing w:after="0" w:line="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Commercial &amp; Industrial segment’s gross profit during the three months ended December 31, 2021, increased by $3.2 million,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December 31, 2020. We have benefited from more efficient absorption of overhead in connection with higher levels of activity, and we have improved operating efficiencies on certain projects. Gross profit as a percentage of revenue increased from 9.1% for the three months ended December 31, 2020, to 12.8% for the three months ended December 31, 2021.</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Our Commercial &amp; Industrial segment’s selling, general and administrative expenses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2021 increased $0.8 million, or 13.1%, compared to the three months ended December 31, 2020. The increase was driven by an increase in salary expense in connection with growth of the business and higher pay rates in an increasingly competitive labor market. Selling, general and administrative expenses as a percentage of revenue increased from 10.3% to 10.5% for the three months ended December 31, 2021 compared to the three months ended December 31, 2020.</w:t>
      </w:r>
    </w:p>
    <w:p>
      <w:pPr>
        <w:spacing w:after="0" w:line="203"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5460" w:type="dxa"/>
            <w:vAlign w:val="bottom"/>
            <w:gridSpan w:val="2"/>
          </w:tcPr>
          <w:p>
            <w:pPr>
              <w:jc w:val="right"/>
              <w:ind w:right="1474"/>
              <w:spacing w:after="0"/>
              <w:rPr>
                <w:sz w:val="20"/>
                <w:szCs w:val="20"/>
                <w:color w:val="auto"/>
              </w:rPr>
            </w:pPr>
            <w:r>
              <w:rPr>
                <w:rFonts w:ascii="Arial" w:cs="Arial" w:eastAsia="Arial" w:hAnsi="Arial"/>
                <w:sz w:val="17"/>
                <w:szCs w:val="17"/>
                <w:b w:val="1"/>
                <w:bCs w:val="1"/>
                <w:color w:val="auto"/>
              </w:rPr>
              <w:t>INTEREST AND OTHER EXPENSE, NET</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6"/>
        </w:trPr>
        <w:tc>
          <w:tcPr>
            <w:tcW w:w="31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Three Months Ended December 31,</w:t>
            </w:r>
          </w:p>
        </w:tc>
        <w:tc>
          <w:tcPr>
            <w:tcW w:w="400" w:type="dxa"/>
            <w:vAlign w:val="bottom"/>
            <w:tcBorders>
              <w:bottom w:val="single" w:sz="8" w:color="auto"/>
            </w:tcBorders>
          </w:tcPr>
          <w:p>
            <w:pPr>
              <w:spacing w:after="0"/>
              <w:rPr>
                <w:sz w:val="21"/>
                <w:szCs w:val="21"/>
                <w:color w:val="auto"/>
              </w:rPr>
            </w:pPr>
          </w:p>
        </w:tc>
      </w:tr>
      <w:tr>
        <w:trPr>
          <w:trHeight w:val="212"/>
        </w:trPr>
        <w:tc>
          <w:tcPr>
            <w:tcW w:w="3160" w:type="dxa"/>
            <w:vAlign w:val="bottom"/>
          </w:tcPr>
          <w:p>
            <w:pPr>
              <w:spacing w:after="0"/>
              <w:rPr>
                <w:sz w:val="18"/>
                <w:szCs w:val="18"/>
                <w:color w:val="auto"/>
              </w:rPr>
            </w:pPr>
          </w:p>
        </w:tc>
        <w:tc>
          <w:tcPr>
            <w:tcW w:w="5460" w:type="dxa"/>
            <w:vAlign w:val="bottom"/>
            <w:gridSpan w:val="2"/>
          </w:tcPr>
          <w:p>
            <w:pPr>
              <w:jc w:val="right"/>
              <w:ind w:right="14"/>
              <w:spacing w:after="0"/>
              <w:rPr>
                <w:sz w:val="20"/>
                <w:szCs w:val="20"/>
                <w:color w:val="auto"/>
              </w:rPr>
            </w:pPr>
            <w:r>
              <w:rPr>
                <w:rFonts w:ascii="Arial" w:cs="Arial" w:eastAsia="Arial" w:hAnsi="Arial"/>
                <w:sz w:val="17"/>
                <w:szCs w:val="17"/>
                <w:color w:val="auto"/>
              </w:rPr>
              <w:t>2021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2020</w:t>
            </w:r>
          </w:p>
        </w:tc>
        <w:tc>
          <w:tcPr>
            <w:tcW w:w="400" w:type="dxa"/>
            <w:vAlign w:val="bottom"/>
          </w:tcPr>
          <w:p>
            <w:pPr>
              <w:spacing w:after="0"/>
              <w:rPr>
                <w:sz w:val="18"/>
                <w:szCs w:val="18"/>
                <w:color w:val="auto"/>
              </w:rPr>
            </w:pPr>
          </w:p>
        </w:tc>
      </w:tr>
      <w:tr>
        <w:trPr>
          <w:trHeight w:val="197"/>
        </w:trPr>
        <w:tc>
          <w:tcPr>
            <w:tcW w:w="316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right"/>
              <w:ind w:right="734"/>
              <w:spacing w:after="0"/>
              <w:rPr>
                <w:sz w:val="20"/>
                <w:szCs w:val="20"/>
                <w:color w:val="auto"/>
              </w:rPr>
            </w:pPr>
            <w:r>
              <w:rPr>
                <w:rFonts w:ascii="Arial" w:cs="Arial" w:eastAsia="Arial" w:hAnsi="Arial"/>
                <w:sz w:val="15"/>
                <w:szCs w:val="15"/>
                <w:color w:val="auto"/>
              </w:rPr>
              <w:t>(In thousands)</w:t>
            </w:r>
          </w:p>
        </w:tc>
        <w:tc>
          <w:tcPr>
            <w:tcW w:w="400" w:type="dxa"/>
            <w:vAlign w:val="bottom"/>
            <w:tcBorders>
              <w:top w:val="single" w:sz="8" w:color="auto"/>
            </w:tcBorders>
          </w:tcPr>
          <w:p>
            <w:pPr>
              <w:spacing w:after="0"/>
              <w:rPr>
                <w:sz w:val="17"/>
                <w:szCs w:val="17"/>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546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1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financing charges</w:t>
            </w:r>
          </w:p>
        </w:tc>
        <w:tc>
          <w:tcPr>
            <w:tcW w:w="44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expense</w:t>
            </w:r>
          </w:p>
        </w:tc>
        <w:tc>
          <w:tcPr>
            <w:tcW w:w="4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18"/>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(income), net</w:t>
            </w:r>
          </w:p>
        </w:tc>
        <w:tc>
          <w:tcPr>
            <w:tcW w:w="44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765</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(118)</w:t>
            </w:r>
          </w:p>
        </w:tc>
      </w:tr>
      <w:tr>
        <w:trPr>
          <w:trHeight w:val="23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interest and other expense, net</w:t>
            </w:r>
          </w:p>
        </w:tc>
        <w:tc>
          <w:tcPr>
            <w:tcW w:w="5460" w:type="dxa"/>
            <w:vAlign w:val="bottom"/>
            <w:gridSpan w:val="2"/>
            <w:shd w:val="clear" w:color="auto" w:fill="CCEEFF"/>
          </w:tcPr>
          <w:p>
            <w:pPr>
              <w:jc w:val="right"/>
              <w:ind w:right="87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01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During the three months ended December 31, 2021, we incurred interest expense of $0.4 million primarily comprised of interest expense from our revolving credit facility and fees on an average letter of credit balance of $4.9 million under our revolving credit facility and an average unused line of credit balance of $42.9 million. This compares to interest expense of $0.2 million for the three months ended December 31, 2020, primarily comprised of interest expense from our revolving credit facility and fees on an average letter of credit balance of $6.2 million under our revolving credit facility and an average unused line of credit balance of $90.5 million.</w:t>
      </w:r>
    </w:p>
    <w:p>
      <w:pPr>
        <w:spacing w:after="0" w:line="209"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color w:val="auto"/>
        </w:rPr>
        <w:t>The increase in other expense for the three months ended December 31, 2021 as compared with December 31, 2020 is the result of unrealized losses on investments in equity securities of $0.8 million.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We recorded income tax expense of $4.0 million for the three months ended December 31, 2021, compared to income tax expense of $3.6 million for the three months ended December 31, 2020. Income tax expense for the three months ended December 31, 2021 and 2020 included a benefit of $0.9 million and $0.2 million, respectively, related to the vesting of stock-based compensation.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Management’s discussion and analysis of financial condition and results of operations is based 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669" w:right="35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REMAINING PERFORMANCE OBLIGATIONS AND BACKLOG</w:t>
      </w:r>
    </w:p>
    <w:p>
      <w:pPr>
        <w:spacing w:after="0" w:line="24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w:t>
      </w:r>
    </w:p>
    <w:p>
      <w:pPr>
        <w:spacing w:after="0" w:line="4"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color w:val="auto"/>
              </w:rPr>
              <w:t>December 31,</w:t>
            </w: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7"/>
                <w:szCs w:val="17"/>
                <w:color w:val="auto"/>
              </w:rPr>
              <w:t>September 30,</w:t>
            </w:r>
          </w:p>
        </w:tc>
        <w:tc>
          <w:tcPr>
            <w:tcW w:w="28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7"/>
                <w:szCs w:val="17"/>
                <w:color w:val="auto"/>
              </w:rPr>
              <w:t>June 30,</w:t>
            </w:r>
          </w:p>
        </w:tc>
        <w:tc>
          <w:tcPr>
            <w:tcW w:w="240" w:type="dxa"/>
            <w:vAlign w:val="bottom"/>
          </w:tcPr>
          <w:p>
            <w:pPr>
              <w:spacing w:after="0"/>
              <w:rPr>
                <w:sz w:val="18"/>
                <w:szCs w:val="18"/>
                <w:color w:val="auto"/>
              </w:rPr>
            </w:pPr>
          </w:p>
        </w:tc>
        <w:tc>
          <w:tcPr>
            <w:tcW w:w="1220" w:type="dxa"/>
            <w:vAlign w:val="bottom"/>
          </w:tcPr>
          <w:p>
            <w:pPr>
              <w:jc w:val="right"/>
              <w:ind w:right="294"/>
              <w:spacing w:after="0"/>
              <w:rPr>
                <w:sz w:val="20"/>
                <w:szCs w:val="20"/>
                <w:color w:val="auto"/>
              </w:rPr>
            </w:pPr>
            <w:r>
              <w:rPr>
                <w:rFonts w:ascii="Arial" w:cs="Arial" w:eastAsia="Arial" w:hAnsi="Arial"/>
                <w:sz w:val="17"/>
                <w:szCs w:val="17"/>
                <w:color w:val="auto"/>
              </w:rPr>
              <w:t>March 31,</w:t>
            </w:r>
          </w:p>
        </w:tc>
      </w:tr>
      <w:tr>
        <w:trPr>
          <w:trHeight w:val="220"/>
        </w:trPr>
        <w:tc>
          <w:tcPr>
            <w:tcW w:w="4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2021</w:t>
            </w:r>
          </w:p>
        </w:tc>
      </w:tr>
      <w:tr>
        <w:trPr>
          <w:trHeight w:val="213"/>
        </w:trPr>
        <w:tc>
          <w:tcPr>
            <w:tcW w:w="47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Remaining performance obligations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w:t>
            </w:r>
          </w:p>
        </w:tc>
      </w:tr>
      <w:tr>
        <w:trPr>
          <w:trHeight w:val="258"/>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 xml:space="preserve">Agreements without an enforceable obligation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r>
      <w:tr>
        <w:trPr>
          <w:trHeight w:val="218"/>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w:t>
            </w:r>
          </w:p>
        </w:tc>
      </w:tr>
    </w:tbl>
    <w:p>
      <w:pPr>
        <w:spacing w:after="0" w:line="5" w:lineRule="exact"/>
        <w:rPr>
          <w:sz w:val="20"/>
          <w:szCs w:val="20"/>
          <w:color w:val="auto"/>
        </w:rPr>
      </w:pPr>
    </w:p>
    <w:p>
      <w:pPr>
        <w:ind w:left="120" w:right="420" w:firstLine="10"/>
        <w:spacing w:after="0" w:line="247" w:lineRule="auto"/>
        <w:tabs>
          <w:tab w:leader="none" w:pos="339"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backlog contains signed agreements and letters of intent, which we do not have a legal right to enforce prior to work starting. These arrangements are excluded from remaining performance obligations until work begins.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-219710</wp:posOffset>
            </wp:positionV>
            <wp:extent cx="4044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44315" cy="825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During the three months ended December 31, 2021, working capital exclusive of cash increased by $40.4 million from September 30, 2021, reflecting a $27.6 million increase in current assets excluding cash and a $12.8 million decrease in current liabilities during the period.</w:t>
      </w:r>
    </w:p>
    <w:p>
      <w:pPr>
        <w:spacing w:after="0" w:line="190"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During the three months ended December 31, 2021, our current assets exclusive of cash increased to $488.7 million, as compared to $461.1 million as of September 30, 2021. This increase includes a $9.1 million increase in costs and estimated earnings in excess of billings. As a result of supply chain challenges on certain of our jobs, we were not able to timely procure all materials necessary to reach billings milestones as quickly as we otherwise would have, resulting in a delay in billing some work. Additionally, inventory increased by $5.2 million, as we have increased the quantity of inventory we are currently carrying to manage procurement risks. An increase in business activity drove an $8.1 million increase in trade accounts receivable. Days sales outstanding increased to 60 at December 31, 2021 from 57 at September 30, 2021. While the rate of collections may vary, our typically secured position, resulting from our ability in general to secure liens against our customers’ overdue receivables, offers some protection that collection will occur eventually to the extent that our security retains value.</w:t>
      </w:r>
    </w:p>
    <w:p>
      <w:pPr>
        <w:spacing w:after="0" w:line="182" w:lineRule="exact"/>
        <w:rPr>
          <w:sz w:val="20"/>
          <w:szCs w:val="20"/>
          <w:color w:val="auto"/>
        </w:rPr>
      </w:pPr>
    </w:p>
    <w:p>
      <w:pPr>
        <w:ind w:right="260"/>
        <w:spacing w:after="0" w:line="349" w:lineRule="auto"/>
        <w:rPr>
          <w:sz w:val="20"/>
          <w:szCs w:val="20"/>
          <w:color w:val="auto"/>
        </w:rPr>
      </w:pPr>
      <w:r>
        <w:rPr>
          <w:rFonts w:ascii="Arial" w:cs="Arial" w:eastAsia="Arial" w:hAnsi="Arial"/>
          <w:sz w:val="15"/>
          <w:szCs w:val="15"/>
          <w:color w:val="auto"/>
        </w:rPr>
        <w:t>During the three months ended December 31, 2021, our total current liabilities decreased by $12.8 million to $298.8 million, compared to $311.6 million as of September 30, 2021, driven in part by remittance of payroll taxes deferred under the CARES Act, as well as the timing of payment of certain year-end accruals.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Surety</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We believe the bonding capacity provided by our sureties is adequate for our current operations and will be adequate for our operations for the foreseeable future.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 estimated cost to complete our bonded projects was approximately $75.5 million.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Revolving Credit Facility</w:t>
      </w:r>
    </w:p>
    <w:p>
      <w:pPr>
        <w:spacing w:after="0" w:line="243"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On December 2, 2021, we amended our existing credit agreement with Wells Fargo (as so amended the "Amended Credit Agreement") to, among other things, increase the size of the facility from $100 million to $125 million, decrease the required minimum Liquidity (as defined in the Amended Credit Agreement) from $20 million to $12.5 million, and extend the maturity date from September 30, 2024 to September 30, 2026. The Amended Credit Agreement also replaced the Daily Three Month London Interbank Offered Rate ("LIBOR") with the Daily Three Month Secured Overnight Financing Rate ("SOFR") (each as defined in the Amended Credit Agreement) as the benchmark rate for establishing the interest rate applicable to our borrowings under the Amended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Credit Agreement.</w:t>
      </w:r>
    </w:p>
    <w:p>
      <w:pPr>
        <w:spacing w:after="0" w:line="230" w:lineRule="exact"/>
        <w:rPr>
          <w:sz w:val="20"/>
          <w:szCs w:val="20"/>
          <w:color w:val="auto"/>
        </w:rPr>
      </w:pPr>
    </w:p>
    <w:p>
      <w:pPr>
        <w:jc w:val="both"/>
        <w:ind w:right="240"/>
        <w:spacing w:after="0" w:line="290" w:lineRule="auto"/>
        <w:rPr>
          <w:sz w:val="20"/>
          <w:szCs w:val="20"/>
          <w:color w:val="auto"/>
        </w:rPr>
      </w:pPr>
      <w:r>
        <w:rPr>
          <w:rFonts w:ascii="Arial" w:cs="Arial" w:eastAsia="Arial" w:hAnsi="Arial"/>
          <w:sz w:val="16"/>
          <w:szCs w:val="16"/>
          <w:color w:val="auto"/>
        </w:rPr>
        <w:t>Borrowings under the Amended Credit Agreement may not exceed a “borrowing base” that is determined monthly by Wells Fargo based on available collateral, primarily certain accounts receivables, inventories, and equipment. Effective December 2, 2021, amounts outstanding bear interest at a per annum rate equal to Daily Three Month SOFR, plus an interest rate margin, which is determined quarterly, based on the following thresholds: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Level</w:t>
            </w:r>
          </w:p>
        </w:tc>
        <w:tc>
          <w:tcPr>
            <w:tcW w:w="120" w:type="dxa"/>
            <w:vAlign w:val="bottom"/>
          </w:tcPr>
          <w:p>
            <w:pPr>
              <w:spacing w:after="0"/>
              <w:rPr>
                <w:sz w:val="19"/>
                <w:szCs w:val="19"/>
                <w:color w:val="auto"/>
              </w:rPr>
            </w:pPr>
          </w:p>
        </w:tc>
        <w:tc>
          <w:tcPr>
            <w:tcW w:w="8100" w:type="dxa"/>
            <w:vAlign w:val="bottom"/>
            <w:tcBorders>
              <w:bottom w:val="single" w:sz="8" w:color="auto"/>
            </w:tcBorders>
          </w:tcPr>
          <w:p>
            <w:pPr>
              <w:ind w:left="3660"/>
              <w:spacing w:after="0"/>
              <w:rPr>
                <w:sz w:val="20"/>
                <w:szCs w:val="20"/>
                <w:color w:val="auto"/>
              </w:rPr>
            </w:pPr>
            <w:r>
              <w:rPr>
                <w:rFonts w:ascii="Arial" w:cs="Arial" w:eastAsia="Arial" w:hAnsi="Arial"/>
                <w:sz w:val="17"/>
                <w:szCs w:val="17"/>
                <w:color w:val="auto"/>
              </w:rPr>
              <w:t>Thresholds</w:t>
            </w:r>
          </w:p>
        </w:tc>
        <w:tc>
          <w:tcPr>
            <w:tcW w:w="120" w:type="dxa"/>
            <w:vAlign w:val="bottom"/>
          </w:tcPr>
          <w:p>
            <w:pPr>
              <w:spacing w:after="0"/>
              <w:rPr>
                <w:sz w:val="19"/>
                <w:szCs w:val="19"/>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Interest Rate Margin</w:t>
            </w:r>
          </w:p>
        </w:tc>
      </w:tr>
      <w:tr>
        <w:trPr>
          <w:trHeight w:val="181"/>
        </w:trPr>
        <w:tc>
          <w:tcPr>
            <w:tcW w:w="88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I</w:t>
            </w:r>
          </w:p>
        </w:tc>
        <w:tc>
          <w:tcPr>
            <w:tcW w:w="82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7"/>
              </w:rPr>
              <w:t>If Liquidity is less than 35% of the Maximum Revolver Amount (as defined in the Amended Credit Agreement) at</w:t>
            </w:r>
          </w:p>
        </w:tc>
        <w:tc>
          <w:tcPr>
            <w:tcW w:w="2140" w:type="dxa"/>
            <w:vAlign w:val="bottom"/>
          </w:tcPr>
          <w:p>
            <w:pPr>
              <w:ind w:left="20"/>
              <w:spacing w:after="0" w:line="181" w:lineRule="exact"/>
              <w:rPr>
                <w:sz w:val="20"/>
                <w:szCs w:val="20"/>
                <w:color w:val="auto"/>
              </w:rPr>
            </w:pPr>
            <w:r>
              <w:rPr>
                <w:rFonts w:ascii="Arial" w:cs="Arial" w:eastAsia="Arial" w:hAnsi="Arial"/>
                <w:sz w:val="17"/>
                <w:szCs w:val="17"/>
                <w:color w:val="auto"/>
              </w:rPr>
              <w:t>2.00 percentage points</w:t>
            </w:r>
          </w:p>
        </w:tc>
      </w:tr>
      <w:tr>
        <w:trPr>
          <w:trHeight w:val="217"/>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gridSpan w:val="2"/>
          </w:tcPr>
          <w:p>
            <w:pPr>
              <w:ind w:left="20"/>
              <w:spacing w:after="0"/>
              <w:rPr>
                <w:sz w:val="20"/>
                <w:szCs w:val="20"/>
                <w:color w:val="auto"/>
              </w:rPr>
            </w:pPr>
            <w:r>
              <w:rPr>
                <w:rFonts w:ascii="Arial" w:cs="Arial" w:eastAsia="Arial" w:hAnsi="Arial"/>
                <w:sz w:val="17"/>
                <w:szCs w:val="17"/>
                <w:color w:val="auto"/>
              </w:rPr>
              <w:t>any time during the period</w:t>
            </w:r>
          </w:p>
        </w:tc>
        <w:tc>
          <w:tcPr>
            <w:tcW w:w="2140" w:type="dxa"/>
            <w:vAlign w:val="bottom"/>
          </w:tcPr>
          <w:p>
            <w:pPr>
              <w:spacing w:after="0"/>
              <w:rPr>
                <w:sz w:val="18"/>
                <w:szCs w:val="18"/>
                <w:color w:val="auto"/>
              </w:rPr>
            </w:pPr>
          </w:p>
        </w:tc>
      </w:tr>
      <w:tr>
        <w:trPr>
          <w:trHeight w:val="247"/>
        </w:trPr>
        <w:tc>
          <w:tcPr>
            <w:tcW w:w="880" w:type="dxa"/>
            <w:vAlign w:val="bottom"/>
            <w:gridSpan w:val="2"/>
          </w:tcPr>
          <w:p>
            <w:pPr>
              <w:ind w:left="20"/>
              <w:spacing w:after="0"/>
              <w:rPr>
                <w:sz w:val="20"/>
                <w:szCs w:val="20"/>
                <w:color w:val="auto"/>
              </w:rPr>
            </w:pPr>
            <w:r>
              <w:rPr>
                <w:rFonts w:ascii="Arial" w:cs="Arial" w:eastAsia="Arial" w:hAnsi="Arial"/>
                <w:sz w:val="17"/>
                <w:szCs w:val="17"/>
                <w:color w:val="auto"/>
              </w:rPr>
              <w:t>II</w:t>
            </w:r>
          </w:p>
        </w:tc>
        <w:tc>
          <w:tcPr>
            <w:tcW w:w="8220" w:type="dxa"/>
            <w:vAlign w:val="bottom"/>
            <w:gridSpan w:val="2"/>
          </w:tcPr>
          <w:p>
            <w:pPr>
              <w:ind w:left="20"/>
              <w:spacing w:after="0"/>
              <w:rPr>
                <w:sz w:val="20"/>
                <w:szCs w:val="20"/>
                <w:color w:val="auto"/>
              </w:rPr>
            </w:pPr>
            <w:r>
              <w:rPr>
                <w:rFonts w:ascii="Arial" w:cs="Arial" w:eastAsia="Arial" w:hAnsi="Arial"/>
                <w:sz w:val="17"/>
                <w:szCs w:val="17"/>
                <w:color w:val="auto"/>
                <w:w w:val="95"/>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Arial" w:cs="Arial" w:eastAsia="Arial" w:hAnsi="Arial"/>
                <w:sz w:val="17"/>
                <w:szCs w:val="17"/>
                <w:color w:val="auto"/>
              </w:rPr>
              <w:t>1.75 percentage points</w:t>
            </w:r>
          </w:p>
        </w:tc>
      </w:tr>
      <w:tr>
        <w:trPr>
          <w:trHeight w:val="217"/>
        </w:trPr>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20" w:type="dxa"/>
            <w:vAlign w:val="bottom"/>
            <w:gridSpan w:val="2"/>
          </w:tcPr>
          <w:p>
            <w:pPr>
              <w:ind w:left="20"/>
              <w:spacing w:after="0"/>
              <w:rPr>
                <w:sz w:val="20"/>
                <w:szCs w:val="20"/>
                <w:color w:val="auto"/>
              </w:rPr>
            </w:pPr>
            <w:r>
              <w:rPr>
                <w:rFonts w:ascii="Arial" w:cs="Arial" w:eastAsia="Arial" w:hAnsi="Arial"/>
                <w:sz w:val="17"/>
                <w:szCs w:val="17"/>
                <w:color w:val="auto"/>
              </w:rPr>
              <w:t>than 50% of the Maximum Revolver Amount at any time during the period</w:t>
            </w:r>
          </w:p>
        </w:tc>
        <w:tc>
          <w:tcPr>
            <w:tcW w:w="2140" w:type="dxa"/>
            <w:vAlign w:val="bottom"/>
          </w:tcPr>
          <w:p>
            <w:pPr>
              <w:spacing w:after="0"/>
              <w:rPr>
                <w:sz w:val="18"/>
                <w:szCs w:val="18"/>
                <w:color w:val="auto"/>
              </w:rPr>
            </w:pPr>
          </w:p>
        </w:tc>
      </w:tr>
      <w:tr>
        <w:trPr>
          <w:trHeight w:val="284"/>
        </w:trPr>
        <w:tc>
          <w:tcPr>
            <w:tcW w:w="880" w:type="dxa"/>
            <w:vAlign w:val="bottom"/>
            <w:gridSpan w:val="2"/>
          </w:tcPr>
          <w:p>
            <w:pPr>
              <w:ind w:left="20"/>
              <w:spacing w:after="0"/>
              <w:rPr>
                <w:sz w:val="20"/>
                <w:szCs w:val="20"/>
                <w:color w:val="auto"/>
              </w:rPr>
            </w:pPr>
            <w:r>
              <w:rPr>
                <w:rFonts w:ascii="Arial" w:cs="Arial" w:eastAsia="Arial" w:hAnsi="Arial"/>
                <w:sz w:val="17"/>
                <w:szCs w:val="17"/>
                <w:color w:val="auto"/>
              </w:rPr>
              <w:t>III</w:t>
            </w:r>
          </w:p>
        </w:tc>
        <w:tc>
          <w:tcPr>
            <w:tcW w:w="8220" w:type="dxa"/>
            <w:vAlign w:val="bottom"/>
            <w:gridSpan w:val="2"/>
          </w:tcPr>
          <w:p>
            <w:pPr>
              <w:ind w:left="20"/>
              <w:spacing w:after="0"/>
              <w:rPr>
                <w:sz w:val="20"/>
                <w:szCs w:val="20"/>
                <w:color w:val="auto"/>
              </w:rPr>
            </w:pPr>
            <w:r>
              <w:rPr>
                <w:rFonts w:ascii="Arial" w:cs="Arial" w:eastAsia="Arial" w:hAnsi="Arial"/>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Arial" w:cs="Arial" w:eastAsia="Arial" w:hAnsi="Arial"/>
                <w:sz w:val="17"/>
                <w:szCs w:val="17"/>
                <w:color w:val="auto"/>
              </w:rPr>
              <w:t>1.50 percentage points</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are charged monthly in arrears for (1) an unused commitment fee of 0.25% per annum, (2) a collateral monitoring fee of $5 thousand per quarter,</w:t>
      </w:r>
    </w:p>
    <w:p>
      <w:pPr>
        <w:spacing w:after="0" w:line="45" w:lineRule="exact"/>
        <w:rPr>
          <w:sz w:val="20"/>
          <w:szCs w:val="20"/>
          <w:color w:val="auto"/>
        </w:rPr>
      </w:pPr>
    </w:p>
    <w:p>
      <w:pPr>
        <w:ind w:right="20" w:firstLine="3"/>
        <w:spacing w:after="0" w:line="266" w:lineRule="auto"/>
        <w:tabs>
          <w:tab w:leader="none" w:pos="243"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letter of credit fee based on the then-applicable interest rate margin (4) appraisal fees, costs and expenses and (5) certain other fees and charges as specified in the Amended Credit Agreement.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we were in compliance with the financial covenants under the Amended Credit Agreement, requiring that we maintain:</w:t>
      </w:r>
    </w:p>
    <w:p>
      <w:pPr>
        <w:spacing w:after="0" w:line="217" w:lineRule="exact"/>
        <w:rPr>
          <w:sz w:val="20"/>
          <w:szCs w:val="20"/>
          <w:color w:val="auto"/>
        </w:rPr>
      </w:pPr>
    </w:p>
    <w:p>
      <w:pPr>
        <w:ind w:left="1480" w:right="80" w:hanging="317"/>
        <w:spacing w:after="0" w:line="279" w:lineRule="auto"/>
        <w:tabs>
          <w:tab w:leader="none" w:pos="14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Fixed Charge Coverage Ratio (as defined in the Amended Credit Agreement), measured quarterly on a trailing four-quarter basis at the end of each quarter, of at least 1.1 to 1.0; and</w:t>
      </w:r>
    </w:p>
    <w:p>
      <w:pPr>
        <w:spacing w:after="0" w:line="164" w:lineRule="exact"/>
        <w:rPr>
          <w:rFonts w:ascii="Arial" w:cs="Arial" w:eastAsia="Arial" w:hAnsi="Arial"/>
          <w:sz w:val="17"/>
          <w:szCs w:val="17"/>
          <w:color w:val="auto"/>
        </w:rPr>
      </w:pPr>
    </w:p>
    <w:p>
      <w:pPr>
        <w:ind w:left="1480" w:right="80" w:hanging="317"/>
        <w:spacing w:after="0" w:line="279" w:lineRule="auto"/>
        <w:tabs>
          <w:tab w:leader="none" w:pos="1476" w:val="left"/>
        </w:tabs>
        <w:numPr>
          <w:ilvl w:val="0"/>
          <w:numId w:val="12"/>
        </w:numPr>
        <w:rPr>
          <w:rFonts w:ascii="Arial" w:cs="Arial" w:eastAsia="Arial" w:hAnsi="Arial"/>
          <w:sz w:val="17"/>
          <w:szCs w:val="17"/>
          <w:color w:val="auto"/>
        </w:rPr>
      </w:pPr>
      <w:r>
        <w:rPr>
          <w:rFonts w:ascii="Arial" w:cs="Arial" w:eastAsia="Arial" w:hAnsi="Arial"/>
          <w:sz w:val="17"/>
          <w:szCs w:val="17"/>
          <w:color w:val="auto"/>
        </w:rPr>
        <w:t>minimum Liquidity of at least 10% of the Maximum Revolver Amount, or $12.5 million; with, for purposes of this covenant, at least 50% of our Liquidity comprised of Excess Availability (as defined in the Amended Credit Agreement).</w:t>
      </w:r>
    </w:p>
    <w:p>
      <w:pPr>
        <w:spacing w:after="0" w:line="19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At December 31, 2021, our Liquidity was $59.0 million, our Excess Availability was $51.1 million (or greater than 50% of minimum Liquidity), and our Fixed Charge Coverage Ratio was 6.6:1.0.</w:t>
      </w:r>
    </w:p>
    <w:p>
      <w:pPr>
        <w:spacing w:after="0" w:line="19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If in the future our Liquidity falls below $12.5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right="360"/>
        <w:spacing w:after="0" w:line="279" w:lineRule="auto"/>
        <w:rPr>
          <w:sz w:val="20"/>
          <w:szCs w:val="20"/>
          <w:color w:val="auto"/>
        </w:rPr>
      </w:pPr>
      <w:r>
        <w:rPr>
          <w:rFonts w:ascii="Arial" w:cs="Arial" w:eastAsia="Arial" w:hAnsi="Arial"/>
          <w:sz w:val="17"/>
          <w:szCs w:val="17"/>
          <w:color w:val="auto"/>
        </w:rPr>
        <w:t>At December 31, 2021, we had $5.3 million in outstanding letters of credit with Wells Fargo and outstanding borrowings of $68.6 million under our revolving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acquisitions.Currently, our working capital needs are higher than they have been historically, as a result of growth of our business, rising commodity prices, and the impact of supply chain disruptions.</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Operating activities used net cash of $24.5 million during the three months ended December 31, 2021, as compared to $20.3 million of net cash provided in the three months ended December 31, 2020. The decrease in operating cash flow resulted from an increase in working capital, including an increase in inventory. In addition to the impact on inventory of higher commodity prices, supply chain disruptions have resulted in longer lead times for deliveries, and reduced availability for certain products we procure, particularly copper wire. As a result, we have increased the amount of inventory we are currently carrying in an effort to ensure the availability of materials to serve our customers. In addition, costs and estimated earnings in excess of billings increased as supply chain and labor challenges have, in some cases, extended the time to meet billing milestones. Trade accounts receivable also increased due to increased business activity. We also remitted $7.0 million of payroll taxes previously deferred under the CARES Act. This increase in working capital was partly offset by higher earnings during the three months ended December 31, 2021.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43"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Net cash used in investing activities was $12.8 million for the three months ended December 31, 2021, compared to $55.9 million for the three months ended December 31, 2020. We used $12.3 million for capital expenditures in the three months ended December 31, 2021, primarily related to the acquisition of a new operating facility for our Wedlake business. During the three months ended December 31, 2020, we used $54.8 million to complete three acquisitions and $1.2 million for capital expenditures.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43" w:lineRule="exact"/>
        <w:rPr>
          <w:sz w:val="20"/>
          <w:szCs w:val="20"/>
          <w:color w:val="auto"/>
        </w:rPr>
      </w:pPr>
    </w:p>
    <w:p>
      <w:pPr>
        <w:ind w:right="60"/>
        <w:spacing w:after="0" w:line="302" w:lineRule="auto"/>
        <w:rPr>
          <w:sz w:val="20"/>
          <w:szCs w:val="20"/>
          <w:color w:val="auto"/>
        </w:rPr>
      </w:pPr>
      <w:r>
        <w:rPr>
          <w:rFonts w:ascii="Arial" w:cs="Arial" w:eastAsia="Arial" w:hAnsi="Arial"/>
          <w:sz w:val="15"/>
          <w:szCs w:val="15"/>
          <w:color w:val="auto"/>
        </w:rPr>
        <w:t>Net cash provided by financing activities for the three months ended December 31, 2021 was $21.9 million, compared to $14.2 million for the three months ended December 31, 2020. Net cash provided by financing activities for the three months ended December 31, 2021 included net borrowings on our credit facility of $28.2 million, partly offset by $4.8 million used for repurchases of our common stock, including repurchases to satisfy statutory withholding requirements upon the vesting of employee stock compensation. For the three months ended December 31, 2020, we borrowed a net $15.0 million on our revolving credit facility. Additionally, we used $0.7 million to repurchase our shares to satisfy statutory withholding requirements upon the vesting of employee stock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Repurchase Program</w:t>
      </w:r>
    </w:p>
    <w:p>
      <w:pPr>
        <w:spacing w:after="0" w:line="24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2015, our Board authorized a stock repurchase program for the purchase from time to time of up to 1.5 million shares of the Company’s common stock, and on May 2, 2019, our Board authorized the repurchase from time to time of up to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56,415 shares pursuant to this program during the three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24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December 31, 2021, we had commitments of $12.1 million outstanding under agreements to purchase copper wire and other materials over the next 12 months in the ordinary course of business. There have been no other material changes in our contractual obligations and commitments from those disclosed in our Annual Report on Form 10-K for the fiscal year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430" w:right="41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our outstanding borrowings under our revolving credit facility. For additional information see </w:t>
      </w:r>
      <w:r>
        <w:rPr>
          <w:rFonts w:ascii="Arial" w:cs="Arial" w:eastAsia="Arial" w:hAnsi="Arial"/>
          <w:sz w:val="17"/>
          <w:szCs w:val="17"/>
          <w:i w:val="1"/>
          <w:iCs w:val="1"/>
          <w:color w:val="auto"/>
        </w:rPr>
        <w:t>“Disclosure Regarding Forward-Looking Statements”</w:t>
      </w:r>
      <w:r>
        <w:rPr>
          <w:rFonts w:ascii="Arial" w:cs="Arial" w:eastAsia="Arial" w:hAnsi="Arial"/>
          <w:sz w:val="17"/>
          <w:szCs w:val="17"/>
          <w:color w:val="auto"/>
        </w:rPr>
        <w:t xml:space="preserve"> in Part I of this Quarterly Report on Form 10-Q and our risk factors in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Annual Report on Form 10-K for the fiscal year ended September 30, 2021.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Risk</w:t>
      </w:r>
    </w:p>
    <w:p>
      <w:pPr>
        <w:spacing w:after="0" w:line="249"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Our exposure to significant market risks includes fluctuations in commodity prices for copper, aluminum, steel, electronic components, certain plastics, and fuel. Commodity price risks may have an impact on our results of operations due to the fixed nature of many of our contracts. Over the long term, we expect to be able to pass along a portion of these costs to our customers, as market conditions in the industries we serve will allow.</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On December 2, 2021, we entered into an amendment to our credit agreement which replaced LIBOR with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as of December 31, 2021 would cause a $0.7 million pre-tax annual increase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9"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4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2021,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49"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3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There have been no material changes to the risk factors disclosed under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Annual Report on Form 10-K for the fiscal year ended September 30, 2021.</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gridSpan w:val="3"/>
          </w:tcPr>
          <w:p>
            <w:pPr>
              <w:jc w:val="right"/>
              <w:ind w:right="294"/>
              <w:spacing w:after="0"/>
              <w:rPr>
                <w:sz w:val="20"/>
                <w:szCs w:val="20"/>
                <w:color w:val="auto"/>
              </w:rPr>
            </w:pPr>
            <w:r>
              <w:rPr>
                <w:rFonts w:ascii="Arial" w:cs="Arial" w:eastAsia="Arial" w:hAnsi="Arial"/>
                <w:sz w:val="17"/>
                <w:szCs w:val="17"/>
                <w:b w:val="1"/>
                <w:bCs w:val="1"/>
                <w:color w:val="auto"/>
                <w:w w:val="87"/>
              </w:rPr>
              <w:t xml:space="preserve">Item 2. </w:t>
            </w:r>
            <w:r>
              <w:rPr>
                <w:rFonts w:ascii="Arial" w:cs="Arial" w:eastAsia="Arial" w:hAnsi="Arial"/>
                <w:sz w:val="17"/>
                <w:szCs w:val="17"/>
                <w:b w:val="1"/>
                <w:bCs w:val="1"/>
                <w:i w:val="1"/>
                <w:iCs w:val="1"/>
                <w:color w:val="auto"/>
                <w:w w:val="87"/>
              </w:rPr>
              <w:t>Unregistered Sales of Equity Securities and Use of Proceeds</w:t>
            </w: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0"/>
              </w:rPr>
              <w:t>Total Number of Shares</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0" w:type="dxa"/>
            <w:vAlign w:val="bottom"/>
            <w:vMerge w:val="restart"/>
          </w:tcPr>
          <w:p>
            <w:pPr>
              <w:jc w:val="right"/>
              <w:ind w:right="134"/>
              <w:spacing w:after="0"/>
              <w:rPr>
                <w:sz w:val="20"/>
                <w:szCs w:val="20"/>
                <w:color w:val="auto"/>
              </w:rPr>
            </w:pPr>
            <w:r>
              <w:rPr>
                <w:rFonts w:ascii="Arial" w:cs="Arial" w:eastAsia="Arial" w:hAnsi="Arial"/>
                <w:sz w:val="17"/>
                <w:szCs w:val="17"/>
                <w:color w:val="auto"/>
              </w:rPr>
              <w:t>Total Number of</w:t>
            </w:r>
          </w:p>
        </w:tc>
        <w:tc>
          <w:tcPr>
            <w:tcW w:w="1200" w:type="dxa"/>
            <w:vAlign w:val="bottom"/>
            <w:vMerge w:val="restart"/>
          </w:tcPr>
          <w:p>
            <w:pPr>
              <w:jc w:val="right"/>
              <w:ind w:right="54"/>
              <w:spacing w:after="0"/>
              <w:rPr>
                <w:sz w:val="20"/>
                <w:szCs w:val="20"/>
                <w:color w:val="auto"/>
              </w:rPr>
            </w:pPr>
            <w:r>
              <w:rPr>
                <w:rFonts w:ascii="Arial" w:cs="Arial" w:eastAsia="Arial" w:hAnsi="Arial"/>
                <w:sz w:val="17"/>
                <w:szCs w:val="17"/>
                <w:color w:val="auto"/>
                <w:w w:val="97"/>
              </w:rPr>
              <w:t>Average Price</w:t>
            </w:r>
          </w:p>
        </w:tc>
        <w:tc>
          <w:tcPr>
            <w:tcW w:w="4580" w:type="dxa"/>
            <w:vAlign w:val="bottom"/>
            <w:gridSpan w:val="2"/>
          </w:tcPr>
          <w:p>
            <w:pPr>
              <w:jc w:val="right"/>
              <w:spacing w:after="0" w:line="167" w:lineRule="exact"/>
              <w:rPr>
                <w:sz w:val="20"/>
                <w:szCs w:val="20"/>
                <w:color w:val="auto"/>
              </w:rPr>
            </w:pPr>
            <w:r>
              <w:rPr>
                <w:rFonts w:ascii="Arial" w:cs="Arial" w:eastAsia="Arial" w:hAnsi="Arial"/>
                <w:sz w:val="17"/>
                <w:szCs w:val="17"/>
                <w:color w:val="auto"/>
                <w:w w:val="95"/>
              </w:rPr>
              <w:t>Purchased as Part of a  Maximum Number of Shares That May</w:t>
            </w: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3160" w:type="dxa"/>
            <w:vAlign w:val="bottom"/>
            <w:vMerge w:val="restart"/>
          </w:tcPr>
          <w:p>
            <w:pPr>
              <w:ind w:left="20"/>
              <w:spacing w:after="0"/>
              <w:rPr>
                <w:sz w:val="20"/>
                <w:szCs w:val="20"/>
                <w:color w:val="auto"/>
              </w:rPr>
            </w:pPr>
            <w:r>
              <w:rPr>
                <w:rFonts w:ascii="Arial" w:cs="Arial" w:eastAsia="Arial" w:hAnsi="Arial"/>
                <w:sz w:val="17"/>
                <w:szCs w:val="17"/>
                <w:color w:val="auto"/>
              </w:rPr>
              <w:t>Date</w:t>
            </w:r>
          </w:p>
        </w:tc>
        <w:tc>
          <w:tcPr>
            <w:tcW w:w="18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820" w:type="dxa"/>
            <w:vAlign w:val="bottom"/>
          </w:tcPr>
          <w:p>
            <w:pPr>
              <w:jc w:val="center"/>
              <w:spacing w:after="0" w:line="167" w:lineRule="exact"/>
              <w:rPr>
                <w:sz w:val="20"/>
                <w:szCs w:val="20"/>
                <w:color w:val="auto"/>
              </w:rPr>
            </w:pPr>
            <w:r>
              <w:rPr>
                <w:rFonts w:ascii="Arial" w:cs="Arial" w:eastAsia="Arial" w:hAnsi="Arial"/>
                <w:sz w:val="17"/>
                <w:szCs w:val="17"/>
                <w:color w:val="auto"/>
                <w:w w:val="95"/>
              </w:rPr>
              <w:t>Publicly Announced</w:t>
            </w:r>
          </w:p>
        </w:tc>
        <w:tc>
          <w:tcPr>
            <w:tcW w:w="2760" w:type="dxa"/>
            <w:vAlign w:val="bottom"/>
          </w:tcPr>
          <w:p>
            <w:pPr>
              <w:jc w:val="right"/>
              <w:ind w:right="34"/>
              <w:spacing w:after="0" w:line="167" w:lineRule="exact"/>
              <w:rPr>
                <w:sz w:val="20"/>
                <w:szCs w:val="20"/>
                <w:color w:val="auto"/>
              </w:rPr>
            </w:pPr>
            <w:r>
              <w:rPr>
                <w:rFonts w:ascii="Arial" w:cs="Arial" w:eastAsia="Arial" w:hAnsi="Arial"/>
                <w:sz w:val="17"/>
                <w:szCs w:val="17"/>
                <w:color w:val="auto"/>
                <w:w w:val="93"/>
              </w:rPr>
              <w:t>Yet Be Purchased Under the Publicly</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800" w:type="dxa"/>
            <w:vAlign w:val="bottom"/>
          </w:tcPr>
          <w:p>
            <w:pPr>
              <w:jc w:val="right"/>
              <w:ind w:right="34"/>
              <w:spacing w:after="0" w:line="219" w:lineRule="exact"/>
              <w:rPr>
                <w:sz w:val="20"/>
                <w:szCs w:val="20"/>
                <w:color w:val="auto"/>
              </w:rPr>
            </w:pPr>
            <w:r>
              <w:rPr>
                <w:rFonts w:ascii="Arial" w:cs="Arial" w:eastAsia="Arial" w:hAnsi="Arial"/>
                <w:sz w:val="17"/>
                <w:szCs w:val="17"/>
                <w:color w:val="auto"/>
              </w:rPr>
              <w:t xml:space="preserve">Shares Purchased </w:t>
            </w:r>
            <w:r>
              <w:rPr>
                <w:rFonts w:ascii="Arial" w:cs="Arial" w:eastAsia="Arial" w:hAnsi="Arial"/>
                <w:sz w:val="22"/>
                <w:szCs w:val="22"/>
                <w:color w:val="auto"/>
                <w:vertAlign w:val="superscript"/>
              </w:rPr>
              <w:t>(1)</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w w:val="91"/>
              </w:rPr>
              <w:t>Paid Per Share</w:t>
            </w:r>
          </w:p>
        </w:tc>
        <w:tc>
          <w:tcPr>
            <w:tcW w:w="1820" w:type="dxa"/>
            <w:vAlign w:val="bottom"/>
          </w:tcPr>
          <w:p>
            <w:pPr>
              <w:jc w:val="center"/>
              <w:spacing w:after="0"/>
              <w:rPr>
                <w:sz w:val="20"/>
                <w:szCs w:val="20"/>
                <w:color w:val="auto"/>
              </w:rPr>
            </w:pPr>
            <w:r>
              <w:rPr>
                <w:rFonts w:ascii="Arial" w:cs="Arial" w:eastAsia="Arial" w:hAnsi="Arial"/>
                <w:sz w:val="17"/>
                <w:szCs w:val="17"/>
                <w:color w:val="auto"/>
                <w:w w:val="88"/>
              </w:rPr>
              <w:t>Plan</w:t>
            </w:r>
          </w:p>
        </w:tc>
        <w:tc>
          <w:tcPr>
            <w:tcW w:w="2760" w:type="dxa"/>
            <w:vAlign w:val="bottom"/>
          </w:tcPr>
          <w:p>
            <w:pPr>
              <w:jc w:val="right"/>
              <w:ind w:right="654"/>
              <w:spacing w:after="0" w:line="219" w:lineRule="exact"/>
              <w:rPr>
                <w:sz w:val="20"/>
                <w:szCs w:val="20"/>
                <w:color w:val="auto"/>
              </w:rPr>
            </w:pPr>
            <w:r>
              <w:rPr>
                <w:rFonts w:ascii="Arial" w:cs="Arial" w:eastAsia="Arial" w:hAnsi="Arial"/>
                <w:sz w:val="17"/>
                <w:szCs w:val="17"/>
                <w:color w:val="auto"/>
              </w:rPr>
              <w:t xml:space="preserve">Announced Plan </w:t>
            </w:r>
            <w:r>
              <w:rPr>
                <w:rFonts w:ascii="Arial" w:cs="Arial" w:eastAsia="Arial" w:hAnsi="Arial"/>
                <w:sz w:val="22"/>
                <w:szCs w:val="22"/>
                <w:color w:val="auto"/>
                <w:vertAlign w:val="superscript"/>
              </w:rPr>
              <w:t>(2)</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October 1, 2021 – October 31, 2021</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63,299</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$46.45</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47,859</w:t>
            </w:r>
          </w:p>
        </w:tc>
        <w:tc>
          <w:tcPr>
            <w:tcW w:w="2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821,761</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7"/>
                <w:szCs w:val="17"/>
                <w:color w:val="auto"/>
              </w:rPr>
              <w:t>November 1, 2021 – November 30, 2021</w:t>
            </w:r>
          </w:p>
        </w:tc>
        <w:tc>
          <w:tcPr>
            <w:tcW w:w="1800" w:type="dxa"/>
            <w:vAlign w:val="bottom"/>
          </w:tcPr>
          <w:p>
            <w:pPr>
              <w:jc w:val="right"/>
              <w:spacing w:after="0"/>
              <w:rPr>
                <w:sz w:val="20"/>
                <w:szCs w:val="20"/>
                <w:color w:val="auto"/>
              </w:rPr>
            </w:pPr>
            <w:r>
              <w:rPr>
                <w:rFonts w:ascii="Arial" w:cs="Arial" w:eastAsia="Arial" w:hAnsi="Arial"/>
                <w:sz w:val="17"/>
                <w:szCs w:val="17"/>
                <w:color w:val="auto"/>
              </w:rPr>
              <w:t>0</w:t>
            </w:r>
          </w:p>
        </w:tc>
        <w:tc>
          <w:tcPr>
            <w:tcW w:w="1200" w:type="dxa"/>
            <w:vAlign w:val="bottom"/>
          </w:tcPr>
          <w:p>
            <w:pPr>
              <w:jc w:val="right"/>
              <w:spacing w:after="0"/>
              <w:rPr>
                <w:sz w:val="20"/>
                <w:szCs w:val="20"/>
                <w:color w:val="auto"/>
              </w:rPr>
            </w:pPr>
            <w:r>
              <w:rPr>
                <w:rFonts w:ascii="Arial" w:cs="Arial" w:eastAsia="Arial" w:hAnsi="Arial"/>
                <w:sz w:val="17"/>
                <w:szCs w:val="17"/>
                <w:color w:val="auto"/>
              </w:rPr>
              <w:t>$0.00</w:t>
            </w:r>
          </w:p>
        </w:tc>
        <w:tc>
          <w:tcPr>
            <w:tcW w:w="1820" w:type="dxa"/>
            <w:vAlign w:val="bottom"/>
          </w:tcPr>
          <w:p>
            <w:pPr>
              <w:jc w:val="right"/>
              <w:spacing w:after="0"/>
              <w:rPr>
                <w:sz w:val="20"/>
                <w:szCs w:val="20"/>
                <w:color w:val="auto"/>
              </w:rPr>
            </w:pPr>
            <w:r>
              <w:rPr>
                <w:rFonts w:ascii="Arial" w:cs="Arial" w:eastAsia="Arial" w:hAnsi="Arial"/>
                <w:sz w:val="17"/>
                <w:szCs w:val="17"/>
                <w:color w:val="auto"/>
              </w:rPr>
              <w:t>0</w:t>
            </w:r>
          </w:p>
        </w:tc>
        <w:tc>
          <w:tcPr>
            <w:tcW w:w="2760" w:type="dxa"/>
            <w:vAlign w:val="bottom"/>
          </w:tcPr>
          <w:p>
            <w:pPr>
              <w:jc w:val="right"/>
              <w:spacing w:after="0"/>
              <w:rPr>
                <w:sz w:val="20"/>
                <w:szCs w:val="20"/>
                <w:color w:val="auto"/>
              </w:rPr>
            </w:pPr>
            <w:r>
              <w:rPr>
                <w:rFonts w:ascii="Arial" w:cs="Arial" w:eastAsia="Arial" w:hAnsi="Arial"/>
                <w:sz w:val="17"/>
                <w:szCs w:val="17"/>
                <w:color w:val="auto"/>
              </w:rPr>
              <w:t>821,761</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1, 2021 – December 31, 2021</w:t>
            </w: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8,556</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$48.46</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8,556</w:t>
            </w:r>
          </w:p>
        </w:tc>
        <w:tc>
          <w:tcPr>
            <w:tcW w:w="2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813,205</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Arial" w:cs="Arial" w:eastAsia="Arial" w:hAnsi="Arial"/>
                <w:sz w:val="17"/>
                <w:szCs w:val="17"/>
                <w:color w:val="auto"/>
              </w:rPr>
              <w:t>Total</w:t>
            </w:r>
          </w:p>
        </w:tc>
        <w:tc>
          <w:tcPr>
            <w:tcW w:w="1800" w:type="dxa"/>
            <w:vAlign w:val="bottom"/>
          </w:tcPr>
          <w:p>
            <w:pPr>
              <w:jc w:val="right"/>
              <w:spacing w:after="0"/>
              <w:rPr>
                <w:sz w:val="20"/>
                <w:szCs w:val="20"/>
                <w:color w:val="auto"/>
              </w:rPr>
            </w:pPr>
            <w:r>
              <w:rPr>
                <w:rFonts w:ascii="Arial" w:cs="Arial" w:eastAsia="Arial" w:hAnsi="Arial"/>
                <w:sz w:val="17"/>
                <w:szCs w:val="17"/>
                <w:color w:val="auto"/>
              </w:rPr>
              <w:t>71,855</w:t>
            </w:r>
          </w:p>
        </w:tc>
        <w:tc>
          <w:tcPr>
            <w:tcW w:w="1200" w:type="dxa"/>
            <w:vAlign w:val="bottom"/>
          </w:tcPr>
          <w:p>
            <w:pPr>
              <w:jc w:val="right"/>
              <w:spacing w:after="0"/>
              <w:rPr>
                <w:sz w:val="20"/>
                <w:szCs w:val="20"/>
                <w:color w:val="auto"/>
              </w:rPr>
            </w:pPr>
            <w:r>
              <w:rPr>
                <w:rFonts w:ascii="Arial" w:cs="Arial" w:eastAsia="Arial" w:hAnsi="Arial"/>
                <w:sz w:val="17"/>
                <w:szCs w:val="17"/>
                <w:color w:val="auto"/>
              </w:rPr>
              <w:t>$46.69</w:t>
            </w:r>
          </w:p>
        </w:tc>
        <w:tc>
          <w:tcPr>
            <w:tcW w:w="1820" w:type="dxa"/>
            <w:vAlign w:val="bottom"/>
          </w:tcPr>
          <w:p>
            <w:pPr>
              <w:jc w:val="right"/>
              <w:spacing w:after="0"/>
              <w:rPr>
                <w:sz w:val="20"/>
                <w:szCs w:val="20"/>
                <w:color w:val="auto"/>
              </w:rPr>
            </w:pPr>
            <w:r>
              <w:rPr>
                <w:rFonts w:ascii="Arial" w:cs="Arial" w:eastAsia="Arial" w:hAnsi="Arial"/>
                <w:sz w:val="17"/>
                <w:szCs w:val="17"/>
                <w:color w:val="auto"/>
              </w:rPr>
              <w:t>56,415</w:t>
            </w:r>
          </w:p>
        </w:tc>
        <w:tc>
          <w:tcPr>
            <w:tcW w:w="2760" w:type="dxa"/>
            <w:vAlign w:val="bottom"/>
          </w:tcPr>
          <w:p>
            <w:pPr>
              <w:jc w:val="right"/>
              <w:spacing w:after="0"/>
              <w:rPr>
                <w:sz w:val="20"/>
                <w:szCs w:val="20"/>
                <w:color w:val="auto"/>
              </w:rPr>
            </w:pPr>
            <w:r>
              <w:rPr>
                <w:rFonts w:ascii="Arial" w:cs="Arial" w:eastAsia="Arial" w:hAnsi="Arial"/>
                <w:sz w:val="17"/>
                <w:szCs w:val="17"/>
                <w:color w:val="auto"/>
              </w:rPr>
              <w:t>813,205</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560" w:hanging="325"/>
        <w:spacing w:after="0"/>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total number of shares purchased includes shares purchased pursuant to the plan described in footnote (2) below.</w:t>
      </w:r>
    </w:p>
    <w:p>
      <w:pPr>
        <w:spacing w:after="0" w:line="58" w:lineRule="exact"/>
        <w:rPr>
          <w:rFonts w:ascii="Arial" w:cs="Arial" w:eastAsia="Arial" w:hAnsi="Arial"/>
          <w:sz w:val="14"/>
          <w:szCs w:val="14"/>
          <w:color w:val="auto"/>
        </w:rPr>
      </w:pPr>
    </w:p>
    <w:p>
      <w:pPr>
        <w:ind w:left="620" w:hanging="385"/>
        <w:spacing w:after="0" w:line="269" w:lineRule="auto"/>
        <w:tabs>
          <w:tab w:leader="none" w:pos="56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2015, our Board authorized a stock repurchase program for the purchase of up to 1.5 million shares of the Company’s common stock from time to time, and on May 2, 2019, authorized the repurchase from time to time of up to an additional 1.0 million shares of the Company’s common stock under the stock repurchase program.</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Defaults Upon Senior Securities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40"/>
          </w:cols>
          <w:pgMar w:left="320" w:top="430" w:right="5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50"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5500" w:type="dxa"/>
            <w:vAlign w:val="bottom"/>
            <w:gridSpan w:val="3"/>
          </w:tcPr>
          <w:p>
            <w:pPr>
              <w:jc w:val="center"/>
              <w:ind w:right="5000"/>
              <w:spacing w:after="0"/>
              <w:rPr>
                <w:sz w:val="20"/>
                <w:szCs w:val="20"/>
                <w:color w:val="auto"/>
              </w:rPr>
            </w:pPr>
            <w:r>
              <w:rPr>
                <w:rFonts w:ascii="Arial" w:cs="Arial" w:eastAsia="Arial" w:hAnsi="Arial"/>
                <w:sz w:val="15"/>
                <w:szCs w:val="15"/>
                <w:b w:val="1"/>
                <w:bCs w:val="1"/>
                <w:color w:val="auto"/>
                <w:w w:val="99"/>
              </w:rPr>
              <w:t>Exhibit</w:t>
            </w:r>
          </w:p>
        </w:tc>
        <w:tc>
          <w:tcPr>
            <w:tcW w:w="7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Description</w:t>
            </w:r>
          </w:p>
        </w:tc>
      </w:tr>
      <w:tr>
        <w:trPr>
          <w:trHeight w:val="135"/>
        </w:trPr>
        <w:tc>
          <w:tcPr>
            <w:tcW w:w="140" w:type="dxa"/>
            <w:vAlign w:val="bottom"/>
          </w:tcPr>
          <w:p>
            <w:pPr>
              <w:spacing w:after="0"/>
              <w:rPr>
                <w:sz w:val="11"/>
                <w:szCs w:val="11"/>
                <w:color w:val="auto"/>
              </w:rPr>
            </w:pPr>
          </w:p>
        </w:tc>
        <w:tc>
          <w:tcPr>
            <w:tcW w:w="5360" w:type="dxa"/>
            <w:vAlign w:val="bottom"/>
            <w:gridSpan w:val="2"/>
          </w:tcPr>
          <w:p>
            <w:pPr>
              <w:jc w:val="center"/>
              <w:ind w:right="5140"/>
              <w:spacing w:after="0" w:line="135" w:lineRule="exact"/>
              <w:rPr>
                <w:sz w:val="20"/>
                <w:szCs w:val="20"/>
                <w:color w:val="auto"/>
              </w:rPr>
            </w:pPr>
            <w:r>
              <w:rPr>
                <w:rFonts w:ascii="Arial" w:cs="Arial" w:eastAsia="Arial" w:hAnsi="Arial"/>
                <w:sz w:val="15"/>
                <w:szCs w:val="15"/>
                <w:b w:val="1"/>
                <w:bCs w:val="1"/>
                <w:color w:val="auto"/>
                <w:w w:val="90"/>
              </w:rPr>
              <w:t>No.</w:t>
            </w:r>
          </w:p>
        </w:tc>
        <w:tc>
          <w:tcPr>
            <w:tcW w:w="760" w:type="dxa"/>
            <w:vAlign w:val="bottom"/>
          </w:tcPr>
          <w:p>
            <w:pPr>
              <w:spacing w:after="0"/>
              <w:rPr>
                <w:sz w:val="11"/>
                <w:szCs w:val="1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294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11" w:lineRule="exact"/>
        <w:rPr>
          <w:sz w:val="20"/>
          <w:szCs w:val="20"/>
          <w:color w:val="auto"/>
        </w:rPr>
      </w:pPr>
    </w:p>
    <w:p>
      <w:pPr>
        <w:ind w:left="1000" w:right="20" w:hanging="420"/>
        <w:spacing w:after="0" w:line="322" w:lineRule="auto"/>
        <w:rPr>
          <w:rFonts w:ascii="Arial" w:cs="Arial" w:eastAsia="Arial" w:hAnsi="Arial"/>
          <w:sz w:val="15"/>
          <w:szCs w:val="15"/>
          <w:u w:val="single" w:color="auto"/>
          <w:color w:val="0000FF"/>
        </w:rPr>
      </w:pPr>
      <w:r>
        <w:rPr>
          <w:rFonts w:ascii="Arial" w:cs="Arial" w:eastAsia="Arial" w:hAnsi="Arial"/>
          <w:sz w:val="14"/>
          <w:szCs w:val="14"/>
          <w:color w:val="auto"/>
        </w:rPr>
        <w:t xml:space="preserve">3.1 — </w:t>
      </w:r>
      <w:hyperlink r:id="rId55">
        <w:r>
          <w:rPr>
            <w:rFonts w:ascii="Arial" w:cs="Arial" w:eastAsia="Arial" w:hAnsi="Arial"/>
            <w:sz w:val="15"/>
            <w:szCs w:val="15"/>
            <w:u w:val="single" w:color="auto"/>
            <w:color w:val="0000FF"/>
          </w:rPr>
          <w:t>Second Amended and Restated Certificate of Incorporation of IES Holdings, Inc., as amended by the Certificate of Amendment thereto, effective</w:t>
        </w:r>
      </w:hyperlink>
      <w:r>
        <w:rPr>
          <w:rFonts w:ascii="Arial" w:cs="Arial" w:eastAsia="Arial" w:hAnsi="Arial"/>
          <w:sz w:val="14"/>
          <w:szCs w:val="14"/>
          <w:color w:val="auto"/>
        </w:rPr>
        <w:t xml:space="preserve"> </w:t>
      </w:r>
      <w:hyperlink r:id="rId55">
        <w:r>
          <w:rPr>
            <w:rFonts w:ascii="Arial" w:cs="Arial" w:eastAsia="Arial" w:hAnsi="Arial"/>
            <w:sz w:val="15"/>
            <w:szCs w:val="15"/>
            <w:u w:val="single" w:color="auto"/>
            <w:color w:val="0000FF"/>
          </w:rPr>
          <w:t>May 24, 2016 (composite). (Incorporated by reference to Exhibit 3.1 to the Company’s Quarterly Report on Form 10-Q filed on August 8, 2016).</w:t>
        </w:r>
      </w:hyperlink>
    </w:p>
    <w:p>
      <w:pPr>
        <w:spacing w:after="0" w:line="1" w:lineRule="exact"/>
        <w:rPr>
          <w:sz w:val="20"/>
          <w:szCs w:val="20"/>
          <w:color w:val="auto"/>
        </w:rPr>
      </w:pPr>
    </w:p>
    <w:p>
      <w:pPr>
        <w:ind w:left="1000" w:right="20" w:hanging="420"/>
        <w:spacing w:after="0" w:line="284"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3.2 — </w:t>
      </w:r>
      <w:hyperlink r:id="rId56">
        <w:r>
          <w:rPr>
            <w:rFonts w:ascii="Arial" w:cs="Arial" w:eastAsia="Arial" w:hAnsi="Arial"/>
            <w:sz w:val="17"/>
            <w:szCs w:val="17"/>
            <w:u w:val="single" w:color="auto"/>
            <w:color w:val="0000FF"/>
          </w:rPr>
          <w:t>Certificate of Designation of Series A Junior Participating Preferred Stock (Incorporated by reference to Exhibit 3.1 to the Company’s Current</w:t>
        </w:r>
      </w:hyperlink>
      <w:r>
        <w:rPr>
          <w:rFonts w:ascii="Arial" w:cs="Arial" w:eastAsia="Arial" w:hAnsi="Arial"/>
          <w:sz w:val="15"/>
          <w:szCs w:val="15"/>
          <w:color w:val="auto"/>
        </w:rPr>
        <w:t xml:space="preserve"> </w:t>
      </w:r>
      <w:hyperlink r:id="rId56">
        <w:r>
          <w:rPr>
            <w:rFonts w:ascii="Arial" w:cs="Arial" w:eastAsia="Arial" w:hAnsi="Arial"/>
            <w:sz w:val="17"/>
            <w:szCs w:val="17"/>
            <w:u w:val="single" w:color="auto"/>
            <w:color w:val="0000FF"/>
          </w:rPr>
          <w:t>Report on Form 8-K filed on January 28,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294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1000" w:right="20" w:hanging="420"/>
        <w:spacing w:after="0" w:line="302" w:lineRule="auto"/>
        <w:rPr>
          <w:rFonts w:ascii="Arial" w:cs="Arial" w:eastAsia="Arial" w:hAnsi="Arial"/>
          <w:sz w:val="16"/>
          <w:szCs w:val="16"/>
          <w:u w:val="single" w:color="auto"/>
          <w:color w:val="0000FF"/>
        </w:rPr>
      </w:pPr>
      <w:r>
        <w:rPr>
          <w:rFonts w:ascii="Arial" w:cs="Arial" w:eastAsia="Arial" w:hAnsi="Arial"/>
          <w:sz w:val="15"/>
          <w:szCs w:val="15"/>
          <w:color w:val="auto"/>
        </w:rPr>
        <w:t xml:space="preserve">3.3 — </w:t>
      </w:r>
      <w:hyperlink r:id="rId58">
        <w:r>
          <w:rPr>
            <w:rFonts w:ascii="Arial" w:cs="Arial" w:eastAsia="Arial" w:hAnsi="Arial"/>
            <w:sz w:val="16"/>
            <w:szCs w:val="16"/>
            <w:u w:val="single" w:color="auto"/>
            <w:color w:val="0000FF"/>
          </w:rPr>
          <w:t>Certificate of Elimination of Series A Junior Participating Preferred Stock of IES Holdings, Inc., as filed with the Secretary of State of the State of</w:t>
        </w:r>
      </w:hyperlink>
      <w:r>
        <w:rPr>
          <w:rFonts w:ascii="Arial" w:cs="Arial" w:eastAsia="Arial" w:hAnsi="Arial"/>
          <w:sz w:val="15"/>
          <w:szCs w:val="15"/>
          <w:color w:val="auto"/>
        </w:rPr>
        <w:t xml:space="preserve"> </w:t>
      </w:r>
      <w:hyperlink r:id="rId58">
        <w:r>
          <w:rPr>
            <w:rFonts w:ascii="Arial" w:cs="Arial" w:eastAsia="Arial" w:hAnsi="Arial"/>
            <w:sz w:val="16"/>
            <w:szCs w:val="16"/>
            <w:u w:val="single" w:color="auto"/>
            <w:color w:val="0000FF"/>
          </w:rPr>
          <w:t>Delaware on May 24, 2021 (Incorporated by reference to Exhibit 3.1 to the Company’s Current Report on Form 8-K filed on May 24, 2021.</w:t>
        </w:r>
      </w:hyperlink>
    </w:p>
    <w:p>
      <w:pPr>
        <w:spacing w:after="0" w:line="1" w:lineRule="exact"/>
        <w:rPr>
          <w:sz w:val="20"/>
          <w:szCs w:val="20"/>
          <w:color w:val="auto"/>
        </w:rPr>
      </w:pPr>
    </w:p>
    <w:p>
      <w:pPr>
        <w:ind w:left="1000" w:right="20" w:hanging="420"/>
        <w:spacing w:after="0" w:line="284"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3.4 — </w:t>
      </w:r>
      <w:hyperlink r:id="rId59">
        <w:r>
          <w:rPr>
            <w:rFonts w:ascii="Arial" w:cs="Arial" w:eastAsia="Arial" w:hAnsi="Arial"/>
            <w:sz w:val="17"/>
            <w:szCs w:val="17"/>
            <w:u w:val="single" w:color="auto"/>
            <w:color w:val="0000FF"/>
          </w:rPr>
          <w:t>Amended and Restated Bylaws of IES Holdings, Inc., effective April 28, 2021. (Incorporated by reference to Exhibit 3.3 to the Company's</w:t>
        </w:r>
      </w:hyperlink>
      <w:r>
        <w:rPr>
          <w:rFonts w:ascii="Arial" w:cs="Arial" w:eastAsia="Arial" w:hAnsi="Arial"/>
          <w:sz w:val="15"/>
          <w:szCs w:val="15"/>
          <w:color w:val="auto"/>
        </w:rPr>
        <w:t xml:space="preserve"> </w:t>
      </w:r>
      <w:hyperlink r:id="rId59">
        <w:r>
          <w:rPr>
            <w:rFonts w:ascii="Arial" w:cs="Arial" w:eastAsia="Arial" w:hAnsi="Arial"/>
            <w:sz w:val="17"/>
            <w:szCs w:val="17"/>
            <w:u w:val="single" w:color="auto"/>
            <w:color w:val="0000FF"/>
          </w:rPr>
          <w:t>Quarterly Report on Form 10-Q filed on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294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580"/>
        <w:spacing w:after="0"/>
        <w:rPr>
          <w:rFonts w:ascii="Arial" w:cs="Arial" w:eastAsia="Arial" w:hAnsi="Arial"/>
          <w:sz w:val="14"/>
          <w:szCs w:val="14"/>
          <w:color w:val="auto"/>
        </w:rPr>
      </w:pPr>
      <w:r>
        <w:rPr>
          <w:rFonts w:ascii="Arial" w:cs="Arial" w:eastAsia="Arial" w:hAnsi="Arial"/>
          <w:sz w:val="14"/>
          <w:szCs w:val="14"/>
          <w:color w:val="auto"/>
        </w:rPr>
        <w:t xml:space="preserve">4.1 — </w:t>
      </w:r>
      <w:hyperlink r:id="rId61">
        <w:r>
          <w:rPr>
            <w:rFonts w:ascii="Arial" w:cs="Arial" w:eastAsia="Arial" w:hAnsi="Arial"/>
            <w:sz w:val="15"/>
            <w:szCs w:val="15"/>
            <w:u w:val="single" w:color="auto"/>
            <w:color w:val="0000FF"/>
          </w:rPr>
          <w:t>Specimen common stock certificate. (Incorporated by reference to Exhibit 4.1 to the Company’s Annual Report on Form 10-K filed on December 9,</w:t>
        </w:r>
      </w:hyperlink>
    </w:p>
    <w:p>
      <w:pPr>
        <w:spacing w:after="0" w:line="53" w:lineRule="exact"/>
        <w:rPr>
          <w:sz w:val="20"/>
          <w:szCs w:val="20"/>
          <w:color w:val="auto"/>
        </w:rPr>
      </w:pPr>
    </w:p>
    <w:p>
      <w:pPr>
        <w:ind w:left="1000"/>
        <w:spacing w:after="0"/>
        <w:rPr>
          <w:rFonts w:ascii="Arial" w:cs="Arial" w:eastAsia="Arial" w:hAnsi="Arial"/>
          <w:sz w:val="17"/>
          <w:szCs w:val="17"/>
          <w:u w:val="single" w:color="auto"/>
          <w:color w:val="0000FF"/>
        </w:rPr>
      </w:pPr>
      <w:hyperlink r:id="rId61">
        <w:r>
          <w:rPr>
            <w:rFonts w:ascii="Arial" w:cs="Arial" w:eastAsia="Arial" w:hAnsi="Arial"/>
            <w:sz w:val="17"/>
            <w:szCs w:val="17"/>
            <w:u w:val="single" w:color="auto"/>
            <w:color w:val="0000FF"/>
          </w:rPr>
          <w:t>2016).</w:t>
        </w:r>
      </w:hyperlink>
    </w:p>
    <w:p>
      <w:pPr>
        <w:spacing w:after="0" w:line="39" w:lineRule="exact"/>
        <w:rPr>
          <w:sz w:val="20"/>
          <w:szCs w:val="20"/>
          <w:color w:val="auto"/>
        </w:rPr>
      </w:pPr>
    </w:p>
    <w:p>
      <w:pPr>
        <w:ind w:left="1000" w:right="160" w:hanging="497"/>
        <w:spacing w:after="0" w:line="226"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10.1 — </w:t>
      </w:r>
      <w:hyperlink r:id="rId62">
        <w:r>
          <w:rPr>
            <w:rFonts w:ascii="Arial" w:cs="Arial" w:eastAsia="Arial" w:hAnsi="Arial"/>
            <w:sz w:val="17"/>
            <w:szCs w:val="17"/>
            <w:u w:val="single" w:color="auto"/>
            <w:color w:val="0000FF"/>
          </w:rPr>
          <w:t>Amendment No. 9 and Joinder to Second Amended and Restated Credit and Security Agreement, dated December 2, 2021, by and among IES</w:t>
        </w:r>
      </w:hyperlink>
      <w:r>
        <w:rPr>
          <w:rFonts w:ascii="Arial" w:cs="Arial" w:eastAsia="Arial" w:hAnsi="Arial"/>
          <w:sz w:val="15"/>
          <w:szCs w:val="15"/>
          <w:color w:val="auto"/>
        </w:rPr>
        <w:t xml:space="preserve"> </w:t>
      </w:r>
      <w:hyperlink r:id="rId62">
        <w:r>
          <w:rPr>
            <w:rFonts w:ascii="Arial" w:cs="Arial" w:eastAsia="Arial" w:hAnsi="Arial"/>
            <w:sz w:val="17"/>
            <w:szCs w:val="17"/>
            <w:u w:val="single" w:color="auto"/>
            <w:color w:val="0000FF"/>
          </w:rPr>
          <w:t>Holdings, Inc., each of the other Borrowers and Guarantors named therein and Wells Fargo Bank, National Association (Incorporated by reference</w:t>
        </w:r>
      </w:hyperlink>
      <w:r>
        <w:rPr>
          <w:rFonts w:ascii="Arial" w:cs="Arial" w:eastAsia="Arial" w:hAnsi="Arial"/>
          <w:sz w:val="17"/>
          <w:szCs w:val="17"/>
          <w:u w:val="single" w:color="auto"/>
          <w:color w:val="0000FF"/>
        </w:rPr>
        <w:t xml:space="preserve"> </w:t>
      </w:r>
      <w:hyperlink r:id="rId62">
        <w:r>
          <w:rPr>
            <w:rFonts w:ascii="Arial" w:cs="Arial" w:eastAsia="Arial" w:hAnsi="Arial"/>
            <w:sz w:val="17"/>
            <w:szCs w:val="17"/>
            <w:u w:val="single" w:color="auto"/>
            <w:color w:val="0000FF"/>
          </w:rPr>
          <w:t>to Exhibit 10.15 to the Company's Annual Report on Form 10-K filed December 3, 2021).</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262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8670" cy="262255"/>
                    </a:xfrm>
                    <a:prstGeom prst="rect">
                      <a:avLst/>
                    </a:prstGeom>
                    <a:noFill/>
                  </pic:spPr>
                </pic:pic>
              </a:graphicData>
            </a:graphic>
          </wp:anchor>
        </w:drawing>
      </w:r>
    </w:p>
    <w:p>
      <w:pPr>
        <w:ind w:left="1000" w:right="580" w:hanging="497"/>
        <w:spacing w:after="0" w:line="248"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10.2 — </w:t>
      </w:r>
      <w:hyperlink r:id="rId64">
        <w:r>
          <w:rPr>
            <w:rFonts w:ascii="Arial" w:cs="Arial" w:eastAsia="Arial" w:hAnsi="Arial"/>
            <w:sz w:val="17"/>
            <w:szCs w:val="17"/>
            <w:u w:val="single" w:color="auto"/>
            <w:color w:val="0000FF"/>
          </w:rPr>
          <w:t>Phantom Stock Unit Award Agreement dated as of December 3, 2021, by and between the Company and Matthew Simmes (Incorporated by</w:t>
        </w:r>
      </w:hyperlink>
      <w:r>
        <w:rPr>
          <w:rFonts w:ascii="Arial" w:cs="Arial" w:eastAsia="Arial" w:hAnsi="Arial"/>
          <w:sz w:val="15"/>
          <w:szCs w:val="15"/>
          <w:color w:val="auto"/>
        </w:rPr>
        <w:t xml:space="preserve"> </w:t>
      </w:r>
      <w:hyperlink r:id="rId64">
        <w:r>
          <w:rPr>
            <w:rFonts w:ascii="Arial" w:cs="Arial" w:eastAsia="Arial" w:hAnsi="Arial"/>
            <w:sz w:val="17"/>
            <w:szCs w:val="17"/>
            <w:u w:val="single" w:color="auto"/>
            <w:color w:val="0000FF"/>
          </w:rPr>
          <w:t>reference to Exhibit 10.2 to the Company’s Current Report on Form 8-K filed on December 3, 2021).</w:t>
        </w:r>
      </w:hyperlink>
    </w:p>
    <w:p>
      <w:pPr>
        <w:spacing w:after="0" w:line="9" w:lineRule="exact"/>
        <w:rPr>
          <w:sz w:val="20"/>
          <w:szCs w:val="20"/>
          <w:color w:val="auto"/>
        </w:rPr>
      </w:pPr>
    </w:p>
    <w:p>
      <w:pPr>
        <w:ind w:left="1000" w:right="60" w:hanging="497"/>
        <w:spacing w:after="0" w:line="248" w:lineRule="auto"/>
        <w:rPr>
          <w:rFonts w:ascii="Arial" w:cs="Arial" w:eastAsia="Arial" w:hAnsi="Arial"/>
          <w:sz w:val="17"/>
          <w:szCs w:val="17"/>
          <w:u w:val="single" w:color="auto"/>
          <w:color w:val="0000FF"/>
        </w:rPr>
      </w:pPr>
      <w:r>
        <w:rPr>
          <w:rFonts w:ascii="Arial" w:cs="Arial" w:eastAsia="Arial" w:hAnsi="Arial"/>
          <w:sz w:val="15"/>
          <w:szCs w:val="15"/>
          <w:color w:val="auto"/>
        </w:rPr>
        <w:t xml:space="preserve">10.3 — </w:t>
      </w:r>
      <w:hyperlink r:id="rId65">
        <w:r>
          <w:rPr>
            <w:rFonts w:ascii="Arial" w:cs="Arial" w:eastAsia="Arial" w:hAnsi="Arial"/>
            <w:sz w:val="17"/>
            <w:szCs w:val="17"/>
            <w:u w:val="single" w:color="auto"/>
            <w:color w:val="0000FF"/>
          </w:rPr>
          <w:t>Phantom Stock Unit Award Agreement dated as of December 1, 2021, by and between the Company and Jeffrey Gendell (Incorporated by reference</w:t>
        </w:r>
      </w:hyperlink>
      <w:r>
        <w:rPr>
          <w:rFonts w:ascii="Arial" w:cs="Arial" w:eastAsia="Arial" w:hAnsi="Arial"/>
          <w:sz w:val="15"/>
          <w:szCs w:val="15"/>
          <w:color w:val="auto"/>
        </w:rPr>
        <w:t xml:space="preserve"> </w:t>
      </w:r>
      <w:hyperlink r:id="rId65">
        <w:r>
          <w:rPr>
            <w:rFonts w:ascii="Arial" w:cs="Arial" w:eastAsia="Arial" w:hAnsi="Arial"/>
            <w:sz w:val="17"/>
            <w:szCs w:val="17"/>
            <w:u w:val="single" w:color="auto"/>
            <w:color w:val="0000FF"/>
          </w:rPr>
          <w:t>to Exhibit 10.3 to the Company’s Current Report on Form 8-K filed on December 3, 2021).</w:t>
        </w:r>
      </w:hyperlink>
    </w:p>
    <w:p>
      <w:pPr>
        <w:ind w:left="500"/>
        <w:spacing w:after="0" w:line="219" w:lineRule="auto"/>
        <w:rPr>
          <w:rFonts w:ascii="Arial" w:cs="Arial" w:eastAsia="Arial" w:hAnsi="Arial"/>
          <w:sz w:val="15"/>
          <w:szCs w:val="15"/>
          <w:color w:val="auto"/>
        </w:rPr>
      </w:pPr>
      <w:r>
        <w:rPr>
          <w:rFonts w:ascii="Arial" w:cs="Arial" w:eastAsia="Arial" w:hAnsi="Arial"/>
          <w:sz w:val="15"/>
          <w:szCs w:val="15"/>
          <w:color w:val="auto"/>
        </w:rPr>
        <w:t xml:space="preserve">31.1 — </w:t>
      </w:r>
      <w:hyperlink w:anchor="page35">
        <w:r>
          <w:rPr>
            <w:rFonts w:ascii="Arial" w:cs="Arial" w:eastAsia="Arial" w:hAnsi="Arial"/>
            <w:sz w:val="17"/>
            <w:szCs w:val="17"/>
            <w:u w:val="single" w:color="auto"/>
            <w:color w:val="0000FF"/>
          </w:rPr>
          <w:t>Rule 13a-14(a)/15d-14(a) Certification of Jeffrey L. Gendell, Chief Executive Officer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8" w:lineRule="auto"/>
        <w:rPr>
          <w:rFonts w:ascii="Arial" w:cs="Arial" w:eastAsia="Arial" w:hAnsi="Arial"/>
          <w:sz w:val="15"/>
          <w:szCs w:val="15"/>
          <w:color w:val="auto"/>
        </w:rPr>
      </w:pPr>
      <w:r>
        <w:rPr>
          <w:rFonts w:ascii="Arial" w:cs="Arial" w:eastAsia="Arial" w:hAnsi="Arial"/>
          <w:sz w:val="15"/>
          <w:szCs w:val="15"/>
          <w:color w:val="auto"/>
        </w:rPr>
        <w:t xml:space="preserve">31.2 — </w:t>
      </w:r>
      <w:hyperlink w:anchor="page36">
        <w:r>
          <w:rPr>
            <w:rFonts w:ascii="Arial" w:cs="Arial" w:eastAsia="Arial" w:hAnsi="Arial"/>
            <w:sz w:val="17"/>
            <w:szCs w:val="17"/>
            <w:u w:val="single" w:color="auto"/>
            <w:color w:val="0000FF"/>
          </w:rPr>
          <w:t>Rule 13a-14(a)/15d-14(a) Certification of Tracy A. McLauchlin, Senior Vice President, Chief Financial Officer and Treasurer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500"/>
        <w:spacing w:after="0" w:line="207" w:lineRule="auto"/>
        <w:rPr>
          <w:rFonts w:ascii="Arial" w:cs="Arial" w:eastAsia="Arial" w:hAnsi="Arial"/>
          <w:sz w:val="15"/>
          <w:szCs w:val="15"/>
          <w:color w:val="auto"/>
        </w:rPr>
      </w:pPr>
      <w:r>
        <w:rPr>
          <w:rFonts w:ascii="Arial" w:cs="Arial" w:eastAsia="Arial" w:hAnsi="Arial"/>
          <w:sz w:val="15"/>
          <w:szCs w:val="15"/>
          <w:color w:val="auto"/>
        </w:rPr>
        <w:t xml:space="preserve">32.1 — </w:t>
      </w:r>
      <w:hyperlink w:anchor="page37">
        <w:r>
          <w:rPr>
            <w:rFonts w:ascii="Arial" w:cs="Arial" w:eastAsia="Arial" w:hAnsi="Arial"/>
            <w:sz w:val="17"/>
            <w:szCs w:val="17"/>
            <w:u w:val="single" w:color="auto"/>
            <w:color w:val="0000FF"/>
          </w:rPr>
          <w:t>Section 1350 Certification of Jeffrey L. Gendell, Chief Executive Officer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(2)</w:t>
      </w:r>
    </w:p>
    <w:p>
      <w:pPr>
        <w:ind w:left="500"/>
        <w:spacing w:after="0" w:line="219" w:lineRule="auto"/>
        <w:rPr>
          <w:rFonts w:ascii="Arial" w:cs="Arial" w:eastAsia="Arial" w:hAnsi="Arial"/>
          <w:sz w:val="15"/>
          <w:szCs w:val="15"/>
          <w:color w:val="auto"/>
        </w:rPr>
      </w:pPr>
      <w:r>
        <w:rPr>
          <w:rFonts w:ascii="Arial" w:cs="Arial" w:eastAsia="Arial" w:hAnsi="Arial"/>
          <w:sz w:val="15"/>
          <w:szCs w:val="15"/>
          <w:color w:val="auto"/>
        </w:rPr>
        <w:t xml:space="preserve">32.2 — </w:t>
      </w:r>
      <w:hyperlink w:anchor="page38">
        <w:r>
          <w:rPr>
            <w:rFonts w:ascii="Arial" w:cs="Arial" w:eastAsia="Arial" w:hAnsi="Arial"/>
            <w:sz w:val="17"/>
            <w:szCs w:val="17"/>
            <w:u w:val="single" w:color="auto"/>
            <w:color w:val="0000FF"/>
          </w:rPr>
          <w:t>Section 1350 Certification of Tracy A. McLauchlin, Senior Vice President, Chief Financial Officer and Treasurer</w:t>
        </w:r>
        <w:r>
          <w:rPr>
            <w:rFonts w:ascii="Arial" w:cs="Arial" w:eastAsia="Arial" w:hAnsi="Arial"/>
            <w:sz w:val="15"/>
            <w:szCs w:val="15"/>
            <w:u w:val="single" w:color="auto"/>
            <w:color w:val="auto"/>
          </w:rPr>
          <w:t xml:space="preserve"> </w:t>
        </w:r>
      </w:hyperlink>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7138670" cy="294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ind w:left="1000" w:right="20" w:hanging="611"/>
        <w:spacing w:after="0" w:line="242" w:lineRule="auto"/>
        <w:rPr>
          <w:sz w:val="20"/>
          <w:szCs w:val="20"/>
          <w:color w:val="auto"/>
        </w:rPr>
      </w:pPr>
      <w:r>
        <w:rPr>
          <w:rFonts w:ascii="Arial" w:cs="Arial" w:eastAsia="Arial" w:hAnsi="Arial"/>
          <w:sz w:val="17"/>
          <w:szCs w:val="17"/>
          <w:color w:val="auto"/>
        </w:rPr>
        <w:t xml:space="preserve">101.INS Inline XBRL Instance Document - the instance document does not appear in the Interactive Data File because its XBRL tags are embedded within the Inline XBRL document </w:t>
      </w:r>
      <w:r>
        <w:rPr>
          <w:rFonts w:ascii="Arial" w:cs="Arial" w:eastAsia="Arial" w:hAnsi="Arial"/>
          <w:sz w:val="22"/>
          <w:szCs w:val="22"/>
          <w:color w:val="auto"/>
          <w:vertAlign w:val="superscript"/>
        </w:rPr>
        <w:t>(1)</w:t>
      </w:r>
    </w:p>
    <w:p>
      <w:pPr>
        <w:ind w:left="340"/>
        <w:spacing w:after="0" w:line="208" w:lineRule="auto"/>
        <w:rPr>
          <w:sz w:val="20"/>
          <w:szCs w:val="20"/>
          <w:color w:val="auto"/>
        </w:rPr>
      </w:pPr>
      <w:r>
        <w:rPr>
          <w:rFonts w:ascii="Arial" w:cs="Arial" w:eastAsia="Arial" w:hAnsi="Arial"/>
          <w:sz w:val="17"/>
          <w:szCs w:val="17"/>
          <w:color w:val="auto"/>
        </w:rPr>
        <w:t xml:space="preserve">101.SCH XBRL Schema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20"/>
        <w:spacing w:after="0" w:line="208" w:lineRule="auto"/>
        <w:rPr>
          <w:sz w:val="20"/>
          <w:szCs w:val="20"/>
          <w:color w:val="auto"/>
        </w:rPr>
      </w:pPr>
      <w:r>
        <w:rPr>
          <w:rFonts w:ascii="Arial" w:cs="Arial" w:eastAsia="Arial" w:hAnsi="Arial"/>
          <w:sz w:val="17"/>
          <w:szCs w:val="17"/>
          <w:color w:val="auto"/>
        </w:rPr>
        <w:t xml:space="preserve">101.LAB XBRL Label Linkbase Document </w:t>
      </w:r>
      <w:r>
        <w:rPr>
          <w:rFonts w:ascii="Arial" w:cs="Arial" w:eastAsia="Arial" w:hAnsi="Arial"/>
          <w:sz w:val="22"/>
          <w:szCs w:val="22"/>
          <w:color w:val="auto"/>
          <w:vertAlign w:val="superscript"/>
        </w:rPr>
        <w:t>(1)</w:t>
      </w:r>
    </w:p>
    <w:p>
      <w:pPr>
        <w:ind w:left="360"/>
        <w:spacing w:after="0" w:line="208" w:lineRule="auto"/>
        <w:rPr>
          <w:sz w:val="20"/>
          <w:szCs w:val="20"/>
          <w:color w:val="auto"/>
        </w:rPr>
      </w:pPr>
      <w:r>
        <w:rPr>
          <w:rFonts w:ascii="Arial" w:cs="Arial" w:eastAsia="Arial" w:hAnsi="Arial"/>
          <w:sz w:val="17"/>
          <w:szCs w:val="17"/>
          <w:color w:val="auto"/>
        </w:rPr>
        <w:t xml:space="preserve">101.PRE XBRL Presentation Linkbase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340"/>
        <w:spacing w:after="0" w:line="208" w:lineRule="auto"/>
        <w:rPr>
          <w:sz w:val="20"/>
          <w:szCs w:val="20"/>
          <w:color w:val="auto"/>
        </w:rPr>
      </w:pPr>
      <w:r>
        <w:rPr>
          <w:rFonts w:ascii="Arial" w:cs="Arial" w:eastAsia="Arial" w:hAnsi="Arial"/>
          <w:sz w:val="17"/>
          <w:szCs w:val="17"/>
          <w:color w:val="auto"/>
        </w:rPr>
        <w:t xml:space="preserve">101.DEF XBRL Definition Linkbase Document </w:t>
      </w:r>
      <w:r>
        <w:rPr>
          <w:rFonts w:ascii="Arial" w:cs="Arial" w:eastAsia="Arial" w:hAnsi="Arial"/>
          <w:sz w:val="22"/>
          <w:szCs w:val="22"/>
          <w:color w:val="auto"/>
          <w:vertAlign w:val="superscript"/>
        </w:rPr>
        <w:t>(1)</w:t>
      </w:r>
    </w:p>
    <w:p>
      <w:pPr>
        <w:ind w:left="320"/>
        <w:spacing w:after="0" w:line="218" w:lineRule="auto"/>
        <w:rPr>
          <w:sz w:val="20"/>
          <w:szCs w:val="20"/>
          <w:color w:val="auto"/>
        </w:rPr>
      </w:pPr>
      <w:r>
        <w:rPr>
          <w:rFonts w:ascii="Arial" w:cs="Arial" w:eastAsia="Arial" w:hAnsi="Arial"/>
          <w:sz w:val="17"/>
          <w:szCs w:val="17"/>
          <w:color w:val="auto"/>
        </w:rPr>
        <w:t xml:space="preserve">101.CAL XBRL Calculation Linkbase Document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245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ind w:left="1000" w:right="600" w:hanging="291"/>
        <w:spacing w:after="0" w:line="227" w:lineRule="auto"/>
        <w:rPr>
          <w:sz w:val="20"/>
          <w:szCs w:val="20"/>
          <w:color w:val="auto"/>
        </w:rPr>
      </w:pPr>
      <w:r>
        <w:rPr>
          <w:rFonts w:ascii="Arial" w:cs="Arial" w:eastAsia="Arial" w:hAnsi="Arial"/>
          <w:sz w:val="17"/>
          <w:szCs w:val="17"/>
          <w:color w:val="auto"/>
        </w:rPr>
        <w:t>104 Cover Page Interactive Data File - the cover page interactive data file does not appear in the Interactive Data File because its XBRL tags are embedded within the Inline XBRL document</w:t>
      </w:r>
    </w:p>
    <w:p>
      <w:pPr>
        <w:spacing w:after="0" w:line="248" w:lineRule="exact"/>
        <w:rPr>
          <w:sz w:val="20"/>
          <w:szCs w:val="20"/>
          <w:color w:val="auto"/>
        </w:rPr>
      </w:pPr>
    </w:p>
    <w:p>
      <w:pPr>
        <w:ind w:left="1000" w:hanging="234"/>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3" w:lineRule="exact"/>
        <w:rPr>
          <w:rFonts w:ascii="Arial" w:cs="Arial" w:eastAsia="Arial" w:hAnsi="Arial"/>
          <w:sz w:val="17"/>
          <w:szCs w:val="17"/>
          <w:color w:val="auto"/>
        </w:rPr>
      </w:pPr>
    </w:p>
    <w:p>
      <w:pPr>
        <w:ind w:left="1000" w:hanging="234"/>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Management contract or compensatory plan or arrangement.</w:t>
      </w:r>
    </w:p>
    <w:p>
      <w:pPr>
        <w:spacing w:after="0" w:line="1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Amendment No. 9 and Joinder to Second Amended and Restated Credit and Security Agreement, dated December 2, 2021, by and among IES Holdings, Inc., each of the other Borrowers and Guarantors named therein and Wells Fargo Bank, National Association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February 2, 2022.</w:t>
      </w:r>
    </w:p>
    <w:p>
      <w:pPr>
        <w:spacing w:after="0" w:line="223"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IES HOLDINGS, INC.</w:t>
      </w:r>
    </w:p>
    <w:p>
      <w:pPr>
        <w:spacing w:after="0" w:line="200" w:lineRule="exact"/>
        <w:rPr>
          <w:sz w:val="20"/>
          <w:szCs w:val="20"/>
          <w:color w:val="auto"/>
        </w:rPr>
      </w:pPr>
    </w:p>
    <w:p>
      <w:pPr>
        <w:spacing w:after="0" w:line="320" w:lineRule="exact"/>
        <w:rPr>
          <w:sz w:val="20"/>
          <w:szCs w:val="20"/>
          <w:color w:val="auto"/>
        </w:rPr>
      </w:pPr>
    </w:p>
    <w:tbl>
      <w:tblPr>
        <w:tblLayout w:type="fixed"/>
        <w:tblInd w:w="5000" w:type="dxa"/>
        <w:tblCellMar>
          <w:top w:w="0" w:type="dxa"/>
          <w:left w:w="0" w:type="dxa"/>
          <w:bottom w:w="0" w:type="dxa"/>
          <w:right w:w="0" w:type="dxa"/>
        </w:tblCellMar>
      </w:tblPr>
      <w:tr>
        <w:trPr>
          <w:trHeight w:val="218"/>
        </w:trPr>
        <w:tc>
          <w:tcPr>
            <w:tcW w:w="400" w:type="dxa"/>
            <w:vAlign w:val="bottom"/>
          </w:tcPr>
          <w:p>
            <w:pPr>
              <w:spacing w:after="0"/>
              <w:rPr>
                <w:sz w:val="20"/>
                <w:szCs w:val="20"/>
                <w:color w:val="auto"/>
              </w:rPr>
            </w:pPr>
            <w:r>
              <w:rPr>
                <w:rFonts w:ascii="Arial" w:cs="Arial" w:eastAsia="Arial" w:hAnsi="Arial"/>
                <w:sz w:val="17"/>
                <w:szCs w:val="17"/>
                <w:color w:val="auto"/>
              </w:rPr>
              <w:t>By:</w:t>
            </w: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TRACY A. MCLAUCHLIN</w:t>
            </w:r>
          </w:p>
        </w:tc>
      </w:tr>
      <w:tr>
        <w:trPr>
          <w:trHeight w:val="211"/>
        </w:trPr>
        <w:tc>
          <w:tcPr>
            <w:tcW w:w="400" w:type="dxa"/>
            <w:vAlign w:val="bottom"/>
          </w:tcPr>
          <w:p>
            <w:pPr>
              <w:spacing w:after="0"/>
              <w:rPr>
                <w:sz w:val="18"/>
                <w:szCs w:val="18"/>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6"/>
              </w:rPr>
              <w:t>Tracy A. McLauchlin</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2"/>
              </w:rPr>
              <w:t>Senior Vice President, Chief Financial Officer and Treasurer</w:t>
            </w:r>
          </w:p>
        </w:tc>
      </w:tr>
      <w:tr>
        <w:trPr>
          <w:trHeight w:val="219"/>
        </w:trPr>
        <w:tc>
          <w:tcPr>
            <w:tcW w:w="40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Arial" w:cs="Arial" w:eastAsia="Arial" w:hAnsi="Arial"/>
                <w:sz w:val="17"/>
                <w:szCs w:val="17"/>
                <w:color w:val="auto"/>
                <w:w w:val="94"/>
              </w:rPr>
              <w:t>(Principal Financial Officer and Authorized Signatory)</w:t>
            </w:r>
          </w:p>
        </w:tc>
      </w:tr>
      <w:tr>
        <w:trPr>
          <w:trHeight w:val="941"/>
        </w:trPr>
        <w:tc>
          <w:tcPr>
            <w:tcW w:w="400" w:type="dxa"/>
            <w:vAlign w:val="bottom"/>
          </w:tcPr>
          <w:p>
            <w:pPr>
              <w:spacing w:after="0"/>
              <w:rPr>
                <w:sz w:val="24"/>
                <w:szCs w:val="24"/>
                <w:color w:val="auto"/>
              </w:rPr>
            </w:pPr>
          </w:p>
        </w:tc>
        <w:tc>
          <w:tcPr>
            <w:tcW w:w="4880" w:type="dxa"/>
            <w:vAlign w:val="bottom"/>
          </w:tcPr>
          <w:p>
            <w:pPr>
              <w:jc w:val="right"/>
              <w:ind w:right="4494"/>
              <w:spacing w:after="0"/>
              <w:rPr>
                <w:sz w:val="20"/>
                <w:szCs w:val="20"/>
                <w:color w:val="auto"/>
              </w:rPr>
            </w:pPr>
            <w:r>
              <w:rPr>
                <w:rFonts w:ascii="Arial" w:cs="Arial" w:eastAsia="Arial" w:hAnsi="Arial"/>
                <w:sz w:val="17"/>
                <w:szCs w:val="17"/>
                <w:color w:val="auto"/>
              </w:rPr>
              <w:t>34</w:t>
            </w:r>
          </w:p>
        </w:tc>
      </w:tr>
    </w:tbl>
    <w:p>
      <w:pPr>
        <w:sectPr>
          <w:pgSz w:w="11900" w:h="16838" w:orient="portrait"/>
          <w:cols w:equalWidth="0" w:num="1">
            <w:col w:w="11240"/>
          </w:cols>
          <w:pgMar w:left="320" w:top="43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IES Holdings, Inc.;</w:t>
      </w:r>
    </w:p>
    <w:p>
      <w:pPr>
        <w:spacing w:after="0" w:line="139" w:lineRule="exact"/>
        <w:rPr>
          <w:rFonts w:ascii="Arial" w:cs="Arial" w:eastAsia="Arial" w:hAnsi="Arial"/>
          <w:sz w:val="17"/>
          <w:szCs w:val="17"/>
          <w:color w:val="auto"/>
        </w:rPr>
      </w:pPr>
    </w:p>
    <w:p>
      <w:pPr>
        <w:ind w:firstLine="232"/>
        <w:spacing w:after="0" w:line="312" w:lineRule="auto"/>
        <w:tabs>
          <w:tab w:leader="none" w:pos="403"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firstLine="257"/>
        <w:spacing w:after="0" w:line="279" w:lineRule="auto"/>
        <w:tabs>
          <w:tab w:leader="none" w:pos="434" w:val="left"/>
        </w:tabs>
        <w:numPr>
          <w:ilvl w:val="2"/>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7"/>
          <w:szCs w:val="17"/>
          <w:color w:val="auto"/>
        </w:rPr>
      </w:pPr>
    </w:p>
    <w:p>
      <w:pPr>
        <w:jc w:val="both"/>
        <w:ind w:firstLine="268"/>
        <w:spacing w:after="0" w:line="266" w:lineRule="auto"/>
        <w:tabs>
          <w:tab w:leader="none" w:pos="443" w:val="left"/>
        </w:tabs>
        <w:numPr>
          <w:ilvl w:val="3"/>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sz w:val="20"/>
          <w:szCs w:val="20"/>
          <w:color w:val="auto"/>
        </w:rPr>
      </w:pPr>
    </w:p>
    <w:p>
      <w:pPr>
        <w:jc w:val="both"/>
        <w:ind w:firstLine="263"/>
        <w:spacing w:after="0" w:line="266" w:lineRule="auto"/>
        <w:tabs>
          <w:tab w:leader="none" w:pos="503"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firstLine="282"/>
        <w:spacing w:after="0" w:line="266" w:lineRule="auto"/>
        <w:tabs>
          <w:tab w:leader="none" w:pos="535" w:val="left"/>
        </w:tabs>
        <w:numPr>
          <w:ilvl w:val="2"/>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7"/>
          <w:szCs w:val="17"/>
          <w:color w:val="auto"/>
        </w:rPr>
      </w:pPr>
    </w:p>
    <w:p>
      <w:pPr>
        <w:ind w:firstLine="235"/>
        <w:spacing w:after="0" w:line="279" w:lineRule="auto"/>
        <w:tabs>
          <w:tab w:leader="none" w:pos="4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7"/>
          <w:szCs w:val="17"/>
          <w:color w:val="auto"/>
        </w:rPr>
      </w:pPr>
    </w:p>
    <w:p>
      <w:pPr>
        <w:jc w:val="both"/>
        <w:ind w:firstLine="309"/>
        <w:spacing w:after="0" w:line="266" w:lineRule="auto"/>
        <w:tabs>
          <w:tab w:leader="none" w:pos="567" w:val="left"/>
        </w:tabs>
        <w:numPr>
          <w:ilvl w:val="3"/>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sz w:val="20"/>
          <w:szCs w:val="20"/>
          <w:color w:val="auto"/>
        </w:rPr>
      </w:pPr>
    </w:p>
    <w:p>
      <w:pPr>
        <w:ind w:firstLine="342"/>
        <w:spacing w:after="0" w:line="279" w:lineRule="auto"/>
        <w:tabs>
          <w:tab w:leader="none" w:pos="5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sz w:val="20"/>
          <w:szCs w:val="20"/>
          <w:color w:val="auto"/>
        </w:rPr>
      </w:pPr>
    </w:p>
    <w:p>
      <w:pPr>
        <w:ind w:firstLine="282"/>
        <w:spacing w:after="0" w:line="279" w:lineRule="auto"/>
        <w:tabs>
          <w:tab w:leader="none" w:pos="5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firstLine="308"/>
        <w:spacing w:after="0" w:line="279" w:lineRule="auto"/>
        <w:tabs>
          <w:tab w:leader="none" w:pos="55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 2022</w:t>
      </w:r>
    </w:p>
    <w:p>
      <w:pPr>
        <w:spacing w:after="0" w:line="191" w:lineRule="exact"/>
        <w:rPr>
          <w:sz w:val="20"/>
          <w:szCs w:val="20"/>
          <w:color w:val="auto"/>
        </w:rPr>
      </w:pPr>
    </w:p>
    <w:p>
      <w:pPr>
        <w:jc w:val="center"/>
        <w:ind w:left="528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31115</wp:posOffset>
            </wp:positionV>
            <wp:extent cx="37166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Arial" w:cs="Arial" w:eastAsia="Arial" w:hAnsi="Arial"/>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Arial" w:cs="Arial" w:eastAsia="Arial" w:hAnsi="Arial"/>
          <w:sz w:val="17"/>
          <w:szCs w:val="17"/>
          <w:color w:val="auto"/>
        </w:rPr>
        <w:t>Chief Executive Officer as Principal Executive Officer</w:t>
      </w:r>
    </w:p>
    <w:p>
      <w:pPr>
        <w:sectPr>
          <w:pgSz w:w="11900" w:h="16838" w:orient="portrait"/>
          <w:cols w:equalWidth="0" w:num="1">
            <w:col w:w="11240"/>
          </w:cols>
          <w:pgMar w:left="320" w:top="128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IES Holdings, Inc.;</w:t>
      </w:r>
    </w:p>
    <w:p>
      <w:pPr>
        <w:spacing w:after="0" w:line="139" w:lineRule="exact"/>
        <w:rPr>
          <w:rFonts w:ascii="Arial" w:cs="Arial" w:eastAsia="Arial" w:hAnsi="Arial"/>
          <w:sz w:val="17"/>
          <w:szCs w:val="17"/>
          <w:color w:val="auto"/>
        </w:rPr>
      </w:pPr>
    </w:p>
    <w:p>
      <w:pPr>
        <w:ind w:firstLine="232"/>
        <w:spacing w:after="0" w:line="312" w:lineRule="auto"/>
        <w:tabs>
          <w:tab w:leader="none" w:pos="403" w:val="left"/>
        </w:tabs>
        <w:numPr>
          <w:ilvl w:val="1"/>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6"/>
          <w:szCs w:val="16"/>
          <w:color w:val="auto"/>
        </w:rPr>
      </w:pPr>
    </w:p>
    <w:p>
      <w:pPr>
        <w:ind w:firstLine="257"/>
        <w:spacing w:after="0" w:line="279" w:lineRule="auto"/>
        <w:tabs>
          <w:tab w:leader="none" w:pos="434" w:val="left"/>
        </w:tabs>
        <w:numPr>
          <w:ilvl w:val="2"/>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Arial" w:cs="Arial" w:eastAsia="Arial" w:hAnsi="Arial"/>
          <w:sz w:val="17"/>
          <w:szCs w:val="17"/>
          <w:color w:val="auto"/>
        </w:rPr>
      </w:pPr>
    </w:p>
    <w:p>
      <w:pPr>
        <w:jc w:val="both"/>
        <w:ind w:firstLine="268"/>
        <w:spacing w:after="0" w:line="266" w:lineRule="auto"/>
        <w:tabs>
          <w:tab w:leader="none" w:pos="443" w:val="left"/>
        </w:tabs>
        <w:numPr>
          <w:ilvl w:val="3"/>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Arial" w:cs="Arial" w:eastAsia="Arial" w:hAnsi="Arial"/>
          <w:sz w:val="17"/>
          <w:szCs w:val="17"/>
          <w:color w:val="auto"/>
        </w:rPr>
      </w:pPr>
    </w:p>
    <w:p>
      <w:pPr>
        <w:jc w:val="both"/>
        <w:ind w:left="40" w:firstLine="255"/>
        <w:spacing w:after="0" w:line="266" w:lineRule="auto"/>
        <w:tabs>
          <w:tab w:leader="none" w:pos="534" w:val="left"/>
        </w:tabs>
        <w:numPr>
          <w:ilvl w:val="4"/>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40" w:firstLine="274"/>
        <w:spacing w:after="0" w:line="266" w:lineRule="auto"/>
        <w:tabs>
          <w:tab w:leader="none" w:pos="567" w:val="left"/>
        </w:tabs>
        <w:numPr>
          <w:ilvl w:val="5"/>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sz w:val="20"/>
          <w:szCs w:val="20"/>
          <w:color w:val="auto"/>
        </w:rPr>
      </w:pPr>
    </w:p>
    <w:p>
      <w:pPr>
        <w:ind w:left="40" w:firstLine="226"/>
        <w:spacing w:after="0" w:line="279"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7"/>
          <w:szCs w:val="17"/>
          <w:color w:val="auto"/>
        </w:rPr>
      </w:pPr>
    </w:p>
    <w:p>
      <w:pPr>
        <w:jc w:val="both"/>
        <w:ind w:left="40" w:firstLine="300"/>
        <w:spacing w:after="0" w:line="266" w:lineRule="auto"/>
        <w:tabs>
          <w:tab w:leader="none" w:pos="598"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5" w:lineRule="exact"/>
        <w:rPr>
          <w:sz w:val="20"/>
          <w:szCs w:val="20"/>
          <w:color w:val="auto"/>
        </w:rPr>
      </w:pPr>
    </w:p>
    <w:p>
      <w:pPr>
        <w:ind w:firstLine="342"/>
        <w:spacing w:after="0" w:line="279" w:lineRule="auto"/>
        <w:tabs>
          <w:tab w:leader="none" w:pos="53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sz w:val="20"/>
          <w:szCs w:val="20"/>
          <w:color w:val="auto"/>
        </w:rPr>
      </w:pPr>
    </w:p>
    <w:p>
      <w:pPr>
        <w:ind w:left="40" w:firstLine="274"/>
        <w:spacing w:after="0" w:line="279" w:lineRule="auto"/>
        <w:tabs>
          <w:tab w:leader="none" w:pos="5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7"/>
          <w:szCs w:val="17"/>
          <w:color w:val="auto"/>
        </w:rPr>
      </w:pPr>
    </w:p>
    <w:p>
      <w:pPr>
        <w:ind w:left="40" w:firstLine="299"/>
        <w:spacing w:after="0" w:line="279" w:lineRule="auto"/>
        <w:tabs>
          <w:tab w:leader="none" w:pos="588"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 2022</w:t>
      </w:r>
    </w:p>
    <w:p>
      <w:pPr>
        <w:spacing w:after="0" w:line="178"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14605</wp:posOffset>
            </wp:positionV>
            <wp:extent cx="34956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2"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as Principal Financial Officer</w:t>
      </w:r>
    </w:p>
    <w:p>
      <w:pPr>
        <w:sectPr>
          <w:pgSz w:w="11900" w:h="16838" w:orient="portrait"/>
          <w:cols w:equalWidth="0" w:num="1">
            <w:col w:w="11240"/>
          </w:cols>
          <w:pgMar w:left="320" w:top="1075" w:right="339" w:bottom="1440" w:gutter="0" w:footer="0" w:header="0"/>
        </w:sectPr>
      </w:pPr>
    </w:p>
    <w:bookmarkStart w:id="36" w:name="page37"/>
    <w:bookmarkEnd w:id="36"/>
    <w:p>
      <w:pPr>
        <w:ind w:left="10360"/>
        <w:spacing w:after="0"/>
        <w:rPr>
          <w:sz w:val="20"/>
          <w:szCs w:val="20"/>
          <w:color w:val="auto"/>
        </w:rPr>
      </w:pPr>
      <w:r>
        <w:rPr>
          <w:rFonts w:ascii="Arial" w:cs="Arial" w:eastAsia="Arial" w:hAnsi="Arial"/>
          <w:sz w:val="15"/>
          <w:szCs w:val="15"/>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33"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In connection with this Quarterly Report of IES Holdings, Inc. (the “Company”) on Form 10-Q for the period ending December 31, 2021 (the “Report”), I, Jeffrey L. Gendell, Chief Executive Officer of the Company, certify, pursuant to 18 U.S.C. § 1350, as adopted pursuant to § 906 of the Sarbanes-Oxley Act of 2002, that:</w:t>
      </w:r>
    </w:p>
    <w:p>
      <w:pPr>
        <w:spacing w:after="0" w:line="388"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6"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p>
      <w:pPr>
        <w:ind w:left="1260"/>
        <w:spacing w:after="0"/>
        <w:tabs>
          <w:tab w:leader="none" w:pos="5920" w:val="left"/>
          <w:tab w:leader="none" w:pos="8360" w:val="left"/>
        </w:tabs>
        <w:rPr>
          <w:sz w:val="20"/>
          <w:szCs w:val="20"/>
          <w:color w:val="auto"/>
        </w:rPr>
      </w:pPr>
      <w:r>
        <w:rPr>
          <w:rFonts w:ascii="Arial" w:cs="Arial" w:eastAsia="Arial" w:hAnsi="Arial"/>
          <w:sz w:val="17"/>
          <w:szCs w:val="17"/>
          <w:color w:val="auto"/>
        </w:rPr>
        <w:t>Date: February 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2613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3261360" cy="8255"/>
                    </a:xfrm>
                    <a:prstGeom prst="rect">
                      <a:avLst/>
                    </a:prstGeom>
                    <a:noFill/>
                  </pic:spPr>
                </pic:pic>
              </a:graphicData>
            </a:graphic>
          </wp:anchor>
        </w:drawing>
      </w:r>
    </w:p>
    <w:p>
      <w:pPr>
        <w:spacing w:after="0" w:line="17" w:lineRule="exact"/>
        <w:rPr>
          <w:sz w:val="20"/>
          <w:szCs w:val="20"/>
          <w:color w:val="auto"/>
        </w:rPr>
      </w:pPr>
    </w:p>
    <w:p>
      <w:pPr>
        <w:jc w:val="center"/>
        <w:ind w:left="7420"/>
        <w:spacing w:after="0"/>
        <w:rPr>
          <w:sz w:val="20"/>
          <w:szCs w:val="20"/>
          <w:color w:val="auto"/>
        </w:rPr>
      </w:pPr>
      <w:r>
        <w:rPr>
          <w:rFonts w:ascii="Arial" w:cs="Arial" w:eastAsia="Arial" w:hAnsi="Arial"/>
          <w:sz w:val="17"/>
          <w:szCs w:val="17"/>
          <w:color w:val="auto"/>
        </w:rPr>
        <w:t>Jeffrey L. Gendell</w:t>
      </w:r>
    </w:p>
    <w:p>
      <w:pPr>
        <w:spacing w:after="0" w:line="37" w:lineRule="exact"/>
        <w:rPr>
          <w:sz w:val="20"/>
          <w:szCs w:val="20"/>
          <w:color w:val="auto"/>
        </w:rPr>
      </w:pPr>
    </w:p>
    <w:p>
      <w:pPr>
        <w:jc w:val="center"/>
        <w:ind w:left="7460"/>
        <w:spacing w:after="0"/>
        <w:rPr>
          <w:sz w:val="20"/>
          <w:szCs w:val="20"/>
          <w:color w:val="auto"/>
        </w:rPr>
      </w:pPr>
      <w:r>
        <w:rPr>
          <w:rFonts w:ascii="Arial" w:cs="Arial" w:eastAsia="Arial" w:hAnsi="Arial"/>
          <w:sz w:val="16"/>
          <w:szCs w:val="16"/>
          <w:color w:val="auto"/>
        </w:rPr>
        <w:t>Chief Executive Officer as Principal Executive Officer</w:t>
      </w:r>
    </w:p>
    <w:p>
      <w:pPr>
        <w:sectPr>
          <w:pgSz w:w="11900" w:h="16838" w:orient="portrait"/>
          <w:cols w:equalWidth="0" w:num="1">
            <w:col w:w="11240"/>
          </w:cols>
          <w:pgMar w:left="320" w:top="104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connection with this Quarterly Report of IES Holdings, Inc. (the “Company”) on Form 10-Q for the period ending December 31, 2021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33"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61" w:lineRule="exact"/>
        <w:rPr>
          <w:sz w:val="20"/>
          <w:szCs w:val="20"/>
          <w:color w:val="auto"/>
        </w:rPr>
      </w:pPr>
    </w:p>
    <w:p>
      <w:pPr>
        <w:ind w:left="1260"/>
        <w:spacing w:after="0"/>
        <w:tabs>
          <w:tab w:leader="none" w:pos="5320" w:val="left"/>
          <w:tab w:leader="none" w:pos="7540" w:val="left"/>
        </w:tabs>
        <w:rPr>
          <w:sz w:val="20"/>
          <w:szCs w:val="20"/>
          <w:color w:val="auto"/>
        </w:rPr>
      </w:pPr>
      <w:r>
        <w:rPr>
          <w:rFonts w:ascii="Arial" w:cs="Arial" w:eastAsia="Arial" w:hAnsi="Arial"/>
          <w:sz w:val="17"/>
          <w:szCs w:val="17"/>
          <w:color w:val="auto"/>
        </w:rPr>
        <w:t>Date: February 2,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14605</wp:posOffset>
            </wp:positionV>
            <wp:extent cx="34956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920"/>
        <w:spacing w:after="0"/>
        <w:rPr>
          <w:sz w:val="20"/>
          <w:szCs w:val="20"/>
          <w:color w:val="auto"/>
        </w:rPr>
      </w:pPr>
      <w:r>
        <w:rPr>
          <w:rFonts w:ascii="Arial" w:cs="Arial" w:eastAsia="Arial" w:hAnsi="Arial"/>
          <w:sz w:val="17"/>
          <w:szCs w:val="17"/>
          <w:color w:val="auto"/>
        </w:rPr>
        <w:t>Tracy A. McLauchlin</w:t>
      </w:r>
    </w:p>
    <w:p>
      <w:pPr>
        <w:spacing w:after="0" w:line="37"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Senior Vice President, Chief Financial Officer and Treasurer</w:t>
      </w:r>
    </w:p>
    <w:p>
      <w:pPr>
        <w:spacing w:after="0" w:line="22" w:lineRule="exact"/>
        <w:rPr>
          <w:sz w:val="20"/>
          <w:szCs w:val="20"/>
          <w:color w:val="auto"/>
        </w:rPr>
      </w:pPr>
    </w:p>
    <w:p>
      <w:pPr>
        <w:ind w:left="7640"/>
        <w:spacing w:after="0"/>
        <w:rPr>
          <w:sz w:val="20"/>
          <w:szCs w:val="20"/>
          <w:color w:val="auto"/>
        </w:rPr>
      </w:pPr>
      <w:r>
        <w:rPr>
          <w:rFonts w:ascii="Arial" w:cs="Arial" w:eastAsia="Arial" w:hAnsi="Arial"/>
          <w:sz w:val="17"/>
          <w:szCs w:val="17"/>
          <w:color w:val="auto"/>
        </w:rPr>
        <w:t>as Principal Financial Officer</w:t>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Roman"/>
      <w:start w:val="4"/>
    </w:lvl>
  </w:abstractNum>
  <w:abstractNum w:abstractNumId="7">
    <w:nsid w:val="4E6AFB66"/>
    <w:multiLevelType w:val="hybridMultilevel"/>
    <w:lvl w:ilvl="0">
      <w:lvlJc w:val="left"/>
      <w:lvlText w:val="&amp;"/>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15">
    <w:nsid w:val="436C612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16">
    <w:nsid w:val="628C895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lvl w:ilvl="1">
      <w:lvlJc w:val="left"/>
      <w:lvlText w:val="(%2)"/>
      <w:numFmt w:val="lowerLetter"/>
      <w:start w:val="2"/>
    </w:lvl>
  </w:abstractNum>
  <w:abstractNum w:abstractNumId="19">
    <w:nsid w:val="2443A8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20">
    <w:nsid w:val="2D1D5AE9"/>
    <w:multiLevelType w:val="hybridMultilevel"/>
    <w:lvl w:ilvl="0">
      <w:lvlJc w:val="left"/>
      <w:lvlText w:val="(%1)"/>
      <w:numFmt w:val="lowerLetter"/>
      <w:start w:val="3"/>
    </w:lvl>
    <w:lvl w:ilvl="1">
      <w:lvlJc w:val="left"/>
      <w:lvlText w:val="(%2)"/>
      <w:numFmt w:val="lowerLetter"/>
      <w:start w:val="4"/>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lvl w:ilvl="1">
      <w:lvlJc w:val="left"/>
      <w:lvlText w:val="(%2)"/>
      <w:numFmt w:val="lowerLetter"/>
      <w:start w:val="2"/>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60" Type="http://schemas.openxmlformats.org/officeDocument/2006/relationships/image" Target="media/image49.png"/><Relationship Id="rId63"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55" Type="http://schemas.openxmlformats.org/officeDocument/2006/relationships/hyperlink" Target="http://www.sec.gov/Archives/edgar/data/1048268/000119312516674386/d211495dex31.htm" TargetMode="External"/><Relationship Id="rId56" Type="http://schemas.openxmlformats.org/officeDocument/2006/relationships/hyperlink" Target="http://www.sec.gov/Archives/edgar/data/1048268/000119312513026383/d474722dex31.htm" TargetMode="External"/><Relationship Id="rId58" Type="http://schemas.openxmlformats.org/officeDocument/2006/relationships/hyperlink" Target="https://www.sec.gov/Archives/edgar/data/1048268/000119312521171027/d87196dex31.htm" TargetMode="External"/><Relationship Id="rId59" Type="http://schemas.openxmlformats.org/officeDocument/2006/relationships/hyperlink" Target="http://www.sec.gov/Archives/edgar/data/1048268/000104826821000065/amendedandrestatedbylawsof.htm" TargetMode="External"/><Relationship Id="rId61" Type="http://schemas.openxmlformats.org/officeDocument/2006/relationships/hyperlink" Target="http://www.sec.gov/Archives/edgar/data/1048268/000119312516789187/d310826dex41.htm" TargetMode="External"/><Relationship Id="rId62" Type="http://schemas.openxmlformats.org/officeDocument/2006/relationships/hyperlink" Target="https://www.sec.gov/Archives/edgar/data/1048268/000104826821000162/amendmentno9andjoindertose.htm" TargetMode="External"/><Relationship Id="rId64" Type="http://schemas.openxmlformats.org/officeDocument/2006/relationships/hyperlink" Target="https://www.sec.gov/Archives/edgar/data/1048268/000104826821000163/psugrant-matthewsimmes.htm" TargetMode="External"/><Relationship Id="rId65" Type="http://schemas.openxmlformats.org/officeDocument/2006/relationships/hyperlink" Target="https://www.sec.gov/Archives/edgar/data/1048268/000104826821000163/psugrant-jeffreygendel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2022-02-02T06:54:12Z</dcterms:created>
  <dcterms:modified xsi:type="dcterms:W3CDTF">2022-02-02T06:54:12Z</dcterms:modified>
</cp:coreProperties>
</file>