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December 31, 2022</w:t>
      </w:r>
    </w:p>
    <w:p>
      <w:pPr>
        <w:spacing w:after="0" w:line="17"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5433 Westheimer Road, Suite 500,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56" w:lineRule="exact"/>
        <w:rPr>
          <w:sz w:val="24"/>
          <w:szCs w:val="24"/>
          <w:color w:val="auto"/>
        </w:rPr>
      </w:pPr>
    </w:p>
    <w:p>
      <w:pPr>
        <w:ind w:right="48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4"/>
          <w:szCs w:val="24"/>
          <w:color w:val="auto"/>
        </w:rPr>
      </w:pPr>
    </w:p>
    <w:p>
      <w:pPr>
        <w:ind w:right="3120"/>
        <w:spacing w:after="0" w:line="26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January 31, 2023, there were 20,169,805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December 31, 2022 and September 30, 2022</w:t>
            </w:r>
          </w:p>
        </w:tc>
        <w:tc>
          <w:tcPr>
            <w:tcW w:w="298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December 31, 2022 and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Ended December 31, 2022 and 2021</w:t>
            </w:r>
          </w:p>
        </w:tc>
        <w:tc>
          <w:tcPr>
            <w:tcW w:w="740" w:type="dxa"/>
            <w:vAlign w:val="bottom"/>
            <w:tcBorders>
              <w:top w:val="single" w:sz="8" w:color="0000FF"/>
            </w:tcBorders>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December 31, 2022 and 2021</w:t>
            </w:r>
          </w:p>
        </w:tc>
        <w:tc>
          <w:tcPr>
            <w:tcW w:w="166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920" w:type="dxa"/>
            <w:vAlign w:val="bottom"/>
            <w:gridSpan w:val="12"/>
          </w:tcPr>
          <w:p>
            <w:pPr>
              <w:jc w:val="right"/>
              <w:ind w:right="14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29" w:lineRule="exact"/>
        <w:rPr>
          <w:rFonts w:ascii="Times New Roman" w:cs="Times New Roman" w:eastAsia="Times New Roman" w:hAnsi="Times New Roman"/>
          <w:sz w:val="17"/>
          <w:szCs w:val="17"/>
          <w:color w:val="auto"/>
        </w:rPr>
      </w:pPr>
    </w:p>
    <w:p>
      <w:pPr>
        <w:ind w:left="620" w:right="3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ind w:left="620" w:right="60" w:hanging="307"/>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0"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 w:name="page4"/>
    <w:bookmarkEnd w:id="3"/>
    <w:p>
      <w:pPr>
        <w:ind w:left="307" w:right="7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related to the environment and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certain tax benefits of our net operating losses may be restricted or reduced in a change in ownership or a decrease in the federal tax rate;</w:t>
      </w:r>
    </w:p>
    <w:p>
      <w:pPr>
        <w:spacing w:after="0" w:line="177" w:lineRule="exact"/>
        <w:rPr>
          <w:rFonts w:ascii="Times New Roman" w:cs="Times New Roman" w:eastAsia="Times New Roman" w:hAnsi="Times New Roman"/>
          <w:sz w:val="17"/>
          <w:szCs w:val="17"/>
          <w:color w:val="auto"/>
        </w:rPr>
      </w:pPr>
    </w:p>
    <w:p>
      <w:pPr>
        <w:ind w:left="307" w:right="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77"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7"/>
          </w:cols>
          <w:pgMar w:left="633" w:top="432" w:right="379" w:bottom="1440" w:gutter="0" w:footer="0" w:header="0"/>
        </w:sectPr>
      </w:pPr>
    </w:p>
    <w:bookmarkStart w:id="4" w:name="page5"/>
    <w:bookmarkEnd w:id="4"/>
    <w:p>
      <w:pPr>
        <w:ind w:left="620" w:right="160" w:hanging="307"/>
        <w:spacing w:after="0" w:line="27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2022,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December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Trade, net of allowance of $3,738 and $5,361, 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370,726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65,065</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96,333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52,076</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15,350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589,342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624,398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54,426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20,519</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55,890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896,816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316,950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84,936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376,889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401,886</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81,628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22,570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485,532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544,228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issued and 20,173,853 and 20,341,900 outstanding,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Treasury stock, at cost, 1,875,676 and 1,707,629 shares, 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201,871</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226,544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203,197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361,288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896,816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480,509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479,436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400,782</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79,727</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59,402</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20,261</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19,060</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15,079</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r>
      <w:tr>
        <w:trPr>
          <w:trHeight w:val="20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20,242,114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20,702,844</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20,449,035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20,958,887</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12"/>
          </w:tcPr>
          <w:p>
            <w:pPr>
              <w:ind w:left="680"/>
              <w:spacing w:after="0"/>
              <w:rPr>
                <w:sz w:val="20"/>
                <w:szCs w:val="20"/>
                <w:color w:val="auto"/>
              </w:rPr>
            </w:pPr>
            <w:r>
              <w:rPr>
                <w:rFonts w:ascii="Times New Roman" w:cs="Times New Roman" w:eastAsia="Times New Roman" w:hAnsi="Times New Roman"/>
                <w:sz w:val="14"/>
                <w:szCs w:val="14"/>
                <w:color w:val="auto"/>
              </w:rPr>
              <w:t>Three Months Ended December 31, 2022</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8"/>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7"/>
                <w:szCs w:val="17"/>
                <w:color w:val="auto"/>
              </w:rPr>
            </w:pPr>
          </w:p>
        </w:tc>
        <w:tc>
          <w:tcPr>
            <w:tcW w:w="218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color w:val="auto"/>
              </w:rPr>
              <w:t>Additional Paid-In</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10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Amount</w:t>
            </w:r>
          </w:p>
        </w:tc>
        <w:tc>
          <w:tcPr>
            <w:tcW w:w="1280" w:type="dxa"/>
            <w:vAlign w:val="bottom"/>
            <w:gridSpan w:val="5"/>
            <w:vMerge w:val="continue"/>
          </w:tcPr>
          <w:p>
            <w:pPr>
              <w:spacing w:after="0"/>
              <w:rPr>
                <w:sz w:val="24"/>
                <w:szCs w:val="24"/>
                <w:color w:val="auto"/>
              </w:rPr>
            </w:pPr>
          </w:p>
        </w:tc>
        <w:tc>
          <w:tcPr>
            <w:tcW w:w="11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7"/>
              </w:rPr>
              <w:t>Retained Earnings</w:t>
            </w:r>
          </w:p>
        </w:tc>
        <w:tc>
          <w:tcPr>
            <w:tcW w:w="6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Capital</w:t>
            </w:r>
          </w:p>
        </w:tc>
        <w:tc>
          <w:tcPr>
            <w:tcW w:w="118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(1,707,629)</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201,871</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2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compensation</w:t>
            </w:r>
          </w:p>
        </w:tc>
        <w:tc>
          <w:tcPr>
            <w:tcW w:w="2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2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(1,875,676)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12"/>
          </w:tcPr>
          <w:p>
            <w:pPr>
              <w:ind w:left="700"/>
              <w:spacing w:after="0"/>
              <w:rPr>
                <w:sz w:val="20"/>
                <w:szCs w:val="20"/>
                <w:color w:val="auto"/>
              </w:rPr>
            </w:pPr>
            <w:r>
              <w:rPr>
                <w:rFonts w:ascii="Times New Roman" w:cs="Times New Roman" w:eastAsia="Times New Roman" w:hAnsi="Times New Roman"/>
                <w:sz w:val="14"/>
                <w:szCs w:val="14"/>
                <w:color w:val="auto"/>
              </w:rPr>
              <w:t>Three Months Ended December 31, 2021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bottom w:val="single" w:sz="8" w:color="auto"/>
            </w:tcBorders>
            <w:gridSpan w:val="8"/>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7"/>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10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Additional Paid -</w:t>
            </w:r>
          </w:p>
        </w:tc>
        <w:tc>
          <w:tcPr>
            <w:tcW w:w="40" w:type="dxa"/>
            <w:vAlign w:val="bottom"/>
          </w:tcPr>
          <w:p>
            <w:pPr>
              <w:spacing w:after="0"/>
              <w:rPr>
                <w:sz w:val="24"/>
                <w:szCs w:val="24"/>
                <w:color w:val="auto"/>
              </w:rPr>
            </w:pPr>
          </w:p>
        </w:tc>
        <w:tc>
          <w:tcPr>
            <w:tcW w:w="11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8"/>
              </w:rPr>
              <w:t>Retained Earnings</w:t>
            </w:r>
          </w:p>
        </w:tc>
        <w:tc>
          <w:tcPr>
            <w:tcW w:w="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Total 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Capital</w:t>
            </w:r>
          </w:p>
        </w:tc>
        <w:tc>
          <w:tcPr>
            <w:tcW w:w="4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(1,316,998)</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(29,300)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201,899</w:t>
            </w: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173,134</w:t>
            </w: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2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157,167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(3,637)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(101,613)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(4,797)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compensation</w:t>
            </w:r>
          </w:p>
        </w:tc>
        <w:tc>
          <w:tcPr>
            <w:tcW w:w="2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20" w:type="dxa"/>
            <w:vAlign w:val="bottom"/>
          </w:tcPr>
          <w:p>
            <w:pPr>
              <w:spacing w:after="0"/>
              <w:rPr>
                <w:sz w:val="16"/>
                <w:szCs w:val="16"/>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(1,261,444)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(30,460)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199,162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187,538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28,754</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6,214</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(5,366)</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(23,169)</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(24,463)</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(12,339)</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2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(12,755)</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607,974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444,159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(647,639)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(415,937)</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21,939</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23,105</w:t>
            </w:r>
          </w:p>
        </w:tc>
      </w:tr>
      <w:tr>
        <w:trPr>
          <w:trHeight w:val="25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5,245</w:t>
            </w:r>
          </w:p>
        </w:tc>
        <w:tc>
          <w:tcPr>
            <w:tcW w:w="14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23"/>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bl>
    <w:p>
      <w:pPr>
        <w:spacing w:after="0" w:line="28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2022.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810 and the redemption amounts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right="80"/>
        <w:spacing w:after="0" w:line="287" w:lineRule="auto"/>
        <w:rPr>
          <w:sz w:val="20"/>
          <w:szCs w:val="20"/>
          <w:color w:val="auto"/>
        </w:rPr>
      </w:pPr>
      <w:r>
        <w:rPr>
          <w:rFonts w:ascii="Times New Roman" w:cs="Times New Roman" w:eastAsia="Times New Roman" w:hAnsi="Times New Roman"/>
          <w:sz w:val="17"/>
          <w:szCs w:val="17"/>
          <w:color w:val="auto"/>
        </w:rPr>
        <w:t>assuming the noncontrolling interests were redeemable at the balance sheet date. If all of the noncontrolling interests remaining outstanding at December 31, 2022 had been redeemable at that date, the redemption amount would have been $31,750.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Times New Roman" w:cs="Times New Roman" w:eastAsia="Times New Roman" w:hAnsi="Times New Roman"/>
          <w:sz w:val="17"/>
          <w:szCs w:val="17"/>
          <w:i w:val="1"/>
          <w:iCs w:val="1"/>
          <w:color w:val="auto"/>
        </w:rPr>
        <w:t>Note 9 - Fair Value Measurements</w:t>
      </w:r>
      <w:r>
        <w:rPr>
          <w:rFonts w:ascii="Times New Roman" w:cs="Times New Roman" w:eastAsia="Times New Roman" w:hAnsi="Times New Roman"/>
          <w:sz w:val="17"/>
          <w:szCs w:val="17"/>
          <w:color w:val="auto"/>
        </w:rPr>
        <w:t xml:space="preserve">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58 percent of the Company’s outstanding common stock based on Amendment No. 26 to the Schedule 13D filed by Tontine with the SEC on December 16, 2022 and the Company's shares outstanding as of January 31, 2023.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1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1" w:name="page12"/>
    <w:bookmarkEnd w:id="11"/>
    <w:p>
      <w:pPr>
        <w:ind w:right="500"/>
        <w:spacing w:after="0" w:line="287" w:lineRule="auto"/>
        <w:rPr>
          <w:sz w:val="20"/>
          <w:szCs w:val="20"/>
          <w:color w:val="auto"/>
        </w:rPr>
      </w:pPr>
      <w:r>
        <w:rPr>
          <w:rFonts w:ascii="Times New Roman" w:cs="Times New Roman" w:eastAsia="Times New Roman" w:hAnsi="Times New Roman"/>
          <w:sz w:val="17"/>
          <w:szCs w:val="17"/>
          <w:color w:val="auto"/>
        </w:rPr>
        <w:t>incurred in his or her capacity as a Board Observer and such rights to coverage under the Company’s directors’ and officers’ liability insurance policy as are available to the Company’s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months ended December 31, 2022 and 2021 was derived from the following activities. See details in the following tables: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gridSpan w:val="10"/>
          </w:tcPr>
          <w:p>
            <w:pPr>
              <w:ind w:left="5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80" w:type="dxa"/>
            <w:vAlign w:val="bottom"/>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7"/>
                <w:szCs w:val="17"/>
                <w:color w:val="auto"/>
              </w:rPr>
              <w:t>2021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1780" w:type="dxa"/>
            <w:vAlign w:val="bottom"/>
          </w:tcPr>
          <w:p>
            <w:pPr>
              <w:spacing w:after="0"/>
              <w:rPr>
                <w:sz w:val="18"/>
                <w:szCs w:val="18"/>
                <w:color w:val="auto"/>
              </w:rPr>
            </w:pPr>
          </w:p>
        </w:tc>
        <w:tc>
          <w:tcPr>
            <w:tcW w:w="2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80" w:type="dxa"/>
            <w:vAlign w:val="bottom"/>
          </w:tcPr>
          <w:p>
            <w:pPr>
              <w:spacing w:after="0"/>
              <w:rPr>
                <w:sz w:val="19"/>
                <w:szCs w:val="19"/>
                <w:color w:val="auto"/>
              </w:rPr>
            </w:pPr>
          </w:p>
        </w:tc>
        <w:tc>
          <w:tcPr>
            <w:tcW w:w="2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Single-family</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226,828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80" w:type="dxa"/>
            <w:vAlign w:val="bottom"/>
          </w:tcPr>
          <w:p>
            <w:pPr>
              <w:spacing w:after="0"/>
              <w:rPr>
                <w:sz w:val="19"/>
                <w:szCs w:val="19"/>
                <w:color w:val="auto"/>
              </w:rPr>
            </w:pPr>
          </w:p>
        </w:tc>
        <w:tc>
          <w:tcPr>
            <w:tcW w:w="21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Multi-family and Other</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91,250</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80" w:type="dxa"/>
            <w:vAlign w:val="bottom"/>
          </w:tcPr>
          <w:p>
            <w:pPr>
              <w:spacing w:after="0"/>
              <w:rPr>
                <w:sz w:val="18"/>
                <w:szCs w:val="18"/>
                <w:color w:val="auto"/>
              </w:rPr>
            </w:pPr>
          </w:p>
        </w:tc>
        <w:tc>
          <w:tcPr>
            <w:tcW w:w="2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80" w:type="dxa"/>
            <w:vAlign w:val="bottom"/>
          </w:tcPr>
          <w:p>
            <w:pPr>
              <w:spacing w:after="0"/>
              <w:rPr>
                <w:sz w:val="19"/>
                <w:szCs w:val="19"/>
                <w:color w:val="auto"/>
              </w:rPr>
            </w:pPr>
          </w:p>
        </w:tc>
        <w:tc>
          <w:tcPr>
            <w:tcW w:w="2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Industrial Services</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20,099</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80" w:type="dxa"/>
            <w:vAlign w:val="bottom"/>
          </w:tcPr>
          <w:p>
            <w:pPr>
              <w:spacing w:after="0"/>
              <w:rPr>
                <w:sz w:val="19"/>
                <w:szCs w:val="19"/>
                <w:color w:val="auto"/>
              </w:rPr>
            </w:pPr>
          </w:p>
        </w:tc>
        <w:tc>
          <w:tcPr>
            <w:tcW w:w="21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Custom Power Solutions</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29,185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80" w:type="dxa"/>
            <w:vAlign w:val="bottom"/>
          </w:tcPr>
          <w:p>
            <w:pPr>
              <w:spacing w:after="0"/>
              <w:rPr>
                <w:sz w:val="18"/>
                <w:szCs w:val="18"/>
                <w:color w:val="auto"/>
              </w:rPr>
            </w:pPr>
          </w:p>
        </w:tc>
        <w:tc>
          <w:tcPr>
            <w:tcW w:w="2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49,284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80" w:type="dxa"/>
            <w:vAlign w:val="bottom"/>
          </w:tcPr>
          <w:p>
            <w:pPr>
              <w:spacing w:after="0"/>
              <w:rPr>
                <w:sz w:val="19"/>
                <w:szCs w:val="19"/>
                <w:color w:val="auto"/>
              </w:rPr>
            </w:pPr>
          </w:p>
        </w:tc>
        <w:tc>
          <w:tcPr>
            <w:tcW w:w="218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1780" w:type="dxa"/>
            <w:vAlign w:val="bottom"/>
          </w:tcPr>
          <w:p>
            <w:pPr>
              <w:spacing w:after="0"/>
              <w:rPr>
                <w:sz w:val="20"/>
                <w:szCs w:val="20"/>
                <w:color w:val="auto"/>
              </w:rPr>
            </w:pPr>
          </w:p>
        </w:tc>
        <w:tc>
          <w:tcPr>
            <w:tcW w:w="21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480,509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
        </w:trPr>
        <w:tc>
          <w:tcPr>
            <w:tcW w:w="1780" w:type="dxa"/>
            <w:vAlign w:val="bottom"/>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39"/>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7"/>
                <w:szCs w:val="17"/>
                <w:color w:val="auto"/>
              </w:rPr>
              <w:t>Three Months Ended December 31, 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1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1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87,274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47,546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54,597</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507,495</w:t>
            </w:r>
          </w:p>
        </w:tc>
      </w:tr>
      <w:tr>
        <w:trPr>
          <w:trHeight w:val="219"/>
        </w:trPr>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5,670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67,379</w:t>
            </w:r>
          </w:p>
        </w:tc>
      </w:tr>
      <w:tr>
        <w:trPr>
          <w:trHeight w:val="237"/>
        </w:trPr>
        <w:tc>
          <w:tcPr>
            <w:tcW w:w="17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49,284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60,267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7"/>
                <w:szCs w:val="17"/>
                <w:color w:val="auto"/>
              </w:rPr>
              <w:t>Three Months Ended December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1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17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40,453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64,860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435,511</w:t>
            </w:r>
          </w:p>
        </w:tc>
      </w:tr>
      <w:tr>
        <w:trPr>
          <w:trHeight w:val="219"/>
        </w:trPr>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4,388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44,998</w:t>
            </w:r>
          </w:p>
        </w:tc>
      </w:tr>
      <w:tr>
        <w:trPr>
          <w:trHeight w:val="237"/>
        </w:trPr>
        <w:tc>
          <w:tcPr>
            <w:tcW w:w="17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8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42,096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69,248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480,509</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December 31, 2022, Accounts receivable included $15,135 of unbilled receivables for which we have an unconditional right to bill.</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trade receivables due in one year or less, we do not have any other financial assets that are past due or are on non-accrual status.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20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2022 and 2021, we recognized revenue of $38,047 and $28,341 related to our contract liabilities at October 1, 2022 and 2021,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2022, we had remaining performance obligations of $1,011,018. The Company expects to recognize revenue on approximately $921,848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2022,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2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2022. As of December 31, 2022, the Company was in compliance with the financial covenants under the Amended Credit Agreement.</w:t>
      </w:r>
    </w:p>
    <w:p>
      <w:pPr>
        <w:spacing w:after="0" w:line="19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At December 31, 2022 and September 30, 2022, we had $42,995 and $82,659, respectively, in borrowings outstanding under our revolving credit facility. At December 31, 2022, we also had $5,892 in outstanding letters of credit and total availability of $101,113 under our revolving credit facility without triggering the financial covenants under the Amended Credit Facility.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(loss) per share for the three months ended December 31,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8"/>
              </w:rPr>
              <w:t>(60)</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8"/>
              </w:rPr>
              <w:t>(11)</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20,242,114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20,702,844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256,043</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20,449,035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20,958,887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0.70</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0.69</w:t>
            </w:r>
          </w:p>
        </w:tc>
      </w:tr>
      <w:tr>
        <w:trPr>
          <w:trHeight w:val="706"/>
        </w:trPr>
        <w:tc>
          <w:tcPr>
            <w:tcW w:w="80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8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4" w:name="page15"/>
    <w:bookmarkEnd w:id="14"/>
    <w:p>
      <w:pPr>
        <w:ind w:right="220"/>
        <w:spacing w:after="0" w:line="260" w:lineRule="auto"/>
        <w:rPr>
          <w:sz w:val="20"/>
          <w:szCs w:val="20"/>
          <w:color w:val="auto"/>
        </w:rPr>
      </w:pPr>
      <w:r>
        <w:rPr>
          <w:rFonts w:ascii="Times New Roman" w:cs="Times New Roman" w:eastAsia="Times New Roman" w:hAnsi="Times New Roman"/>
          <w:sz w:val="17"/>
          <w:szCs w:val="17"/>
          <w:color w:val="auto"/>
        </w:rPr>
        <w:t>For the three months ended December 31, 2022 and 2021, the average price of our common shares exceeded the exercise price of all of our outstanding stock options; therefore, all of our outstanding stock options and other potentially dilutive equity instruments were included in the computation of diluted earnings per share.</w:t>
      </w: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1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months ended December 31, 2022 and 2021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2022</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318,078</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574,874</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125,507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258,459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38,817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56,653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479,436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21,738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59,619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95,438</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12,297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39,051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67,768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(13,060)</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20,505</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40,661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4,144</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395,243</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163,201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55,324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896,816</w:t>
            </w:r>
          </w:p>
        </w:tc>
        <w:tc>
          <w:tcPr>
            <w:tcW w:w="0" w:type="dxa"/>
            <w:vAlign w:val="bottom"/>
          </w:tcPr>
          <w:p>
            <w:pPr>
              <w:spacing w:after="0"/>
              <w:rPr>
                <w:sz w:val="1"/>
                <w:szCs w:val="1"/>
                <w:color w:val="auto"/>
              </w:rPr>
            </w:pPr>
          </w:p>
        </w:tc>
      </w:tr>
      <w:tr>
        <w:trPr>
          <w:trHeight w:val="307"/>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127,389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241,776</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69,248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480,509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106,891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199,138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34,375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60,378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400,782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20,498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42,638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79,727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11,384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30,995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6,059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7,268</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59,402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11,566</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(3,696)</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3,852</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6,214</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594</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1,184</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12,339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161,419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338,824</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45,106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785,228</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605,313 shares were available for issuance at December 31, 2022.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$40,000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219,731 and 56,415 shares, respectively, of our common stock during the three months ended December 31, 2022 and 2021 in open market transactions at an average price of $30.97 and $46.71, respectively,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During the three months ended December 31, 2022, we issued 71,013 shares of common stock from treasury stock to employees and repurchased 19,142 shares of common stock from our employees to satisfy statutory tax withholding requirements upon the vesting of certain performance phantom stock units under the Equity Incentive Plan. In addition, 187 restricted shares were forfeited and returned to treasury stock.</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During the three months ended December 31, 2021, we issued 73,627 shares of common stock from treasury stock to employees and repurchased 45,198 shares of common stock from our employees to satisfy statutory tax withholding requirements upon the vesting of certain performance phantom stock units under the Equity Incentive Plan. In addition, we issued 83,540 shares from treasury stock to satisfy the vesting of Director PSUs (as defined below) in conjunction with the departure of a Board member.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We granted no restricted shares to executives during the three months ended December 31, 2022. Of the awards previously granted, 13,452 shares vested and 187 shares were forfeited. During the three months ended December 31, 2022 and 2021, we recognized $25 and $36, respectively, in compensation expense related to all restricted stock awards. At December 31, 2022, we had no remaining unvested restricted shares or unamortized compensation cost related to outstanding unvested restricted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December 31, 2022 and 2021, we recognized $97 and $96, respectively, in compensation expense related to these grants.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As of December 31, 2022, the Company had outstanding Employee PSUs, which, subject to the achievement of certain performance metrics, could result in the issuance of 368,527 shares of common stock. During the three months ended December 31, 2022, we granted 130,739 Employee PSUs, 7,160 were forfeited, and 71,013 vested. During the three months ended December 31, 2022 and 2021, we recognized $783 and $768, respectively, in compensation expense related to Employee PSU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December 31, 2022,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191"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Financial assets and liabilities measured at fair value on a recurring basis as of December 31, 2022 and September 30, 2022,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2022</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At December 31, 2022, we estimated the fair value of this contingent consideration liability at $4,358. The table below presents the change in fair value of this obligation, which used significant unobservable inputs (Level 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160" w:type="dxa"/>
            <w:vAlign w:val="bottom"/>
            <w:gridSpan w:val="2"/>
          </w:tcPr>
          <w:p>
            <w:pPr>
              <w:jc w:val="center"/>
              <w:ind w:right="2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160" w:type="dxa"/>
            <w:vAlign w:val="bottom"/>
            <w:gridSpan w:val="2"/>
          </w:tcPr>
          <w:p>
            <w:pPr>
              <w:jc w:val="center"/>
              <w:ind w:right="2360"/>
              <w:spacing w:after="0"/>
              <w:rPr>
                <w:sz w:val="20"/>
                <w:szCs w:val="20"/>
                <w:color w:val="auto"/>
              </w:rPr>
            </w:pPr>
            <w:r>
              <w:rPr>
                <w:rFonts w:ascii="Times New Roman" w:cs="Times New Roman" w:eastAsia="Times New Roman" w:hAnsi="Times New Roman"/>
                <w:sz w:val="17"/>
                <w:szCs w:val="17"/>
                <w:color w:val="auto"/>
              </w:rPr>
              <w:t>Agreements</w:t>
            </w:r>
          </w:p>
        </w:tc>
        <w:tc>
          <w:tcPr>
            <w:tcW w:w="0" w:type="dxa"/>
            <w:vAlign w:val="bottom"/>
          </w:tcPr>
          <w:p>
            <w:pPr>
              <w:spacing w:after="0"/>
              <w:rPr>
                <w:sz w:val="1"/>
                <w:szCs w:val="1"/>
                <w:color w:val="auto"/>
              </w:rPr>
            </w:pPr>
          </w:p>
        </w:tc>
      </w:tr>
      <w:tr>
        <w:trPr>
          <w:trHeight w:val="219"/>
        </w:trPr>
        <w:tc>
          <w:tcPr>
            <w:tcW w:w="2360" w:type="dxa"/>
            <w:vAlign w:val="bottom"/>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2022</w:t>
            </w:r>
          </w:p>
        </w:tc>
        <w:tc>
          <w:tcPr>
            <w:tcW w:w="1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tcPr>
          <w:p>
            <w:pPr>
              <w:spacing w:after="0"/>
              <w:rPr>
                <w:sz w:val="19"/>
                <w:szCs w:val="19"/>
                <w:color w:val="auto"/>
              </w:rPr>
            </w:pPr>
          </w:p>
        </w:tc>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19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December 31, 2022</w:t>
            </w:r>
          </w:p>
        </w:tc>
        <w:tc>
          <w:tcPr>
            <w:tcW w:w="1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294"/>
              <w:spacing w:after="0"/>
              <w:rPr>
                <w:sz w:val="20"/>
                <w:szCs w:val="20"/>
                <w:color w:val="auto"/>
              </w:rPr>
            </w:pPr>
            <w:r>
              <w:rPr>
                <w:rFonts w:ascii="Times New Roman" w:cs="Times New Roman" w:eastAsia="Times New Roman" w:hAnsi="Times New Roman"/>
                <w:sz w:val="17"/>
                <w:szCs w:val="17"/>
                <w:color w:val="auto"/>
              </w:rPr>
              <w:t>17</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2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6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INVENTORY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73,482</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96,333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December 31, 2022, which was unchanged from September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Infrastructure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6"/>
          </w:tcPr>
          <w:p>
            <w:pPr>
              <w:jc w:val="center"/>
              <w:ind w:right="540"/>
              <w:spacing w:after="0"/>
              <w:rPr>
                <w:sz w:val="20"/>
                <w:szCs w:val="20"/>
                <w:color w:val="auto"/>
              </w:rPr>
            </w:pPr>
            <w:r>
              <w:rPr>
                <w:rFonts w:ascii="Times New Roman" w:cs="Times New Roman" w:eastAsia="Times New Roman" w:hAnsi="Times New Roman"/>
                <w:sz w:val="17"/>
                <w:szCs w:val="17"/>
                <w:color w:val="auto"/>
              </w:rPr>
              <w:t>Commercial &amp;</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ind w:left="20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Solutions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6"/>
          </w:tcPr>
          <w:p>
            <w:pPr>
              <w:jc w:val="center"/>
              <w:ind w:right="520"/>
              <w:spacing w:after="0"/>
              <w:rPr>
                <w:sz w:val="20"/>
                <w:szCs w:val="20"/>
                <w:color w:val="auto"/>
              </w:rPr>
            </w:pPr>
            <w:r>
              <w:rPr>
                <w:rFonts w:ascii="Times New Roman" w:cs="Times New Roman" w:eastAsia="Times New Roman" w:hAnsi="Times New Roman"/>
                <w:sz w:val="17"/>
                <w:szCs w:val="17"/>
                <w:color w:val="auto"/>
              </w:rPr>
              <w:t>Industrial</w:t>
            </w:r>
          </w:p>
        </w:tc>
        <w:tc>
          <w:tcPr>
            <w:tcW w:w="36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7"/>
                <w:szCs w:val="17"/>
                <w:color w:val="auto"/>
              </w:rPr>
              <w:t>December 31, 2022</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19"/>
                <w:szCs w:val="19"/>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10,010</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56,509</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(44,707)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66,738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7"/>
                <w:szCs w:val="17"/>
                <w:color w:val="auto"/>
              </w:rPr>
              <w:t>September 30, 2022</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6"/>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5"/>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20"/>
                <w:szCs w:val="20"/>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61,037</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117,359</w:t>
            </w:r>
          </w:p>
        </w:tc>
        <w:tc>
          <w:tcPr>
            <w:tcW w:w="6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(45,423)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11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78"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7"/>
          <w:szCs w:val="17"/>
          <w:color w:val="auto"/>
        </w:rPr>
        <w:t>On June 22, 2021, the United States Department of Labor Wage and Hour Division (the “DOL”) notified IES Residential, Inc. (“IESR”), a wholly-owned subsidiary of the Company, that the DOL had commenced an administrative investigation of IESR’s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421005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8" w:name="page19"/>
    <w:bookmarkEnd w:id="18"/>
    <w:p>
      <w:pPr>
        <w:ind w:right="320"/>
        <w:spacing w:after="0" w:line="270" w:lineRule="auto"/>
        <w:rPr>
          <w:sz w:val="20"/>
          <w:szCs w:val="20"/>
          <w:color w:val="auto"/>
        </w:rPr>
      </w:pPr>
      <w:r>
        <w:rPr>
          <w:rFonts w:ascii="Times New Roman" w:cs="Times New Roman" w:eastAsia="Times New Roman" w:hAnsi="Times New Roman"/>
          <w:sz w:val="17"/>
          <w:szCs w:val="17"/>
          <w:color w:val="auto"/>
        </w:rPr>
        <w:t>compliance with laws regulating employee wage payment. The inquiry concerned record keeping with respect to certain Arizona employees who are paid on a piece rate basis. We entered into a settlement with the DOL in November 2022, resolving this matter. Costs associated with this matter, which did not have a material impact on our results of operations, were accrued as a liability as of September 30, 2022.</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September 30, 2022, we had an aggregate $10,451 of trade accounts receivable where payment had been delayed as a result of contractual disputes and against which we had recorded a reserve of $3,095. During the quarter ended December 31, 2022, we collected $5,140 related to these receivables. We believe that we are contractually entitled to the remaining amounts owed to us, and intend to vigorously pursue recovery. At December 31, 2022, the remaining book value of receivables and retainage related to these contractual disputes, net of associated reserves, was $2,389.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December 31, 2022 and September 30, 2022, we had $7,695 and $7,693,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2022 and September 30, 2022, $5,693 and $3,878, respectively, of our outstanding letters of credit was utilized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of December 31, 2022, the estimated cost to complete our bonded projects was approximately $77,855.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2022, we had commitments of $6,936 outstanding under agreements to purchase copper wire and other materials over the next 12 months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Current operating and finance lease liabilities of $17,495 and $3,663, respectively, as of December 31, 2022, and $17,319 and $2,928, respectively, as of September 30, 2022,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December 31, 2022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5"/>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16,631</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19,016</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15,409</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11,220</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76,688</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7,995</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56,258</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December 31, 2022 is $2,104.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p>
      <w:pPr>
        <w:spacing w:after="0" w:line="4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December 31, 2022</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December 31, 2021</w:t>
            </w:r>
          </w:p>
        </w:tc>
        <w:tc>
          <w:tcPr>
            <w:tcW w:w="1720" w:type="dxa"/>
            <w:vAlign w:val="bottom"/>
          </w:tcPr>
          <w:p>
            <w:pPr>
              <w:spacing w:after="0"/>
              <w:rPr>
                <w:sz w:val="18"/>
                <w:szCs w:val="18"/>
                <w:color w:val="auto"/>
              </w:rPr>
            </w:pPr>
          </w:p>
        </w:tc>
      </w:tr>
      <w:tr>
        <w:trPr>
          <w:trHeight w:val="212"/>
        </w:trPr>
        <w:tc>
          <w:tcPr>
            <w:tcW w:w="174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3,287</w:t>
            </w:r>
          </w:p>
        </w:tc>
        <w:tc>
          <w:tcPr>
            <w:tcW w:w="172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176</w:t>
            </w:r>
          </w:p>
        </w:tc>
        <w:tc>
          <w:tcPr>
            <w:tcW w:w="172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33</w:t>
            </w:r>
          </w:p>
        </w:tc>
        <w:tc>
          <w:tcPr>
            <w:tcW w:w="1720" w:type="dxa"/>
            <w:vAlign w:val="bottom"/>
          </w:tcPr>
          <w:p>
            <w:pPr>
              <w:spacing w:after="0"/>
              <w:rPr>
                <w:sz w:val="19"/>
                <w:szCs w:val="19"/>
                <w:color w:val="auto"/>
              </w:rPr>
            </w:pPr>
          </w:p>
        </w:tc>
      </w:tr>
      <w:tr>
        <w:trPr>
          <w:trHeight w:val="212"/>
        </w:trPr>
        <w:tc>
          <w:tcPr>
            <w:tcW w:w="1740" w:type="dxa"/>
            <w:vAlign w:val="bottom"/>
          </w:tcPr>
          <w:p>
            <w:pPr>
              <w:spacing w:after="0"/>
              <w:rPr>
                <w:sz w:val="18"/>
                <w:szCs w:val="18"/>
                <w:color w:val="auto"/>
              </w:rPr>
            </w:pPr>
          </w:p>
        </w:tc>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209</w:t>
            </w:r>
          </w:p>
        </w:tc>
        <w:tc>
          <w:tcPr>
            <w:tcW w:w="172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330</w:t>
            </w:r>
          </w:p>
        </w:tc>
        <w:tc>
          <w:tcPr>
            <w:tcW w:w="172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321</w:t>
            </w:r>
          </w:p>
        </w:tc>
        <w:tc>
          <w:tcPr>
            <w:tcW w:w="1720" w:type="dxa"/>
            <w:vAlign w:val="bottom"/>
          </w:tcPr>
          <w:p>
            <w:pPr>
              <w:spacing w:after="0"/>
              <w:rPr>
                <w:sz w:val="19"/>
                <w:szCs w:val="19"/>
                <w:color w:val="auto"/>
              </w:rPr>
            </w:pPr>
          </w:p>
        </w:tc>
      </w:tr>
      <w:tr>
        <w:trPr>
          <w:trHeight w:val="212"/>
        </w:trPr>
        <w:tc>
          <w:tcPr>
            <w:tcW w:w="1740" w:type="dxa"/>
            <w:vAlign w:val="bottom"/>
          </w:tcPr>
          <w:p>
            <w:pPr>
              <w:spacing w:after="0"/>
              <w:rPr>
                <w:sz w:val="18"/>
                <w:szCs w:val="18"/>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6,753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4,147</w:t>
            </w:r>
          </w:p>
        </w:tc>
        <w:tc>
          <w:tcPr>
            <w:tcW w:w="1720" w:type="dxa"/>
            <w:vAlign w:val="bottom"/>
          </w:tcPr>
          <w:p>
            <w:pPr>
              <w:spacing w:after="0"/>
              <w:rPr>
                <w:sz w:val="18"/>
                <w:szCs w:val="18"/>
                <w:color w:val="auto"/>
              </w:rPr>
            </w:pPr>
          </w:p>
        </w:tc>
      </w:tr>
      <w:tr>
        <w:trPr>
          <w:trHeight w:val="20"/>
        </w:trPr>
        <w:tc>
          <w:tcPr>
            <w:tcW w:w="604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08"/>
        </w:trPr>
        <w:tc>
          <w:tcPr>
            <w:tcW w:w="95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tc>
        <w:tc>
          <w:tcPr>
            <w:tcW w:w="1720" w:type="dxa"/>
            <w:vAlign w:val="bottom"/>
          </w:tcPr>
          <w:p>
            <w:pPr>
              <w:spacing w:after="0"/>
              <w:rPr>
                <w:sz w:val="24"/>
                <w:szCs w:val="24"/>
                <w:color w:val="auto"/>
              </w:rPr>
            </w:pPr>
          </w:p>
        </w:tc>
      </w:tr>
      <w:tr>
        <w:trPr>
          <w:trHeight w:val="245"/>
        </w:trPr>
        <w:tc>
          <w:tcPr>
            <w:tcW w:w="17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7"/>
                <w:szCs w:val="17"/>
                <w:color w:val="auto"/>
              </w:rPr>
              <w:t>Three Months Ended</w:t>
            </w:r>
          </w:p>
        </w:tc>
        <w:tc>
          <w:tcPr>
            <w:tcW w:w="1720" w:type="dxa"/>
            <w:vAlign w:val="bottom"/>
          </w:tcPr>
          <w:p>
            <w:pPr>
              <w:spacing w:after="0"/>
              <w:rPr>
                <w:sz w:val="21"/>
                <w:szCs w:val="21"/>
                <w:color w:val="auto"/>
              </w:rPr>
            </w:pPr>
          </w:p>
        </w:tc>
      </w:tr>
      <w:tr>
        <w:trPr>
          <w:trHeight w:val="212"/>
        </w:trPr>
        <w:tc>
          <w:tcPr>
            <w:tcW w:w="174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December 31, 2022</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December 31, 2021</w:t>
            </w:r>
          </w:p>
        </w:tc>
        <w:tc>
          <w:tcPr>
            <w:tcW w:w="1720" w:type="dxa"/>
            <w:vAlign w:val="bottom"/>
          </w:tcPr>
          <w:p>
            <w:pPr>
              <w:spacing w:after="0"/>
              <w:rPr>
                <w:sz w:val="18"/>
                <w:szCs w:val="18"/>
                <w:color w:val="auto"/>
              </w:rPr>
            </w:pPr>
          </w:p>
        </w:tc>
      </w:tr>
      <w:tr>
        <w:trPr>
          <w:trHeight w:val="212"/>
        </w:trPr>
        <w:tc>
          <w:tcPr>
            <w:tcW w:w="1740" w:type="dxa"/>
            <w:vAlign w:val="bottom"/>
          </w:tcPr>
          <w:p>
            <w:pPr>
              <w:spacing w:after="0"/>
              <w:rPr>
                <w:sz w:val="18"/>
                <w:szCs w:val="18"/>
                <w:color w:val="auto"/>
              </w:rPr>
            </w:pPr>
          </w:p>
        </w:tc>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4,240</w:t>
            </w:r>
          </w:p>
        </w:tc>
        <w:tc>
          <w:tcPr>
            <w:tcW w:w="172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47</w:t>
            </w:r>
          </w:p>
        </w:tc>
        <w:tc>
          <w:tcPr>
            <w:tcW w:w="1720" w:type="dxa"/>
            <w:vAlign w:val="bottom"/>
          </w:tcPr>
          <w:p>
            <w:pPr>
              <w:spacing w:after="0"/>
              <w:rPr>
                <w:sz w:val="19"/>
                <w:szCs w:val="19"/>
                <w:color w:val="auto"/>
              </w:rPr>
            </w:pPr>
          </w:p>
        </w:tc>
      </w:tr>
      <w:tr>
        <w:trPr>
          <w:trHeight w:val="177"/>
        </w:trPr>
        <w:tc>
          <w:tcPr>
            <w:tcW w:w="1740" w:type="dxa"/>
            <w:vAlign w:val="bottom"/>
          </w:tcPr>
          <w:p>
            <w:pPr>
              <w:spacing w:after="0"/>
              <w:rPr>
                <w:sz w:val="15"/>
                <w:szCs w:val="15"/>
                <w:color w:val="auto"/>
              </w:rPr>
            </w:pPr>
          </w:p>
        </w:tc>
        <w:tc>
          <w:tcPr>
            <w:tcW w:w="4300" w:type="dxa"/>
            <w:vAlign w:val="bottom"/>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r>
      <w:tr>
        <w:trPr>
          <w:trHeight w:val="223"/>
        </w:trPr>
        <w:tc>
          <w:tcPr>
            <w:tcW w:w="1740" w:type="dxa"/>
            <w:vAlign w:val="bottom"/>
          </w:tcPr>
          <w:p>
            <w:pPr>
              <w:spacing w:after="0"/>
              <w:rPr>
                <w:sz w:val="19"/>
                <w:szCs w:val="19"/>
                <w:color w:val="auto"/>
              </w:rPr>
            </w:pPr>
          </w:p>
        </w:tc>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6,982</w:t>
            </w:r>
          </w:p>
        </w:tc>
        <w:tc>
          <w:tcPr>
            <w:tcW w:w="1720" w:type="dxa"/>
            <w:vAlign w:val="bottom"/>
          </w:tcPr>
          <w:p>
            <w:pPr>
              <w:spacing w:after="0"/>
              <w:rPr>
                <w:sz w:val="19"/>
                <w:szCs w:val="19"/>
                <w:color w:val="auto"/>
              </w:rPr>
            </w:pPr>
          </w:p>
        </w:tc>
      </w:tr>
      <w:tr>
        <w:trPr>
          <w:trHeight w:val="177"/>
        </w:trPr>
        <w:tc>
          <w:tcPr>
            <w:tcW w:w="1740" w:type="dxa"/>
            <w:vAlign w:val="bottom"/>
          </w:tcPr>
          <w:p>
            <w:pPr>
              <w:spacing w:after="0"/>
              <w:rPr>
                <w:sz w:val="15"/>
                <w:szCs w:val="15"/>
                <w:color w:val="auto"/>
              </w:rPr>
            </w:pPr>
          </w:p>
        </w:tc>
        <w:tc>
          <w:tcPr>
            <w:tcW w:w="430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3"/>
        </w:trPr>
        <w:tc>
          <w:tcPr>
            <w:tcW w:w="1740" w:type="dxa"/>
            <w:vAlign w:val="bottom"/>
          </w:tcPr>
          <w:p>
            <w:pPr>
              <w:spacing w:after="0"/>
              <w:rPr>
                <w:sz w:val="19"/>
                <w:szCs w:val="19"/>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1,092</w:t>
            </w:r>
          </w:p>
        </w:tc>
        <w:tc>
          <w:tcPr>
            <w:tcW w:w="1720" w:type="dxa"/>
            <w:vAlign w:val="bottom"/>
          </w:tcPr>
          <w:p>
            <w:pPr>
              <w:spacing w:after="0"/>
              <w:rPr>
                <w:sz w:val="19"/>
                <w:szCs w:val="19"/>
                <w:color w:val="auto"/>
              </w:rPr>
            </w:pPr>
          </w:p>
        </w:tc>
      </w:tr>
      <w:tr>
        <w:trPr>
          <w:trHeight w:val="567"/>
        </w:trPr>
        <w:tc>
          <w:tcPr>
            <w:tcW w:w="17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40" w:type="dxa"/>
            <w:vAlign w:val="bottom"/>
            <w:gridSpan w:val="6"/>
          </w:tcPr>
          <w:p>
            <w:pPr>
              <w:jc w:val="right"/>
              <w:ind w:right="820"/>
              <w:spacing w:after="0"/>
              <w:rPr>
                <w:sz w:val="20"/>
                <w:szCs w:val="20"/>
                <w:color w:val="auto"/>
              </w:rPr>
            </w:pPr>
            <w:r>
              <w:rPr>
                <w:rFonts w:ascii="Times New Roman" w:cs="Times New Roman" w:eastAsia="Times New Roman" w:hAnsi="Times New Roman"/>
                <w:sz w:val="17"/>
                <w:szCs w:val="17"/>
                <w:color w:val="auto"/>
              </w:rPr>
              <w:t>December 31, 2022</w:t>
            </w:r>
          </w:p>
        </w:tc>
        <w:tc>
          <w:tcPr>
            <w:tcW w:w="172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9"/>
              </w:rPr>
              <w:t>September 30, 2022</w:t>
            </w:r>
          </w:p>
        </w:tc>
      </w:tr>
      <w:tr>
        <w:trPr>
          <w:trHeight w:val="212"/>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years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years</w:t>
            </w: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3.9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years</w:t>
            </w: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0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AND DIVESTITURES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during the three months ended December 31, 2022 or during the year ended September 30, 2022.</w:t>
      </w:r>
    </w:p>
    <w:p>
      <w:pPr>
        <w:spacing w:after="0" w:line="2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preliminary pre-tax gain of $12,978, which was included in “Gain on sale of assets” within our Condensed Consolidated Statements of Comprehensive Income for the three months ended December 31, 2022. The final purchase price for STR is subject to customary working capital true-up adjustments, expected to be finalized in the second fiscal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line="287" w:lineRule="auto"/>
        <w:rPr>
          <w:sz w:val="20"/>
          <w:szCs w:val="20"/>
          <w:color w:val="auto"/>
        </w:rPr>
      </w:pPr>
      <w:r>
        <w:rPr>
          <w:rFonts w:ascii="Times New Roman" w:cs="Times New Roman" w:eastAsia="Times New Roman" w:hAnsi="Times New Roman"/>
          <w:sz w:val="17"/>
          <w:szCs w:val="17"/>
          <w:color w:val="auto"/>
        </w:rPr>
        <w:t>quarter of 2023 and which may result in an adjustment to the preliminary gain on sale. The disposition of STR, which had operated as part of our Commercial &amp; Industrial segment, will not have a material impact on our ongoing results of operations or financial position.</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432"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2022,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2022,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Federal Reserve raised the target federal funds rate throughout calendar year 2022, and has announced an expectation that it will continue to raise the target rate into calendar year 2023. This has resulted in higher mortgage rates, which when combined with elevated materials and labor costs, have had a substantial impact on the affordability of housing. There continue to be several trends, such as rising household formation and population growth in our key markets, that we expect will drive long-term demand for our services in the single-family housing market. However, going into calendar year 2023, we do expect decreased housing affordability to cause a near-term decrease in demand for our services in this market. Within the various other end markets we serve, our customers' capital budgets for new construction projects may be impacted by broader economic, technological or other factors.</w:t>
      </w:r>
    </w:p>
    <w:p>
      <w:pPr>
        <w:spacing w:after="0" w:line="19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 recent years, the COVID-19 pandemic and its impact on markets, the supply chain and the labor force influenced trends affecting our business. While commodity prices for some of the materials we procure have become less volatile, procurement and the supply chain remain areas of focus for us. We have also experienced, and may continue to experience, workforce disruptions related to exposure to, or illness from, COVID-19, resulting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2022</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7"/>
          </w:tcPr>
          <w:p>
            <w:pPr>
              <w:jc w:val="center"/>
              <w:ind w:right="46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9"/>
          </w:tcPr>
          <w:p>
            <w:pPr>
              <w:jc w:val="center"/>
              <w:ind w:left="474"/>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479,436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83.4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400,782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83.4</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16.6</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12.4</w:t>
            </w:r>
          </w:p>
        </w:tc>
        <w:tc>
          <w:tcPr>
            <w:tcW w:w="260" w:type="dxa"/>
            <w:vAlign w:val="bottom"/>
          </w:tcPr>
          <w:p>
            <w:pPr>
              <w:spacing w:after="0"/>
              <w:rPr>
                <w:sz w:val="19"/>
                <w:szCs w:val="19"/>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0.8</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28,754</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December 31, 2022, were $94.4 million higher than for the three months ended December 31, 2021, an increase of 19.6%, with increases at our Communications, Residential and Infrastructure Solutions operating segments, slightly offset by a decrease at our Commercial &amp; Industrial segment. See further discussion below of changes in revenues for our individual segments.</w:t>
      </w:r>
    </w:p>
    <w:p>
      <w:pPr>
        <w:spacing w:after="0" w:line="19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Consolidated gross profit for the three months ended December 31, 2022 increased $15.7 million compared to the three months ended December 31, 2021. Our overall gross profit percentage was 16.6% during the three months ended December 31, 2022, consistent with our overall gross profit percentage for the three months ended December 31, 2021. Gross profit as a percentage of revenue increased at our Residential and Infrastructure Solutions operating segments, while decreasing at our Communications and Commercial &amp; Industrial operating segments. See further discussion below of changes in gross margin for our individual segments.</w:t>
      </w:r>
    </w:p>
    <w:p>
      <w:pPr>
        <w:spacing w:after="0" w:line="20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three months ended December 31, 2022, our selling, general and administrative expenses were $67.8 million, an increase of $8.4 million, or 14.1%, over the three months ended December 31, 2021, driven largely by increased personnel costs at our Residential operating segment in connection with its growth, including higher incentive compensation at the division level as a result of higher earnings. Selling, general and administrative expense as a percent of revenue decreased from 12.4% for the three months ended December 31, 2021 to 11.8% for the three months ended December 31, 2022,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106,891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83.9</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16.1</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8.9</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7.2</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jc w:val="both"/>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$19.9 million during the three months ended December 31, 2022, or 15.6%,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2021. The increase primarily resulted from increased demand from our data center and high-tech manufacturing customers.</w:t>
      </w:r>
    </w:p>
    <w:p>
      <w:pPr>
        <w:spacing w:after="0" w:line="16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December 31, 2022 increased by $1.2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2021. Gross profit as a percentage of revenue decreased from 16.1% to 14.8%. During the three months ended December 31, 2022, the benefit of increased revenue was offset by an increase in operating costs, as we continued to invest in hiring and training personnel in support of our growth initiatives. In addition, we experienced more competitive pricing conditions in certain of our end markets during the three months ended December 31, 2022.</w:t>
      </w:r>
    </w:p>
    <w:p>
      <w:pPr>
        <w:spacing w:after="0" w:line="19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$0.9 million, or 8.0%,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December 31, 2022, compared to the three months ended December 31, 2021. The increase is primarily a result of higher wages in an increasingly competitive labor market, as well as increased headcount in support of our growth initiatives. Selling, general and administrative expenses as a percentage of revenue in the Communications segment were 8.4% during the three months ended December 31, 2022, compared to 8.9% for the three months ended December 31, 2021, as we have benefited from the scale of our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258,459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81.3</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280" w:type="dxa"/>
            <w:vAlign w:val="bottom"/>
            <w:shd w:val="clear" w:color="auto" w:fill="CCEEFF"/>
          </w:tcPr>
          <w:p>
            <w:pPr>
              <w:spacing w:after="0"/>
              <w:rPr>
                <w:sz w:val="18"/>
                <w:szCs w:val="18"/>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280" w:type="dxa"/>
            <w:vAlign w:val="bottom"/>
          </w:tcPr>
          <w:p>
            <w:pPr>
              <w:spacing w:after="0"/>
              <w:rPr>
                <w:sz w:val="19"/>
                <w:szCs w:val="19"/>
                <w:color w:val="auto"/>
              </w:rPr>
            </w:pPr>
          </w:p>
        </w:tc>
      </w:tr>
      <w:tr>
        <w:trPr>
          <w:trHeight w:val="219"/>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$76.3 million, or 31.6%, during the three months ended December 31, 2022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2021. The increase was driven by the impact of price increases in connection with higher materials costs and continued strong demand, particularly in the multi-family and Florida single-family markets. Single-family revenues increased by $53.3 million and multi-family and other revenues increased $23.0 million, respectively, for the three months ended December 31, 2022 compared to the prior period.</w:t>
      </w:r>
    </w:p>
    <w:p>
      <w:pPr>
        <w:spacing w:after="0" w:line="1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December 31, 2022, our Residential segment's gross profit increased by $17.0 million, or 39.8%,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2021. The increase in gross profit was driven primarily by increased activity, as well as the impact of price increases. Gross profit as a percentage of revenue increased to 18.7% during the three months ended December 31, 2022, from 17.6% for the three months ended December 31, 2021, as prior year gross margins were negatively impacted by higher labor and material costs, which were not offset by increased pricing until later in fiscal year 2022.</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$8.1 million, or 26.0%,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2022, compared to the three months ended December 31, 2021.</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p>
      <w:pPr>
        <w:ind w:right="60"/>
        <w:spacing w:after="0" w:line="270" w:lineRule="auto"/>
        <w:rPr>
          <w:sz w:val="20"/>
          <w:szCs w:val="20"/>
          <w:color w:val="auto"/>
        </w:rPr>
      </w:pPr>
      <w:r>
        <w:rPr>
          <w:rFonts w:ascii="Times New Roman" w:cs="Times New Roman" w:eastAsia="Times New Roman" w:hAnsi="Times New Roman"/>
          <w:sz w:val="17"/>
          <w:szCs w:val="17"/>
          <w:color w:val="auto"/>
        </w:rPr>
        <w:t>The increase was driven by higher personnel cost in connection with business growth, including incentive profit sharing for division management. Selling, general and administrative expenses as a percentage of revenue in the Residential segment decreased to 12.3% during the three months ended December 31, 2022, compared to 12.8% in the three months ended December 31, 2021, as we benefited from the scale of our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5"/>
          </w:tcPr>
          <w:p>
            <w:pPr>
              <w:jc w:val="right"/>
              <w:ind w:right="174"/>
              <w:spacing w:after="0"/>
              <w:rPr>
                <w:sz w:val="20"/>
                <w:szCs w:val="20"/>
                <w:color w:val="auto"/>
              </w:rPr>
            </w:pPr>
            <w:r>
              <w:rPr>
                <w:rFonts w:ascii="Times New Roman" w:cs="Times New Roman" w:eastAsia="Times New Roman" w:hAnsi="Times New Roman"/>
                <w:sz w:val="17"/>
                <w:szCs w:val="17"/>
                <w:color w:val="auto"/>
              </w:rPr>
              <w:t>Three Months Ended June 30,</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7"/>
                <w:szCs w:val="17"/>
                <w:color w:val="auto"/>
                <w:w w:val="93"/>
              </w:rPr>
              <w:t>2021</w:t>
            </w:r>
          </w:p>
        </w:tc>
        <w:tc>
          <w:tcPr>
            <w:tcW w:w="2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20" w:type="dxa"/>
            <w:vAlign w:val="bottom"/>
            <w:gridSpan w:val="8"/>
          </w:tcPr>
          <w:p>
            <w:pPr>
              <w:jc w:val="right"/>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42,096</w:t>
            </w:r>
          </w:p>
        </w:tc>
        <w:tc>
          <w:tcPr>
            <w:tcW w:w="12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34,375</w:t>
            </w:r>
          </w:p>
        </w:tc>
        <w:tc>
          <w:tcPr>
            <w:tcW w:w="1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81.7</w:t>
            </w:r>
          </w:p>
        </w:tc>
        <w:tc>
          <w:tcPr>
            <w:tcW w:w="280" w:type="dxa"/>
            <w:vAlign w:val="bottom"/>
          </w:tcPr>
          <w:p>
            <w:pPr>
              <w:spacing w:after="0"/>
              <w:rPr>
                <w:sz w:val="19"/>
                <w:szCs w:val="19"/>
                <w:color w:val="auto"/>
              </w:rPr>
            </w:pPr>
          </w:p>
        </w:tc>
      </w:tr>
      <w:tr>
        <w:trPr>
          <w:trHeight w:val="212"/>
        </w:trPr>
        <w:tc>
          <w:tcPr>
            <w:tcW w:w="5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21.2</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18.3</w:t>
            </w:r>
          </w:p>
        </w:tc>
        <w:tc>
          <w:tcPr>
            <w:tcW w:w="280" w:type="dxa"/>
            <w:vAlign w:val="bottom"/>
            <w:tcBorders>
              <w:top w:val="single" w:sz="8" w:color="auto"/>
            </w:tcBorders>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1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14.4</w:t>
            </w:r>
          </w:p>
        </w:tc>
        <w:tc>
          <w:tcPr>
            <w:tcW w:w="28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48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$7.2 million during the three months ended December 31, 2022, an increase of 17.1%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December 31, 2021 driven primarily by continued strong demand in our generator enclosures business.</w:t>
      </w:r>
    </w:p>
    <w:p>
      <w:pPr>
        <w:spacing w:after="0" w:line="16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December 31, 2022 increased $2.7 million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2021. Gross profit for the three months ended December 31, 2021 was negatively affected by the impact of supply chain disruptions, COVID-19 related labor inefficiencies, and operating inefficiencies in connection with the relocation of our Tulsa, Oklahoma operation to a new, larger facility in order to accommodate increased demand for our generator enclosure products. Gross profit as a percentage of revenue increased from 18.3% to 21.2%.</w:t>
      </w:r>
    </w:p>
    <w:p>
      <w:pPr>
        <w:spacing w:after="0" w:line="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decreased $0.3 million when compared to the three months ended December 31, 2021, primarily as a result of a decrease in medical claims cost. Selling, general and administrative expenses as a percent of revenue decreased from 14.4% to 11.7%.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2022</w:t>
            </w: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20" w:type="dxa"/>
            <w:vAlign w:val="bottom"/>
            <w:gridSpan w:val="9"/>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94.0</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87.2</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12.8</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decreased $9.0 million, or 13.0%, during the three months ended December 31, 2022,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2021. STR Mechanical, LLC (“STR”), which we sold at the beginning of the quarter ended December 31, 2022, contributed revenue of $4.9 million for the quarter ended December 31, 2021. The markets in which we operate remain highly competitive.</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December 31, 2022, decreased by $5.3 million,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2021. Gross profit as a percentage of revenue decreased from 12.8% for the quarter ended December 31, 2021 to 6.0% for the quarter ended December 31, 2022 as a result of continuing operating challenges at one branch that incurred significant losses during fiscal 2022 and into fiscal year 2023. We continue to limit the size and duration of projects bid at this branch.</w:t>
      </w:r>
    </w:p>
    <w:p>
      <w:pPr>
        <w:spacing w:after="0" w:line="19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2022 decreased $1.6 million, or 21.7%, compared to the three months ended December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31, 2021. The decrease was driven primarily by a reduction in headcount. Selling, general and administrative expenses as a percentage of revenue decreased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 to 9.4% for the three months ended December 31, 2022 compared to the three months ended December 31, 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In October 2022, we sold STR, and recorded a pretax gain on sale of $13.0 million.</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160" w:type="dxa"/>
            <w:vAlign w:val="bottom"/>
          </w:tcPr>
          <w:p>
            <w:pPr>
              <w:spacing w:after="0"/>
              <w:rPr>
                <w:sz w:val="19"/>
                <w:szCs w:val="19"/>
                <w:color w:val="auto"/>
              </w:rPr>
            </w:pPr>
          </w:p>
        </w:tc>
        <w:tc>
          <w:tcPr>
            <w:tcW w:w="5460" w:type="dxa"/>
            <w:vAlign w:val="bottom"/>
            <w:gridSpan w:val="2"/>
          </w:tcPr>
          <w:p>
            <w:pPr>
              <w:jc w:val="right"/>
              <w:ind w:right="147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3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3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3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r>
      <w:tr>
        <w:trPr>
          <w:trHeight w:val="196"/>
        </w:trPr>
        <w:tc>
          <w:tcPr>
            <w:tcW w:w="3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gridSpan w:val="3"/>
          </w:tcPr>
          <w:p>
            <w:pPr>
              <w:jc w:val="right"/>
              <w:ind w:right="34"/>
              <w:spacing w:after="0"/>
              <w:rPr>
                <w:sz w:val="20"/>
                <w:szCs w:val="20"/>
                <w:color w:val="auto"/>
              </w:rPr>
            </w:pPr>
            <w:r>
              <w:rPr>
                <w:rFonts w:ascii="Times New Roman" w:cs="Times New Roman" w:eastAsia="Times New Roman" w:hAnsi="Times New Roman"/>
                <w:sz w:val="15"/>
                <w:szCs w:val="15"/>
                <w:color w:val="auto"/>
              </w:rPr>
              <w:t>(In thousands)</w:t>
            </w:r>
          </w:p>
        </w:tc>
        <w:tc>
          <w:tcPr>
            <w:tcW w:w="1100" w:type="dxa"/>
            <w:vAlign w:val="bottom"/>
          </w:tcPr>
          <w:p>
            <w:pPr>
              <w:spacing w:after="0"/>
              <w:rPr>
                <w:sz w:val="17"/>
                <w:szCs w:val="17"/>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460" w:type="dxa"/>
            <w:vAlign w:val="bottom"/>
            <w:gridSpan w:val="2"/>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1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1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4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4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During the three months ended December 31, 2022, we incurred interest expense of $1.2 million primarily comprised of interest expense from our revolving credit facility and fees on an average letter of credit balance of $5.4 million under our revolving credit facility and an average unused line of credit balance of $80.7 million. This compares to interest expense of $0.4 million for the three months ended December 31, 2021, primarily comprised of interest expense from our revolving credit facility and fees on an average letter of credit balance of $4.9 million under our revolving credit facility and an average unused line of credit balance of $42.9 million. The increase in interest expense in the three months ended December 31, 2022 compared to the three months ended December 31, 2021 was a result of higher borrowing rates.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We recorded income tax expense of $10.0 million for the three months ended December 31, 2022, compared to income tax expense of $4.0 million for the three months ended December 31, 2021, driven by increased pretax income. For the three months ended December 31, 2022 and 2021, our income tax expense was partly offset by benefits of $0.2 million and $0.9 million, respectively, related to the vesting of stock-based compensation.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2022. Some of the more significant estimates include revenue recognition, business combinations, valuation allowance for deferred tax assets and income taxes.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2022.</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6" w:name="page27"/>
    <w:bookmarkEnd w:id="26"/>
    <w:p>
      <w:pPr>
        <w:ind w:right="680"/>
        <w:spacing w:after="0" w:line="276" w:lineRule="auto"/>
        <w:rPr>
          <w:sz w:val="20"/>
          <w:szCs w:val="20"/>
          <w:color w:val="auto"/>
        </w:rPr>
      </w:pPr>
      <w:r>
        <w:rPr>
          <w:rFonts w:ascii="Times New Roman" w:cs="Times New Roman" w:eastAsia="Times New Roman" w:hAnsi="Times New Roman"/>
          <w:sz w:val="17"/>
          <w:szCs w:val="17"/>
          <w:color w:val="auto"/>
        </w:rPr>
        <w:t>family housing at our Residential segment are completed on a short-term basis and are therefore excluded from backlog. The table below summarizes our remaining performance obligations and backlog:</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30,</w:t>
            </w:r>
          </w:p>
        </w:tc>
        <w:tc>
          <w:tcPr>
            <w:tcW w:w="240" w:type="dxa"/>
            <w:vAlign w:val="bottom"/>
          </w:tcPr>
          <w:p>
            <w:pPr>
              <w:spacing w:after="0"/>
              <w:rPr>
                <w:sz w:val="19"/>
                <w:szCs w:val="19"/>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March 31,</w:t>
            </w:r>
          </w:p>
        </w:tc>
      </w:tr>
      <w:tr>
        <w:trPr>
          <w:trHeight w:val="223"/>
        </w:trPr>
        <w:tc>
          <w:tcPr>
            <w:tcW w:w="4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r>
    </w:tbl>
    <w:p>
      <w:pPr>
        <w:spacing w:after="0" w:line="1" w:lineRule="exact"/>
        <w:rPr>
          <w:sz w:val="20"/>
          <w:szCs w:val="20"/>
          <w:color w:val="auto"/>
        </w:rPr>
      </w:pPr>
    </w:p>
    <w:p>
      <w:pPr>
        <w:ind w:left="120" w:right="420" w:firstLine="10"/>
        <w:spacing w:after="0" w:line="253" w:lineRule="auto"/>
        <w:tabs>
          <w:tab w:leader="none" w:pos="33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2022, working capital exclusive of cash increased by $9.5 million from September 30, 2022, reflecting a $15.5 million decrease in current assets excluding cash and a $25.0 million decrease in current liabilities during the period.</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During the three months ended December 31, 2022, our current assets exclusive of cash decreased to $584.1 million, as compared to $599.6 million as of September 30, 2022. A seasonal decrease in business activity, as well as the collection of $5.1 million of aged receivables related to prior year contractual disputes, drove a $22.5 million decrease in trade accounts receivable. Days sales outstanding decreased slightly from 58 at September 30, 2022 to 57 at December 31, 2022. While the rate of collections may vary, our typically secured position, resulting from our ability in general to secure liens against our customers’ overdue receivables, offers some protection that collection will occur eventually to the extent that our security retains value. The decrease in trade accounts receivable was partly offset by a $6.0 million increase in prepaid expenses and other current assets as a result of timing of our annual insurance renewal.</w:t>
      </w:r>
    </w:p>
    <w:p>
      <w:pPr>
        <w:spacing w:after="0" w:line="199" w:lineRule="exact"/>
        <w:rPr>
          <w:sz w:val="20"/>
          <w:szCs w:val="20"/>
          <w:color w:val="auto"/>
        </w:rPr>
      </w:pPr>
    </w:p>
    <w:p>
      <w:pPr>
        <w:jc w:val="both"/>
        <w:ind w:right="32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2022, our total current liabilities decreased by $25.0 million to $376.9 million, compared to $401.9 million as of September 30, 2022, driven by a seasonal decrease in business activity, as well as the remittance of all remaining payroll taxes deferred under the CARES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the estimated cost to complete our bonded projects was approximately $77.9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firstLine="3"/>
        <w:spacing w:after="0" w:line="266"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we were in compliance with the financial covenants under the Amended Credit Agreement, requiring that we maintain:</w:t>
      </w:r>
    </w:p>
    <w:p>
      <w:pPr>
        <w:spacing w:after="0" w:line="217" w:lineRule="exact"/>
        <w:rPr>
          <w:sz w:val="20"/>
          <w:szCs w:val="20"/>
          <w:color w:val="auto"/>
        </w:rPr>
      </w:pPr>
    </w:p>
    <w:p>
      <w:pPr>
        <w:ind w:left="1480" w:right="6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6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At December 31, 2022, our Liquidity was $106.4 million, our Excess Availability was $101.1 million (or greater than 50% of minimum Liquidity), and our Fixed Charge Coverage Ratio was 1.9:1.0.</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2022, we had $5.9 million in outstanding letters of credit and outstanding borrowings of $43.0 million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elevated commodity prices, and the steps taken to mitigate the impact of supply chain disruptions.</w:t>
      </w:r>
    </w:p>
    <w:p>
      <w:pPr>
        <w:spacing w:after="0" w:line="20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Operating activities provided net cash of $14.3 million during the three months ended December 31, 2022, as compared to $24.5 million of net cash used in the three months ended December 31, 2021. The increase in operating cash flow resulted from increased earnings and a reduction in cash used in working capital during the three months ended December 31, 2022 as compared with the three months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Net cash provided by investing activities was $16.3 million for the three months ended December 31, 2022, compared to $12.8 million used in the three months ended December 31, 2021. During the three months ended December 31, 2022, the sale of assets, including the sale of STR, provided cash of had $19.2 million, which was partially offset by $2.7 million used for capital expenditures. During the three months ended December 31, 2021, we used $12.3 million for capital expenditures primarily related to the acquisition of a new operating facility for our Wedlake business, as well as an additional facility to support the growth of our Residential business in Florida.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December 31, 2022 was $50.3 million, compared to $21.9 million provided by financing activities for the three months ended December 31, 2021. Net cash used in financing activities for the three months ended December 31, 2022 included net repayments on our credit facility of $39.7 million and $7.5 million used for repurchases of our common stock, including repurchases to satisfy statutory withholding requirements upon the vesting of employee stock compensation. Additionally, we distributed $2.3 million to noncontrolling interests under operating agreements in connection with certain acquisitions. Net cash provided by financing activities for the three months ended December 31, 2021 included net borrowings on our credit facility of $28.2 million, partly offset by $4.8 million used to repurchase our common stock, including repurchases to satisfy statutory withholding requirements upon the vesting of employee stock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8" w:name="page29"/>
    <w:bookmarkEnd w:id="28"/>
    <w:p>
      <w:pPr>
        <w:spacing w:after="0" w:line="257"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authorized the repurchase from time to time of up to an additional 1.0 million shares under the program. In December 2022, our Board terminated the remaining authorization under this program, and approved a new $40.0 million share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219,731 shares pursuant to our repurchase programs during the three months ended December 31, 2022.</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2022, we had commitments of $6.9 million outstanding under agreements to purchase copper wire and other materials over the next 12 months in the ordinary course of business. There have been no other material changes in our material cash requirements from those disclosed in our Annual Report on Form 10-K for the fiscal year ended September 30, 2022.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2022.</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of $43.0 million as of December 31, 2022 would cause a $0.4 million pre-tax annual increase in interest expense.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2022,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Maximum Number of</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Maximum Dollar Value</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Total Number of</w:t>
            </w:r>
          </w:p>
        </w:tc>
        <w:tc>
          <w:tcPr>
            <w:tcW w:w="16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Shares That May Yet</w:t>
            </w:r>
          </w:p>
        </w:tc>
        <w:tc>
          <w:tcPr>
            <w:tcW w:w="17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of Shares That May Yet</w:t>
            </w:r>
          </w:p>
        </w:tc>
        <w:tc>
          <w:tcPr>
            <w:tcW w:w="0" w:type="dxa"/>
            <w:vAlign w:val="bottom"/>
          </w:tcPr>
          <w:p>
            <w:pPr>
              <w:spacing w:after="0"/>
              <w:rPr>
                <w:sz w:val="1"/>
                <w:szCs w:val="1"/>
                <w:color w:val="auto"/>
              </w:rPr>
            </w:pPr>
          </w:p>
        </w:tc>
      </w:tr>
      <w:tr>
        <w:trPr>
          <w:trHeight w:val="168"/>
        </w:trPr>
        <w:tc>
          <w:tcPr>
            <w:tcW w:w="3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40" w:type="dxa"/>
            <w:vAlign w:val="bottom"/>
            <w:gridSpan w:val="4"/>
          </w:tcPr>
          <w:p>
            <w:pPr>
              <w:jc w:val="right"/>
              <w:spacing w:after="0" w:line="167" w:lineRule="exact"/>
              <w:rPr>
                <w:sz w:val="20"/>
                <w:szCs w:val="20"/>
                <w:color w:val="auto"/>
              </w:rPr>
            </w:pPr>
            <w:r>
              <w:rPr>
                <w:rFonts w:ascii="Times New Roman" w:cs="Times New Roman" w:eastAsia="Times New Roman" w:hAnsi="Times New Roman"/>
                <w:sz w:val="17"/>
                <w:szCs w:val="17"/>
                <w:color w:val="auto"/>
              </w:rPr>
              <w:t>Shares Purchased as Be Purchased Under the Be Purchased Under the</w:t>
            </w:r>
          </w:p>
        </w:tc>
        <w:tc>
          <w:tcPr>
            <w:tcW w:w="0" w:type="dxa"/>
            <w:vAlign w:val="bottom"/>
          </w:tcPr>
          <w:p>
            <w:pPr>
              <w:spacing w:after="0"/>
              <w:rPr>
                <w:sz w:val="1"/>
                <w:szCs w:val="1"/>
                <w:color w:val="auto"/>
              </w:rPr>
            </w:pPr>
          </w:p>
        </w:tc>
      </w:tr>
      <w:tr>
        <w:trPr>
          <w:trHeight w:val="180"/>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740" w:type="dxa"/>
            <w:vAlign w:val="bottom"/>
          </w:tcPr>
          <w:p>
            <w:pPr>
              <w:jc w:val="right"/>
              <w:ind w:right="114"/>
              <w:spacing w:after="0" w:line="181" w:lineRule="exact"/>
              <w:rPr>
                <w:sz w:val="20"/>
                <w:szCs w:val="20"/>
                <w:color w:val="auto"/>
              </w:rPr>
            </w:pPr>
            <w:r>
              <w:rPr>
                <w:rFonts w:ascii="Times New Roman" w:cs="Times New Roman" w:eastAsia="Times New Roman" w:hAnsi="Times New Roman"/>
                <w:sz w:val="17"/>
                <w:szCs w:val="17"/>
                <w:color w:val="auto"/>
              </w:rPr>
              <w:t>Total Number of</w:t>
            </w:r>
          </w:p>
        </w:tc>
        <w:tc>
          <w:tcPr>
            <w:tcW w:w="118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color w:val="auto"/>
              </w:rPr>
              <w:t>Average Price</w:t>
            </w: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Part of a Publicly</w:t>
            </w:r>
          </w:p>
        </w:tc>
        <w:tc>
          <w:tcPr>
            <w:tcW w:w="16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Publicly Announced</w:t>
            </w:r>
          </w:p>
        </w:tc>
        <w:tc>
          <w:tcPr>
            <w:tcW w:w="160" w:type="dxa"/>
            <w:vAlign w:val="bottom"/>
          </w:tcPr>
          <w:p>
            <w:pPr>
              <w:spacing w:after="0"/>
              <w:rPr>
                <w:sz w:val="15"/>
                <w:szCs w:val="15"/>
                <w:color w:val="auto"/>
              </w:rPr>
            </w:pPr>
          </w:p>
        </w:tc>
        <w:tc>
          <w:tcPr>
            <w:tcW w:w="15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Publicly Announced</w:t>
            </w:r>
          </w:p>
        </w:tc>
        <w:tc>
          <w:tcPr>
            <w:tcW w:w="0" w:type="dxa"/>
            <w:vAlign w:val="bottom"/>
          </w:tcPr>
          <w:p>
            <w:pPr>
              <w:spacing w:after="0"/>
              <w:rPr>
                <w:sz w:val="1"/>
                <w:szCs w:val="1"/>
                <w:color w:val="auto"/>
              </w:rPr>
            </w:pPr>
          </w:p>
        </w:tc>
      </w:tr>
      <w:tr>
        <w:trPr>
          <w:trHeight w:val="219"/>
        </w:trPr>
        <w:tc>
          <w:tcPr>
            <w:tcW w:w="3140" w:type="dxa"/>
            <w:vAlign w:val="bottom"/>
            <w:vMerge w:val="continue"/>
          </w:tcPr>
          <w:p>
            <w:pPr>
              <w:spacing w:after="0"/>
              <w:rPr>
                <w:sz w:val="19"/>
                <w:szCs w:val="19"/>
                <w:color w:val="auto"/>
              </w:rPr>
            </w:pPr>
          </w:p>
        </w:tc>
        <w:tc>
          <w:tcPr>
            <w:tcW w:w="1740" w:type="dxa"/>
            <w:vAlign w:val="bottom"/>
          </w:tcPr>
          <w:p>
            <w:pPr>
              <w:jc w:val="right"/>
              <w:ind w:right="14"/>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Paid 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1640" w:type="dxa"/>
            <w:vAlign w:val="bottom"/>
          </w:tcPr>
          <w:p>
            <w:pPr>
              <w:jc w:val="center"/>
              <w:spacing w:after="0" w:line="219" w:lineRule="exact"/>
              <w:rPr>
                <w:sz w:val="20"/>
                <w:szCs w:val="20"/>
                <w:color w:val="auto"/>
              </w:rPr>
            </w:pPr>
            <w:r>
              <w:rPr>
                <w:rFonts w:ascii="Times New Roman" w:cs="Times New Roman" w:eastAsia="Times New Roman" w:hAnsi="Times New Roman"/>
                <w:sz w:val="17"/>
                <w:szCs w:val="17"/>
                <w:color w:val="auto"/>
                <w:w w:val="92"/>
              </w:rPr>
              <w:t xml:space="preserve">Plan </w:t>
            </w:r>
            <w:r>
              <w:rPr>
                <w:rFonts w:ascii="Times New Roman" w:cs="Times New Roman" w:eastAsia="Times New Roman" w:hAnsi="Times New Roman"/>
                <w:sz w:val="22"/>
                <w:szCs w:val="22"/>
                <w:color w:val="auto"/>
                <w:w w:val="92"/>
                <w:vertAlign w:val="superscript"/>
              </w:rPr>
              <w:t>(2)</w:t>
            </w:r>
          </w:p>
        </w:tc>
        <w:tc>
          <w:tcPr>
            <w:tcW w:w="160" w:type="dxa"/>
            <w:vAlign w:val="bottom"/>
          </w:tcPr>
          <w:p>
            <w:pPr>
              <w:spacing w:after="0"/>
              <w:rPr>
                <w:sz w:val="19"/>
                <w:szCs w:val="19"/>
                <w:color w:val="auto"/>
              </w:rPr>
            </w:pPr>
          </w:p>
        </w:tc>
        <w:tc>
          <w:tcPr>
            <w:tcW w:w="1580" w:type="dxa"/>
            <w:vAlign w:val="bottom"/>
          </w:tcPr>
          <w:p>
            <w:pPr>
              <w:jc w:val="center"/>
              <w:ind w:right="14"/>
              <w:spacing w:after="0" w:line="219" w:lineRule="exact"/>
              <w:rPr>
                <w:sz w:val="20"/>
                <w:szCs w:val="20"/>
                <w:color w:val="auto"/>
              </w:rPr>
            </w:pPr>
            <w:r>
              <w:rPr>
                <w:rFonts w:ascii="Times New Roman" w:cs="Times New Roman" w:eastAsia="Times New Roman" w:hAnsi="Times New Roman"/>
                <w:sz w:val="17"/>
                <w:szCs w:val="17"/>
                <w:color w:val="auto"/>
                <w:w w:val="92"/>
              </w:rPr>
              <w:t xml:space="preserve">Plan </w:t>
            </w:r>
            <w:r>
              <w:rPr>
                <w:rFonts w:ascii="Times New Roman" w:cs="Times New Roman" w:eastAsia="Times New Roman" w:hAnsi="Times New Roman"/>
                <w:sz w:val="22"/>
                <w:szCs w:val="22"/>
                <w:color w:val="auto"/>
                <w:w w:val="92"/>
                <w:vertAlign w:val="superscript"/>
              </w:rPr>
              <w:t>(2)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2022 – October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124,305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124,020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234,000</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2022 – November 30,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21,613</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212,387</w:t>
            </w:r>
          </w:p>
        </w:tc>
        <w:tc>
          <w:tcPr>
            <w:tcW w:w="16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2022 – December 31, 2022</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92,955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37,739,873</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238,873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219,731</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37,739,873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w:t>
      </w:r>
    </w:p>
    <w:p>
      <w:pPr>
        <w:spacing w:after="0" w:line="58"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2015, our Board authorized a stock repurchase program for the purchase of up to 1.5 million shares of the Company’s common stock from time to time, and in 2019 authorized the repurchase</w:t>
      </w:r>
    </w:p>
    <w:p>
      <w:pPr>
        <w:spacing w:after="0" w:line="57" w:lineRule="exact"/>
        <w:rPr>
          <w:sz w:val="20"/>
          <w:szCs w:val="20"/>
          <w:color w:val="auto"/>
        </w:rPr>
      </w:pPr>
    </w:p>
    <w:p>
      <w:pPr>
        <w:ind w:left="620"/>
        <w:spacing w:after="0" w:line="275" w:lineRule="auto"/>
        <w:rPr>
          <w:sz w:val="20"/>
          <w:szCs w:val="20"/>
          <w:color w:val="auto"/>
        </w:rPr>
      </w:pPr>
      <w:r>
        <w:rPr>
          <w:rFonts w:ascii="Times New Roman" w:cs="Times New Roman" w:eastAsia="Times New Roman" w:hAnsi="Times New Roman"/>
          <w:sz w:val="14"/>
          <w:szCs w:val="14"/>
          <w:color w:val="auto"/>
        </w:rPr>
        <w:t>from time to time of up to an additional 1.0 million shares under the program. In December 2022, our Board terminated the existing program, and authorized a new $40 million share repurchase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53">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54">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54">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56">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56">
        <w:r>
          <w:rPr>
            <w:rFonts w:ascii="Times New Roman" w:cs="Times New Roman" w:eastAsia="Times New Roman" w:hAnsi="Times New Roman"/>
            <w:sz w:val="17"/>
            <w:szCs w:val="17"/>
            <w:u w:val="single" w:color="auto"/>
            <w:color w:val="0000FF"/>
          </w:rPr>
          <w:t>2016).</w:t>
        </w:r>
      </w:hyperlink>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9"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February 3, 2023.</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33</w:t>
            </w:r>
          </w:p>
        </w:tc>
      </w:tr>
    </w:tbl>
    <w:p>
      <w:pPr>
        <w:sectPr>
          <w:pgSz w:w="11900" w:h="16838" w:orient="portrait"/>
          <w:cols w:equalWidth="0" w:num="1">
            <w:col w:w="11240"/>
          </w:cols>
          <w:pgMar w:left="320" w:top="42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3, 2023</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3, 2023</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2022 (the “Report”), I, Jeffrey L. 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22"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February 3,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2022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February 3,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amp;"/>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5">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
    <w:nsid w:val="628C895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lvl w:ilvl="1">
      <w:lvlJc w:val="left"/>
      <w:lvlText w:val="(%2)"/>
      <w:numFmt w:val="lowerLetter"/>
      <w:start w:val="2"/>
    </w:lvl>
  </w:abstractNum>
  <w:abstractNum w:abstractNumId="19">
    <w:nsid w:val="2443A8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
    <w:nsid w:val="2D1D5AE9"/>
    <w:multiLevelType w:val="hybridMultilevel"/>
    <w:lvl w:ilvl="0">
      <w:lvlJc w:val="left"/>
      <w:lvlText w:val="(%1)"/>
      <w:numFmt w:val="lowerLetter"/>
      <w:start w:val="3"/>
    </w:lvl>
    <w:lvl w:ilvl="1">
      <w:lvlJc w:val="left"/>
      <w:lvlText w:val="(%2)"/>
      <w:numFmt w:val="lowerLetter"/>
      <w:start w:val="4"/>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lvl w:ilvl="1">
      <w:lvlJc w:val="left"/>
      <w:lvlText w:val="(%2)"/>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3" Type="http://schemas.openxmlformats.org/officeDocument/2006/relationships/hyperlink" Target="http://www.sec.gov/Archives/edgar/data/1048268/000119312516674386/d211495dex31.htm" TargetMode="External"/><Relationship Id="rId54" Type="http://schemas.openxmlformats.org/officeDocument/2006/relationships/hyperlink" Target="http://www.sec.gov/Archives/edgar/data/1048268/000104826821000065/amendedandrestatedbylawsof.htm" TargetMode="External"/><Relationship Id="rId56" Type="http://schemas.openxmlformats.org/officeDocument/2006/relationships/hyperlink" Target="http://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2023-02-03T06:51:23Z</dcterms:created>
  <dcterms:modified xsi:type="dcterms:W3CDTF">2023-02-03T06:51:23Z</dcterms:modified>
</cp:coreProperties>
</file>