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330" w:type="dxa"/>
        <w:jc w:val="left"/>
        <w:tblInd w:w="0" w:type="dxa"/>
        <w:tblCellMar>
          <w:top w:w="28" w:type="dxa"/>
          <w:left w:w="28" w:type="dxa"/>
          <w:bottom w:w="28" w:type="dxa"/>
          <w:right w:w="28" w:type="dxa"/>
        </w:tblCellMar>
      </w:tblPr>
      <w:tblGrid>
        <w:gridCol w:w="124"/>
        <w:gridCol w:w="109"/>
        <w:gridCol w:w="109"/>
        <w:gridCol w:w="1550"/>
        <w:gridCol w:w="1550"/>
        <w:gridCol w:w="1550"/>
        <w:gridCol w:w="1550"/>
        <w:gridCol w:w="1550"/>
        <w:gridCol w:w="22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4992"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fiscal year ended</w:t>
            </w:r>
          </w:p>
        </w:tc>
        <w:tc>
          <w:tcPr>
            <w:tcW w:w="5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330" w:type="dxa"/>
            <w:gridSpan w:val="9"/>
            <w:tcBorders/>
            <w:shd w:fill="auto"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 xml:space="preserve">Commission file number 001-13783 </w:t>
      </w:r>
    </w:p>
    <w:p>
      <w:pPr>
        <w:pStyle w:val="TextBody"/>
        <w:spacing w:before="0" w:after="0"/>
        <w:jc w:val="center"/>
        <w:rPr/>
      </w:pPr>
      <w:r>
        <w:rPr/>
        <w:drawing>
          <wp:inline distT="0" distB="63500" distL="0" distR="0">
            <wp:extent cx="8477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4286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IES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7304" w:type="dxa"/>
        <w:jc w:val="center"/>
        <w:tblInd w:w="0" w:type="dxa"/>
        <w:tblCellMar>
          <w:top w:w="28" w:type="dxa"/>
          <w:left w:w="28" w:type="dxa"/>
          <w:bottom w:w="28" w:type="dxa"/>
          <w:right w:w="28" w:type="dxa"/>
        </w:tblCellMar>
      </w:tblPr>
      <w:tblGrid>
        <w:gridCol w:w="1648"/>
        <w:gridCol w:w="1450"/>
        <w:gridCol w:w="1462"/>
        <w:gridCol w:w="799"/>
        <w:gridCol w:w="799"/>
        <w:gridCol w:w="1146"/>
      </w:tblGrid>
      <w:tr>
        <w:trPr/>
        <w:tc>
          <w:tcPr>
            <w:tcW w:w="1648"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76-0542208</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rPr>
        <w:t>Registrant’s telephone number, including area code:</w:t>
      </w:r>
      <w:r>
        <w:rPr>
          <w:color w:val="000000"/>
        </w:rPr>
        <w:t xml:space="preserve"> </w:t>
      </w:r>
      <w:r>
        <w:rPr>
          <w:rFonts w:ascii="Times New Roman;sans-serif" w:hAnsi="Times New Roman;sans-serif"/>
          <w:b/>
          <w:color w:val="000000"/>
          <w:sz w:val="18"/>
        </w:rPr>
        <w:t xml:space="preserve">(713) 860-1500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not required to file reports pursuant to Section 13 or 15(d)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rPr/>
      </w:pPr>
      <w:r>
        <w:rPr>
          <w:color w:val="000000"/>
        </w:rPr>
        <w:t> </w:t>
      </w: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color w:val="000000"/>
        </w:rPr>
      </w:pPr>
      <w:r>
        <w:rPr>
          <w:color w:val="000000"/>
        </w:rPr>
        <w:t> </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lineRule="auto" w:line="288" w:before="0" w:after="0"/>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60"/>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stock of the registrant held by non-affiliates as of March 31, 2022, was approximately $359.7 million. On December 2, 2022, there were 20,224,557 shares of common stock outstanding.</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Certain information contained in the Proxy Statement for the 2023 Annual Meeting of Stockholders of the Registrant to be held on February 23, 2023, is incorporated by reference into Part III of this Annual Report on Form 10-K.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539" w:type="dxa"/>
        <w:jc w:val="center"/>
        <w:tblInd w:w="0" w:type="dxa"/>
        <w:tblCellMar>
          <w:top w:w="28" w:type="dxa"/>
          <w:left w:w="28" w:type="dxa"/>
          <w:bottom w:w="28" w:type="dxa"/>
          <w:right w:w="28" w:type="dxa"/>
        </w:tblCellMar>
      </w:tblPr>
      <w:tblGrid>
        <w:gridCol w:w="765"/>
        <w:gridCol w:w="633"/>
        <w:gridCol w:w="633"/>
        <w:gridCol w:w="2912"/>
        <w:gridCol w:w="2484"/>
        <w:gridCol w:w="2539"/>
        <w:gridCol w:w="167"/>
        <w:gridCol w:w="167"/>
        <w:gridCol w:w="239"/>
      </w:tblGrid>
      <w:tr>
        <w:trPr/>
        <w:tc>
          <w:tcPr>
            <w:tcW w:w="765"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e855e79e505045f483a5c0f854efc869_10">
              <w:r>
                <w:rPr>
                  <w:rStyle w:val="InternetLink"/>
                  <w:rFonts w:ascii="Times New Roman;sans-serif" w:hAnsi="Times New Roman;sans-serif"/>
                  <w:b/>
                  <w:color w:val="0000FF"/>
                  <w:sz w:val="20"/>
                  <w:u w:val="single"/>
                </w:rPr>
                <w:t>PART I</w:t>
              </w:r>
            </w:hyperlink>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0">
              <w:r>
                <w:rPr>
                  <w:rStyle w:val="InternetLink"/>
                  <w:rFonts w:ascii="Times New Roman;sans-serif" w:hAnsi="Times New Roman;sans-serif"/>
                  <w:b w:val="false"/>
                  <w:color w:val="0000FF"/>
                  <w:sz w:val="20"/>
                  <w:u w:val="single"/>
                </w:rPr>
                <w:t>DEFINITIONS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0">
              <w:r>
                <w:rPr>
                  <w:rStyle w:val="InternetLink"/>
                  <w:rFonts w:ascii="Times New Roman;sans-serif" w:hAnsi="Times New Roman;sans-serif"/>
                  <w:b w:val="false"/>
                  <w:color w:val="0000FF"/>
                  <w:sz w:val="20"/>
                  <w:u w:val="single"/>
                </w:rPr>
                <w:t>1</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0">
              <w:r>
                <w:rPr>
                  <w:rStyle w:val="InternetLink"/>
                  <w:rFonts w:ascii="Times New Roman;sans-serif" w:hAnsi="Times New Roman;sans-serif"/>
                  <w:b w:val="false"/>
                  <w:color w:val="0000FF"/>
                  <w:sz w:val="20"/>
                  <w:u w:val="single"/>
                </w:rPr>
                <w:t>DISCLOSURE REGARDING FORWARD 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0">
              <w:r>
                <w:rPr>
                  <w:rStyle w:val="InternetLink"/>
                  <w:rFonts w:ascii="Times New Roman;sans-serif" w:hAnsi="Times New Roman;sans-serif"/>
                  <w:b w:val="false"/>
                  <w:color w:val="0000FF"/>
                  <w:sz w:val="20"/>
                  <w:u w:val="single"/>
                </w:rPr>
                <w:t>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3">
              <w:r>
                <w:rPr>
                  <w:rStyle w:val="InternetLink"/>
                  <w:rFonts w:ascii="Times New Roman;sans-serif" w:hAnsi="Times New Roman;sans-serif"/>
                  <w:b w:val="false"/>
                  <w:color w:val="0000FF"/>
                  <w:sz w:val="20"/>
                  <w:u w:val="single"/>
                </w:rPr>
                <w:t xml:space="preserve">Item 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3">
              <w:r>
                <w:rPr>
                  <w:rStyle w:val="InternetLink"/>
                  <w:rFonts w:ascii="Times New Roman;sans-serif" w:hAnsi="Times New Roman;sans-serif"/>
                  <w:b w:val="false"/>
                  <w:color w:val="0000FF"/>
                  <w:sz w:val="20"/>
                  <w:u w:val="single"/>
                </w:rPr>
                <w:t>BUSINESS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3">
              <w:r>
                <w:rPr>
                  <w:rStyle w:val="InternetLink"/>
                  <w:rFonts w:ascii="Times New Roman;sans-serif" w:hAnsi="Times New Roman;sans-serif"/>
                  <w:b w:val="false"/>
                  <w:color w:val="0000FF"/>
                  <w:sz w:val="20"/>
                  <w:u w:val="single"/>
                </w:rPr>
                <w:t>3</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6">
              <w:r>
                <w:rPr>
                  <w:rStyle w:val="InternetLink"/>
                  <w:rFonts w:ascii="Times New Roman;sans-serif" w:hAnsi="Times New Roman;sans-serif"/>
                  <w:b w:val="false"/>
                  <w:color w:val="0000FF"/>
                  <w:sz w:val="20"/>
                  <w:u w:val="single"/>
                </w:rPr>
                <w:t xml:space="preserve">Item 1A.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6">
              <w:r>
                <w:rPr>
                  <w:rStyle w:val="InternetLink"/>
                  <w:rFonts w:ascii="Times New Roman;sans-serif" w:hAnsi="Times New Roman;sans-serif"/>
                  <w:b w:val="false"/>
                  <w:color w:val="0000FF"/>
                  <w:sz w:val="20"/>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6">
              <w:r>
                <w:rPr>
                  <w:rStyle w:val="InternetLink"/>
                  <w:rFonts w:ascii="Times New Roman;sans-serif" w:hAnsi="Times New Roman;sans-serif"/>
                  <w:b w:val="false"/>
                  <w:color w:val="0000FF"/>
                  <w:sz w:val="20"/>
                  <w:u w:val="single"/>
                </w:rPr>
                <w:t>11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9">
              <w:r>
                <w:rPr>
                  <w:rStyle w:val="InternetLink"/>
                  <w:rFonts w:ascii="Times New Roman;sans-serif" w:hAnsi="Times New Roman;sans-serif"/>
                  <w:b w:val="false"/>
                  <w:color w:val="0000FF"/>
                  <w:sz w:val="20"/>
                  <w:u w:val="single"/>
                </w:rPr>
                <w:t xml:space="preserve">Item 1B.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855e79e505045f483a5c0f854efc869_19">
              <w:r>
                <w:rPr>
                  <w:rStyle w:val="InternetLink"/>
                  <w:rFonts w:ascii="Times New Roman;sans-serif" w:hAnsi="Times New Roman;sans-serif"/>
                  <w:b w:val="false"/>
                  <w:color w:val="0000FF"/>
                  <w:sz w:val="20"/>
                  <w:u w:val="single"/>
                </w:rPr>
                <w:t>UNRESOLVED STAFF COMMENTS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9">
              <w:r>
                <w:rPr>
                  <w:rStyle w:val="InternetLink"/>
                  <w:rFonts w:ascii="Times New Roman;sans-serif" w:hAnsi="Times New Roman;sans-serif"/>
                  <w:b w:val="false"/>
                  <w:color w:val="0000FF"/>
                  <w:sz w:val="20"/>
                  <w:u w:val="single"/>
                </w:rPr>
                <w:t>20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2">
              <w:r>
                <w:rPr>
                  <w:rStyle w:val="InternetLink"/>
                  <w:rFonts w:ascii="Times New Roman;sans-serif" w:hAnsi="Times New Roman;sans-serif"/>
                  <w:b w:val="false"/>
                  <w:color w:val="0000FF"/>
                  <w:sz w:val="20"/>
                  <w:u w:val="single"/>
                </w:rPr>
                <w:t xml:space="preserve">Item 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2">
              <w:r>
                <w:rPr>
                  <w:rStyle w:val="InternetLink"/>
                  <w:rFonts w:ascii="Times New Roman;sans-serif" w:hAnsi="Times New Roman;sans-serif"/>
                  <w:b w:val="false"/>
                  <w:color w:val="0000FF"/>
                  <w:sz w:val="20"/>
                  <w:u w:val="single"/>
                </w:rPr>
                <w:t>PROPERTIES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22">
              <w:r>
                <w:rPr>
                  <w:rStyle w:val="InternetLink"/>
                  <w:rFonts w:ascii="Times New Roman;sans-serif" w:hAnsi="Times New Roman;sans-serif"/>
                  <w:b w:val="false"/>
                  <w:color w:val="0000FF"/>
                  <w:sz w:val="20"/>
                  <w:u w:val="single"/>
                </w:rPr>
                <w:t>20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5">
              <w:r>
                <w:rPr>
                  <w:rStyle w:val="InternetLink"/>
                  <w:rFonts w:ascii="Times New Roman;sans-serif" w:hAnsi="Times New Roman;sans-serif"/>
                  <w:b w:val="false"/>
                  <w:color w:val="0000FF"/>
                  <w:sz w:val="20"/>
                  <w:u w:val="single"/>
                </w:rPr>
                <w:t xml:space="preserve">Item 3.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5">
              <w:r>
                <w:rPr>
                  <w:rStyle w:val="InternetLink"/>
                  <w:rFonts w:ascii="Times New Roman;sans-serif" w:hAnsi="Times New Roman;sans-serif"/>
                  <w:b w:val="false"/>
                  <w:color w:val="0000FF"/>
                  <w:sz w:val="20"/>
                  <w:u w:val="single"/>
                </w:rPr>
                <w:t>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25">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8">
              <w:r>
                <w:rPr>
                  <w:rStyle w:val="InternetLink"/>
                  <w:rFonts w:ascii="Times New Roman;sans-serif" w:hAnsi="Times New Roman;sans-serif"/>
                  <w:b w:val="false"/>
                  <w:color w:val="0000FF"/>
                  <w:sz w:val="20"/>
                  <w:u w:val="single"/>
                </w:rPr>
                <w:t xml:space="preserve">Item 4.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28">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28">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e855e79e505045f483a5c0f854efc869_31">
              <w:r>
                <w:rPr>
                  <w:rStyle w:val="InternetLink"/>
                  <w:rFonts w:ascii="Times New Roman;sans-serif" w:hAnsi="Times New Roman;sans-serif"/>
                  <w:b/>
                  <w:color w:val="0000FF"/>
                  <w:sz w:val="20"/>
                  <w:u w:val="single"/>
                </w:rPr>
                <w:t>PART 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34">
              <w:r>
                <w:rPr>
                  <w:rStyle w:val="InternetLink"/>
                  <w:rFonts w:ascii="Times New Roman;sans-serif" w:hAnsi="Times New Roman;sans-serif"/>
                  <w:b w:val="false"/>
                  <w:color w:val="0000FF"/>
                  <w:sz w:val="20"/>
                  <w:u w:val="single"/>
                </w:rPr>
                <w:t xml:space="preserve">Item 5.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34">
              <w:r>
                <w:rPr>
                  <w:rStyle w:val="InternetLink"/>
                  <w:rFonts w:ascii="Times New Roman;sans-serif" w:hAnsi="Times New Roman;sans-serif"/>
                  <w:b w:val="false"/>
                  <w:color w:val="0000FF"/>
                  <w:sz w:val="20"/>
                  <w:u w:val="single"/>
                </w:rPr>
                <w:t>22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37">
              <w:r>
                <w:rPr>
                  <w:rStyle w:val="InternetLink"/>
                  <w:rFonts w:ascii="Times New Roman;sans-serif" w:hAnsi="Times New Roman;sans-serif"/>
                  <w:b w:val="false"/>
                  <w:color w:val="0000FF"/>
                  <w:sz w:val="20"/>
                  <w:u w:val="single"/>
                </w:rPr>
                <w:t xml:space="preserve">Item 7.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3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37">
              <w:r>
                <w:rPr>
                  <w:rStyle w:val="InternetLink"/>
                  <w:rFonts w:ascii="Times New Roman;sans-serif" w:hAnsi="Times New Roman;sans-serif"/>
                  <w:b w:val="false"/>
                  <w:color w:val="0000FF"/>
                  <w:sz w:val="20"/>
                  <w:u w:val="single"/>
                </w:rPr>
                <w:t>23</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67">
              <w:r>
                <w:rPr>
                  <w:rStyle w:val="InternetLink"/>
                  <w:rFonts w:ascii="Times New Roman;sans-serif" w:hAnsi="Times New Roman;sans-serif"/>
                  <w:b w:val="false"/>
                  <w:color w:val="0000FF"/>
                  <w:sz w:val="20"/>
                  <w:u w:val="single"/>
                </w:rPr>
                <w:t>Item 7A.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67">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67">
              <w:r>
                <w:rPr>
                  <w:rStyle w:val="InternetLink"/>
                  <w:rFonts w:ascii="Times New Roman;sans-serif" w:hAnsi="Times New Roman;sans-serif"/>
                  <w:b w:val="false"/>
                  <w:color w:val="0000FF"/>
                  <w:sz w:val="20"/>
                  <w:u w:val="single"/>
                </w:rPr>
                <w:t>38</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70">
              <w:r>
                <w:rPr>
                  <w:rStyle w:val="InternetLink"/>
                  <w:rFonts w:ascii="Times New Roman;sans-serif" w:hAnsi="Times New Roman;sans-serif"/>
                  <w:b w:val="false"/>
                  <w:color w:val="0000FF"/>
                  <w:sz w:val="20"/>
                  <w:u w:val="single"/>
                </w:rPr>
                <w:t xml:space="preserve">Item 8.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70">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70">
              <w:r>
                <w:rPr>
                  <w:rStyle w:val="InternetLink"/>
                  <w:rFonts w:ascii="Times New Roman;sans-serif" w:hAnsi="Times New Roman;sans-serif"/>
                  <w:b w:val="false"/>
                  <w:color w:val="0000FF"/>
                  <w:sz w:val="20"/>
                  <w:u w:val="single"/>
                </w:rPr>
                <w:t>39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1">
              <w:r>
                <w:rPr>
                  <w:rStyle w:val="InternetLink"/>
                  <w:rFonts w:ascii="Times New Roman;sans-serif" w:hAnsi="Times New Roman;sans-serif"/>
                  <w:b w:val="false"/>
                  <w:color w:val="0000FF"/>
                  <w:sz w:val="20"/>
                  <w:u w:val="single"/>
                </w:rPr>
                <w:t xml:space="preserve">Item 9.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51">
              <w:r>
                <w:rPr>
                  <w:rStyle w:val="InternetLink"/>
                  <w:rFonts w:ascii="Times New Roman;sans-serif" w:hAnsi="Times New Roman;sans-serif"/>
                  <w:b w:val="false"/>
                  <w:color w:val="0000FF"/>
                  <w:sz w:val="20"/>
                  <w:u w:val="single"/>
                </w:rPr>
                <w:t>69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4">
              <w:r>
                <w:rPr>
                  <w:rStyle w:val="InternetLink"/>
                  <w:rFonts w:ascii="Times New Roman;sans-serif" w:hAnsi="Times New Roman;sans-serif"/>
                  <w:b w:val="false"/>
                  <w:color w:val="0000FF"/>
                  <w:sz w:val="20"/>
                  <w:u w:val="single"/>
                </w:rPr>
                <w:t>Item 9A.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4">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54">
              <w:r>
                <w:rPr>
                  <w:rStyle w:val="InternetLink"/>
                  <w:rFonts w:ascii="Times New Roman;sans-serif" w:hAnsi="Times New Roman;sans-serif"/>
                  <w:b w:val="false"/>
                  <w:color w:val="0000FF"/>
                  <w:sz w:val="20"/>
                  <w:u w:val="single"/>
                </w:rPr>
                <w:t>69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7">
              <w:r>
                <w:rPr>
                  <w:rStyle w:val="InternetLink"/>
                  <w:rFonts w:ascii="Times New Roman;sans-serif" w:hAnsi="Times New Roman;sans-serif"/>
                  <w:b w:val="false"/>
                  <w:color w:val="0000FF"/>
                  <w:sz w:val="20"/>
                  <w:u w:val="single"/>
                </w:rPr>
                <w:t xml:space="preserve">Item 9B.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57">
              <w:r>
                <w:rPr>
                  <w:rStyle w:val="InternetLink"/>
                  <w:rFonts w:ascii="Times New Roman;sans-serif" w:hAnsi="Times New Roman;sans-serif"/>
                  <w:b w:val="false"/>
                  <w:color w:val="0000FF"/>
                  <w:sz w:val="20"/>
                  <w:u w:val="single"/>
                </w:rPr>
                <w:t>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57">
              <w:r>
                <w:rPr>
                  <w:rStyle w:val="InternetLink"/>
                  <w:rFonts w:ascii="Times New Roman;sans-serif" w:hAnsi="Times New Roman;sans-serif"/>
                  <w:b w:val="false"/>
                  <w:color w:val="0000FF"/>
                  <w:sz w:val="20"/>
                  <w:u w:val="single"/>
                </w:rPr>
                <w:t>69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e855e79e505045f483a5c0f854efc869_160">
              <w:r>
                <w:rPr>
                  <w:rStyle w:val="InternetLink"/>
                  <w:rFonts w:ascii="Times New Roman;sans-serif" w:hAnsi="Times New Roman;sans-serif"/>
                  <w:b/>
                  <w:color w:val="0000FF"/>
                  <w:sz w:val="20"/>
                  <w:u w:val="single"/>
                </w:rPr>
                <w:t>PART III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63">
              <w:r>
                <w:rPr>
                  <w:rStyle w:val="InternetLink"/>
                  <w:rFonts w:ascii="Times New Roman;sans-serif" w:hAnsi="Times New Roman;sans-serif"/>
                  <w:b w:val="false"/>
                  <w:color w:val="0000FF"/>
                  <w:sz w:val="20"/>
                  <w:u w:val="single"/>
                </w:rPr>
                <w:t xml:space="preserve">Item 10.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63">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63">
              <w:r>
                <w:rPr>
                  <w:rStyle w:val="InternetLink"/>
                  <w:rFonts w:ascii="Times New Roman;sans-serif" w:hAnsi="Times New Roman;sans-serif"/>
                  <w:b w:val="false"/>
                  <w:color w:val="0000FF"/>
                  <w:sz w:val="20"/>
                  <w:u w:val="single"/>
                </w:rPr>
                <w:t>70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66">
              <w:r>
                <w:rPr>
                  <w:rStyle w:val="InternetLink"/>
                  <w:rFonts w:ascii="Times New Roman;sans-serif" w:hAnsi="Times New Roman;sans-serif"/>
                  <w:b w:val="false"/>
                  <w:color w:val="0000FF"/>
                  <w:sz w:val="20"/>
                  <w:u w:val="single"/>
                </w:rPr>
                <w:t xml:space="preserve">Item 11.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66">
              <w:r>
                <w:rPr>
                  <w:rStyle w:val="InternetLink"/>
                  <w:rFonts w:ascii="Times New Roman;sans-serif" w:hAnsi="Times New Roman;sans-serif"/>
                  <w:b w:val="false"/>
                  <w:color w:val="0000FF"/>
                  <w:sz w:val="20"/>
                  <w:u w:val="single"/>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66">
              <w:r>
                <w:rPr>
                  <w:rStyle w:val="InternetLink"/>
                  <w:rFonts w:ascii="Times New Roman;sans-serif" w:hAnsi="Times New Roman;sans-serif"/>
                  <w:b w:val="false"/>
                  <w:color w:val="0000FF"/>
                  <w:sz w:val="20"/>
                  <w:u w:val="single"/>
                </w:rPr>
                <w:t>70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69">
              <w:r>
                <w:rPr>
                  <w:rStyle w:val="InternetLink"/>
                  <w:rFonts w:ascii="Times New Roman;sans-serif" w:hAnsi="Times New Roman;sans-serif"/>
                  <w:b w:val="false"/>
                  <w:color w:val="0000FF"/>
                  <w:sz w:val="20"/>
                  <w:u w:val="single"/>
                </w:rPr>
                <w:t xml:space="preserve">Item 12.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6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69">
              <w:r>
                <w:rPr>
                  <w:rStyle w:val="InternetLink"/>
                  <w:rFonts w:ascii="Times New Roman;sans-serif" w:hAnsi="Times New Roman;sans-serif"/>
                  <w:b w:val="false"/>
                  <w:color w:val="0000FF"/>
                  <w:sz w:val="20"/>
                  <w:u w:val="single"/>
                </w:rPr>
                <w:t>70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72">
              <w:r>
                <w:rPr>
                  <w:rStyle w:val="InternetLink"/>
                  <w:rFonts w:ascii="Times New Roman;sans-serif" w:hAnsi="Times New Roman;sans-serif"/>
                  <w:b w:val="false"/>
                  <w:color w:val="0000FF"/>
                  <w:sz w:val="20"/>
                  <w:u w:val="single"/>
                </w:rPr>
                <w:t>Item 13.</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17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72">
              <w:r>
                <w:rPr>
                  <w:rStyle w:val="InternetLink"/>
                  <w:rFonts w:ascii="Times New Roman;sans-serif" w:hAnsi="Times New Roman;sans-serif"/>
                  <w:b w:val="false"/>
                  <w:color w:val="0000FF"/>
                  <w:sz w:val="20"/>
                  <w:u w:val="single"/>
                </w:rPr>
                <w:t>70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75">
              <w:r>
                <w:rPr>
                  <w:rStyle w:val="InternetLink"/>
                  <w:rFonts w:ascii="Times New Roman;sans-serif" w:hAnsi="Times New Roman;sans-serif"/>
                  <w:b w:val="false"/>
                  <w:color w:val="0000FF"/>
                  <w:sz w:val="20"/>
                  <w:u w:val="single"/>
                </w:rPr>
                <w:t>Item 14.</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75">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75">
              <w:r>
                <w:rPr>
                  <w:rStyle w:val="InternetLink"/>
                  <w:rFonts w:ascii="Times New Roman;sans-serif" w:hAnsi="Times New Roman;sans-serif"/>
                  <w:b w:val="false"/>
                  <w:color w:val="0000FF"/>
                  <w:sz w:val="20"/>
                  <w:u w:val="single"/>
                </w:rPr>
                <w:t>70</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e855e79e505045f483a5c0f854efc869_178">
              <w:r>
                <w:rPr>
                  <w:rStyle w:val="InternetLink"/>
                  <w:rFonts w:ascii="Times New Roman;sans-serif" w:hAnsi="Times New Roman;sans-serif"/>
                  <w:b/>
                  <w:color w:val="0000FF"/>
                  <w:sz w:val="20"/>
                  <w:u w:val="single"/>
                </w:rPr>
                <w:t>PART IV</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81">
              <w:r>
                <w:rPr>
                  <w:rStyle w:val="InternetLink"/>
                  <w:rFonts w:ascii="Times New Roman;sans-serif" w:hAnsi="Times New Roman;sans-serif"/>
                  <w:b w:val="false"/>
                  <w:color w:val="0000FF"/>
                  <w:sz w:val="20"/>
                  <w:u w:val="single"/>
                </w:rPr>
                <w:t>Item 15.</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81">
              <w:r>
                <w:rPr>
                  <w:rStyle w:val="InternetLink"/>
                  <w:rFonts w:ascii="Times New Roman;sans-serif" w:hAnsi="Times New Roman;sans-serif"/>
                  <w:b w:val="false"/>
                  <w:color w:val="0000FF"/>
                  <w:sz w:val="20"/>
                  <w:u w:val="single"/>
                </w:rPr>
                <w:t>EXHIBITS, FINANCIAL STATEMENT SCHEDULES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81">
              <w:r>
                <w:rPr>
                  <w:rStyle w:val="InternetLink"/>
                  <w:rFonts w:ascii="Times New Roman;sans-serif" w:hAnsi="Times New Roman;sans-serif"/>
                  <w:b w:val="false"/>
                  <w:color w:val="0000FF"/>
                  <w:sz w:val="20"/>
                  <w:u w:val="single"/>
                </w:rPr>
                <w:t>71</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855e79e505045f483a5c0f854efc869_184">
              <w:r>
                <w:rPr>
                  <w:rStyle w:val="InternetLink"/>
                  <w:rFonts w:ascii="Times New Roman;sans-serif" w:hAnsi="Times New Roman;sans-serif"/>
                  <w:b w:val="false"/>
                  <w:color w:val="0000FF"/>
                  <w:sz w:val="20"/>
                  <w:u w:val="single"/>
                </w:rPr>
                <w:t>SIGNATURES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855e79e505045f483a5c0f854efc869_184">
              <w:r>
                <w:rPr>
                  <w:rStyle w:val="InternetLink"/>
                  <w:rFonts w:ascii="Times New Roman;sans-serif" w:hAnsi="Times New Roman;sans-serif"/>
                  <w:b w:val="false"/>
                  <w:color w:val="0000FF"/>
                  <w:sz w:val="20"/>
                  <w:u w:val="single"/>
                </w:rPr>
                <w:t>74</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a general reduction in the demand for our products or services;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 xml:space="preserve">changes in general economic conditions, including market and macro-economic disruptions resulting from Russia's invasion of Ukraine or other geo-political events; </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 xml:space="preserve">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 </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supply chain disruptions due to our suppliers' access to materials and labor, their ability to ship products timely, or credit or liquidity problems they may face;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impact of the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our ability to enter into, and the terms of, future contracts;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challenges integrating new businesses into the Company or new types of work, products or processes into our segments;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backlog that may not be realized or may not result in profits;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 xml:space="preserve">failure to adequately recover on contract change orders or claims against customers; </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closures or sales of our facilities resulting in significant future charges, including potential warranty losses or other unexpected liabilities, or a significant disruption of our operations;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impact of seasonality, adverse weather conditions, and climate change;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an increased cost of surety bonds affecting margins on work and the potential for our surety providers to refuse bonding or require additional collateral at their discretion;</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fluctuations in operating activity due to downturns in levels of construction or the housing market, seasonality and differing regional economic conditions;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increases in bad debt expense and days sales outstanding due to liquidity problems faced by our customers;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accidents resulting from the physical hazards associated with our work and the potential for accidents;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possibility that our current insurance coverage may not be adequate or that we may not be able to obtain policies at acceptable rates;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effect of litigation, claims and contingencies, including warranty losses, damages or other latent defect claims in excess of our existing reserves and accruals;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interruptions to our information systems and cyber security or data breaches;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liabilities under existing or potential future laws and regulations, including those laws related to the environment and climate change;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expenditures to comply with future changes in laws and regulations, including environmental laws and regulations and those relating to climate change;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loss of key personnel, ineffective transition of new management, or inability to transfer, renew and obtain electrical and other professional licenses;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possibility that certain tax benefits of our net operating losses may be restricted or reduced in a change in ownership or a decrease in the federal tax rate;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recognition of tax benefits related to uncertain tax positions and the potential for disagreements with taxing authorities with regard to tax positions we have adopted;</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potential recognition of valuation allowances or write-downs on deferred tax assets;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 xml:space="preserve">limitations on the availability of sufficient credit or cash flow to fund our working capital needs and capital expenditures, complete acquisitions, and for debt service; </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difficulty in fulfilling the covenant terms of our revolving credit facility, including liquidity, and other financial requirements, which could result in a default and acceleration of any indebtedness under such revolving credit facility;</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uncertainties inherent in estimating future operating results, including revenues, operating income or cash flow;</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recognition of potential goodwill, long-lived assets and other investment impairments;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relatively low trading volume of our common stock, as a result of which it could be more difficult for shareholders to sell a substantial number of shares for the same price at which shareholders could sell a smaller number of shares;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potential for substantial sales of our common stock, which could adversely affect our stock price;</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impact of increasing scrutiny and changing expectations from investors and customers, or new or changing regulations, with respect to environmental, social and governance practices;</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 and</w:t>
      </w:r>
    </w:p>
    <w:p>
      <w:pPr>
        <w:pStyle w:val="TextBody"/>
        <w:spacing w:before="0" w:after="0"/>
        <w:ind w:left="0" w:right="0" w:hanging="180"/>
        <w:rPr/>
      </w:pPr>
      <w:r>
        <w:rPr/>
      </w:r>
    </w:p>
    <w:p>
      <w:pPr>
        <w:pStyle w:val="TextBody"/>
        <w:spacing w:lineRule="auto" w:line="247" w:before="0" w:after="0"/>
        <w:ind w:left="0" w:right="0" w:hanging="540"/>
        <w:rPr/>
      </w:pPr>
      <w:r>
        <w:rPr>
          <w:color w:val="000000"/>
        </w:rPr>
        <w:t>•</w:t>
      </w:r>
      <w:r>
        <w:rPr>
          <w:rFonts w:ascii="Times New Roman;sans-serif" w:hAnsi="Times New Roman;sans-serif"/>
          <w:b w:val="false"/>
          <w:color w:val="000000"/>
          <w:sz w:val="20"/>
        </w:rPr>
        <w:t>the possibility that our internal controls over financial reporting and our disclosure controls and procedures may not prevent all possible errors that could occur.</w:t>
      </w:r>
    </w:p>
    <w:p>
      <w:pPr>
        <w:pStyle w:val="TextBody"/>
        <w:spacing w:before="0" w:after="0"/>
        <w:ind w:left="0" w:right="0" w:hanging="180"/>
        <w:rPr/>
      </w:pPr>
      <w:r>
        <w:rPr/>
      </w:r>
    </w:p>
    <w:p>
      <w:pPr>
        <w:pStyle w:val="TextBody"/>
        <w:spacing w:lineRule="auto" w:line="288" w:before="0" w:after="0"/>
        <w:rPr/>
      </w:pPr>
      <w:r>
        <w:rPr>
          <w:rFonts w:ascii="Times New Roman;sans-serif" w:hAnsi="Times New Roman;sans-serif"/>
          <w:b w:val="false"/>
          <w:color w:val="000000"/>
          <w:sz w:val="20"/>
        </w:rPr>
        <w:t>You should understand that the foregoing, as well as other risk factors discussed in this document, including those listed in Part I, Item 1A of this report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pStyle w:val="TextBody"/>
        <w:spacing w:before="0" w:after="0"/>
        <w:ind w:left="0" w:right="0" w:firstLine="7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Business </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Regional provider of electrical installation services for single-family housing and multi-family apartment complexes, as well as heating, ventilation and air conditioning (HVAC) and plumbing installation services in certain markets.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IES Holdings, Inc. is a Delaware corporation established in 1997 and headquartered in Houston, Texas, with an executive office in Greenwich, Connecticut.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CORPORATE STRATEGY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create shareholder value by growing our business through increasing our market share, geographic and market expansion and adding to our capabilities, as well as improving operating margins and generating free cash flow, by investing in our existing businesses and completing acquisitions. We primarily seek to acquire businesses that strategically complement our existing business segments. In addition, we may seek to acquire or invest in stand-alone platform companies based in North America. In evaluating potential acquisition candidates, we seek to invest in businesses with, among other characteristics: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proven management with a willingness to continue post-acquisition;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low technological and/or product obsolescence risk;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established market position and sustainable competitive advantages;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strong cash flow characteristics.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acquisitions provide an opportunity to expand into new or related services, products, end markets or geographic areas and diversify our revenue and profit streams. While we may use acquisitions to build our presence in the industries we serve, we will also consider potential acquisitions in other industries, which could result in changes in our operations from those historically conducted by us.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reportable segments consist of the consolidated business segments identified above, which offer different services and are managed separately. The table below describes the percentage of our total revenues attributable to each of our four segments over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each of the last three years (percentage columns may not add due to rounding):</w:t>
      </w:r>
    </w:p>
    <w:tbl>
      <w:tblPr>
        <w:tblW w:w="10539" w:type="dxa"/>
        <w:jc w:val="left"/>
        <w:tblInd w:w="0" w:type="dxa"/>
        <w:tblCellMar>
          <w:top w:w="28" w:type="dxa"/>
          <w:left w:w="28" w:type="dxa"/>
          <w:bottom w:w="28" w:type="dxa"/>
          <w:right w:w="28" w:type="dxa"/>
        </w:tblCellMar>
      </w:tblPr>
      <w:tblGrid>
        <w:gridCol w:w="717"/>
        <w:gridCol w:w="632"/>
        <w:gridCol w:w="633"/>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7"/>
      </w:tblGrid>
      <w:tr>
        <w:trPr/>
        <w:tc>
          <w:tcPr>
            <w:tcW w:w="71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financial information by segment, see Note 11, “Operating Segments” in the notes to our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 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19 offices, which includes the segment headquarters located in Tempe, Arizona, and also provide dedicated onsite teams at our customers’ sites.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Communications segment is driven by demand for computing and storage resources as a result of technology advancements and obsolescence and changes in data consumption patterns. Demand in the data center market remains strong, and we continue to provide structured cabling services for applications such as data centers, distribution centers, and high-tech manufacturing facilities. Additionally, we are continuing to expand our offerings in this market to broaden our customer base. Demand has also been strong for our audio-visual and other building technology offerings. At September 30, 2022, our Communications business has a record level of backlog. However, if customers in our end markets reduce their capital budgets due to economic, technological or other factors, this could result in a decrease in activity for our Communications segment.</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pPr>
      <w:r>
        <w:rPr>
          <w:rFonts w:ascii="Times New Roman;sans-serif" w:hAnsi="Times New Roman;sans-serif"/>
          <w:b w:val="false"/>
          <w:color w:val="000000"/>
          <w:sz w:val="20"/>
        </w:rPr>
        <w:t xml:space="preserve">Our competition consists of both large national or regional competitors and small, privately owned contractors who generally have limited access to capital. </w:t>
      </w:r>
      <w:r>
        <w:rPr>
          <w:rFonts w:ascii="Times New Roman;sans-serif" w:hAnsi="Times New Roman;sans-serif"/>
          <w:b w:val="false"/>
          <w:color w:val="000000"/>
          <w:sz w:val="20"/>
          <w:highlight w:val="white"/>
        </w:rPr>
        <w:t>We compete on quality of service and/or price and seek to emphasize our financial capabilities and long history of delivering high quality solutions to our customers.</w:t>
      </w:r>
      <w:r>
        <w:rPr>
          <w:color w:val="000000"/>
        </w:rPr>
        <w:t xml:space="preserv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Originally established in 1973, our Residential segment is a leading provider of electrical installation services for single-family housing and multi-family apartment complexes, as well as HVAC and plumbing installation services in certain markets, and cable television installations for residential and light commercial applications. The Residential segment also provides services for the installation of residential solar power, both for new construction and existing residences. The Residential segment is made up of 77 total locations, which include the segment headquarters in Houston, Texas. These locations geographically cover the Sun-Belt, Western, Mid-Atlantic and Northeastern regions of the United States.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 Entering fiscal 2023, we expect continued revenue growth in our multi-family business as our strong backlog is expected to offset much of he expected impact of demand weakness in the single-family market, where we typically do not enter into long-term contracts.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Demand for our Residential services is highly dependent on the number of single-family and multi-family home starts in the markets we serve. Although we operate in multiple states, the majority of our single-family revenues are derived from services provided in Texas and Florida.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long-term strategy is to continue to be a leading provider of electrical services to the residential market, and to continue to expand our offerings of plumbing and HVAC services. The key elements of our long-term strategy include a continued focus on maintaining a low and variable cost structure and cash generation, allowing us to effectively scale according to the housing cycle, and to opportunistically increase our market share.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employee training program, and our local market knowledge and competitive pricing. There are few barriers to entry for electrical contracting services in the residential markets.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Results of operations from our Residential segment can be seasonal, depending on weather trends, with typically higher revenues generated during spring and summer and lower revenues during fall and winter.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Infrastructure Solutions segment provides electro-mechanical solutions for industrial operations to domestic and international customers. Our Custom Power Solutions business includes the manufacture of custom commercial and industrial generator enclosures and the manufacture of custom-engineered power distribution equipment, including metal enclosed bus duct solutions used in power distribution. Our Industrial Services business includes the maintenance and repair of alternating current (AC) and direct current (DC) electric motors and generators, as well as power generating and distribution equipment; the manufacture, re-manufacture, and repair of industrial lifting magnets; and maintenance and repair of railroad main and auxiliary generators, main alternators, and traction motors.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serves the steel, railroad, marine, petrochemical, pipeline, pulp and paper, wind energy, mining, automotive, power generation, scrap yards, data center, and utility industries. Our Infrastructure Solutions segment is comprised of 13 locations in Alabama, Georgia, Illinois, Indiana, Ohio, Oklahoma and West Virginia, and is headquartered in Massillon, Ohio.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efforts are primarily driven by personnel based at our operating locations, as well as independent sales representatives. Our custom-engineered power distribution, bus system and generator enclosure products and services are principally sold in partnership with an original equipment manufacturer (“OEM”) or to an engineering, procurement and construction firm on behalf of the end-user. Regarding our apparatus repair services, the majority of our customers are located within a 200-mile radius of our facilities, and we believe that the locations of our facilities allow us to rapidly address and respond to the needs of our customers. Our long-term strategy is to be a leader in custom-engineered metal enclosed bus systems and generator enclosures and the preferred solutions provider of outsourced electro-mechanical services, repairs, and manufacturing to our select markets.</w:t>
      </w:r>
    </w:p>
    <w:p>
      <w:pPr>
        <w:pStyle w:val="TextBody"/>
        <w:spacing w:lineRule="auto" w:line="288" w:before="0" w:after="0"/>
        <w:rPr>
          <w:color w:val="000000"/>
        </w:rPr>
      </w:pPr>
      <w:r>
        <w:rPr>
          <w:color w:val="000000"/>
        </w:rPr>
        <w:t>    </w:t>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ranges from small, single location service centers to large, multi-national companies. Our Custom Power Solutions business competes with domestic and international manufacturers and distributors. We believe that we have a competitive advantage due to our specific product offerings, geographic proximity to customer sites, and our ability to design high quality products to meet each customer's unique requirements. Our Industrial Services business competes with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 </w:t>
      </w:r>
    </w:p>
    <w:p>
      <w:pPr>
        <w:pStyle w:val="TextBody"/>
        <w:spacing w:before="0" w:after="0"/>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&amp; Industrial segment provides electrical and mechanical design, service, and construction services to commercial and industrial markets.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We also provide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mechanical services such as maintenance agreements, installation, or replacement of mechanical equipment for commercial and industrial facilities.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19 locations, which includes the segment headquarters in Houston, Texas. Geographically, these locations cover Texas, Nebraska, Oregon, Wisconsin, and the Southeast and Mid-Atlantic regions.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diverse end markets of our Commercial &amp; Industrial customers, which include both commercial buildings, such as offices, healthcare facilities and schools, and industrial projects, such as power, agricultural and food processing, and heavy manufacturing facilities, we are subject to many trends within the construction industry. In general, demand for our Commercial &amp; Industrial services is driven by construction and renovation activity levels, economic growth, and availability of bank or other financing. Due to economic, technological or other factors, there can be no assurance that construction and demand will increase.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 expertise, project size, location and past performance determine our bidding strategy, the level of involvement from competitors and our level of success in bidding for new work.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SOURCES OF SUPPLY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raw materials and components we use within our segments include, but are not limited to, electrical fixtures and system components, copper, aluminum, raw steel, and certain plastics. These raw materials and components are generally available from a variety of domestic suppliers at competitive prices. Delivery times are typically short for most raw materials and standard components, but during periods of peak demand, may extend to one month or more. However, during fiscal 2021 and 2022, supply chain interruptions became increasingly common, primarily as a result of the COVID-19 pandemic and its aftermath. Although supply of most raw materials has begun to normalize, we continue to experience delays in sourcing certain components. Such delays may lead to project inefficiencies resulting from schedule extensions. We are also exposed to increases in the prices of certain commodities. Our strategy to reduce commodity cost exposure includes early buying of commodities for particular projects or general inventory, as well as including escalation and escape provisions in project bids, quotes and contracts wherever possible. However, such protections are not included in every contract or project, and in such cases, we may not be fully reimbursed for increases in commodity prices by our customers and may be exposed to commodity price volatility on longer-term projects where we have prepaid for commodities.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have a robust safety program, and seek to maintain standardized safety and environmental policies and procedures.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have a diverse customer base. During each of the years ended September 30, 2022, 2021 and 2020, no single customer accounted for more than 10% of our consolidated revenues. We emphasize developing and maintaining relationships with our customers by providing superior, high-quality service.</w:t>
      </w:r>
      <w:r>
        <w:rPr>
          <w:color w:val="000000"/>
        </w:rPr>
        <w:t xml:space="preserve"> </w:t>
      </w:r>
      <w:r>
        <w:rPr>
          <w:rFonts w:ascii="Times New Roman;sans-serif" w:hAnsi="Times New Roman;sans-serif"/>
          <w:b w:val="false"/>
          <w:color w:val="000000"/>
          <w:sz w:val="20"/>
        </w:rPr>
        <w:t xml:space="preserve">Management at each of our segments is responsible for determining sales strategies and sales activities.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common stock is owned by Tontine Associates, L.L.C. ("Tontine Associates") and its affiliates (collectively, “Tontine”). Tontine owns approximately 57 percent of our outstanding common stock based on a Form 4 filed by Tontine with the United States Securities and Exchange Commission (the "SEC") on December 3, 2021, and the Company's shares outstanding as of December 2, 2022.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shelf registration statement filed by the Company with the SEC.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NET OPERATING LOSS TAX CARRYFORWARDS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certain of its subsidiaries have an estimated federal net operating loss (“NOL”) of approximately $61.0 million of federal NOLs that are available to use to offset future taxable income, including approximately $55.1 million resulting from net operating losses on which a deferred tax asset is not recorded at September 30, 2022. 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NOLs incurred prior to the change in ownership would be subject to limitation imposed by Internal Revenue Code Section 382, which would substantially reduce the amount of NOLs available to offset future taxable income. For more information see Note 3, “Controlling Shareholder” in the notes to our Consolidated Financial Statements.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PERFORMANCE OBLIGATIONS AND BACKLOG</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by segment:</w:t>
      </w:r>
    </w:p>
    <w:tbl>
      <w:tblPr>
        <w:tblW w:w="10539" w:type="dxa"/>
        <w:jc w:val="center"/>
        <w:tblInd w:w="0" w:type="dxa"/>
        <w:tblCellMar>
          <w:top w:w="28" w:type="dxa"/>
          <w:left w:w="28" w:type="dxa"/>
          <w:bottom w:w="28" w:type="dxa"/>
          <w:right w:w="28" w:type="dxa"/>
        </w:tblCellMar>
      </w:tblPr>
      <w:tblGrid>
        <w:gridCol w:w="603"/>
        <w:gridCol w:w="530"/>
        <w:gridCol w:w="531"/>
        <w:gridCol w:w="425"/>
        <w:gridCol w:w="938"/>
        <w:gridCol w:w="221"/>
        <w:gridCol w:w="482"/>
        <w:gridCol w:w="1066"/>
        <w:gridCol w:w="249"/>
        <w:gridCol w:w="211"/>
        <w:gridCol w:w="616"/>
        <w:gridCol w:w="109"/>
        <w:gridCol w:w="109"/>
        <w:gridCol w:w="109"/>
        <w:gridCol w:w="109"/>
        <w:gridCol w:w="425"/>
        <w:gridCol w:w="938"/>
        <w:gridCol w:w="221"/>
        <w:gridCol w:w="482"/>
        <w:gridCol w:w="1066"/>
        <w:gridCol w:w="249"/>
        <w:gridCol w:w="213"/>
        <w:gridCol w:w="471"/>
        <w:gridCol w:w="166"/>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8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millions)</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Our backlog includes signed agreements and letters of intent that we do not have a legal right to enforce prior to beginning work. These agreements are excluded from remaining performance obligations until work begins.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$777 million of our September 30, 2022 backlog will result in revenue during fiscal 2023, with the remaining $510 million expected to be realized in fiscal 2024; however, there can be no assurance that this backlog will be completed within expected time frames or at all. The increase in our backlog year over year was primarily driven by strong demand and increased market share within our all segments.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state and local laws and regulations,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licensing requirements applicable to electricians, plumbers, and mechanical service technicians;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building and electrical codes;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worker safety, labor relations and protection of the environment;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consumer protection, including those governing residential service agreements;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qualifications of our business legal structure in the jurisdictions where we do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 FACILITIES</w:t>
      </w:r>
    </w:p>
    <w:p>
      <w:pPr>
        <w:pStyle w:val="TextBody"/>
        <w:spacing w:lineRule="auto" w:line="288" w:before="0" w:after="0"/>
        <w:rPr/>
      </w:pPr>
      <w:r>
        <w:rPr>
          <w:rFonts w:ascii="Times New Roman;sans-serif" w:hAnsi="Times New Roman;sans-serif"/>
          <w:b w:val="false"/>
          <w:color w:val="000000"/>
          <w:sz w:val="20"/>
        </w:rPr>
        <w:t>During fiscal year 2022, the Company maintained a revolving credit facility, as further described in Item 7.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 xml:space="preserve">of this Annual Report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on Form 10-K. For a discussion of the Company’s capital resources, see Item 7. </w:t>
      </w:r>
      <w:r>
        <w:rPr>
          <w:color w:val="000000"/>
        </w:rPr>
        <w:t>“</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For the Company’s financial information by segment, see Note 11, “Operating Segments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jc w:val="both"/>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IES, we believe that attracting and retaining highly qualified and motivated employees at all levels is a key driver of our continued growth and success. Our human capital management objectives include recruiting, retaining, developing, incentivizing and integrating our current and prospective employees as well as prioritizing and protecting their safety.</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Our Employees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2022, we had 8,078 employees, of which 8,028 were full-time employees. We are party to two collective bargaining agreements covering fewer than 30 employees within our Infrastructure Solutions segment. We have not experienced, and do not expect, any work stoppage, and we believe that our relationship with our employees is strong.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diversity and inclusion in the workplace, and our policies prohibit discrimination based on race, color, creed, gender, gender identity, sexual orientation, religion, marital status, national origin, disability, protected veteran status and relatives of protected veterans and any other status protected by local, state or federal law. This commitment applies to all aspects of employment, including recruitment, hiring, training, compensation, job assignment, advancement, performance feedback and separation.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support our employees’ and their families’ health by offering comprehensive benefits programs, including medical, dental, vision and prescription insurance. We also offer our employees a 401(k) plan, and life and disability insurance plans. </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Recruiting and Training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key factor in IES’s long-term strategy is the recruitment and retention of high-quality employees. We use both internal and external resources to recruit employees, including monitoring competitive compensation levels in the markets in which we operate. Our Communications segment has entered into a partnership with the U.S. Army to guarantee job interviews to those who have completed Army Reserve training or a first term of active duty service, and we value the leadership and work ethic military veterans bring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 resources in development opportunities for employees. For example, our Residential segment has established the IES Residential Education Center, a dedicated facility that trains employees from around the country in the technical skills necessary for a successful career in residential electrical contracting. At all of our segments, partly as a result of the COVID-19 pandemic, we expanded online training offerings to help meet the needs of our changing workplaces. We believe our investment in training supports employee motivation and retention at the same time that it improves productivity and performance.</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Safety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committed to fostering a strong safety culture that supports the health, safety and wellness of our employees, and this commitment is reflected in our track record of workplace safety that exceeds industry averages. Our regional safety managers, under the supervision of our Senior Vice President of Safety, seek to maintain standardized safety and environmental policies, programs and procedures and provide personal protective equipment relevant to each segment, including programs to train new employees. Our safety leadership continuously monitors and addresses safety performance, provides regular training and educational programs on safety and participates in numerous industry safety organizations.</w: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2022, we have 130 domestic locations. In addition to our two executive and corporate offices, as of September 30, 2022, we have 19 locations within our Communications business, 77 locations within our Residential business, 13 locations within our Infrastructure Solutions business and 19 locations within our Commercial &amp; Industrial business. This geographic diversity helps to reduce our exposure to unfavorable economic developments in any given region.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 OF THE REGISTRANT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with respect to each executive officer is as follows: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Jeffrey, L. Gendell,</w:t>
      </w:r>
      <w:r>
        <w:rPr>
          <w:color w:val="000000"/>
        </w:rPr>
        <w:t xml:space="preserve"> </w:t>
      </w:r>
      <w:r>
        <w:rPr>
          <w:rFonts w:ascii="Times New Roman;sans-serif" w:hAnsi="Times New Roman;sans-serif"/>
          <w:b w:val="false"/>
          <w:color w:val="000000"/>
          <w:sz w:val="20"/>
        </w:rPr>
        <w:t xml:space="preserve">63, has served as the Chief Executive Officer of the Company since October 1, 2020; he previously served as Interim Chief Executive Officer from July 31, 2020 to September 30, 2020. Mr. Gendell has also served as a director and as Chairman of the Board since November 2016. Mr. Gendell is the founder and managing member of Tontine, the majority stockholder of the Company.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35 years ago at Smith Barney, Harris Upham &amp; Co., where he was involved in capital markets, corporate finance and M&amp;A activity.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Matthew J. Simmes</w:t>
      </w:r>
      <w:r>
        <w:rPr>
          <w:rFonts w:ascii="Times New Roman;sans-serif" w:hAnsi="Times New Roman;sans-serif"/>
          <w:b w:val="false"/>
          <w:color w:val="000000"/>
          <w:sz w:val="20"/>
        </w:rPr>
        <w:t>, 47, has served as Chief Operating Officer of the Company since December 3, 2021. Mr. Simmes has spent 28 years at IES and its predecessors in a variety of roles. Prior to becoming President of IES Communications in January 2017, he was the segment’s Vice President of Operations from March 2007 to December 2016 and branch manager of its Arizona operations from 2003 to 2006.</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Tracy A. McLauchlin</w:t>
      </w:r>
      <w:r>
        <w:rPr>
          <w:rFonts w:ascii="Times New Roman;sans-serif" w:hAnsi="Times New Roman;sans-serif"/>
          <w:b w:val="false"/>
          <w:color w:val="000000"/>
          <w:sz w:val="20"/>
        </w:rPr>
        <w:t>, 53, has served as Senior Vice President, Chief Financial Officer and Treasurer of the Company since May 2015. She previously served as 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 </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Mary K. Newman</w:t>
      </w:r>
      <w:r>
        <w:rPr>
          <w:rFonts w:ascii="Times New Roman;sans-serif" w:hAnsi="Times New Roman;sans-serif"/>
          <w:b w:val="false"/>
          <w:color w:val="000000"/>
          <w:sz w:val="20"/>
        </w:rPr>
        <w:t>, 42, has served as Vice President, General Counsel and Corporate Secretary of the Company since December 2019. Prior to joining IES, Ms. Newman was a Partner with the law firm of Dinsmore &amp; Shohl, LLP from January 2017 to November 2019 and was an Associate from September 2011 to December 2016, where her practice focused on representing public and private companies in corporate transactions, including mergers, acquisitions and dispositions. She began her legal career with the law firm of Sullivan &amp; Cromwell LLP after receiving her J.D. from Harvard Law School and B.A. from Duke University.</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have adopted a Code of Ethics for Financial Executives that applies to our principal executive officer, principal financial officer and principal accounting officer. The Code of Ethics may be found on our website at</w:t>
      </w:r>
      <w:r>
        <w:rPr>
          <w:color w:val="000000"/>
        </w:rPr>
        <w:t xml:space="preserve"> </w:t>
      </w:r>
      <w:r>
        <w:rPr>
          <w:rFonts w:ascii="Times New Roman;sans-serif" w:hAnsi="Times New Roman;sans-serif"/>
          <w:b w:val="false"/>
          <w:i/>
          <w:color w:val="000000"/>
          <w:sz w:val="20"/>
        </w:rPr>
        <w:t>www.ies-corporate.com/governance-documents</w:t>
      </w:r>
      <w:r>
        <w:rPr>
          <w:rFonts w:ascii="Times New Roman;sans-serif" w:hAnsi="Times New Roman;sans-serif"/>
          <w:b w:val="false"/>
          <w:color w:val="000000"/>
          <w:sz w:val="20"/>
        </w:rPr>
        <w:t xml:space="preserve">.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Current Report on Form 8-K. Paper copies of these documents are also available free of charge upon written request to us.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General information about us can be found on our website at</w:t>
      </w:r>
      <w:r>
        <w:rPr>
          <w:color w:val="000000"/>
        </w:rPr>
        <w:t xml:space="preserve"> </w:t>
      </w:r>
      <w:r>
        <w:rPr>
          <w:rFonts w:ascii="Times New Roman;sans-serif" w:hAnsi="Times New Roman;sans-serif"/>
          <w:b w:val="false"/>
          <w:i/>
          <w:color w:val="000000"/>
          <w:sz w:val="20"/>
        </w:rPr>
        <w:t>www.ies-co.com</w:t>
      </w:r>
      <w:r>
        <w:rPr>
          <w:color w:val="000000"/>
        </w:rPr>
        <w:t xml:space="preserve"> </w:t>
      </w:r>
      <w:r>
        <w:rPr>
          <w:rFonts w:ascii="Times New Roman;sans-serif" w:hAnsi="Times New Roman;sans-serif"/>
          <w:b w:val="false"/>
          <w:color w:val="000000"/>
          <w:sz w:val="20"/>
        </w:rPr>
        <w:t>under “Investor Relations.” We file our interim and annual financial reports, as well as other reports required by the Securities Exchange Act of 1934, as amended (the “Exchange Act”), with the SEC.</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which will provide you with a copy of these reports, or you may find them at </w:t>
      </w:r>
      <w:r>
        <w:rPr>
          <w:rFonts w:ascii="Times New Roman;sans-serif" w:hAnsi="Times New Roman;sans-serif"/>
          <w:b w:val="false"/>
          <w:i/>
          <w:color w:val="000000"/>
          <w:sz w:val="20"/>
        </w:rPr>
        <w:t>www.ies-corporate.com/financial-information/sec-filings</w:t>
      </w:r>
      <w:r>
        <w:rPr>
          <w:rFonts w:ascii="Times New Roman;sans-serif" w:hAnsi="Times New Roman;sans-serif"/>
          <w:b w:val="false"/>
          <w:color w:val="000000"/>
          <w:sz w:val="20"/>
        </w:rPr>
        <w:t>. The materials that we file with the SEC are also available free of charge through the SEC’s website at</w:t>
      </w:r>
      <w:r>
        <w:rPr>
          <w:color w:val="000000"/>
        </w:rPr>
        <w:t xml:space="preserv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the Operations of our Business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Demand for our services is cyclical and vulnerable to economic downturns affecting the industries we 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the credit market, or the return of constrained credit market conditions, including the impact of rising interest rates on the housing markets, could have adverse effects on our customers, which would adversely affect our financial condition and results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highly competitive nature of our industries could affect our profitability by reducing our revenues or profit margins.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and custom engineered electro-mechanical products for mission critical infrastructure, have attractive growth and profitability characteristics. Some of our competitors in certain markets may offer a greater range of services than we offer in those markets, including mechanical construction and facilities management.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generate a significant portion of our revenues under fixed price contracts. The estimates we use in placing bids and changes in commodity and labor costs could have an adverse effect on our ability to maintain our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costs associated with labor and commodities, such as copper, aluminum, steel, electrical components, fuel, and certain plastics, increase due to low supply, inflation, general market conditions, supply chain disruptions and delays, or other forces, losses may be incurred. Some of our materials have been and may continue to be subject to sudden and significant price increases, and continued high demand and low supply for those resources may lead to additional price increases. We are also exposed to volatility in energy prices, particularly as they relate to fuel prices for our fleet vehicles. Depending on competitive pressures and the fixed price nature of many of our contracts, we may not be able to pass on these cost increases to our customers, which would reduce our gross profit margins and, in turn, make it more difficult for us to maintain our profitability. We have a work force of over 8,000 employees, and our labor costs may fluctuate based on availability of and demand for workers as well as other labor related risks, including risks related to collective bargaining agreements, benefits arrangements, wage and hour claims and other compensation arrangements.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 failure to secure new contracts may adversely affect our cash flows and financial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revenue is derived from projects that are awarded through a competitive bid process. Contract bidding and negotiations are affected by a number of factors, including our own cost structure and bidding policies. Although no single customer represented more than ten percent of our consolidated revenue in fiscal 2022, we do have certain customers that are significant to our individual operating segments. It is not possible for us to predict the future level of demand for our services by these customers, and if one or more of them were to significantly delay, reduce or curtail activity, or stop accepting bids from us, it could have a material impact on our operating results.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inability to carry out plans and strategies as expected, including our inability to identify and complete acquisitions and investments that meet our investment criteria in furtherance of our corporate strategy or the subsequent underperformance of those acquisitions and investments, may adversely impact our future growth and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corporate strategy includes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we have made, and may continue to make, strategic investments in debt or equity securities of publicly traded and privately held companies, including early-stage companies and more established companies. We are subject to risks associated with these investments, including the inability to dispose of these investments due to lack of an active market for or contractual limitations on our ability to sell a particular investment, and the partial or complete loss of invested capital, and significant changes in the fair value of our investment portfolio could adversely impact our financial results. Further, valuations of non-marketable debt and equity investments are inherently complex due to the lack of readily available market data. Some of our past acquisitions and investments have not performed as expected, and there is no assurance that future acquisitions and investments will perform as expected or generate a positive return on investment due to factors we could not predict prior to the acquisition or due to incorrect investment assumptions.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Acquisitions, dispositions and other strategic transactions that we may pursue could have a negative effect on our results of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our financial condition, results of operations and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difficulties of integrating a business, assets or operations may include,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geographically separated organizations and possible differences in corporate cultures and management philosophies;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demands on management resources, which may distract management’s attention from day-to-day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differences in the disclosure systems, compliance requirements, accounting systems, and accounting controls and procedures of the acquired company, which may interfere with our ability to make timely and accurate public disclosure;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demands of managing new locations, new personnel and new lines of business acquired.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Backlog may not be realized or may not result in profits.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fail to adequately recover on contract change orders.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pursue claims against our customers to recover costs incurred on a project in excess of the original contract amount. Such additional costs may be incurred in connection with project delays caused by our customers or third parties, including other trades, or changes in project scope or specifications. While we generally negotiate with the customer for additional compensation, we may be unable to obtain, through negotiation, arbitration, litigation or otherwise, adequate compensation for the additional work performed or expenses incurred. The process of pursuing a claim may be lengthy, result in significant legal fees, and negatively impact our relationships with customers. Furthermore, we may be required to invest significant working capital to fund cost overruns while the resolution of a claim is pending, and our additional costs may not be recovered until the claim is resolved, if at all. When appropriate, we establish provisions against possible exposures, and we adjust these provisions from time to time, but our assumptions and estimates related to these exposures might prove to be inadequate or inaccurate. Unfavorable resolution of these matters can result in a reduction of revenues and profit recognized in prior periods or the recognition of a loss, which could have a material adverse effect on our business, financial condition, results of operations and cash flows.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incur significant charges or be adversely impacted by the closure or sale of facilities or assets.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costs pursuant to obligations to indemnify buyers after assets are sold, or other unexpected liabilities from closed facilities beyond the closing date, and if we dispose of a segment or business, we may continue to be subject to certain prior liabilities of that business after its disposition and may not be able to negotiate for limitations on those liabilities, all of which could adversely impact our financial returns.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COVID-19 pandemic has adversely impacted, and could have a future materially adverse impact on, our business, including our financial condition, cash flows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its ongoing impact on markets, the supply chain, and availability of labor has had a number of adverse impacts on our results of operations, and it continues to influence trends affecting our business. We continue to experience increased prices, longer delivery times, or limited availability for certain materials necessary for our projects, notably copper, aluminum, steel, electrical components, fuel, and certain plastics.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impact of the COVID-19 pandemic or any future epidemics or pandemics on our business is difficult to predict, but adverse impacts could include the potential for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availability and cost of surety bonds affect our ability to enter into new contracts and our margins on those engagements.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or if we are unable to obtain bonds at a reasonable cost, we may be unable to compete for, or work on, certain projects.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subject to risks associated with seasonality, adverse weather conditions, and climate change.</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Our business is subject to seasonal variations in operations and demand that affect the construction business, particularly in the Residential and Commercial &amp; Industrial segments. Adverse weather conditions, including rain, heat, ice, cold or snow may not only delay our work and contribute to project inefficiency, but may negatively impact our schedules and profitability by delaying the work of other trades on a construction site. Extreme weather conditions (such as hurricanes or other storms, droughts, extreme heat or cold, wildfires and floods) may limit the availability of resources, increase our costs, damage property, disrupt our workforce, or may cause projects to be cancelled.</w:t>
      </w:r>
      <w:r>
        <w:rPr>
          <w:color w:val="000000"/>
        </w:rPr>
        <w:t xml:space="preserve"> </w:t>
      </w:r>
      <w:r>
        <w:rPr>
          <w:rFonts w:ascii="Times New Roman;sans-serif" w:hAnsi="Times New Roman;sans-serif"/>
          <w:b w:val="false"/>
          <w:color w:val="000000"/>
          <w:sz w:val="20"/>
        </w:rPr>
        <w:t xml:space="preserve">As we have expanded our operations in coastal areas, particularly Florida, these risks have increased. To the extent climate change results in an increase in extreme weather events and adverse weather conditions, the likelihood of a negative impact on our results of operations may increase.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Due to differing regional economic conditions, our results may fluctuate from period to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results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or capital projects at its industrial customers’ facilities, by demand for design, construction and site support of data centers,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experience difficulties in managing our billings and collections.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billings under fixed price contracts in our contracting business are generally based upon achieving certain milestones and will only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operations are subject to numerous physical hazards. If an accident occurs, it could result in an adverse effect on our business.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current insurance coverage may not be adequate, and we may not be able to obtain insurance at acceptable rates, or at all.</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insurance coverage in part because some of our contracts require us to carry certain levels of insurance coverage, which is common in the industries in which we operate. 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 and claims can cause unexpected losses.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all of our businesses, we are subject to potential claims and litigation, including contractual disputes, warranty claims, and claims related to our compliance with legal and regulatory requirements. We have in the past been, and may in the future be, named as a defendant in lawsuits, claims and other legal proceedings;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 In addition, due to the inherent uncertainties of litigation, we cannot accurately predict the ultimate outcome of any such actions or proceedings, which could result in significant expense, damage to our reputation and diversion of management’s attention from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Regulatory requirements could result in significant compliance costs and liabilities.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operations throughout the United States and are subject to multiple state and local regulations. In addition, our segments, particularly our Commercial &amp; Industrial segment, may be subject to federal laws and requirements applicable to government contractors. Our 130 locations are located in 27 states, which exposes us to a variety of different state and local laws and regulations, particularly those pertaining to electrical contractor and other licensing requirements. These laws and regulations govern many aspects of our business, and there are often different standards and requirements in different locations.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Company continues to increase its dependence on information technology systems, networks, and infrastructure to conduct our day-to-day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our policies, procedures and physical and software safeguards, our information technology environment is still vulnerable to natural disasters, power losses, telecommunication failures, deliberate intrusions, inadvertent user misuse or error, computer viruses, malicious code, ransomware attacks, acts of terrorism and other cyber security risks, which could cause a loss of critical data, or release of sensitive information. If critical information systems fail or are otherwise unavailable, or if sensitive information is released, we could experience reputational harm, loss of customers and revenue, loss of proprietary data, regulatory actions and scrutiny, statutory penalties, and litigation.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from time to time experienced cybersecurity incidents, such as ransomware attacks or unauthorized parties gaining access to our information technology systems, and privacy incidents, such as potential exposure of data. While to date such incidents have not had a material impact on our business, there can be no assurance that future incidents would not have an adverse effect on our business or reputation. Additionally, the process of integrating the information systems of the businesses we acquire is complex and exposes us to additional risk as we might not adequately identify weaknesses in the acquired business’s information systems or information handling, privacy and security policies and protocols, which could expose us to unexpected liabilities or make our own systems and data more vulnerable to attack.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be required to conduct environmental remediation activities, which could be expensive and inhibit the growth of our business and our ability to maintain profitability, particularly in our Infrastructure Solutions business.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could be held liable for such contamination created not only from our own activities but also from the historical activities of companies we have acquired, or the activities of others on properties that we own or lease. There can be no assurance that the discovery of currently unknown problems or conditions will not require substantial additional expenditures. In addition, if we do not comply with these laws and regulations, we could be subject to material administrative, civil or criminal penalties, or other substantial liabilities.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Compliance with future changes in environmental laws and regulations, including those relating to climate change, could require significant expenditures.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Increasing concerns about climate change and other environmental issues may result in additional environmental regulations and restrictions, and we cannot predict the nature, scope or effect of legislation or regulatory requirements that could be imposed, or how existing or future laws or regulations will be administered or interpreted. Compliance with more stringent laws or regulations, as well as more vigorous enforcement policies of the regulatory agencies, could increase the costs of projects for us or our customers, potentially resulting in reduced profitability or a reduced demand for our services, or require us to incur substantial costs of compliance.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loss of a group or several key personnel, either at the corporate or operating level, or general labor constraints could adversely affect our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operating segment level will continue in their capacity for any particular period of time, and there is significant competition in our industry for managerial personnel. We have a severance plan in place that covers certain of our senior leaders; however, this plan can neither guarantee that we will not lose key employees, nor prevent them from competing against us.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business is labor intensive, and many of our operations experience a high rate of employee turnover. We also may be constrained in hiring and retaining sufficient qualified employees to support our growth strategy due to general labor shortages in our industries. In addition, a lack of skilled labor or increased turnover rates within our employee base could lead to increased costs, such as increased overtime to meet demand and increased wage rates to attract and retain employees. Continued labor constraints may limit our ability to grow and may limit our profitability due to the impact of rising wages.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Risks Relating to our Financial Results, Financing and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net operating losses may be reduced by a change in ownership.</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2022, we have approximately $61.0 million of federal NOLs that are available to use to offset future taxable income, including approximately $55.1 million resulting from net operating losses on which a deferred tax asset is not recorded. Should a change in ownership occur, all NOLs incurred prior to the change in ownership would be subject to limitation imposed by Internal Revenue Code Section 382, which would substantially reduce the amount of NOLs currently available to offset taxable income.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adopted tax positions that a taxing authority may view differently. If a taxing authority differs with our tax positions, our results may be adversely affected.</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effective tax rate, cash paid for taxes and the availability of our NOLs are impacted by the tax positions that we have adopted. Taxing authorities may not always agree with the positions we have taken. We have established reserves for tax positions that we have determined to be less than likely to be sustained by taxing authorities. However, there can be no assurance that our results of operations will not be adversely affected in the event that disagreement over our tax positions does arise.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 fund our working capital requirements, complete acquisitions and service any debt we may incur, we may require a significant amount of cash. Our ability to generate cash depends on many factors that are beyond our control.</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grow our business, including through acquisitions and the funding of working capital requirements, as well as our ability to make payments on or refinance any indebtedness we may incur, will depend on our ability to generate cash in the future. This is subject to our operational performance, as well as general economic, financial, competitive, legislative, regulatory and other factors that are beyond our control.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 that our business will generate sufficient cash flow from operations or asset sales or that future borrowings will be available to us under our credit facility in an amount sufficient to enable us to complete acquisitions,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Negative conditions in the credit and capital markets may adversely impact our ability to operate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the level of demand from our customers for our services has been adversely impacted by slowdowns in our customers' industries as well as in the economy in general. 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have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 weak economic environment, particularly in a period of restrictive credit markets, we may experience greater difficulties in collecting payments from, and negotiating change orders and/or claims with, our customers due to, among other reasons, a diminution in our ultimate customers’ access to the credit markets. If clients delay in paying or fail to pay a significant amount of our outstanding receivables, or we fail to successfully negotiate a significant portion of our change orders and/or claims with customers, it could have an adverse effect on our liquidity, results of operations,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restrictions and covenants under our credit agreement and the failure to meet these covenants, including liquidity and other financial requirements, could result in a default under our credit agreement.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not be able to remain in compliance with the covenants in our credit agreement, including financial covenants which, among other things, require minimum levels of liquidity and require us to maintain a specified fixed charge coverage ratio as defined under our credit agreement. Other covenants, among other things, limit our ability to provide liens, restrict fundamental changes, limit transactions with affiliates and subsidiaries, restrict changes to our organization documents, limit asset dispositions, limit investments, limit the ability to incur debt, restrict certain payments to shareholders, limit our ability to repurchase our stock, and limit the ability to change the nature of our business.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use of percentage-of-completion accounting could result in a reduction or elimination of previously reported profits, and we may be adversely impacted by new accounting, control and operating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reported operating results could be adversely affected as a result of goodwill impairment charges.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accounting requires that goodwill attributable to each of our reporting units be tested at least annually, or when changes in circumstance indicate the carrying value of our reporting units may not be recoverable. At September 30, 2022, we had recorded $92 million of goodwill on our Consolidated Balance Sheets. Factors that could lead to impairment of current goodwill in the future include significant adverse changes in the business climate, declines in the financial condition of our business, and actual or projected future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Existence of a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our outstanding common stock is owned by Tontine, and Jeffrey Gendell, founder and managing member of Tontine, serves as our Chief Executive Officer and as Chairman of our Board of Directors. Tontine owns approximately 57 percent of the Company’s outstanding common stock based on a Form 4 filed by Tontine with the SEC on December 3, 2021, and the Company's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shares outstanding as of December 2, 2022.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and could trigger limitations on the availability of our NOLs under Internal Revenue Code Section 382.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Our common stock has less liquidity than many other stocks listed on the Nasdaq Global Market.</w:t>
      </w:r>
      <w:r>
        <w:rPr>
          <w:color w:val="000000"/>
        </w:rPr>
        <w:t xml:space="preserve">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Historically, the trading volume of our common stock has been relatively low when compared to other companies listed on the </w:t>
      </w:r>
      <w:r>
        <w:rPr>
          <w:rFonts w:ascii="Times New Roman;sans-serif" w:hAnsi="Times New Roman;sans-serif"/>
          <w:b/>
          <w:color w:val="000000"/>
          <w:sz w:val="20"/>
        </w:rPr>
        <w:t>N</w:t>
      </w:r>
      <w:r>
        <w:rPr>
          <w:rFonts w:ascii="Times New Roman;sans-serif" w:hAnsi="Times New Roman;sans-serif"/>
          <w:b w:val="false"/>
          <w:color w:val="000000"/>
          <w:sz w:val="20"/>
        </w:rPr>
        <w:t>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We may issue additional shares of common stock, preferred stock or convertible securities that will dilute the percentage ownership interest of existing stockholders and may dilute the book value per share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includes 100,000,000 shares of common stock and 10,000,000 shares of preferred stock. As of September 30, 2022, we had 22,049,529 shares of common stock issued, 20,341,900 shares of common stock outstanding and no shares of preferred stock issued or outstanding. As of September 30, 2022, we had the ability to issue 713,058 shares of common stock, including upon the exercise of options, as future grants under our existing equity compensation plans.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Although we currently do not have any intention of issuing additional common stock (other than pursuant to our equity compensation plans) or preferred stock, we may do so in the future in order to meet our capital needs. Subject to applicable </w:t>
      </w:r>
      <w:r>
        <w:rPr>
          <w:rFonts w:ascii="Times New Roman;sans-serif" w:hAnsi="Times New Roman;sans-serif"/>
          <w:b/>
          <w:color w:val="000000"/>
          <w:sz w:val="20"/>
        </w:rPr>
        <w:t>N</w:t>
      </w:r>
      <w:r>
        <w:rPr>
          <w:rFonts w:ascii="Times New Roman;sans-serif" w:hAnsi="Times New Roman;sans-serif"/>
          <w:b w:val="false"/>
          <w:color w:val="000000"/>
          <w:sz w:val="20"/>
        </w:rPr>
        <w:t xml:space="preserve">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convertible securities will dilute the percentage ownership interest of our stockholders and may dilute the book value per share of our common stock.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Substantial sales of our common stock could adversely affect our stock price.</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Most of Tontine's shares are registered for resale on a resale shelf registration statement filed by the Company with the SEC. 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Increasing scrutiny and changing expectations from investors and customers with respect to our environmental, social and governance practices may impose additional costs on us or expose us to reputational or other risks.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have increased their emphasis on the environmental, social and governance ("ESG") practices of companies across all industries, including the environmental impact of operations and human capital management. Certain stockholders use third-party benchmarks or scores to measure a company’s ESG practices and decide whether to invest in its common stock or engage with the company to require changes to its practices. In addition, our customers may evaluate our ESG practices or require that we adopt certain ESG policies as a condition of awarding contracts.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to comply with investor or customer expectations and standards, which are evolving and vary considerably, or the perception that we have not responded appropriately to the growing concern for ESG issues, could result in reputational harm to our business and could have an adverse effect on us.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organizations that provide ratings information to investors on ESG matters may assign unfavorable ratings to IES or our industries, which may lead to negative investor sentiment and the diversion of investment capital to other companies or industries, which could have a negative impact on our stock price and our costs of capital.</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the Court of Chancery of the State of Delaware is, to the fullest extent permitted by law,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 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Exchange Act, or the Securities Act of 1933, as amended, and the rules and regulations promulgated thereunder.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Risks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At September 30, 2022, we maintained branch offices, warehouses, sales facilities and administrative offices at 130 locations. The majority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sans-serif" w:hAnsi="Times New Roman;sans-serif"/>
          <w:b w:val="false"/>
          <w:i/>
          <w:color w:val="000000"/>
          <w:sz w:val="20"/>
        </w:rPr>
        <w:t>Business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further information regarding legal proceedings, see Note 18, </w:t>
      </w:r>
      <w:r>
        <w:rPr>
          <w:color w:val="000000"/>
        </w:rPr>
        <w:t>“</w:t>
      </w:r>
      <w:r>
        <w:rPr>
          <w:rFonts w:ascii="Times New Roman;sans-serif" w:hAnsi="Times New Roman;sans-serif"/>
          <w:b w:val="false"/>
          <w:color w:val="000000"/>
          <w:sz w:val="20"/>
        </w:rPr>
        <w:t xml:space="preserve">Commitments and Contingencies — </w:t>
      </w: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common stock trades on the </w:t>
      </w:r>
      <w:r>
        <w:rPr>
          <w:rFonts w:ascii="Times New Roman;sans-serif" w:hAnsi="Times New Roman;sans-serif"/>
          <w:b/>
          <w:color w:val="000000"/>
          <w:sz w:val="20"/>
        </w:rPr>
        <w:t>N</w:t>
      </w:r>
      <w:r>
        <w:rPr>
          <w:rFonts w:ascii="Times New Roman;sans-serif" w:hAnsi="Times New Roman;sans-serif"/>
          <w:b w:val="false"/>
          <w:color w:val="000000"/>
          <w:sz w:val="20"/>
        </w:rPr>
        <w:t xml:space="preserve">asdaq Global Market under the ticker symbol “IESC.”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 2022, the closing market price of our common stock was $34.50 per share and there were approximately 321 holders of record.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dividends on our common stock. We intend to retain any future earnings and do not expect to pay cash dividends in the foreseeable future. </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Repurchase Program</w:t>
      </w:r>
    </w:p>
    <w:p>
      <w:pPr>
        <w:pStyle w:val="TextBody"/>
        <w:spacing w:lineRule="auto" w:line="288" w:before="0" w:after="0"/>
        <w:rPr/>
      </w:pPr>
      <w:r>
        <w:rPr>
          <w:rFonts w:ascii="Times New Roman;sans-serif" w:hAnsi="Times New Roman;sans-serif"/>
          <w:b w:val="false"/>
          <w:color w:val="000000"/>
          <w:sz w:val="20"/>
          <w:highlight w:val="white"/>
        </w:rPr>
        <w:t xml:space="preserve">In 2015, our Board of Directors authorized a stock repurchase program for the purchase from time to time of up to </w:t>
      </w:r>
      <w:r>
        <w:rPr>
          <w:rFonts w:ascii="Times New Roman;sans-serif" w:hAnsi="Times New Roman;sans-serif"/>
          <w:b w:val="false"/>
          <w:color w:val="000000"/>
          <w:sz w:val="20"/>
        </w:rPr>
        <w:t>1.5</w:t>
      </w:r>
      <w:r>
        <w:rPr>
          <w:color w:val="000000"/>
          <w:highlight w:val="white"/>
        </w:rPr>
        <w:t xml:space="preserve"> </w:t>
      </w:r>
      <w:r>
        <w:rPr>
          <w:rFonts w:ascii="Times New Roman;sans-serif" w:hAnsi="Times New Roman;sans-serif"/>
          <w:b w:val="false"/>
          <w:color w:val="000000"/>
          <w:sz w:val="20"/>
          <w:highlight w:val="white"/>
        </w:rPr>
        <w:t>million shares of the Company’s common stock, and in</w:t>
      </w:r>
      <w:r>
        <w:rPr>
          <w:color w:val="000000"/>
        </w:rPr>
        <w:t xml:space="preserve"> </w:t>
      </w:r>
      <w:r>
        <w:rPr>
          <w:rFonts w:ascii="Times New Roman;sans-serif" w:hAnsi="Times New Roman;sans-serif"/>
          <w:b w:val="false"/>
          <w:color w:val="000000"/>
          <w:sz w:val="20"/>
        </w:rPr>
        <w:t>2019, authorized the repurchase from time to time of up to an additional 1.0 million shares of the Company's common stock under the stock repurchase program. S</w:t>
      </w:r>
      <w:r>
        <w:rPr>
          <w:rFonts w:ascii="Times New Roman;sans-serif" w:hAnsi="Times New Roman;sans-serif"/>
          <w:b w:val="false"/>
          <w:color w:val="000000"/>
          <w:sz w:val="20"/>
          <w:highlight w:val="white"/>
        </w:rPr>
        <w:t>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2022, we repurchased 511,600 shares of common stock at an average price of $32.02 per share for a total aggregate purchase price of $16.4 million. The Company had 358,020 shares remaining under its stock repurchase authorization at September 30, 2022.</w:t>
      </w:r>
    </w:p>
    <w:p>
      <w:pPr>
        <w:pStyle w:val="TextBody"/>
        <w:spacing w:before="0" w:after="0"/>
        <w:rPr/>
      </w:pPr>
      <w:r>
        <w:rPr/>
      </w:r>
    </w:p>
    <w:p>
      <w:pPr>
        <w:pStyle w:val="TextBody"/>
        <w:spacing w:lineRule="auto" w:line="324"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December 2022, our Board of Directors terminated our previous share repurchase program and authorized a new $40 million share repurchase program.</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presents information with respect to purchases of common stock by the Company during the three months ended September 30, </w:t>
      </w:r>
      <w:r>
        <w:rPr>
          <w:rFonts w:ascii="Times New Roman;sans-serif" w:hAnsi="Times New Roman;sans-serif"/>
          <w:b w:val="false"/>
          <w:color w:val="000000"/>
          <w:sz w:val="20"/>
          <w:highlight w:val="white"/>
        </w:rPr>
        <w:t>2022:</w:t>
      </w:r>
    </w:p>
    <w:tbl>
      <w:tblPr>
        <w:tblW w:w="10539" w:type="dxa"/>
        <w:jc w:val="left"/>
        <w:tblInd w:w="0" w:type="dxa"/>
        <w:tblCellMar>
          <w:top w:w="28" w:type="dxa"/>
          <w:left w:w="28" w:type="dxa"/>
          <w:bottom w:w="28" w:type="dxa"/>
          <w:right w:w="28" w:type="dxa"/>
        </w:tblCellMar>
      </w:tblPr>
      <w:tblGrid>
        <w:gridCol w:w="861"/>
        <w:gridCol w:w="450"/>
        <w:gridCol w:w="454"/>
        <w:gridCol w:w="488"/>
        <w:gridCol w:w="488"/>
        <w:gridCol w:w="490"/>
        <w:gridCol w:w="556"/>
        <w:gridCol w:w="411"/>
        <w:gridCol w:w="412"/>
        <w:gridCol w:w="801"/>
        <w:gridCol w:w="801"/>
        <w:gridCol w:w="804"/>
        <w:gridCol w:w="1029"/>
        <w:gridCol w:w="1029"/>
        <w:gridCol w:w="1465"/>
      </w:tblGrid>
      <w:tr>
        <w:trPr/>
        <w:tc>
          <w:tcPr>
            <w:tcW w:w="86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as Part of a Publicly Announced Plan </w:t>
            </w:r>
          </w:p>
        </w:tc>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of Shares That May Yet Be Purchased Under the Publicly Announced Plan as of September 30, 2022 </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2022 – July 31, 2022</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88,092</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88,092</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536,639</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2022 – August 31, 2022</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48,939</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48,939</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487,700</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2022 – September 30, 2022</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129,680</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129,680</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358,020</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266,711</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266,711</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358,020</w:t>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1466"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2406" w:type="dxa"/>
            <w:gridSpan w:val="3"/>
            <w:tcBorders/>
            <w:shd w:fill="auto" w:val="clear"/>
            <w:vAlign w:val="center"/>
          </w:tcPr>
          <w:p>
            <w:pPr>
              <w:pStyle w:val="TableContents"/>
              <w:spacing w:before="0" w:after="283"/>
              <w:rPr>
                <w:sz w:val="4"/>
                <w:szCs w:val="4"/>
              </w:rPr>
            </w:pPr>
            <w:r>
              <w:rPr>
                <w:sz w:val="4"/>
                <w:szCs w:val="4"/>
              </w:rPr>
            </w:r>
          </w:p>
        </w:tc>
        <w:tc>
          <w:tcPr>
            <w:tcW w:w="352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Five-Year Stock Performance Graph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The graph below compares the cumulative five year total return provided shareholders on IES Holdings, Inc.'s common stock relative to the cumulative total returns of the Russell 2000 index and a customized peer group of four companies that includes Comfort Systems USA Inc., MYR Group Inc., Sterling Construction Company Inc. and Primoris (collectively, the "Peer Group"). An investment of $100 (with reinvestment of all dividends) is assumed to have been made in our common stock, in the Russell 2000 index, and in the peer group on September 30, 2017, and its relative performance is tracked through September 30,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xml:space="preser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Comparison of Five Year Cumulative Total Return*</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IES Holdings, Inc., the Russell 2000 Index, and a Peer Group</w:t>
      </w:r>
    </w:p>
    <w:p>
      <w:pPr>
        <w:pStyle w:val="TextBody"/>
        <w:spacing w:before="0" w:after="0"/>
        <w:jc w:val="center"/>
        <w:rPr/>
      </w:pPr>
      <w:r>
        <w:rPr/>
        <w:drawing>
          <wp:inline distT="0" distB="63500" distL="0" distR="0">
            <wp:extent cx="6115050" cy="384810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6115050" cy="3848100"/>
                    </a:xfrm>
                    <a:prstGeom prst="rect">
                      <a:avLst/>
                    </a:prstGeom>
                  </pic:spPr>
                </pic:pic>
              </a:graphicData>
            </a:graphic>
          </wp:inline>
        </w:drawing>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invested on 9/30/17 in stock or index, including reinvestment of dividends. </w:t>
      </w:r>
    </w:p>
    <w:p>
      <w:pPr>
        <w:pStyle w:val="TextBody"/>
        <w:spacing w:before="0" w:after="0"/>
        <w:jc w:val="center"/>
        <w:rPr/>
      </w:pPr>
      <w:r>
        <w:rPr/>
      </w:r>
    </w:p>
    <w:tbl>
      <w:tblPr>
        <w:tblW w:w="8811" w:type="dxa"/>
        <w:jc w:val="center"/>
        <w:tblInd w:w="0" w:type="dxa"/>
        <w:tblCellMar>
          <w:top w:w="28" w:type="dxa"/>
          <w:left w:w="28" w:type="dxa"/>
          <w:bottom w:w="28" w:type="dxa"/>
          <w:right w:w="28" w:type="dxa"/>
        </w:tblCellMar>
      </w:tblPr>
      <w:tblGrid>
        <w:gridCol w:w="576"/>
        <w:gridCol w:w="505"/>
        <w:gridCol w:w="508"/>
        <w:gridCol w:w="211"/>
        <w:gridCol w:w="721"/>
        <w:gridCol w:w="109"/>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237"/>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193.22 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jc w:val="both"/>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discussion and analysis should be read in conjunction with our Consolidated Financial Statements and the notes thereto, set forth in Item 8.</w:t>
      </w:r>
      <w:r>
        <w:rPr>
          <w:color w:val="000000"/>
        </w:rPr>
        <w:t>“</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For additional information, see </w:t>
      </w:r>
      <w:r>
        <w:rPr>
          <w:color w:val="000000"/>
        </w:rPr>
        <w:t>“</w:t>
      </w:r>
      <w:r>
        <w:rPr>
          <w:rFonts w:ascii="Times New Roman;sans-serif" w:hAnsi="Times New Roman;sans-serif"/>
          <w:b w:val="false"/>
          <w:i/>
          <w:color w:val="000000"/>
          <w:sz w:val="20"/>
        </w:rPr>
        <w:t>Disclosure Regarding Forward Looking Statements”</w:t>
      </w:r>
      <w:r>
        <w:rPr>
          <w:color w:val="000000"/>
        </w:rPr>
        <w:t xml:space="preserve"> </w:t>
      </w:r>
      <w:r>
        <w:rPr>
          <w:rFonts w:ascii="Times New Roman;sans-serif" w:hAnsi="Times New Roman;sans-serif"/>
          <w:b w:val="false"/>
          <w:color w:val="000000"/>
          <w:sz w:val="20"/>
        </w:rPr>
        <w:t>in Part I 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Please refer to Item 1.</w:t>
      </w:r>
      <w:r>
        <w:rPr>
          <w:color w:val="000000"/>
        </w:rPr>
        <w:t xml:space="preserve">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 xml:space="preserve">of this Annual Report on Form 10-K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Trends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is affected by a number of trends that drive the demand for our services. In particular, the markets in which we operate are exposed to many regional and national trends such as the demand for single and multi-family housing, the need for mission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critical facilities as a result of technology-driven advancements, capital spending on data centers, distribution centers, and high-tech manufacturing facilities, demand for back-up power,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 (ii) aging public infrastructure, which must be replaced or repaired, (iii) an increasing demand for data storage, and (iv) increased emphasis on environmental and energy efficiency, which may lead to increased public and private spending. However, there can be no assurance that we will not experience a decrease in demand for our services due to economic, technological or other factors beyond our control, including interest rate changes, increases in the price of copper, aluminum, steel, fuel, electrical components, certain plastics, and other commodity prices and other economic factors, which may reduce the demand for housing in the regions where our Residential division operates, and may impact levels of construction. For a further discussion of the industries in which we operate, please see Item 1. “</w:t>
      </w:r>
      <w:r>
        <w:rPr>
          <w:rFonts w:ascii="Times New Roman;sans-serif" w:hAnsi="Times New Roman;sans-serif"/>
          <w:b w:val="false"/>
          <w:i/>
          <w:color w:val="000000"/>
          <w:sz w:val="20"/>
        </w:rPr>
        <w:t>Business -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Outlook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2022 as compared to fiscal 2021. In addition, revenue growth during fiscal 2022 at our Residential and Infrastructure Solutions segments reflects the contribution of acquisitions completed during fiscal 2021.</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business segments each have their own unique set of factors influencing demand for our services, While we are entering the year with strong backlog levels in each of our business segments, we are also closely monitoring weakness in the residential construction market and, more generally, heightened uncertainty regarding the future direction of the overall economy. Based on current trends in demand for housing heading into fiscal 2023, we expect that a revenue decline in our single-family housing business, where we typically do not enter into long-term contracts, will offset, or more than offset, revenue growth from our multi-family housing and other backlog-driven businesses during the year. Nevertheless, we remain focused on monitoring costs, improving margins, and capitalizing on opportunities to expand our service lines and gain market share, as many of our markets continue to experience highly competitive margins and increasing costs. Further, we believe our strong balance sheet and flexible operating model position us to navigate challenges we may encounter in a more uncertain economy.</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12 months. We expect our capital expenditures will range from $12.0 million to $17.0 million for the year ending on September 30, 2023. </w:t>
      </w:r>
    </w:p>
    <w:p>
      <w:pPr>
        <w:pStyle w:val="TextBody"/>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Current Market and Operating Conditions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Reserve has raised the target federal funds rate six times since the beginning of calendar 2022 and has announced an expectation that it will continue to raise the target rate through the end of 2022 and into 2023. This has resulted in higher mortgage rates, which when combined with elevated materials and labor costs, have had a substantial impact on the affordability of housing. There continue to be several trends, such as rising household formation and population growth in our key markets, that we expect will drive long-term demand for our services in the single-family housing market. However, going into fiscal 2023, we do expect housing affordability to cause a near-term decrease in demand for our services in this market.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its impact on markets, the supply chain and the labor force continued to influence trends affecting our business throughout fiscal 2022. While commodity prices for some of the materials we procure recently have begun to stabilize, concerns remain around limited availability or delays in deliveries for certain materials necessary for our projects, notably copper, steel, aluminum, electronic components, and certain plastics. Reduced availability of certain materials has resulted in a continuing need to take actions such as carrying higher levels of inventory than we typically hold, or, in some cases, substituting higher-cost materials or sourcing materials from new suppliers which may offer less favorable terms or pricing than our usual suppliers. Such actions have resulted in elevated levels of working capital throughout fiscal 2022. We seek to mitigate supply chain risk by maintaining relationships with multiple vendors, and to recoup higher materials costs through adjusted pricing. However, we are not able to pass on all increased costs, and our suppliers are facing challenges in providing the materials we require. We have also experienced, and may continue to experience, workforce disruptions related to exposure to, or illness from, COVID-19, resulting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 </w:t>
      </w:r>
    </w:p>
    <w:tbl>
      <w:tblPr>
        <w:tblW w:w="10539" w:type="dxa"/>
        <w:jc w:val="left"/>
        <w:tblInd w:w="0" w:type="dxa"/>
        <w:tblCellMar>
          <w:top w:w="28" w:type="dxa"/>
          <w:left w:w="28" w:type="dxa"/>
          <w:bottom w:w="28" w:type="dxa"/>
          <w:right w:w="28" w:type="dxa"/>
        </w:tblCellMar>
      </w:tblPr>
      <w:tblGrid>
        <w:gridCol w:w="124"/>
        <w:gridCol w:w="109"/>
        <w:gridCol w:w="109"/>
        <w:gridCol w:w="151"/>
        <w:gridCol w:w="151"/>
        <w:gridCol w:w="151"/>
        <w:gridCol w:w="533"/>
        <w:gridCol w:w="533"/>
        <w:gridCol w:w="447"/>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revenues for the year ended September 30, 2022, were $630.3 million higher than for the year ended September 30, 2021, an increase of 41.0%, with increases at all four of our operating segments, driven by strong demand and the contribution of businesses acquired in fiscal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decreased to 14.7% during the year ended September 30, 2022, as compared to 18.7% during the year ended September 30, 2021. Gross profit as a percentage of revenue decreased at all four of our operating segments. See further discussion below of changes in gross margin for our individual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2022, our selling, general and administrative expenses were $262.7 million, an increase of $60.5 million, or 29.9% over the year ended September 30, 2021, driven by increased personnel costs, primarily at our Residential operating segment, in connection with its growth, and the impact of businesses acquired during fiscal 2021, including amortization of intangible assets. Selling, general and administrative expenses as a percentage of revenue decreased to 12.1% for the year ended September 30, 2022 from 13.2% for the year ended September 30, 2021, as we benefited from the increased scale of our operations.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Compared to 2020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revenues for the year ended September 30, 2021, were $345.6 million higher than for the year ended September 30, 2020, an increase of 29.0% with increases across all segments, driven by strong demand and the contribution of acquired businesses.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decreased to 18.7% during the year ended September 30, 2021, as compared to 19.1% during the year ended September 30, 2020. Gross profit as a percentage of revenue increased at our Infrastructure Solutions and Commercial &amp; Industrial segments, but decreased at our Communications and Residential segments, as discussed in further detail with respect to each segment below.</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2021, our selling, general and administrative expenses were $202.3 million, an increase of $31.3 million, or 18.3% over the year ended September 30, 2020, driven by increased personnel costs at our Communications and Residential operating segments in connection with their growth, increased incentive compensation in connection with improved results at those segments, and the impact of businesses acquired during fiscal 2021. Selling, general and administrative expenses as a percentage of revenue decreased to 13.2% for the year ended September 30, 2021 from 14.4% for the year ended September 30,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we recognized a non-cash goodwill impairment charge of $7.0 million relating to our Commercial &amp; Industrial segment.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Communications segment’s revenues increased by $113.8 million, or 25.5%, during the year ended September 30, 2022, compared to the year ended September 30, 2021. This increase primarily resulted from increased demand from our data center customers.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Our Communications segment’s gross profit during the year ended September 30, 2022, decreased $16.0 million, or 18.8%, as compared to the year ended September 30, 2021. Gross profit as a percentage of revenue decreased from 19.0% for the year ended September 30, 2021 to 12.3% for the year ended September 30, 2022. During fiscal 2022, we expanded our offerings to our data center customers into a new, adjacent service area; however, we had execution issues and recorded a combined loss of $19.9 million on a series of these projects for the year ended September 30, 2022. As a result of this loss, we are no longer pursuing work in this service area. As of September 30, 2022, our work on such projects was substantially complete. Our operating margins for the year ended September 30, 2022 were also negatively impacted by a shift in our mix of customers, as well as a more competitive bidding environment in the distribution center and warehouse market, which has experienced slowing activity following a period of significant pandemic-related growth. Supply chain challenges and workforce disruptions related to COVID-19 have also continued to affect project efficiency. Finally, we continue to invest in hiring and training personnel, particularly in estimating and project management, to grow the business.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$5.3 million, or 12.9% during the year ended September 30, 2022, as compared to the year ended September 30, 2021. The increase is a result of higher personnel cost in connection with the growth of our business, as well as higher wages in an increasingly competitive labor market. We also experienced a more typical level of selling expense for the year ended September 30, 2022 as compared to the year ended September 30, 2021, when travel and other activities were curtailed due to the pandemic. Selling, general and administrative expenses as a percentage of revenue in the Communications segment were 8.3% during the year ended September 30, 2022, compared to 9.3% for the year ended September 30, 2021, as we have benefited from the scale of our operations.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Compared to 2020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Our Communications segment’s revenues increased by $50.8 million, or 12.9%, during the year ended September 30, 2021, compared to the year ended September 30, 2020. This increase primarily resulted from increased demand from our data center and distribution center customers. Revenues in our Communications segment can vary from period to period based on the capital spending cycles of our customers.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Communications segment’s gross profit during the year ended September 30, 2021, increased $6.6 million, or 8.5%, as compared to the year ended September 30, 2020. Gross profit as a percentage of revenue decreased from 19.8% for the year ended September 30, 2020 to 19.0% for the year ended September 30, 2021, as we invested in hiring and training personnel, particularly in estimating and project management, to grow the business. Additionally, during the fourth fiscal quarter of 2020, we benefited from some larger than typical efficiency gains from strong project execution.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$3.7 million, or 9.8% during the year ended September 30, 2021, as compared to the year ended September 30, 2020. The increase was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from 9.5% for the year ended September 30, 2020 to 9.3% of segment revenue during the year ended September 30, 2021, as we benefited from the increased scale of our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tbl>
      <w:tblPr>
        <w:tblW w:w="8977" w:type="dxa"/>
        <w:jc w:val="left"/>
        <w:tblInd w:w="0" w:type="dxa"/>
        <w:tblCellMar>
          <w:top w:w="28" w:type="dxa"/>
          <w:left w:w="28" w:type="dxa"/>
          <w:bottom w:w="28" w:type="dxa"/>
          <w:right w:w="28" w:type="dxa"/>
        </w:tblCellMar>
      </w:tblPr>
      <w:tblGrid>
        <w:gridCol w:w="1353"/>
        <w:gridCol w:w="1187"/>
        <w:gridCol w:w="1195"/>
        <w:gridCol w:w="211"/>
        <w:gridCol w:w="97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Our Residential segment’s revenues increased by $444.1 million, or 64.6%, during the year ended September 30, 2022, as compared to the year ended September 30, 2021, reflecting a full year of revenue contribution from businesses acquired in fiscal 2021, strong demand for single-family and multi-family housing and the impact of price increases in connection with a higher cost of materials. Businesses acquired in fiscal 2021 contributed $233.1 million of the total increase for the year ended September 30, 2022 compared to the year ended September 30, 2021. Inclusive of these acquired businesses, revenue in our single-family business increased by $371.1 million for the year ended September 30, 2022, compared to the year ended September 30, 2021, while multi-family and other revenue increased by $73.0 million.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During the year ended September 30, 2022, our Residential segment gross profit increased by $69.5 million, or 51.9%, as compared to the year ended September 30, 2021. The increase in gross profit was driven primarily by contributions from the businesses acquired in fiscal 2021 and higher volumes, partly offset by increased commodity prices. Gross margin as a percentage of revenue decreased to 18.0% during the year ended September 30, 2022 from 19.5% for the year ended September 30, 2021, primarily as a result of increased commodity prices and a reduction in project efficiency related to supply-chain challenges and the COVID-19 pandemic.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by $51.3 million, or 55.3%, during the year ended September 30, 2022, compared to the year ended September 30, 2021. Selling, general and administrative expenses incurred at the businesses acquired during fiscal 2021, including amortization of intangible assets, contributed $21.3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to 12.7% during the year ended September 30, 2022, from 13.5% during the year ended September 30, 2021, as we benefited from the increased scale of our operations.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Residential segment’s revenues increased by $275.6 million, or 66.9%, during the year ended September 30, 2021, as compared to the year ended September 30, 2020, reflecting the revenue contribution of businesses acquired in fiscal 2021, strong demand for single-family and multi-family housing and the impact of price increases in connection with a higher cost of materials. Businesses acquired in fiscal 2021 contributed $172.6 million of revenue for the year ended September 30, 2021. Inclusive of these acquired businesses, revenue in our single-family business increased by $215.3 million for the year ended September 30, 2021, compared to the year ended September 30, 2020, while multi-family and other revenue increased by $60.2 million. Excluding the impact of the businesses acquired during fiscal 2021, our Residential segment's revenues grew by 25.0% for the year ended September 30,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During the year ended September 30, 2021, our Residential segment experienced a $40.0 million, or 42.7%, increase in gross profit as compared to the year ended September 30, 2020. The increase in gross profit was driven primarily by $27.9 million contributed by the businesses acquired in fiscal 2021, as well as higher volumes, partly offset by increased commodity prices. Gross margin as a percentage of revenue decreased from 22.8% for the year ended September 30, 2020 to 19.5% during the year ended September 30, 2021, primarily as a result of higher commodity prices.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$29.1 million, or 45.7%, during the year ended September 30, 2021, compared to the year ended September 30, 2020. Selling, general and administrative expenses incurred at the businesses acquired during fiscal 2021, including amortization of intangible assets, contributed $20.1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from 15.5% during the year ended September 30, 2020 to 13.5% during the year ended September 30, 2021, as we benefited from the increased scale of our operations.</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Revenues in our Infrastructure Solutions segment increased by $20.1 million, or 13.7% during the year ended September 30, 2022 compared to the year ended September 30, 2021. The increase in revenue was driven primarily by increased demand at our generator enclosure business as well as the acquisition of Wedlake Fabricating, Inc. ("Wedlake") during the first quarter of fiscal 2021, which contributed $16.9 million of the increase.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for the year ended September 30, 2022, decreased by $12.3 million, as compared to the year ended September 30, 2021, reflecting the impact of supply chain disruptions on our generator enclosure business, COVID-19 related labor inefficiencies, and operating inefficiencies in connection with the relocation of the Wedlake business to a new, larger facility that expands capacity while allowing for improved workflow and process efficiency. The transition to and setup of the new facility were completed during the third quarter of fiscal 2022. Gross profit as a percent of revenue decreased to 17.2% for the year ended September 30, 2022 compared to 27.8% for the year ended September 30, 2021. Additionally, during the year ended September 30, 2021, we benefited from workers' compensation refunds received from the State of Ohio.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2022, increased $1.2 million compared to the year ended September 30, 2021, primarily as a result of expenses incurred at the Wedlake business acquired during the first fiscal quarter of 2021. Selling, general and administrative expenses as a percentage of revenue decreased from 16.3% for the year ended September 30, 2021, to 15.0% for the year ended September 30, 2022.</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Compared to 2020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Infrastructure Solutions segment increased by $18.6 million, or 14.5% during the year ended September 30, 2021 compared to the year ended September 30, 2020. </w:t>
      </w:r>
      <w:r>
        <w:rPr>
          <w:rFonts w:ascii="Times New Roman;sans-serif" w:hAnsi="Times New Roman;sans-serif"/>
          <w:b w:val="false"/>
          <w:color w:val="000000"/>
          <w:sz w:val="20"/>
          <w:highlight w:val="white"/>
        </w:rPr>
        <w:t>Increased demand for our custom power solutions was partially offset by lower revenue from our industrial services business. The demand for our motor repair services continues to be affected by reduced demand from customers in the steel and rail industries.</w:t>
      </w:r>
      <w:r>
        <w:rPr>
          <w:color w:val="000000"/>
        </w:rPr>
        <w:t xml:space="preserve"> </w:t>
      </w:r>
      <w:r>
        <w:rPr>
          <w:rFonts w:ascii="Times New Roman;sans-serif" w:hAnsi="Times New Roman;sans-serif"/>
          <w:b w:val="false"/>
          <w:color w:val="000000"/>
          <w:sz w:val="20"/>
        </w:rPr>
        <w:t>During the year ended September 30, 2021, the Wedlake</w:t>
      </w:r>
      <w:r>
        <w:rPr>
          <w:color w:val="000000"/>
          <w:highlight w:val="white"/>
        </w:rPr>
        <w:t xml:space="preserve"> </w:t>
      </w:r>
      <w:r>
        <w:rPr>
          <w:rFonts w:ascii="Times New Roman;sans-serif" w:hAnsi="Times New Roman;sans-serif"/>
          <w:b w:val="false"/>
          <w:color w:val="000000"/>
          <w:sz w:val="20"/>
          <w:highlight w:val="white"/>
        </w:rPr>
        <w:t>business acquired during the first fiscal quarter 2021 contributed $7.1 million of revenue for the year ended September 30,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for the year ended September 30, 2021, increased by $5.9 million, as compared to the year ended September 30, 2020, reflecting improved overall operational efficiencies. Gross profit as a percent of revenue increased to 27.8% for the year ended September 30, 2021 compared to 27.3% for the year ended September 30, 2020, </w:t>
      </w:r>
      <w:r>
        <w:rPr>
          <w:rFonts w:ascii="Times New Roman;sans-serif" w:hAnsi="Times New Roman;sans-serif"/>
          <w:b w:val="false"/>
          <w:color w:val="000000"/>
          <w:sz w:val="20"/>
          <w:highlight w:val="white"/>
        </w:rPr>
        <w:t>largely as the result of those efficiencies, as management has continued to focus on procurement, engineering, and quality.</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2021, increased $3.5 million compared to the year ended September 30, 2020. The increase in fiscal 2021 includes $1.6 million of expenses incurred, including amortization of intangible assets, at our acquired Wedlake business. The selling, general and administrative expenses as a percentage of revenue increased from 15.9% for the year ended September 30, 2020, to 16.3% for the year ended September 30, 2021, primarily as a result of the increase in expenses, including amortization expense, related to Wedlake.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tbl>
      <w:tblPr>
        <w:tblW w:w="8826" w:type="dxa"/>
        <w:jc w:val="left"/>
        <w:tblInd w:w="0" w:type="dxa"/>
        <w:tblCellMar>
          <w:top w:w="28" w:type="dxa"/>
          <w:left w:w="28" w:type="dxa"/>
          <w:bottom w:w="28" w:type="dxa"/>
          <w:right w:w="28" w:type="dxa"/>
        </w:tblCellMar>
      </w:tblPr>
      <w:tblGrid>
        <w:gridCol w:w="1350"/>
        <w:gridCol w:w="1189"/>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0"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Revenues in our Commercial &amp; Industrial segment increased $52.3 million, or 20.4%, during the year ended September 30, 2022, compared to the year ended September 30, 2021. During the year ended September 30, 2022, we benefited from the start-up of projects that were delayed in fiscal 2021. While activity in this segment was curtailed earlier in the COVID-19 pandemic, many customers have returned to more typical levels of activity. However, this market remains highly competitive.</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year ended September 30, 2022 decreased by $10.3 million, or 36.2%, as compared to the year ended September 30, 2021. During the year ended September 30, 2022, one of our Commercial &amp; Industrial branches experienced execution issues on a large contract, resulting in significant project rework. As a result, we incurred additional expense related to this project including the accrual of estimated costs to complete the project, including demolition, purchase of replacement materials, and performance of the rework. Additionally, a second job at that same branch was affected by costs associated with a delay in receiving materials from a supplier. These two projects collectively impacted gross profit for the year ended September 30, 2022 by $16.7 million. As a result, gross profit as a percentage of revenue decreased from 11.1% for the year ended September 30, 2021, to 5.9% for the year ended September 30, 2022.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Commercial &amp; Industrial segment’s selling, general and administrative expenses during the year ended September 30, 2022 increased $2.4 million, or 8.5%, compared to the year ended September 30, 2021. The increase was driven primarily by higher pay rates in an increasingly competitive labor market, as well as $2.3 million of reserves in connection with legal matters related to certain contractual disputes.</w:t>
      </w:r>
      <w:r>
        <w:rPr>
          <w:color w:val="000000"/>
          <w:highlight w:val="white"/>
        </w:rPr>
        <w:t xml:space="preserve"> </w:t>
      </w:r>
      <w:r>
        <w:rPr>
          <w:rFonts w:ascii="Times New Roman;sans-serif" w:hAnsi="Times New Roman;sans-serif"/>
          <w:b w:val="false"/>
          <w:color w:val="000000"/>
          <w:sz w:val="20"/>
          <w:highlight w:val="white"/>
        </w:rPr>
        <w:t xml:space="preserve">Selling, general and administrative expenses as a percentage of revenue </w:t>
      </w:r>
      <w:r>
        <w:rPr>
          <w:rFonts w:ascii="Times New Roman;sans-serif" w:hAnsi="Times New Roman;sans-serif"/>
          <w:b w:val="false"/>
          <w:color w:val="000000"/>
          <w:sz w:val="20"/>
        </w:rPr>
        <w:t>decreased from 11.0% for the year ended September 30, 2021 to 9.9% for the year ended September 30,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Compared to 2020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impairment expense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Commercial &amp; Industrial segment increased $0.7 million, or 0.3%, during the year ended September 30, 2021, compared to the year ended September 30, 2020. </w:t>
      </w:r>
      <w:r>
        <w:rPr>
          <w:rFonts w:ascii="Times New Roman;sans-serif" w:hAnsi="Times New Roman;sans-serif"/>
          <w:b w:val="false"/>
          <w:color w:val="000000"/>
          <w:sz w:val="20"/>
          <w:highlight w:val="white"/>
        </w:rPr>
        <w:t xml:space="preserve">The market for our Commercial &amp; Industrial segment's services remains highly competitive, and disruptions caused by the COVID-19 pandemic resulted in some delays in the awarding of new projects and the progress of certain existing projects, as well as decreased demand for new construction in certain sectors we serve, particularly through the first six months of fiscal 2021.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year ended September 30, 2021 increased by $7.4 million, or 35.3%, as compared to the year ended September 30, 2020. We have improved project efficiency, enhanced our procurement process, and focused on controlling costs. As a result, gross profit as a percent of revenues increased from 8.2% for the year ended September 30, 2020, to 11.1% for the year ended September 30, 2021.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 xml:space="preserve">Our Commercial &amp; Industrial segment’s selling, general and administrative expenses during the year ended September 30, 2021 decreased $4.0 million, or 12.3%, compared to the year ended September 30, 2020. </w:t>
      </w:r>
      <w:r>
        <w:rPr>
          <w:rFonts w:ascii="Times New Roman;sans-serif" w:hAnsi="Times New Roman;sans-serif"/>
          <w:b w:val="false"/>
          <w:color w:val="000000"/>
          <w:sz w:val="20"/>
          <w:highlight w:val="white"/>
        </w:rPr>
        <w:t xml:space="preserve">The higher expense in fiscal 2020 primarily reflected a write-off recorded in 2020 related to a commercial dispute, as well as costs incurred in 2020 to improve our procurement process. Selling, general and administrative expenses as a percentage of revenue </w:t>
      </w:r>
      <w:r>
        <w:rPr>
          <w:rFonts w:ascii="Times New Roman;sans-serif" w:hAnsi="Times New Roman;sans-serif"/>
          <w:b w:val="false"/>
          <w:color w:val="000000"/>
          <w:sz w:val="20"/>
        </w:rPr>
        <w:t>decreased from 12.6% for the year ended September 30, 2020 to 11.0% for the year ended September 30, 2021.</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AND OTHER EXPENSE, NET</w:t>
      </w:r>
    </w:p>
    <w:tbl>
      <w:tblPr>
        <w:tblW w:w="6266" w:type="dxa"/>
        <w:jc w:val="left"/>
        <w:tblInd w:w="0" w:type="dxa"/>
        <w:tblCellMar>
          <w:top w:w="28" w:type="dxa"/>
          <w:left w:w="28" w:type="dxa"/>
          <w:bottom w:w="28" w:type="dxa"/>
          <w:right w:w="28" w:type="dxa"/>
        </w:tblCellMar>
      </w:tblPr>
      <w:tblGrid>
        <w:gridCol w:w="1108"/>
        <w:gridCol w:w="971"/>
        <w:gridCol w:w="980"/>
        <w:gridCol w:w="211"/>
        <w:gridCol w:w="616"/>
        <w:gridCol w:w="109"/>
        <w:gridCol w:w="109"/>
        <w:gridCol w:w="109"/>
        <w:gridCol w:w="109"/>
        <w:gridCol w:w="211"/>
        <w:gridCol w:w="466"/>
        <w:gridCol w:w="109"/>
        <w:gridCol w:w="109"/>
        <w:gridCol w:w="109"/>
        <w:gridCol w:w="109"/>
        <w:gridCol w:w="211"/>
        <w:gridCol w:w="466"/>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During the year ended September 30, 2022, we incurred interest expense of $3.0 million primarily comprised of interest expense from our revolving credit facility and fees on an average letter of credit balance of </w:t>
      </w:r>
      <w:r>
        <w:rPr>
          <w:rFonts w:ascii="Times New Roman;sans-serif" w:hAnsi="Times New Roman;sans-serif"/>
          <w:b w:val="false"/>
          <w:color w:val="000000"/>
          <w:sz w:val="20"/>
          <w:highlight w:val="white"/>
        </w:rPr>
        <w:t>$4.5</w:t>
      </w:r>
      <w:r>
        <w:rPr>
          <w:color w:val="000000"/>
        </w:rPr>
        <w:t xml:space="preserve"> </w:t>
      </w:r>
      <w:r>
        <w:rPr>
          <w:rFonts w:ascii="Times New Roman;sans-serif" w:hAnsi="Times New Roman;sans-serif"/>
          <w:b w:val="false"/>
          <w:color w:val="000000"/>
          <w:sz w:val="20"/>
        </w:rPr>
        <w:t xml:space="preserve">million under our revolving credit facility and an average unused line of credit balance of </w:t>
      </w:r>
      <w:r>
        <w:rPr>
          <w:rFonts w:ascii="Times New Roman;sans-serif" w:hAnsi="Times New Roman;sans-serif"/>
          <w:b w:val="false"/>
          <w:color w:val="000000"/>
          <w:sz w:val="20"/>
          <w:highlight w:val="white"/>
        </w:rPr>
        <w:t>$49.2</w:t>
      </w:r>
      <w:r>
        <w:rPr>
          <w:color w:val="000000"/>
        </w:rPr>
        <w:t xml:space="preserve"> </w:t>
      </w:r>
      <w:r>
        <w:rPr>
          <w:rFonts w:ascii="Times New Roman;sans-serif" w:hAnsi="Times New Roman;sans-serif"/>
          <w:b w:val="false"/>
          <w:color w:val="000000"/>
          <w:sz w:val="20"/>
        </w:rPr>
        <w:t xml:space="preserve">million. This compares to interest expense of $1.0 million for the year ended September 30, 2021 primarily comprised of interest expense from our revolving credit facility and fees on an average letter of credit balance of $5.7 million under our revolving credit facility and an average unused line of credit balance of $77.4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2020, we incurred interest expense of $0.8 million primarily comprised of interest expense from our revolving credit facility and fees on an average letter of credit balance of $6.9 million under our revolving credit facility and an average unused line of credit balance of $89.6 million.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2022, we recorded income tax expense of $12.8 million, which reflects a $0.8 million benefit related to the recognition of previously unrecognized tax benefits.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For the year ended September 30, 2021, we recorded income tax expense of $16.2 million, which reflects a </w:t>
      </w:r>
      <w:r>
        <w:rPr>
          <w:rFonts w:ascii="Times New Roman;sans-serif" w:hAnsi="Times New Roman;sans-serif"/>
          <w:b w:val="false"/>
          <w:color w:val="000000"/>
          <w:sz w:val="20"/>
          <w:highlight w:val="white"/>
        </w:rPr>
        <w:t>$5.1 million</w:t>
      </w:r>
      <w:r>
        <w:rPr>
          <w:color w:val="000000"/>
        </w:rPr>
        <w:t xml:space="preserve"> </w:t>
      </w:r>
      <w:r>
        <w:rPr>
          <w:rFonts w:ascii="Times New Roman;sans-serif" w:hAnsi="Times New Roman;sans-serif"/>
          <w:b w:val="false"/>
          <w:color w:val="000000"/>
          <w:sz w:val="20"/>
        </w:rPr>
        <w:t xml:space="preserve">benefit related to the recognition of previously unrecognized tax benefits.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we recorded income tax expense of $8.7 million, which reflects a $3.2 million benefit related to the recognition of previously unrecognized tax benefits as well as a $3.3 million benefit related to the release of valuation allowance on certain state net operating loss carryforwards.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2022, working capital exclusive of cash increased by $48.2 million from September 30, 2021, reflecting a $138.5 million increase in current assets excluding cash and a $90.3 million increase in current liabilities during the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2022, our current assets exclusive of cash increased to $599.6 million, as compared to $461.1 million as of September 30, 2021. An increase in business activity drove an $84.0 million increase in trade accounts receivable. Days sales outstanding increased to 58 at September 30, 2022 from 57 at September 30, 2021. While the rate of collections may vary, our typically secured position, resulting from our ability in general to secure liens against our customers’ overdue receivables, offers some protection that collection will occur eventually to the extent that our security retains value. Retainage increased by $23.7 million as a result of growth in the Residential multi-family business, as well as the timing of projects in the Commercial &amp; Industrial business. Additionally, inventory increased by $27.8 million in connection with rising commodity prices as well as growth of our business. Further, we have increased the quantity of inventory we are currently carrying to manage procurement risks. Costs and estimated earnings in excess of billings increased by $8.7 million as a result of increased levels of activity at our Communications business, as well as supply chain disruptions in our Infrastructure Solutions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2022, our total current liabilities increased by $90.3 million to $401.9 million, compared to $311.6 million as of September 30, 2021, driven by increased levels of business activity, offset in part by remittance of payroll taxes deferred under the Coronavirus Aid, Relief and Economic Security Act (the "CARES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bonding capacity currently provided by our sureties is adequate for our current operations and will be adequate for our operations for the foreseeable future. As of September 30, 2022, the estimated cost to complete our bonded projects was approximately $107.6 million.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2022, we had cash and cash equivalents of $24.8 million and $63.3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2022, we entered into a Third Amended and Restated Credit and Security Agreement (the "Amended Credit Agreement"), which increased our maximum borrowing amount from $125 million to $150 million.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 </w:t>
      </w:r>
    </w:p>
    <w:p>
      <w:pPr>
        <w:pStyle w:val="TextBody"/>
        <w:spacing w:lineRule="auto" w:line="288" w:before="260" w:after="283"/>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Credit Agreement may not exceed a "Borrowing Base,” as defined in the Amended Credit Agreement,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tbl>
      <w:tblPr>
        <w:tblW w:w="10539" w:type="dxa"/>
        <w:jc w:val="left"/>
        <w:tblInd w:w="0" w:type="dxa"/>
        <w:tblCellMar>
          <w:top w:w="28" w:type="dxa"/>
          <w:left w:w="28" w:type="dxa"/>
          <w:bottom w:w="28" w:type="dxa"/>
          <w:right w:w="28" w:type="dxa"/>
        </w:tblCellMar>
      </w:tblPr>
      <w:tblGrid>
        <w:gridCol w:w="185"/>
        <w:gridCol w:w="162"/>
        <w:gridCol w:w="164"/>
        <w:gridCol w:w="109"/>
        <w:gridCol w:w="109"/>
        <w:gridCol w:w="109"/>
        <w:gridCol w:w="2450"/>
        <w:gridCol w:w="2450"/>
        <w:gridCol w:w="2477"/>
        <w:gridCol w:w="109"/>
        <w:gridCol w:w="109"/>
        <w:gridCol w:w="109"/>
        <w:gridCol w:w="584"/>
        <w:gridCol w:w="584"/>
        <w:gridCol w:w="829"/>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Thresholds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 Margin</w:t>
            </w:r>
          </w:p>
        </w:tc>
      </w:tr>
      <w:tr>
        <w:trPr/>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35% of the Maximum Revolver Amount (each as defined in the Amended Credit Agreement)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35% of the Maximum Revolver Amount at all times during the period and less than 50%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50% of the Maximum Revolver Amount at all times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bl>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we are charged monthly in arrears for (1) an unused commitment fee of 0.25% per annum, (2) a collateral monitoring fee of $5 thousand per quarter, (3) a letter of credit fee based on the then-applicable interest rate margin (4) appraisal fees, costs and expenses and (5) certain other fees and charges as specified in the Amended Credit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2022, we were in compliance with the financial covenants under the Amended Credit Agreement, requiring that we maintain:</w:t>
      </w:r>
    </w:p>
    <w:p>
      <w:pPr>
        <w:pStyle w:val="TextBody"/>
        <w:spacing w:before="0" w:after="0"/>
        <w:jc w:val="both"/>
        <w:rPr/>
      </w:pPr>
      <w:r>
        <w:rPr/>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 xml:space="preserve">a Fixed Charge Coverage Ratio (as defined in the Amended Credit Agreement), measured quarterly on a trailing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four-quarter basis at the end of each quarter, of at least 1.1 to 1.0; and</w:t>
      </w:r>
    </w:p>
    <w:p>
      <w:pPr>
        <w:pStyle w:val="TextBody"/>
        <w:spacing w:before="0" w:after="0"/>
        <w:ind w:left="0" w:right="0" w:firstLine="72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 xml:space="preserve">minimum Liquidity of at least 10% of the Maximum Revolver Amount, or $15.0 million; with, for purposes of this covenant, at least 50% of our Liquidity comprised of Excess Availability (as defined in the Amended Credit Agreement).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2022, our Liquidity was $88.1 million, our Excess Availability was $63.3 million (or greater than 50% of minimum Liquidity), and our Fixed Charge Coverage Ratio was 1.6:1.0.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our lenders, the components of the Fixed Charge Coverage Ratio will be calculated for such fiscal period after giving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effect to the acquisition assuming that such transaction has occurred on the first day of such period (including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adjustments arising out of events which are directly attributable to such acquisition, are factually supportable, and are expected to have a continuing impact, in each case to be reasonably agreed to by our lenders).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2022, we had $4.1 million in outstanding letters of credit and $82.7 million of outstanding borrowings under our revolving credit facility.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invests in non-controlling positions in the debt or equity securities of other businesses. Our Board of Directors has approved an investment policy that permits the Company to invest our cash in liquid and marketable securities that include equities and fixed income securities, subject to size limits on investments individually and in the aggregate. Equity securities may include unrestricted, publicly traded stock that is listed on a major exchange or a national, over-the-counter market and that is appropriate for our portfolio objectives, and fixed income securities are required to have an investment grade credit quality at the time of purchase.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elevated commodity prices,and the steps taken to mitigate the impact of supply chain disruptions.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$16.3 million during the year ended September 30, 2022, as compared to $37.9 million of net cash provided in the year ended September 30, 2021. The decrease in operating cash flow resulted from lower earnings and an increase in working capital, particularly due to increased trade accounts receivable and inventory during the year ended September 30, 2022 in support of the growth of the business. We also remitted $7.0 million of payroll taxes previously deferred under the CARES 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$37.9 million during the year ended September 30, 2021, as compared to $76.7 million of net cash provided in the year ended September 30, 2020. The decrease in operating cash flow resulted from an increase in working capital, particularly related to inventory. As commodity prices increased, we also experienced longer lead times for deliveries, and reduced availability for certain products we procure, particularly copper wire. As a result, we increased the amount of inventory carried in an effort to ensure the availability of materials to serve our customers. This increase in working capital was partly offset by higher earnings during the year ended September 30, 2021.</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$29.5 million for the year ended September 30, 2022, compared to $99.6 million of net cash used in investing activities in the year ended September 30, 2021. We used $29.3 million for capital expenditures in the year ended September 30, 2022, primarily related to the acquisition of a new operating facility for our Wedlake business, as well as an additional facility to support the growth of our Residential business in Florida. Investing activities for the year ended September 30, 2021 include $7.4 million of capital expenditures and $92.5 million for the acquisition of businesses.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year ended September 30, 2021, net cash used in investing activities was $99.6 million, as compared to $33.6 million of net cash used in investing activities in the year ended September 30, 2020. Investing activities for the year ended September 30, 2021 include $7.4 million of capital expenditures and $92.5 million for the acquisition of businesses. Investing activities for the year ended September 30, 2020 include $4.7 million of capital expenditures and $29.0 million for the acquisition of businesses.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$15.0 million in the year ended September 30, 2022, compared to $31.2 million in the year ended September 30, 2021. Net cash provided by financing activities for the year ended September 30, 2022 included net borrowing on our credit facility of $42.3 million, partly offset by $18.6 million used for repurchase of our common stock, including repurchases to satisfy statutory withholding requirements upon the vesting of employee stock compensation. Additionally, we distributed $7.0 million to noncontrolling interests under operating agreements in connection with certain acquisitions.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$31.2 million in the year ended September 30, 2021, compared to $8.5 million used in the year ended September 30, 2020. For the year ended September 30, 2021, we borrowed a net $40.0 million on our revolving credit facility. In addition, we used $7.0 million to repurchase our shares under our stock repurchase program, as well as to satisfy statutory withholding requirements upon the vesting of employee stock compensation.</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stockholder, owning approximately 57 percent of the Company’s outstanding common stock based on the Form 4 filed by Tontine with the SEC on December 3, 2021 and the Company's shares outstanding as of December 2, 2022.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 party to a sublease agreement with Tontine Associates for corporate office space in Greenwich, Connecticut. The sublease extends through February 27, 2023, with monthly payments due in the amount of approximately $8 thousand. The lease has terms at market rates, and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L. Gendell was appointed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 AND CONTRACTUAL OBLIGATIONS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customers and vendors may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2022, $3.9 million of our outstanding letters of credit were to collateralize our insurance programs.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firm purchase commitments for materials such as copper wire and aluminum wire, which we expect to use in the ordinary course of business. These commitments are typically for terms of less than one year and require us to buy minimum quantities of materials at specified intervals at a fixed price over the term. As of September 30, 2022, we had commitments of $9.7 million outstanding under such agreements to purchase copper wire and other materials over the next 12 months in the ordinary course of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pStyle w:val="TextBody"/>
        <w:spacing w:before="0" w:after="0"/>
        <w:ind w:left="0" w:right="0" w:firstLine="72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credit losses, the recording of our insurance liabilities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enter into contracts principally on the basis of competitive bids. We frequently negotiate the final terms and prices of those contracts with the customer. Although the terms of our contracts vary considerably, approximately 90% of our revenues are based on either a fixed price or unit price basis in which we agree to do the work for a fixed amount for the entire project (fixed price) or for units of work performed (unit price). Approximately 10% of our revenues are earned from contracts where we are paid on a time and materials basis. Our most significant cost drivers are the cost of labor and materials.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49% of our total revenue for the year ended September 30, 2022.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generally do not incur significant costs related to obtaining contracts, or initial set-up or mobilization costs, prior to the start of a project. When significant pre</w:t>
        <w:noBreakHyphen/>
        <w:t>contract costs are incurred, they will be capitalized and amortized on a percentage of completion basis over the life of the contract.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In accounting for business combinations, certain assumptions and estimates are employed in determining the fair value of assets 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pStyle w:val="TextBody"/>
        <w:spacing w:lineRule="auto" w:line="288" w:before="180" w:after="283"/>
        <w:rPr/>
      </w:pPr>
      <w:r>
        <w:rPr>
          <w:rFonts w:ascii="Times New Roman;sans-serif" w:hAnsi="Times New Roman;sans-serif"/>
          <w:b w:val="false"/>
          <w:i/>
          <w:color w:val="000000"/>
          <w:sz w:val="20"/>
        </w:rPr>
        <w:t>Valuation Allowance for Deferred Tax Assets.</w:t>
      </w:r>
      <w:r>
        <w:rPr>
          <w:color w:val="000000"/>
        </w:rPr>
        <w:t> </w:t>
      </w:r>
      <w:r>
        <w:rPr>
          <w:rFonts w:ascii="Times New Roman;sans-serif" w:hAnsi="Times New Roman;sans-serif"/>
          <w:b w:val="false"/>
          <w:color w:val="000000"/>
          <w:sz w:val="20"/>
        </w:rPr>
        <w:t>We regularly evaluate valuation allowances established for deferred tax assets for which future realization is uncertain. We perform this evaluation quarterly. The estimation of required valuation allowances includes estimates of future taxable income. In assessing the realizability of deferred tax assets at September 30, 2022, we concluded, based upon the assessment of positive and negative evidence, that it is more likely than not that the Company will generate sufficient taxable income within the applicable NOL carryforward periods to realize its $20.5 million of deferred tax assets. We considered the scheduled reversal of deferred tax liabilities, projected future taxable income and tax planning strategies in making this assessment.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 inability to generate sufficient taxable income in future periods to realize our deferred tax assets may lead to a future need for a valuation allowance and a corresponding reduction in GAAP net income. In addition, any reduction in the federal statutory tax rate in the future could also cause a reduction in the economic benefit of the NOL available to us and a corresponding charge to reduce the book value of the deferred tax asset recorded on our Consolidated Balance Sheets.</w:t>
      </w:r>
    </w:p>
    <w:p>
      <w:pPr>
        <w:pStyle w:val="TextBody"/>
        <w:spacing w:lineRule="auto" w:line="288" w:before="180" w:after="283"/>
        <w:rPr/>
      </w:pP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GAAP specifies the methodology by which a company must identify, recognize, measure and disclose in its financial statements the effects of 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years ended September 30, 2019 and forward are subject to federal audit as are prior tax years, to the extent of unutilized net operating losses generated in those years.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approximately $0.2 million in liabilities for unrecognized tax benefits, including accrued interest, may be reversed in the next twelve months. This reversal is predominantly due to the expiration of the statutes of limitation for unrecognized tax benefits. </w:t>
      </w:r>
    </w:p>
    <w:p>
      <w:pPr>
        <w:pStyle w:val="TextBody"/>
        <w:spacing w:lineRule="auto" w:line="288" w:before="180" w:after="283"/>
        <w:rPr/>
      </w:pPr>
      <w:r>
        <w:rPr>
          <w:rFonts w:ascii="Times New Roman;sans-serif" w:hAnsi="Times New Roman;sans-serif"/>
          <w:b w:val="false"/>
          <w:i/>
          <w:color w:val="000000"/>
          <w:sz w:val="20"/>
        </w:rPr>
        <w:t>New Accounting Pronouncements.</w:t>
      </w:r>
      <w:r>
        <w:rPr>
          <w:color w:val="000000"/>
        </w:rPr>
        <w:t> </w:t>
      </w:r>
      <w:r>
        <w:rPr>
          <w:rFonts w:ascii="Times New Roman;sans-serif" w:hAnsi="Times New Roman;sans-serif"/>
          <w:b w:val="false"/>
          <w:color w:val="000000"/>
          <w:sz w:val="20"/>
        </w:rPr>
        <w:t xml:space="preserve">Recent accounting pronouncements are described in Note 2, “Summary of Significant Accounting Policies — </w:t>
      </w:r>
      <w:r>
        <w:rPr>
          <w:rFonts w:ascii="Times New Roman;sans-serif" w:hAnsi="Times New Roman;sans-serif"/>
          <w:b w:val="false"/>
          <w:i/>
          <w:color w:val="000000"/>
          <w:sz w:val="20"/>
        </w:rPr>
        <w:t>New Accounting Pronouncements</w:t>
      </w:r>
      <w:r>
        <w:rPr>
          <w:color w:val="000000"/>
        </w:rPr>
        <w:t xml:space="preserve">” </w:t>
      </w:r>
      <w:r>
        <w:rPr>
          <w:rFonts w:ascii="Times New Roman;sans-serif" w:hAnsi="Times New Roman;sans-serif"/>
          <w:b w:val="false"/>
          <w:color w:val="000000"/>
          <w:sz w:val="20"/>
        </w:rPr>
        <w:t xml:space="preserve">in the notes to our Consolidated Financial Statements and at relevant sections in this discussion and analysis.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our credit facility. For additional information see</w:t>
      </w:r>
      <w:r>
        <w:rPr>
          <w:color w:val="000000"/>
        </w:rPr>
        <w:t xml:space="preserv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this Annual Report on Form 10-K.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Risk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exposure to significant market risks includes fluctuations in commodity prices including, but not limited to, copper, aluminum, steel, electrical components, fuel, and certain plastics.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of $82.7 million as of September 30, 2022 would cause a $0.8 million pre-tax annual increase in interest expense.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Item 8. Financial Statements and Supplementary Data</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26" w:type="dxa"/>
        <w:jc w:val="center"/>
        <w:tblInd w:w="0" w:type="dxa"/>
        <w:tblCellMar>
          <w:top w:w="28" w:type="dxa"/>
          <w:left w:w="28" w:type="dxa"/>
          <w:bottom w:w="28" w:type="dxa"/>
          <w:right w:w="28" w:type="dxa"/>
        </w:tblCellMar>
      </w:tblPr>
      <w:tblGrid>
        <w:gridCol w:w="2264"/>
        <w:gridCol w:w="1990"/>
        <w:gridCol w:w="2001"/>
        <w:gridCol w:w="167"/>
        <w:gridCol w:w="167"/>
        <w:gridCol w:w="237"/>
      </w:tblGrid>
      <w:tr>
        <w:trPr/>
        <w:tc>
          <w:tcPr>
            <w:tcW w:w="2264"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73">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e855e79e505045f483a5c0f854efc869_73">
              <w:r>
                <w:rPr>
                  <w:rStyle w:val="InternetLink"/>
                  <w:rFonts w:ascii="Times New Roman;sans-serif" w:hAnsi="Times New Roman;sans-serif"/>
                  <w:b w:val="false"/>
                  <w:color w:val="0000FF"/>
                  <w:sz w:val="20"/>
                  <w:u w:val="single"/>
                </w:rPr>
                <w:t>40</w:t>
              </w:r>
            </w:hyperlink>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76">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855e79e505045f483a5c0f854efc869_76">
              <w:r>
                <w:rPr>
                  <w:rStyle w:val="InternetLink"/>
                  <w:rFonts w:ascii="Times New Roman;sans-serif" w:hAnsi="Times New Roman;sans-serif"/>
                  <w:b w:val="false"/>
                  <w:color w:val="0000FF"/>
                  <w:sz w:val="20"/>
                  <w:u w:val="single"/>
                </w:rPr>
                <w:t>42</w:t>
              </w:r>
            </w:hyperlink>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79">
              <w:r>
                <w:rPr>
                  <w:rStyle w:val="InternetLink"/>
                  <w:rFonts w:ascii="Times New Roman;sans-serif" w:hAnsi="Times New Roman;sans-serif"/>
                  <w:b w:val="false"/>
                  <w:color w:val="0000FF"/>
                  <w:sz w:val="20"/>
                  <w:u w:val="single"/>
                </w:rPr>
                <w:t>Consolidated Statements of Comprehensive Income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855e79e505045f483a5c0f854efc869_79">
              <w:r>
                <w:rPr>
                  <w:rStyle w:val="InternetLink"/>
                  <w:rFonts w:ascii="Times New Roman;sans-serif" w:hAnsi="Times New Roman;sans-serif"/>
                  <w:b w:val="false"/>
                  <w:color w:val="0000FF"/>
                  <w:sz w:val="20"/>
                  <w:u w:val="single"/>
                </w:rPr>
                <w:t>43</w:t>
              </w:r>
            </w:hyperlink>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82">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855e79e505045f483a5c0f854efc869_82">
              <w:r>
                <w:rPr>
                  <w:rStyle w:val="InternetLink"/>
                  <w:rFonts w:ascii="Times New Roman;sans-serif" w:hAnsi="Times New Roman;sans-serif"/>
                  <w:b w:val="false"/>
                  <w:color w:val="0000FF"/>
                  <w:sz w:val="20"/>
                  <w:u w:val="single"/>
                </w:rPr>
                <w:t>44</w:t>
              </w:r>
            </w:hyperlink>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85">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855e79e505045f483a5c0f854efc869_85">
              <w:r>
                <w:rPr>
                  <w:rStyle w:val="InternetLink"/>
                  <w:rFonts w:ascii="Times New Roman;sans-serif" w:hAnsi="Times New Roman;sans-serif"/>
                  <w:b w:val="false"/>
                  <w:color w:val="0000FF"/>
                  <w:sz w:val="20"/>
                  <w:u w:val="single"/>
                </w:rPr>
                <w:t>45</w:t>
              </w:r>
            </w:hyperlink>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855e79e505045f483a5c0f854efc869_8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855e79e505045f483a5c0f854efc869_88">
              <w:r>
                <w:rPr>
                  <w:rStyle w:val="InternetLink"/>
                  <w:rFonts w:ascii="Times New Roman;sans-serif" w:hAnsi="Times New Roman;sans-serif"/>
                  <w:b w:val="false"/>
                  <w:color w:val="0000FF"/>
                  <w:sz w:val="20"/>
                  <w:u w:val="single"/>
                </w:rPr>
                <w:t>46</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Report of Independent Registered Public Accounting Firm</w:t>
      </w:r>
    </w:p>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To the Stockholders and the Board of Directors of IES Holdings, Inc. and subsidiaries </w:t>
      </w:r>
    </w:p>
    <w:p>
      <w:pPr>
        <w:pStyle w:val="TextBody"/>
        <w:spacing w:before="0" w:after="0"/>
        <w:rPr/>
      </w:pPr>
      <w:r>
        <w:rPr/>
      </w:r>
    </w:p>
    <w:p>
      <w:pPr>
        <w:pStyle w:val="TextBody"/>
        <w:spacing w:lineRule="auto" w:line="288" w:before="0" w:after="0"/>
        <w:rPr>
          <w:rFonts w:ascii="Times New Roman;sans-serif" w:hAnsi="Times New Roman;sans-serif"/>
          <w:b/>
          <w:color w:val="000000"/>
          <w:sz w:val="19"/>
        </w:rPr>
      </w:pPr>
      <w:r>
        <w:rPr>
          <w:rFonts w:ascii="Times New Roman;sans-serif" w:hAnsi="Times New Roman;sans-serif"/>
          <w:b/>
          <w:color w:val="000000"/>
          <w:sz w:val="19"/>
        </w:rPr>
        <w:t>Opinion on the Financial Statements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9"/>
        </w:rPr>
        <w:t>We have audited the accompanying consolidated balance sheets of IES Holdings, Inc. and subsidiaries (the Company) as of September 30, 2022 and 2021, the related consolidated statements of comprehensive income (loss)</w:t>
      </w:r>
      <w:r>
        <w:rPr>
          <w:rFonts w:ascii="Times New Roman;sans-serif" w:hAnsi="Times New Roman;sans-serif"/>
          <w:b/>
          <w:color w:val="000000"/>
          <w:sz w:val="19"/>
        </w:rPr>
        <w:t>,</w:t>
      </w:r>
      <w:r>
        <w:rPr>
          <w:color w:val="000000"/>
        </w:rPr>
        <w:t xml:space="preserve"> </w:t>
      </w:r>
      <w:r>
        <w:rPr>
          <w:rFonts w:ascii="Times New Roman;sans-serif" w:hAnsi="Times New Roman;sans-serif"/>
          <w:b w:val="false"/>
          <w:color w:val="000000"/>
          <w:sz w:val="19"/>
        </w:rPr>
        <w:t>stockholders' equity and cash flows for each of the three years in the period ended September 30, 2022, and the related notes</w:t>
      </w:r>
      <w:r>
        <w:rPr>
          <w:color w:val="000000"/>
          <w:highlight w:val="white"/>
        </w:rPr>
        <w:t xml:space="preserve"> </w:t>
      </w:r>
      <w:r>
        <w:rPr>
          <w:rFonts w:ascii="Times New Roman;sans-serif" w:hAnsi="Times New Roman;sans-serif"/>
          <w:b w:val="false"/>
          <w:color w:val="000000"/>
          <w:sz w:val="19"/>
        </w:rPr>
        <w:t>(collectively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U.S. generally accepted accounting principles.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9"/>
        </w:rPr>
        <w:t>We also have audited, in accordance with the standards of the Public Company Accounting Oversight Board (United States) (PCAOB), the Company's internal control over financial reporting as of September 30, 2022, based on criteria established in Internal Control-Integrated Framework issued by the Committee of Sponsoring Organizations of the Treadway Commission (2013 framework)</w:t>
      </w:r>
      <w:r>
        <w:rPr>
          <w:color w:val="000000"/>
        </w:rPr>
        <w:t xml:space="preserve"> </w:t>
      </w:r>
      <w:r>
        <w:rPr>
          <w:rFonts w:ascii="Times New Roman;sans-serif" w:hAnsi="Times New Roman;sans-serif"/>
          <w:b w:val="false"/>
          <w:color w:val="000000"/>
          <w:sz w:val="19"/>
        </w:rPr>
        <w:t>and our report dated December 6, 2022 expressed an unqualified opinion thereon.</w:t>
      </w:r>
    </w:p>
    <w:p>
      <w:pPr>
        <w:pStyle w:val="TextBody"/>
        <w:spacing w:before="0" w:after="0"/>
        <w:rPr/>
      </w:pPr>
      <w:r>
        <w:rPr/>
      </w:r>
    </w:p>
    <w:p>
      <w:pPr>
        <w:pStyle w:val="TextBody"/>
        <w:spacing w:lineRule="auto" w:line="288" w:before="0" w:after="0"/>
        <w:rPr>
          <w:rFonts w:ascii="Times New Roman;sans-serif" w:hAnsi="Times New Roman;sans-serif"/>
          <w:b/>
          <w:color w:val="000000"/>
          <w:sz w:val="19"/>
        </w:rPr>
      </w:pPr>
      <w:r>
        <w:rPr>
          <w:rFonts w:ascii="Times New Roman;sans-serif" w:hAnsi="Times New Roman;sans-serif"/>
          <w:b/>
          <w:color w:val="000000"/>
          <w:sz w:val="19"/>
        </w:rPr>
        <w:t>Basis for Opinion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88" w:before="0" w:after="0"/>
        <w:rPr>
          <w:rFonts w:ascii="Times New Roman;sans-serif" w:hAnsi="Times New Roman;sans-serif"/>
          <w:b/>
          <w:color w:val="000000"/>
          <w:sz w:val="19"/>
        </w:rPr>
      </w:pPr>
      <w:r>
        <w:rPr>
          <w:rFonts w:ascii="Times New Roman;sans-serif" w:hAnsi="Times New Roman;sans-serif"/>
          <w:b/>
          <w:color w:val="000000"/>
          <w:sz w:val="19"/>
        </w:rPr>
        <w:t xml:space="preserve">Critical Audit Matter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9"/>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highlight w:val="white"/>
        </w:rPr>
        <w:t xml:space="preserve"> </w:t>
      </w:r>
      <w:r>
        <w:rPr>
          <w:rFonts w:ascii="Times New Roman;sans-serif" w:hAnsi="Times New Roman;sans-serif"/>
          <w:b w:val="false"/>
          <w:color w:val="000000"/>
          <w:sz w:val="19"/>
        </w:rPr>
        <w:t>financial statements, taken as a whole, and we are not, by communicating the critical audit matter below, providing a separate opinion on the critical audit matter or on the accounts or disclosures to which it relates.</w:t>
      </w:r>
    </w:p>
    <w:tbl>
      <w:tblPr>
        <w:tblW w:w="10539" w:type="dxa"/>
        <w:jc w:val="left"/>
        <w:tblInd w:w="0" w:type="dxa"/>
        <w:tblCellMar>
          <w:top w:w="28" w:type="dxa"/>
          <w:left w:w="28" w:type="dxa"/>
          <w:bottom w:w="28" w:type="dxa"/>
          <w:right w:w="28" w:type="dxa"/>
        </w:tblCellMar>
      </w:tblPr>
      <w:tblGrid>
        <w:gridCol w:w="526"/>
        <w:gridCol w:w="461"/>
        <w:gridCol w:w="464"/>
        <w:gridCol w:w="2856"/>
        <w:gridCol w:w="2575"/>
        <w:gridCol w:w="3657"/>
      </w:tblGrid>
      <w:tr>
        <w:trPr/>
        <w:tc>
          <w:tcPr>
            <w:tcW w:w="52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856"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3657" w:type="dxa"/>
            <w:tcBorders/>
            <w:shd w:fill="auto" w:val="clear"/>
            <w:vAlign w:val="center"/>
          </w:tcPr>
          <w:p>
            <w:pPr>
              <w:pStyle w:val="TableContents"/>
              <w:spacing w:before="0" w:after="283"/>
              <w:rPr>
                <w:sz w:val="4"/>
                <w:szCs w:val="4"/>
              </w:rPr>
            </w:pPr>
            <w:r>
              <w:rPr>
                <w:sz w:val="4"/>
                <w:szCs w:val="4"/>
              </w:rPr>
            </w:r>
          </w:p>
        </w:tc>
      </w:tr>
      <w:tr>
        <w:trPr/>
        <w:tc>
          <w:tcPr>
            <w:tcW w:w="1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Revenue recognition under certain fixed-price contracts</w:t>
            </w:r>
          </w:p>
        </w:tc>
      </w:tr>
      <w:tr>
        <w:trPr/>
        <w:tc>
          <w:tcPr>
            <w:tcW w:w="14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Description of the Matter </w:t>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As described in Notes 2 and 4 to the consolidated financial statements, the Company generally recognizes revenue for fixed price contracts over time using costs incurred as a percentage of the estimated total costs at completion to determine the extent of progress of performance obligations. Revenue recognition under this method is subject to judgment as the determination of progress towards completion requires management to prepare estimates of the total project costs to complete. </w:t>
            </w:r>
          </w:p>
        </w:tc>
      </w:tr>
      <w:tr>
        <w:trPr/>
        <w:tc>
          <w:tcPr>
            <w:tcW w:w="1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Auditing management’s estimate of the progress towards completion for certain projects which are larger in size and longer in duration was complex and subjective, requiring considerable judgment to evaluate management’s determination of the forecasted costs to complete, specifically as it relates to labor productivity. </w:t>
            </w:r>
          </w:p>
        </w:tc>
      </w:tr>
      <w:tr>
        <w:trPr/>
        <w:tc>
          <w:tcPr>
            <w:tcW w:w="14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How We Addressed the Matter in Our Audit</w:t>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obtained an understanding, evaluated the design and tested the operating effectiveness of controls over the Company's cost estimating process, including controls over management's review of cost estimates for significant inputs such as labor.</w:t>
            </w:r>
          </w:p>
        </w:tc>
      </w:tr>
      <w:tr>
        <w:trPr/>
        <w:tc>
          <w:tcPr>
            <w:tcW w:w="1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audit procedures included, among others, evaluating the appropriate application of the Company's revenue recognition method; testing significant assumptions used to develop the estimated costs to complete; and testing the completeness and accuracy of the underlying data. To assess the reasonableness of management's estimated costs, we performed audit procedures that included, among others, agreeing the estimates to supporting documentation; conducting interviews with project personnel or attending select project review meetings; and performing sensitivity analyses or retrospective review using historical actual costs and trends.</w:t>
            </w:r>
          </w:p>
        </w:tc>
      </w:tr>
    </w:tbl>
    <w:p>
      <w:pPr>
        <w:pStyle w:val="TextBody"/>
        <w:spacing w:before="0" w:after="0"/>
        <w:rPr/>
      </w:pPr>
      <w:r>
        <w:rPr/>
      </w:r>
    </w:p>
    <w:p>
      <w:pPr>
        <w:pStyle w:val="TextBody"/>
        <w:spacing w:lineRule="auto" w:line="288" w:before="0" w:after="0"/>
        <w:ind w:left="0" w:right="0" w:firstLine="5760"/>
        <w:rPr>
          <w:rFonts w:ascii="Times New Roman;sans-serif" w:hAnsi="Times New Roman;sans-serif"/>
          <w:b w:val="false"/>
          <w:color w:val="000000"/>
          <w:sz w:val="19"/>
        </w:rPr>
      </w:pPr>
      <w:r>
        <w:rPr>
          <w:rFonts w:ascii="Times New Roman;sans-serif" w:hAnsi="Times New Roman;sans-serif"/>
          <w:b w:val="false"/>
          <w:color w:val="000000"/>
          <w:sz w:val="19"/>
        </w:rPr>
        <w:t>/s/ Ernst &amp; Young LLP</w:t>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We have served as the Company’s auditor since 2002</w:t>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Houston, Texas</w:t>
      </w:r>
    </w:p>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December 6, 2022</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393"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IES Holdings, Inc. and subsidiaries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have audited IES Holdings, Inc.</w:t>
      </w:r>
      <w:r>
        <w:rPr>
          <w:color w:val="000000"/>
        </w:rPr>
        <w:t xml:space="preserve"> </w:t>
      </w:r>
      <w:r>
        <w:rPr>
          <w:rFonts w:ascii="Times New Roman;sans-serif" w:hAnsi="Times New Roman;sans-serif"/>
          <w:b w:val="false"/>
          <w:color w:val="000000"/>
          <w:sz w:val="20"/>
        </w:rPr>
        <w:t>and subsidiaries’ internal control over financial reporting as of September 30, 2022,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2022, based on the COSO criteria.</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September 30, 2022 and 2021, the related consolidated statements of comprehensive income (loss), stockholders’ equity and cash flows for each of the three years in the period ended September 30, 2022, and the related notes and our report dated December 6, 2022 expressed an unqualified opinion thereon.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393"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tbl>
      <w:tblPr>
        <w:tblW w:w="10539" w:type="dxa"/>
        <w:jc w:val="center"/>
        <w:tblInd w:w="0" w:type="dxa"/>
        <w:tblCellMar>
          <w:top w:w="28" w:type="dxa"/>
          <w:left w:w="28" w:type="dxa"/>
          <w:bottom w:w="28" w:type="dxa"/>
          <w:right w:w="28" w:type="dxa"/>
        </w:tblCellMar>
      </w:tblPr>
      <w:tblGrid>
        <w:gridCol w:w="124"/>
        <w:gridCol w:w="109"/>
        <w:gridCol w:w="109"/>
        <w:gridCol w:w="188"/>
        <w:gridCol w:w="188"/>
        <w:gridCol w:w="188"/>
        <w:gridCol w:w="681"/>
        <w:gridCol w:w="681"/>
        <w:gridCol w:w="681"/>
        <w:gridCol w:w="1608"/>
        <w:gridCol w:w="1583"/>
        <w:gridCol w:w="1619"/>
        <w:gridCol w:w="211"/>
        <w:gridCol w:w="826"/>
        <w:gridCol w:w="109"/>
        <w:gridCol w:w="109"/>
        <w:gridCol w:w="109"/>
        <w:gridCol w:w="109"/>
        <w:gridCol w:w="211"/>
        <w:gridCol w:w="826"/>
        <w:gridCol w:w="109"/>
        <w:gridCol w:w="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net of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10,000,000 shares authorized, none issued</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 shares authorized; 22,049,529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20,341,900 and 20,762,395 outstanding,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1,707,629 and 1,287,134 shares,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tbl>
      <w:tblPr>
        <w:tblW w:w="10539" w:type="dxa"/>
        <w:jc w:val="center"/>
        <w:tblInd w:w="0" w:type="dxa"/>
        <w:tblCellMar>
          <w:top w:w="28" w:type="dxa"/>
          <w:left w:w="28" w:type="dxa"/>
          <w:bottom w:w="28" w:type="dxa"/>
          <w:right w:w="28" w:type="dxa"/>
        </w:tblCellMar>
      </w:tblPr>
      <w:tblGrid>
        <w:gridCol w:w="689"/>
        <w:gridCol w:w="590"/>
        <w:gridCol w:w="590"/>
        <w:gridCol w:w="692"/>
        <w:gridCol w:w="682"/>
        <w:gridCol w:w="678"/>
        <w:gridCol w:w="676"/>
        <w:gridCol w:w="676"/>
        <w:gridCol w:w="676"/>
        <w:gridCol w:w="211"/>
        <w:gridCol w:w="976"/>
        <w:gridCol w:w="109"/>
        <w:gridCol w:w="109"/>
        <w:gridCol w:w="109"/>
        <w:gridCol w:w="109"/>
        <w:gridCol w:w="211"/>
        <w:gridCol w:w="976"/>
        <w:gridCol w:w="109"/>
        <w:gridCol w:w="109"/>
        <w:gridCol w:w="109"/>
        <w:gridCol w:w="109"/>
        <w:gridCol w:w="211"/>
        <w:gridCol w:w="976"/>
        <w:gridCol w:w="157"/>
      </w:tblGrid>
      <w:tr>
        <w:trPr/>
        <w:tc>
          <w:tcPr>
            <w:tcW w:w="68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IES Holdings,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tbl>
      <w:tblPr>
        <w:tblW w:w="10665" w:type="dxa"/>
        <w:jc w:val="center"/>
        <w:tblInd w:w="0" w:type="dxa"/>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96"/>
        <w:gridCol w:w="421"/>
        <w:gridCol w:w="109"/>
        <w:gridCol w:w="109"/>
        <w:gridCol w:w="109"/>
        <w:gridCol w:w="109"/>
        <w:gridCol w:w="442"/>
        <w:gridCol w:w="444"/>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(884,518)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(528,563)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2020</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(1,287,134)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140,660 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(170,524)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(1,316,998)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157,167 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(556,798)</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(1,707,629)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539" w:type="dxa"/>
        <w:jc w:val="center"/>
        <w:tblInd w:w="0" w:type="dxa"/>
        <w:tblCellMar>
          <w:top w:w="28" w:type="dxa"/>
          <w:left w:w="28" w:type="dxa"/>
          <w:bottom w:w="28" w:type="dxa"/>
          <w:right w:w="28" w:type="dxa"/>
        </w:tblCellMar>
      </w:tblPr>
      <w:tblGrid>
        <w:gridCol w:w="2319"/>
        <w:gridCol w:w="1976"/>
        <w:gridCol w:w="1986"/>
        <w:gridCol w:w="233"/>
        <w:gridCol w:w="806"/>
        <w:gridCol w:w="109"/>
        <w:gridCol w:w="109"/>
        <w:gridCol w:w="109"/>
        <w:gridCol w:w="109"/>
        <w:gridCol w:w="233"/>
        <w:gridCol w:w="806"/>
        <w:gridCol w:w="109"/>
        <w:gridCol w:w="109"/>
        <w:gridCol w:w="109"/>
        <w:gridCol w:w="109"/>
        <w:gridCol w:w="211"/>
        <w:gridCol w:w="721"/>
        <w:gridCol w:w="109"/>
        <w:gridCol w:w="109"/>
        <w:gridCol w:w="158"/>
      </w:tblGrid>
      <w:tr>
        <w:trPr/>
        <w:tc>
          <w:tcPr>
            <w:tcW w:w="2319"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 amortization</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conjunction with equity investments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conjunction with business combinations or dispositions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beginning of period</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end of period</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Thousands Except Share Amounts)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words “IES”, the “Company”, “we”, “our”, and “us” refer to IES Holdings, Inc. and, except as otherwise specified herein, to our consolidated subsidiaries.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IES Holdings, Inc. and its consolidated subsidiaries. All significant intercompany accounts and transactions have been eliminated in consolidation.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September 30, 2022 and 2021, the Company recorded no asset impairment charges. At September 30, 2020, we recorded an impairment charge of $6,976 to Goodwill related to our Commercial &amp; Industrial segment. Please refer to Note 17, “Goodwill and Intangible Assets” for further discussion.</w:t>
      </w:r>
    </w:p>
    <w:p>
      <w:pPr>
        <w:pStyle w:val="TextBody"/>
        <w:spacing w:before="0" w:after="0"/>
        <w:jc w:val="both"/>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work in process, finished goods, and parts and supplies held for use in the ordinary course of business. Inventory is valued at the lower of cost or net realizable value generally using the historical average cost or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definite lives are amortized over their estimated useful lives based on expected economic benefit with no residual value.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$199, $198 and $152, respectively, for the years ended 2022, 2021 and 2020. Remaining unamortized capitalized debt issuance costs were $1,031 and $656 at September 30, 2022, and 2021, respectively.</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project contracts over time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We do not recognize revenue or margin based on change orders or claims if it is probable such revenue will be reversed. The amount of revenue associated with unapproved change orders and claims was immaterial for the years ended September 30, 2022, 2021 and 2020. Provisions for total estimated losses on uncompleted contracts are made in the period in which such losses are determined. The balances billed but not paid by customers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retainage provisions in project contracts are typically due upon completion of the contracts and acceptance by the customer. Based on our experience, the retention balance at each balance sheet date will be collected within the subsequent fiscal year.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divisions in the Residential and Infrastructure Solutions segments recognize revenue as of a point-in-time at the completion of the contract ("completed contract") because the duration of their contracts is short in nature. We recognize revenue on completed contracts when the project is complete and billable to the customer. Provisions for estimated losses on these contracts are recorded in the period such losses are determined.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Allowance for Credit Losses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below under “Accounting Standards Recently Adopted”, we adopted the new accounting standard for measuring credit losses effective October 1, 2020. We record accounts receivable for all amounts billed and not collected and amounts for which we have an unconditional right to bill our customers. Additionally, we provide an allowance for credit losses based on historical company-specific uncollectable accounts, as well as current and expected market conditions. From time to time, we establish additional allowance for credit losses for financial asset balances with specific customers where collectability has been determined to be improbable based on specific facts and circumstances. Such allowances are established as deemed necessary in the period such determination is made. As is common in our industry, some of these receivables are in litigation or require us to exercise our contractual lien rights in order to collect. Our allowance for credit losses at September 30, 2022 and 2021 was $5,361 and $2,387,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Activity in our allowance for credit losses consists of the following:</w:t>
      </w:r>
    </w:p>
    <w:tbl>
      <w:tblPr>
        <w:tblW w:w="9043" w:type="dxa"/>
        <w:jc w:val="left"/>
        <w:tblInd w:w="0" w:type="dxa"/>
        <w:tblCellMar>
          <w:top w:w="28" w:type="dxa"/>
          <w:left w:w="28" w:type="dxa"/>
          <w:bottom w:w="28" w:type="dxa"/>
          <w:right w:w="28" w:type="dxa"/>
        </w:tblCellMar>
      </w:tblPr>
      <w:tblGrid>
        <w:gridCol w:w="2407"/>
        <w:gridCol w:w="2115"/>
        <w:gridCol w:w="2122"/>
        <w:gridCol w:w="215"/>
        <w:gridCol w:w="630"/>
        <w:gridCol w:w="111"/>
        <w:gridCol w:w="111"/>
        <w:gridCol w:w="111"/>
        <w:gridCol w:w="111"/>
        <w:gridCol w:w="215"/>
        <w:gridCol w:w="630"/>
        <w:gridCol w:w="111"/>
        <w:gridCol w:w="154"/>
      </w:tblGrid>
      <w:tr>
        <w:trPr/>
        <w:tc>
          <w:tcPr>
            <w:tcW w:w="2407"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2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costs and expenses, inclusive of ASU 2016-13 adoption adjustment</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for uncollectible receivables written off, net of recoveries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all changes in equity during a period except those resulting from investments by and distributions to stockholders.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valuation allowances established for deferred tax assets for which future realization is uncertain on a quarterly basis. In assessing the realizability of deferred tax assets, we must consider whether it is more likely than not some portion, or all, of the deferred tax assets will not be realized. We consider all available evidence, both positive and negative, in determining whether a valuation allowance is required. At September 30, 2022, we concluded, based upon the assessment of positive and negative evidence, that it is more likely than not that the Company will generate sufficient taxable income within the applicable net operating loss ("NOL") carryforward periods to realize net deferred tax assets of $20,519. We considered the scheduled reversal of deferred tax liabilities, projected future taxable income and tax planning strategies in making this assessment. If actual future taxable income is different from these estimates, our results could be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record reserves for income taxes related to certain tax positions when management considers it more likely than not that additional taxes may be due in excess of amounts reflected on income tax returns filed. When recording these reserves, we assume that taxing authorities have full knowledge of the position and all relevant facts. We continually review exposure to additional tax obligations, and as further information is known or events occur, changes in tax reserves may be recorded. To the extent interest and penalties may be assessed by taxing authorities on any underpayment of income tax, such amounts have been accrued and included in the provision for income taxes.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Each year, we compile our historical data pertaining to the insurance experiences and actuarially develop the ultimate loss associated with our insurance programs other than pollution coverage for our Infrastructure Solutions segment. We believe that the actuarial valuation provides the best estimate of the ultimate losses to be expected under these programs.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undiscounted ultimate losses of our workers’ compensation, auto and general liability insurance reserves at September 30, 2022 and 2021, were $5,026 and $3,266, respectively. Based on historical payment patterns, we expect payments of undiscounted ultimate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losses to be made as follows:</w:t>
      </w:r>
    </w:p>
    <w:tbl>
      <w:tblPr>
        <w:tblW w:w="3622" w:type="dxa"/>
        <w:jc w:val="center"/>
        <w:tblInd w:w="0" w:type="dxa"/>
        <w:tblCellMar>
          <w:top w:w="28" w:type="dxa"/>
          <w:left w:w="28" w:type="dxa"/>
          <w:bottom w:w="28" w:type="dxa"/>
          <w:right w:w="28" w:type="dxa"/>
        </w:tblCellMar>
      </w:tblPr>
      <w:tblGrid>
        <w:gridCol w:w="434"/>
        <w:gridCol w:w="383"/>
        <w:gridCol w:w="383"/>
        <w:gridCol w:w="383"/>
        <w:gridCol w:w="383"/>
        <w:gridCol w:w="386"/>
        <w:gridCol w:w="109"/>
        <w:gridCol w:w="109"/>
        <w:gridCol w:w="109"/>
        <w:gridCol w:w="109"/>
        <w:gridCol w:w="109"/>
        <w:gridCol w:w="109"/>
        <w:gridCol w:w="180"/>
        <w:gridCol w:w="180"/>
        <w:gridCol w:w="256"/>
      </w:tblGrid>
      <w:tr>
        <w:trPr/>
        <w:tc>
          <w:tcPr>
            <w:tcW w:w="43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3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September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r>
      <w:tr>
        <w:trPr/>
        <w:tc>
          <w:tcPr>
            <w:tcW w:w="235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elect to discount the ultimate losses above to present value using an approximate risk-free rate over the average life of our insurance claims. For the years ended September 30, 2022 and 2021, the discount rate used was 4.1 percent and 1.0 percent, respectively. The present value of all insurance reserves for the workers’ compensation, auto and general liability recorded at September 30, 2022 and 2021 was $5,042 and $3,234, respectively. Our undiscounted reserves for employee group health claims at September 30, 2022 and 2021 were $2,651 and $2,553, respectively, and are anticipated to be resolved within the year ending September 30,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had letters of credit totaling $3,878 outstanding at September 30, 2022 to collateralize certain of our high deductible insurance obligations.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Realization of Long-Lived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September 30, 2022 and 2021, no indicators of impairments were identified, and no impairment charges were recorded. At September 30, 2020, we performed an asset impairment test for all long-lived assets within our Commercial &amp; Industrial segment and determined no impairment charge was necessary. </w:t>
      </w:r>
    </w:p>
    <w:p>
      <w:pPr>
        <w:pStyle w:val="TextBody"/>
        <w:spacing w:before="0" w:after="12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Concentration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 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depository bank accounts or money market mutual funds. There can be no assurance, however, that we will not be adversely affected by credit risks we face. </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more than 10% of our consolidated revenues or accounts receivable for the years ended September 30, 2022, 2021 and 2020.</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accounts receivable, accounts payable, and a loan agreement. We believe that the carrying value of financial instruments approximates their fair value due to their short-term nature. The carrying value of our debt approximates fair value, as debt incurs interest at a variable rate.</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acquisitions of Edmonson Electric, LLC ("Edmonson") and Bayonet Plumbing, Heating &amp; Air-Conditioning, LLC ("Bayonet") in fiscal 2021, NEXT Electric, LLC ("NEXT") in fiscal 2017, and STR Mechanical, LLC ("STR") in fiscal 2016, we acquired an 80 percent interest in each of the entities, with the remaining 20 percent interest in each such entity being retained by the respective third party sellers. The interests retained by those third party sellers are identified on our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 During the year ended September 30, 2021, we acquired the noncontrolling interest in STR for $1,188. If all of the noncontrolling interests remaining outstanding at September 30, 2022 had been redeemable at that date, the redemption amount would have been $27,204. For the year ended September 30, 2022, we recorded a decrease to Retained Earnings of $4,699 to increase the carrying amount of noncontrolling interest in NEXT and Edmonson to their redemption amounts. For the year ended September 30, 2021, we recorded a decrease to Retained Earnings of $315 to increase the carrying amount of noncontrolling interest in NEXT and STR to their redemption amounts.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commencement of the lease, we recognize a lease liability and corresponding right-of-use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ROU assets are recognized on a straight-line basis over the term of the lease. Our lease assets are tested for impairment in the same manner as long-lived assets used in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Recently Adopted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Consolidated Financial Statements.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 decrease to Retained Earnings of $214.</w:t>
      </w:r>
    </w:p>
    <w:p>
      <w:pPr>
        <w:pStyle w:val="TextBody"/>
        <w:spacing w:before="0" w:after="0"/>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stockholder, owning approximately 57 percent of the Company’s outstanding common stock based on the Form 4 filed by Tontine with the SEC on December 3, 2021 and the Company's shares outstanding as of December 2, 2022.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Should Tontine, or its underlying individual owners,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2022, 2021, and 2020 revenue was derived from the following activities. See details in the following tables:</w:t>
      </w:r>
    </w:p>
    <w:tbl>
      <w:tblPr>
        <w:tblW w:w="7091" w:type="dxa"/>
        <w:jc w:val="center"/>
        <w:tblInd w:w="0" w:type="dxa"/>
        <w:tblCellMar>
          <w:top w:w="28" w:type="dxa"/>
          <w:left w:w="28" w:type="dxa"/>
          <w:bottom w:w="28" w:type="dxa"/>
          <w:right w:w="28" w:type="dxa"/>
        </w:tblCellMar>
      </w:tblPr>
      <w:tblGrid>
        <w:gridCol w:w="906"/>
        <w:gridCol w:w="797"/>
        <w:gridCol w:w="801"/>
        <w:gridCol w:w="211"/>
        <w:gridCol w:w="976"/>
        <w:gridCol w:w="109"/>
        <w:gridCol w:w="109"/>
        <w:gridCol w:w="109"/>
        <w:gridCol w:w="109"/>
        <w:gridCol w:w="211"/>
        <w:gridCol w:w="976"/>
        <w:gridCol w:w="109"/>
        <w:gridCol w:w="109"/>
        <w:gridCol w:w="109"/>
        <w:gridCol w:w="109"/>
        <w:gridCol w:w="211"/>
        <w:gridCol w:w="976"/>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Services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Power Solutions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Infrastructure Solutions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76"/>
        <w:gridCol w:w="1081"/>
        <w:gridCol w:w="144"/>
        <w:gridCol w:w="109"/>
        <w:gridCol w:w="109"/>
        <w:gridCol w:w="109"/>
        <w:gridCol w:w="211"/>
        <w:gridCol w:w="976"/>
        <w:gridCol w:w="109"/>
        <w:gridCol w:w="109"/>
        <w:gridCol w:w="109"/>
        <w:gridCol w:w="109"/>
        <w:gridCol w:w="286"/>
        <w:gridCol w:w="1123"/>
        <w:gridCol w:w="149"/>
        <w:gridCol w:w="109"/>
        <w:gridCol w:w="109"/>
        <w:gridCol w:w="109"/>
        <w:gridCol w:w="291"/>
        <w:gridCol w:w="1142"/>
        <w:gridCol w:w="150"/>
        <w:gridCol w:w="109"/>
        <w:gridCol w:w="109"/>
        <w:gridCol w:w="109"/>
        <w:gridCol w:w="211"/>
        <w:gridCol w:w="976"/>
        <w:gridCol w:w="158"/>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2022</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1,941,443 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192,264 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2021</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 amounts which we have billed or have an unconditional right to bill our customers. As of September 30, 2022, accounts receivable included $19,296 of unbilled receivables for which we have an unconditional right to bill.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Consolidated Balance Sheets under the caption “Billings in excess of costs and estimated earnings”.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2022 and 2021, we recognized revenue of $52,683 and $47,906 related to our contract liabilities at October 1, 2021 and 2020, respectively.</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did not have any impairment losses recognized on our receivables or contract assets for the years ended September 30, 2022, 2021, or 2020.</w:t>
      </w:r>
    </w:p>
    <w:p>
      <w:pPr>
        <w:pStyle w:val="TextBody"/>
        <w:spacing w:lineRule="auto" w:line="288" w:before="0" w:after="0"/>
        <w:rPr/>
      </w:pPr>
      <w:r>
        <w:rPr>
          <w:rFonts w:ascii="Times New Roman;sans-serif" w:hAnsi="Times New Roman;sans-serif"/>
          <w:b w:val="false"/>
          <w:i/>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2022, we had remaining performance obligations of $967,000. The Company expects to recognize revenue on approximately $776,897 of the remaining performance obligations over the next 12 months, with the remaining recognized thereafter.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2022, net revenue recognized from our performance obligations satisfied in previous periods was not material.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7925" w:type="dxa"/>
        <w:jc w:val="left"/>
        <w:tblInd w:w="0" w:type="dxa"/>
        <w:tblCellMar>
          <w:top w:w="28" w:type="dxa"/>
          <w:left w:w="28" w:type="dxa"/>
          <w:bottom w:w="28" w:type="dxa"/>
          <w:right w:w="28" w:type="dxa"/>
        </w:tblCellMar>
      </w:tblPr>
      <w:tblGrid>
        <w:gridCol w:w="972"/>
        <w:gridCol w:w="852"/>
        <w:gridCol w:w="860"/>
        <w:gridCol w:w="298"/>
        <w:gridCol w:w="298"/>
        <w:gridCol w:w="298"/>
        <w:gridCol w:w="298"/>
        <w:gridCol w:w="298"/>
        <w:gridCol w:w="298"/>
        <w:gridCol w:w="298"/>
        <w:gridCol w:w="298"/>
        <w:gridCol w:w="298"/>
        <w:gridCol w:w="211"/>
        <w:gridCol w:w="826"/>
        <w:gridCol w:w="109"/>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68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systems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Less-Accumulated depreciation</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$10,073, $8,090 and $6,084, respectively, for the years ended September 30, 2022, 2021 and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PER SHARE INFORMATION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components of the basic and diluted earnings per share for the years ended September 30, 2022, 2021 and 2020: </w:t>
      </w:r>
    </w:p>
    <w:tbl>
      <w:tblPr>
        <w:tblW w:w="10539" w:type="dxa"/>
        <w:jc w:val="left"/>
        <w:tblInd w:w="0" w:type="dxa"/>
        <w:tblCellMar>
          <w:top w:w="28" w:type="dxa"/>
          <w:left w:w="28" w:type="dxa"/>
          <w:bottom w:w="28" w:type="dxa"/>
          <w:right w:w="28" w:type="dxa"/>
        </w:tblCellMar>
      </w:tblPr>
      <w:tblGrid>
        <w:gridCol w:w="2282"/>
        <w:gridCol w:w="1984"/>
        <w:gridCol w:w="2003"/>
        <w:gridCol w:w="244"/>
        <w:gridCol w:w="837"/>
        <w:gridCol w:w="109"/>
        <w:gridCol w:w="109"/>
        <w:gridCol w:w="109"/>
        <w:gridCol w:w="109"/>
        <w:gridCol w:w="244"/>
        <w:gridCol w:w="837"/>
        <w:gridCol w:w="109"/>
        <w:gridCol w:w="109"/>
        <w:gridCol w:w="109"/>
        <w:gridCol w:w="109"/>
        <w:gridCol w:w="244"/>
        <w:gridCol w:w="837"/>
        <w:gridCol w:w="155"/>
      </w:tblGrid>
      <w:tr>
        <w:trPr/>
        <w:tc>
          <w:tcPr>
            <w:tcW w:w="2282"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noncontrolling interest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shareholders of IES Holdings, Inc.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 of IES Holdings,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shareholders of IES Holdings, Inc.:</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2022, 2021, and 2020, the average price of our common shares exceeded the exercise price of outstanding options; therefore, outstanding stock options were included in the computation of diluted earnings per share.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DETAIL OF CERTAIN BALANCE SHEET ACCOUNTS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consist of the following:</w:t>
      </w:r>
    </w:p>
    <w:tbl>
      <w:tblPr>
        <w:tblW w:w="5679" w:type="dxa"/>
        <w:jc w:val="left"/>
        <w:tblInd w:w="0" w:type="dxa"/>
        <w:tblCellMar>
          <w:top w:w="28" w:type="dxa"/>
          <w:left w:w="28" w:type="dxa"/>
          <w:bottom w:w="28" w:type="dxa"/>
          <w:right w:w="28" w:type="dxa"/>
        </w:tblCellMar>
      </w:tblPr>
      <w:tblGrid>
        <w:gridCol w:w="1092"/>
        <w:gridCol w:w="960"/>
        <w:gridCol w:w="963"/>
        <w:gridCol w:w="211"/>
        <w:gridCol w:w="826"/>
        <w:gridCol w:w="109"/>
        <w:gridCol w:w="109"/>
        <w:gridCol w:w="109"/>
        <w:gridCol w:w="109"/>
        <w:gridCol w:w="211"/>
        <w:gridCol w:w="826"/>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61,109</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w:t>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31,278</w:t>
            </w:r>
          </w:p>
        </w:tc>
      </w:tr>
      <w:tr>
        <w:trPr/>
        <w:tc>
          <w:tcPr>
            <w:tcW w:w="3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are comprised of the following:</w:t>
      </w:r>
    </w:p>
    <w:tbl>
      <w:tblPr>
        <w:tblW w:w="5198" w:type="dxa"/>
        <w:jc w:val="left"/>
        <w:tblInd w:w="0" w:type="dxa"/>
        <w:tblCellMar>
          <w:top w:w="28" w:type="dxa"/>
          <w:left w:w="28" w:type="dxa"/>
          <w:bottom w:w="28" w:type="dxa"/>
          <w:right w:w="28" w:type="dxa"/>
        </w:tblCellMar>
      </w:tblPr>
      <w:tblGrid>
        <w:gridCol w:w="1030"/>
        <w:gridCol w:w="906"/>
        <w:gridCol w:w="913"/>
        <w:gridCol w:w="211"/>
        <w:gridCol w:w="721"/>
        <w:gridCol w:w="109"/>
        <w:gridCol w:w="109"/>
        <w:gridCol w:w="109"/>
        <w:gridCol w:w="109"/>
        <w:gridCol w:w="211"/>
        <w:gridCol w:w="616"/>
        <w:gridCol w:w="154"/>
      </w:tblGrid>
      <w:tr>
        <w:trPr/>
        <w:tc>
          <w:tcPr>
            <w:tcW w:w="103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equity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Debt consists of the following:</w:t>
      </w:r>
    </w:p>
    <w:tbl>
      <w:tblPr>
        <w:tblW w:w="5214" w:type="dxa"/>
        <w:jc w:val="left"/>
        <w:tblInd w:w="0" w:type="dxa"/>
        <w:tblCellMar>
          <w:top w:w="28" w:type="dxa"/>
          <w:left w:w="28" w:type="dxa"/>
          <w:bottom w:w="28" w:type="dxa"/>
          <w:right w:w="28" w:type="dxa"/>
        </w:tblCellMar>
      </w:tblPr>
      <w:tblGrid>
        <w:gridCol w:w="1000"/>
        <w:gridCol w:w="877"/>
        <w:gridCol w:w="883"/>
        <w:gridCol w:w="211"/>
        <w:gridCol w:w="721"/>
        <w:gridCol w:w="109"/>
        <w:gridCol w:w="109"/>
        <w:gridCol w:w="109"/>
        <w:gridCol w:w="109"/>
        <w:gridCol w:w="211"/>
        <w:gridCol w:w="721"/>
        <w:gridCol w:w="154"/>
      </w:tblGrid>
      <w:tr>
        <w:trPr/>
        <w:tc>
          <w:tcPr>
            <w:tcW w:w="10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issuance costs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2022, we had $82,659 of outstanding borrowings, $4,077 in outstanding letters of credit and $63,263 of availability under our revolving credit facility. All amounts outstanding under our revolving credit facility are due and payable in September 2026, upon expiration of our revolving credit facility, and all amounts described as available are available without triggering our financial covenants under the Amended Credit Agreement (as defined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interest rate on outstanding borrowings under our revolving credit facility was 4.98% at September 30, 2022. For the years ended September 30, 2022, 2021 and 2020, we incurred interest expense of $2,970, $962 and $777, respectively.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28, 2022 we entered into the Third Amended and Restated Credit and Security Agreement (the "Amended Credit Agreement"), which, among other things, increased the maximum borrowing amount under our revolving credit facility from $125,000 to $150,000. The Amended Credit Agreement also removed the aggregate cap on Company investments in certain securities and the cap on the Company’s ability to make stock repurchases, in each case subject to the satisfaction of certain liquidity requirements. The Amended Credit Agreement, which matures on September 30, 2026, contains customary affirmative, negative and financial covenants. As of September 30, 2022, the Company was in compliance with the financial covenants under the Amended Credit Agreement, requiring that we maintain:</w:t>
      </w:r>
    </w:p>
    <w:p>
      <w:pPr>
        <w:pStyle w:val="TextBody"/>
        <w:spacing w:before="0" w:after="0"/>
        <w:jc w:val="both"/>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a Fixed Charge Coverage Ratio (as defined in the Amended Credit Agreement), measured quarterly on a trailing four-quarter basis at the end of each quarter, of at least 1.1 to 1.0; and</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minimum Liquidity of at least ten percent (10%) of the Maximum Revolver Amount, or $15,000; with, for purposes of this covenant, at least fifty percent (50%) of our Liquidity comprised of Excess Availability (as defined in the Amended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2022, our Liquidity was $88,112, our Excess Availability was $63,263 (or greater than 50% of minimum Liquidity), and our Fixed Charge Coverage Ratio was 1.6:1.0.</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the amount required by the Amended Credit Agreement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 were $17,319 and $13,973, respectively, as of September 30, 2022 and 2021, and current finance lease liabilities were $2,928 and $1,033, respectively, as of September 30, 2022 and 2021. Current operating and finance lease liabilities were included in "Accounts payable and accrued expenses" in the Consolidated Balance Sheets as of September 30, 2022 and 2021. Non-current finance lease liabilities and finance lease right-of-use assets were included in the "Other non-current liabilities" and "Other non-current assets", respectively, in the Consolidated Balance Sheets.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September 30, 2022, are as follows:</w:t>
      </w:r>
    </w:p>
    <w:tbl>
      <w:tblPr>
        <w:tblW w:w="7559" w:type="dxa"/>
        <w:jc w:val="left"/>
        <w:tblInd w:w="0" w:type="dxa"/>
        <w:tblCellMar>
          <w:top w:w="28" w:type="dxa"/>
          <w:left w:w="28" w:type="dxa"/>
          <w:bottom w:w="28" w:type="dxa"/>
          <w:right w:w="28" w:type="dxa"/>
        </w:tblCellMar>
      </w:tblPr>
      <w:tblGrid>
        <w:gridCol w:w="1079"/>
        <w:gridCol w:w="946"/>
        <w:gridCol w:w="960"/>
        <w:gridCol w:w="304"/>
        <w:gridCol w:w="1039"/>
        <w:gridCol w:w="157"/>
        <w:gridCol w:w="109"/>
        <w:gridCol w:w="109"/>
        <w:gridCol w:w="109"/>
        <w:gridCol w:w="270"/>
        <w:gridCol w:w="925"/>
        <w:gridCol w:w="139"/>
        <w:gridCol w:w="109"/>
        <w:gridCol w:w="109"/>
        <w:gridCol w:w="109"/>
        <w:gridCol w:w="211"/>
        <w:gridCol w:w="721"/>
        <w:gridCol w:w="154"/>
      </w:tblGrid>
      <w:tr>
        <w:trPr/>
        <w:tc>
          <w:tcPr>
            <w:tcW w:w="10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future undiscounted cash flows related to lease agreements committed to but not yet commenced as of September 30, 2022, is $4,693.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Lease cost recognized in our Consolidated Statements of Comprehensive Income is summarized as follows:</w:t>
      </w:r>
    </w:p>
    <w:tbl>
      <w:tblPr>
        <w:tblW w:w="4823" w:type="dxa"/>
        <w:jc w:val="left"/>
        <w:tblInd w:w="0" w:type="dxa"/>
        <w:tblCellMar>
          <w:top w:w="28" w:type="dxa"/>
          <w:left w:w="28" w:type="dxa"/>
          <w:bottom w:w="28" w:type="dxa"/>
          <w:right w:w="28" w:type="dxa"/>
        </w:tblCellMar>
      </w:tblPr>
      <w:tblGrid>
        <w:gridCol w:w="857"/>
        <w:gridCol w:w="753"/>
        <w:gridCol w:w="759"/>
        <w:gridCol w:w="211"/>
        <w:gridCol w:w="721"/>
        <w:gridCol w:w="109"/>
        <w:gridCol w:w="109"/>
        <w:gridCol w:w="109"/>
        <w:gridCol w:w="109"/>
        <w:gridCol w:w="211"/>
        <w:gridCol w:w="721"/>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about lease amounts recognized in our Consolidated Financial Statements is summarized as follows:</w:t>
      </w:r>
    </w:p>
    <w:tbl>
      <w:tblPr>
        <w:tblW w:w="8648" w:type="dxa"/>
        <w:jc w:val="center"/>
        <w:tblInd w:w="0" w:type="dxa"/>
        <w:tblCellMar>
          <w:top w:w="28" w:type="dxa"/>
          <w:left w:w="28" w:type="dxa"/>
          <w:bottom w:w="28" w:type="dxa"/>
          <w:right w:w="28" w:type="dxa"/>
        </w:tblCellMar>
      </w:tblPr>
      <w:tblGrid>
        <w:gridCol w:w="2242"/>
        <w:gridCol w:w="1969"/>
        <w:gridCol w:w="1983"/>
        <w:gridCol w:w="211"/>
        <w:gridCol w:w="721"/>
        <w:gridCol w:w="109"/>
        <w:gridCol w:w="109"/>
        <w:gridCol w:w="109"/>
        <w:gridCol w:w="109"/>
        <w:gridCol w:w="211"/>
        <w:gridCol w:w="721"/>
        <w:gridCol w:w="154"/>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170" w:type="dxa"/>
        <w:jc w:val="center"/>
        <w:tblInd w:w="0" w:type="dxa"/>
        <w:tblCellMar>
          <w:top w:w="28" w:type="dxa"/>
          <w:left w:w="28" w:type="dxa"/>
          <w:bottom w:w="28" w:type="dxa"/>
          <w:right w:w="28" w:type="dxa"/>
        </w:tblCellMar>
      </w:tblPr>
      <w:tblGrid>
        <w:gridCol w:w="1734"/>
        <w:gridCol w:w="1522"/>
        <w:gridCol w:w="1528"/>
        <w:gridCol w:w="232"/>
        <w:gridCol w:w="185"/>
        <w:gridCol w:w="460"/>
        <w:gridCol w:w="185"/>
        <w:gridCol w:w="185"/>
        <w:gridCol w:w="185"/>
        <w:gridCol w:w="232"/>
        <w:gridCol w:w="185"/>
        <w:gridCol w:w="537"/>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leases with certain related parties which are included above, see Note 13, “Related-Party Transactions.”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expense was $18,426, $14,980 and $14,073 for the years ended September 30, 2022, 2021 and 2020, respectively. </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Federal and state income tax provisions are as follows:</w:t>
      </w:r>
    </w:p>
    <w:tbl>
      <w:tblPr>
        <w:tblW w:w="6476" w:type="dxa"/>
        <w:jc w:val="left"/>
        <w:tblInd w:w="0" w:type="dxa"/>
        <w:tblCellMar>
          <w:top w:w="28" w:type="dxa"/>
          <w:left w:w="28" w:type="dxa"/>
          <w:bottom w:w="28" w:type="dxa"/>
          <w:right w:w="28" w:type="dxa"/>
        </w:tblCellMar>
      </w:tblPr>
      <w:tblGrid>
        <w:gridCol w:w="1032"/>
        <w:gridCol w:w="854"/>
        <w:gridCol w:w="873"/>
        <w:gridCol w:w="211"/>
        <w:gridCol w:w="721"/>
        <w:gridCol w:w="109"/>
        <w:gridCol w:w="109"/>
        <w:gridCol w:w="109"/>
        <w:gridCol w:w="109"/>
        <w:gridCol w:w="211"/>
        <w:gridCol w:w="721"/>
        <w:gridCol w:w="109"/>
        <w:gridCol w:w="109"/>
        <w:gridCol w:w="109"/>
        <w:gridCol w:w="109"/>
        <w:gridCol w:w="211"/>
        <w:gridCol w:w="616"/>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Actual income tax expense differs from income tax expense computed by applying the U.S. federal statutory corporate rate to income (loss) before income taxes as follows:</w:t>
      </w:r>
    </w:p>
    <w:tbl>
      <w:tblPr>
        <w:tblW w:w="7482" w:type="dxa"/>
        <w:jc w:val="left"/>
        <w:tblInd w:w="0" w:type="dxa"/>
        <w:tblCellMar>
          <w:top w:w="28" w:type="dxa"/>
          <w:left w:w="28" w:type="dxa"/>
          <w:bottom w:w="28" w:type="dxa"/>
          <w:right w:w="28" w:type="dxa"/>
        </w:tblCellMar>
      </w:tblPr>
      <w:tblGrid>
        <w:gridCol w:w="1324"/>
        <w:gridCol w:w="1166"/>
        <w:gridCol w:w="1170"/>
        <w:gridCol w:w="211"/>
        <w:gridCol w:w="721"/>
        <w:gridCol w:w="109"/>
        <w:gridCol w:w="109"/>
        <w:gridCol w:w="109"/>
        <w:gridCol w:w="109"/>
        <w:gridCol w:w="211"/>
        <w:gridCol w:w="721"/>
        <w:gridCol w:w="109"/>
        <w:gridCol w:w="109"/>
        <w:gridCol w:w="109"/>
        <w:gridCol w:w="109"/>
        <w:gridCol w:w="211"/>
        <w:gridCol w:w="721"/>
        <w:gridCol w:w="154"/>
      </w:tblGrid>
      <w:tr>
        <w:trPr/>
        <w:tc>
          <w:tcPr>
            <w:tcW w:w="132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at the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resulting from:</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deduction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resulting from:</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tax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 2 goodwill utilization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tbl>
      <w:tblPr>
        <w:tblW w:w="5483" w:type="dxa"/>
        <w:jc w:val="left"/>
        <w:tblInd w:w="0" w:type="dxa"/>
        <w:tblCellMar>
          <w:top w:w="28" w:type="dxa"/>
          <w:left w:w="28" w:type="dxa"/>
          <w:bottom w:w="28" w:type="dxa"/>
          <w:right w:w="28" w:type="dxa"/>
        </w:tblCellMar>
      </w:tblPr>
      <w:tblGrid>
        <w:gridCol w:w="1099"/>
        <w:gridCol w:w="963"/>
        <w:gridCol w:w="967"/>
        <w:gridCol w:w="211"/>
        <w:gridCol w:w="721"/>
        <w:gridCol w:w="109"/>
        <w:gridCol w:w="109"/>
        <w:gridCol w:w="109"/>
        <w:gridCol w:w="109"/>
        <w:gridCol w:w="211"/>
        <w:gridCol w:w="721"/>
        <w:gridCol w:w="154"/>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losses in affiliate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and 2021, the valuation allowance on our deferred tax assets increased by $283 and decreased by $118, respectively, which is included in “Provision (benefit) for income taxes” in our Consolidated Statements of Comprehensive Income.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2022, we had available approximately $61,034 of federal net tax operating loss carry forward for federal income tax purposes, including $55,124 from net operating losses on which no tax benefit has been recognized and has not been recorded as a deferred tax asset. This carry forward, which may provide future tax benefits, will begin to expire in 2031. As of September 30, 2022, we had available approximately $71,723 state net tax operating loss carry forwards, including $5,520 from net operating losses on which no tax benefit has been recognized and has not been recorded as a deferred tax asset. The significant majority of these carry forwards, which may provide future tax benefits, will not begin to expire until 2026. We have provided valuation allowances on all net operating losses where it is determined it is more likely than not that they will expire without being utilized.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at September 30, 2022,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$20,519 on our Consolidated Balance Sheets. We will continue to evaluate the appropriateness of our remaining deferred tax assets and need for valuation allowances on a quarterly basis.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unrecognized tax benefit is as follows:</w:t>
      </w:r>
    </w:p>
    <w:tbl>
      <w:tblPr>
        <w:tblW w:w="8588" w:type="dxa"/>
        <w:jc w:val="left"/>
        <w:tblInd w:w="0" w:type="dxa"/>
        <w:tblCellMar>
          <w:top w:w="28" w:type="dxa"/>
          <w:left w:w="28" w:type="dxa"/>
          <w:bottom w:w="28" w:type="dxa"/>
          <w:right w:w="28" w:type="dxa"/>
        </w:tblCellMar>
      </w:tblPr>
      <w:tblGrid>
        <w:gridCol w:w="2222"/>
        <w:gridCol w:w="1953"/>
        <w:gridCol w:w="1959"/>
        <w:gridCol w:w="211"/>
        <w:gridCol w:w="721"/>
        <w:gridCol w:w="109"/>
        <w:gridCol w:w="109"/>
        <w:gridCol w:w="109"/>
        <w:gridCol w:w="109"/>
        <w:gridCol w:w="211"/>
        <w:gridCol w:w="721"/>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 related to current year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positions of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resulting from the lapse of the applicable statutes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2022 and 2021, $21,746 and $21,879, respectively, of unrecognized tax benefits would result in a decrease in the provision for income tax expense. We anticipate that approximately $172 in liabilities for unrecognized tax benefits, including accrued interest, primarily from net operating losses on which no tax benefit has been recognized, may be reversed in the next twelve months. The reversal is predominantly due to the expiration of the statutes of limitation for unrecognized tax benefits.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$52 and $50 accrued for the payment of interest and penalties at September 30, 2022, and 2021, respectively. We recognize interest and penalties related to unrecognized tax benefits as part of the provision for income taxes.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years ended September 30, 2019, and forward are subject to federal audit as are tax years prior to September 30, 2019, to the extent of unutilized net operating losses generated in those years. The tax years ended September 30, 2018, and forward are subject to state audits as are tax years prior to September 30, 2018, to the extent of unutilized net operating losses generated in those years.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purposes of allocating resources and assessing performance. The Company’s CODM is its Chief Executive Officer.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among segments for selling, general and administrative expenses and depreciation expense.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years ended September 30, 2022, 2021 and 2020 is as follows:</w:t>
      </w:r>
    </w:p>
    <w:p>
      <w:pPr>
        <w:pStyle w:val="TextBody"/>
        <w:spacing w:before="0" w:after="0"/>
        <w:jc w:val="both"/>
        <w:rPr/>
      </w:pPr>
      <w:r>
        <w:rPr/>
      </w:r>
    </w:p>
    <w:tbl>
      <w:tblPr>
        <w:tblW w:w="10575" w:type="dxa"/>
        <w:jc w:val="left"/>
        <w:tblInd w:w="0" w:type="dxa"/>
        <w:tblCellMar>
          <w:top w:w="28" w:type="dxa"/>
          <w:left w:w="28" w:type="dxa"/>
          <w:bottom w:w="28" w:type="dxa"/>
          <w:right w:w="28" w:type="dxa"/>
        </w:tblCellMar>
      </w:tblPr>
      <w:tblGrid>
        <w:gridCol w:w="233"/>
        <w:gridCol w:w="205"/>
        <w:gridCol w:w="205"/>
        <w:gridCol w:w="415"/>
        <w:gridCol w:w="415"/>
        <w:gridCol w:w="176"/>
        <w:gridCol w:w="240"/>
        <w:gridCol w:w="941"/>
        <w:gridCol w:w="125"/>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976"/>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2022</w:t>
            </w:r>
          </w:p>
        </w:tc>
      </w:tr>
      <w:tr>
        <w:trPr/>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210,875 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9"/>
        <w:gridCol w:w="211"/>
        <w:gridCol w:w="211"/>
        <w:gridCol w:w="430"/>
        <w:gridCol w:w="430"/>
        <w:gridCol w:w="198"/>
        <w:gridCol w:w="240"/>
        <w:gridCol w:w="941"/>
        <w:gridCol w:w="125"/>
        <w:gridCol w:w="109"/>
        <w:gridCol w:w="109"/>
        <w:gridCol w:w="109"/>
        <w:gridCol w:w="211"/>
        <w:gridCol w:w="826"/>
        <w:gridCol w:w="109"/>
        <w:gridCol w:w="109"/>
        <w:gridCol w:w="109"/>
        <w:gridCol w:w="109"/>
        <w:gridCol w:w="214"/>
        <w:gridCol w:w="839"/>
        <w:gridCol w:w="110"/>
        <w:gridCol w:w="109"/>
        <w:gridCol w:w="109"/>
        <w:gridCol w:w="109"/>
        <w:gridCol w:w="214"/>
        <w:gridCol w:w="841"/>
        <w:gridCol w:w="110"/>
        <w:gridCol w:w="109"/>
        <w:gridCol w:w="109"/>
        <w:gridCol w:w="109"/>
        <w:gridCol w:w="211"/>
        <w:gridCol w:w="737"/>
        <w:gridCol w:w="109"/>
        <w:gridCol w:w="109"/>
        <w:gridCol w:w="109"/>
        <w:gridCol w:w="109"/>
        <w:gridCol w:w="211"/>
        <w:gridCol w:w="976"/>
        <w:gridCol w:w="161"/>
      </w:tblGrid>
      <w:tr>
        <w:trPr/>
        <w:tc>
          <w:tcPr>
            <w:tcW w:w="2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2021</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164,699 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4"/>
        <w:gridCol w:w="206"/>
        <w:gridCol w:w="206"/>
        <w:gridCol w:w="418"/>
        <w:gridCol w:w="418"/>
        <w:gridCol w:w="180"/>
        <w:gridCol w:w="240"/>
        <w:gridCol w:w="941"/>
        <w:gridCol w:w="125"/>
        <w:gridCol w:w="109"/>
        <w:gridCol w:w="109"/>
        <w:gridCol w:w="109"/>
        <w:gridCol w:w="211"/>
        <w:gridCol w:w="826"/>
        <w:gridCol w:w="109"/>
        <w:gridCol w:w="109"/>
        <w:gridCol w:w="109"/>
        <w:gridCol w:w="109"/>
        <w:gridCol w:w="211"/>
        <w:gridCol w:w="828"/>
        <w:gridCol w:w="109"/>
        <w:gridCol w:w="109"/>
        <w:gridCol w:w="109"/>
        <w:gridCol w:w="109"/>
        <w:gridCol w:w="211"/>
        <w:gridCol w:w="829"/>
        <w:gridCol w:w="109"/>
        <w:gridCol w:w="109"/>
        <w:gridCol w:w="109"/>
        <w:gridCol w:w="109"/>
        <w:gridCol w:w="211"/>
        <w:gridCol w:w="826"/>
        <w:gridCol w:w="109"/>
        <w:gridCol w:w="109"/>
        <w:gridCol w:w="109"/>
        <w:gridCol w:w="109"/>
        <w:gridCol w:w="211"/>
        <w:gridCol w:w="976"/>
        <w:gridCol w:w="160"/>
      </w:tblGrid>
      <w:tr>
        <w:trPr/>
        <w:tc>
          <w:tcPr>
            <w:tcW w:w="23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expense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713,058 shares were available for issuance at September 30, 2022.</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our Board authorized a stock repurchase program for the purchase from time to time of up to 1.5 million shares of the Company’s common stock, in 2019, our Board authorized the repurchase from time to time of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repurchased 511,600 shares of our common stock during the year ended September 30, 2022, in open market transactions at an average price of $32.02 per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repurchased 124,205 shares of our common stock during the year ended September 30, 2021, in open market transactions at an average price of $44.40 per share.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2022, our Board of Directors terminated our previous share repurchase program and authorized a new $40,000 share repurchase program.</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2022, we issued 157,167 shares of common stock from treasury and repurchased 45,198 shares of common stock from our employees to satisfy statutory tax withholding requirements upon the vesting of certain performance phantom stock units under the Equity Incentive Plan. We also repurchased 511,600 shares of common stock on the open market pursuant to our stock repurchase program. During the year ended September 30, 2022, we issued 9,000 unrestricted shares to satisfy the exercise of outstanding options.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2021, we issued 140,280 shares of common stock from treasury and repurchased 32,323 shares of common stock from our employees to satisfy statutory tax withholding requirements upon the vesting of certain performance phantom stock units under the Equity Incentive Plan. We also repurchased 124,205 shares of common stock on the open market pursuant to our stock repurchase program, and 13,996 shares were forfeited by former employees and returned to treasury stock. During the year ended September 30, 2021, we issued 380 unrestricted shares of common stock from treasury to members of our Board of Directors as part of their overall compensation.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September 30, 2022, 2021, and 2020, we recognized $137, $145, and $2,441, respectively, in compensation expense related to our restricted stock awards. During the year ended September 30, 2020, $1,100 of the compensation expense was settled with cash. At September 30, 2022, the unamortized compensation cost related to outstanding unvested restricted stock was $23.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awards for the years ended September 30, 2022, 2021, and 2020 is provided in the table below:</w:t>
      </w:r>
    </w:p>
    <w:p>
      <w:pPr>
        <w:pStyle w:val="TextBody"/>
        <w:spacing w:before="0" w:after="0"/>
        <w:rPr/>
      </w:pPr>
      <w:r>
        <w:rPr/>
      </w:r>
    </w:p>
    <w:tbl>
      <w:tblPr>
        <w:tblW w:w="6458" w:type="dxa"/>
        <w:jc w:val="left"/>
        <w:tblInd w:w="0" w:type="dxa"/>
        <w:tblCellMar>
          <w:top w:w="28" w:type="dxa"/>
          <w:left w:w="28" w:type="dxa"/>
          <w:bottom w:w="28" w:type="dxa"/>
          <w:right w:w="28" w:type="dxa"/>
        </w:tblCellMar>
      </w:tblPr>
      <w:tblGrid>
        <w:gridCol w:w="929"/>
        <w:gridCol w:w="817"/>
        <w:gridCol w:w="819"/>
        <w:gridCol w:w="360"/>
        <w:gridCol w:w="361"/>
        <w:gridCol w:w="176"/>
        <w:gridCol w:w="148"/>
        <w:gridCol w:w="148"/>
        <w:gridCol w:w="148"/>
        <w:gridCol w:w="396"/>
        <w:gridCol w:w="399"/>
        <w:gridCol w:w="176"/>
        <w:gridCol w:w="148"/>
        <w:gridCol w:w="148"/>
        <w:gridCol w:w="148"/>
        <w:gridCol w:w="449"/>
        <w:gridCol w:w="451"/>
        <w:gridCol w:w="237"/>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year</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69,338 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(208,597)</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year</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shares vesting during the years ended September 30, 2022, 2021, and 2020 was $150, $308 and $2,984, respectively. Fair value was calculated as the number of shares vested times the market price of shares on the date of vesting. The weighted average grant date fair value of unvested restricted stock at September 30, 2022 was $21.60.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restricted shares granted under the Equity Incentive Plan (vested or unvested) participate in dividends issued to common shareholders, if any.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Phantom Stock Units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 For the years ended September 30, 2022, 2021, and 2020, we recognized $386, $376, and $390, respectively, in compensation expense related to these grants.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Phantom Stock Units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2021, the Company had outstanding Employee PSUs, which, subject to the achievement of certain performance metrics, could have resulted in the issuance of 282,942 shares of common stock. During the year ended September 30, 2022, 10,464 Employee PSUs were forfeited and 106,964 vested, and the Company granted additional Employee PSUs, which, subject to the achievement of certain performance metrics, could result in the issuance of 150,447 shares of common stock. As of September 30, 2022, a maximum of 315,961 shares of common stock may be issued under outstanding Employee PSUs.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September 30, 2022, 2021, and 2020 we recognized compensation expense of $3,251, $2,986, and $1,443, respectively, related to Employee PSUs. The vesting of these awards is subject to either the achievement of specified levels of cumulative net income before taxes (a performance condition) or specified stock price levels (a market condition) and continued performance of services, or based on continued performance of services through the vesting date alone. For stock awards where vesting depends on achievement of a performance condition, we record expense when we conclude it is probable that the performance condition will be met. At September 30, 2022, it is deemed probable that the portion of the awards that vest based on performance conditions will vest.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Company is a party to a sublease agreement with Tontine Associates, for corporate office space in Greenwich, </w:t>
      </w:r>
      <w:r>
        <w:rPr>
          <w:rFonts w:ascii="Times New Roman;sans-serif" w:hAnsi="Times New Roman;sans-serif"/>
          <w:b w:val="false"/>
          <w:color w:val="000000"/>
          <w:sz w:val="20"/>
        </w:rPr>
        <w:t>Connecticut. The lease was renewed in November 2019, with monthly rent of approximately $8. Payments by the Company are at a rate consistent with that paid by Tontine Associates to its landlord. See Note 3, “Con</w:t>
      </w:r>
      <w:r>
        <w:rPr>
          <w:rFonts w:ascii="Times New Roman;sans-serif" w:hAnsi="Times New Roman;sans-serif"/>
          <w:b w:val="false"/>
          <w:color w:val="000000"/>
          <w:sz w:val="20"/>
          <w:highlight w:val="white"/>
        </w:rPr>
        <w:t>trolling Shareholder” for additional information regarding Tontine.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401(k)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$4,494, $3,386, and $2,326 in matching expenses in fiscal years 2022, 2021, and 2020,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Savings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2022, 2021, or 2020 was deferred under this plan.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Multiemployer Pension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Infrastructure Solutions segment participates in a multiemployer direct benefit pension plan for employees covered under one of our collective bargaining agreements. We do not administer the plan. We do not significantly participate in this plan. As of December 31, 2021, this plan was funded at 86.51%.</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FAIR VALUE MEASUREMENTS</w:t>
      </w:r>
    </w:p>
    <w:p>
      <w:pPr>
        <w:pStyle w:val="TextBody"/>
        <w:spacing w:before="0" w:after="0"/>
        <w:jc w:val="both"/>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2022, financial assets and liabilities measured at fair value on a recurring basis were limited to our Executive Savings Plan, under which certain employees are permitted to defer a portion of their base salary and/or bonus for a Plan Year (as defined in the plan), equity securities held for sale, and contingent consideration liabilities related to certain of our acquisitions.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basis as of September 30, 2022 and 2021, are summarized in the following tables by the type of inputs applicable to the fair value measurements:</w:t>
      </w:r>
    </w:p>
    <w:tbl>
      <w:tblPr>
        <w:tblW w:w="9997" w:type="dxa"/>
        <w:jc w:val="left"/>
        <w:tblInd w:w="0" w:type="dxa"/>
        <w:tblCellMar>
          <w:top w:w="28" w:type="dxa"/>
          <w:left w:w="28" w:type="dxa"/>
          <w:bottom w:w="28" w:type="dxa"/>
          <w:right w:w="28" w:type="dxa"/>
        </w:tblCellMar>
      </w:tblPr>
      <w:tblGrid>
        <w:gridCol w:w="1052"/>
        <w:gridCol w:w="926"/>
        <w:gridCol w:w="932"/>
        <w:gridCol w:w="382"/>
        <w:gridCol w:w="845"/>
        <w:gridCol w:w="197"/>
        <w:gridCol w:w="109"/>
        <w:gridCol w:w="109"/>
        <w:gridCol w:w="109"/>
        <w:gridCol w:w="539"/>
        <w:gridCol w:w="1192"/>
        <w:gridCol w:w="278"/>
        <w:gridCol w:w="109"/>
        <w:gridCol w:w="109"/>
        <w:gridCol w:w="109"/>
        <w:gridCol w:w="820"/>
        <w:gridCol w:w="1578"/>
        <w:gridCol w:w="602"/>
      </w:tblGrid>
      <w:tr>
        <w:trPr/>
        <w:tc>
          <w:tcPr>
            <w:tcW w:w="105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997" w:type="dxa"/>
        <w:jc w:val="center"/>
        <w:tblInd w:w="0" w:type="dxa"/>
        <w:tblCellMar>
          <w:top w:w="28" w:type="dxa"/>
          <w:left w:w="28" w:type="dxa"/>
          <w:bottom w:w="28" w:type="dxa"/>
          <w:right w:w="28" w:type="dxa"/>
        </w:tblCellMar>
      </w:tblPr>
      <w:tblGrid>
        <w:gridCol w:w="1052"/>
        <w:gridCol w:w="926"/>
        <w:gridCol w:w="932"/>
        <w:gridCol w:w="382"/>
        <w:gridCol w:w="845"/>
        <w:gridCol w:w="197"/>
        <w:gridCol w:w="109"/>
        <w:gridCol w:w="109"/>
        <w:gridCol w:w="109"/>
        <w:gridCol w:w="539"/>
        <w:gridCol w:w="1192"/>
        <w:gridCol w:w="278"/>
        <w:gridCol w:w="109"/>
        <w:gridCol w:w="109"/>
        <w:gridCol w:w="109"/>
        <w:gridCol w:w="820"/>
        <w:gridCol w:w="1578"/>
        <w:gridCol w:w="602"/>
      </w:tblGrid>
      <w:tr>
        <w:trPr/>
        <w:tc>
          <w:tcPr>
            <w:tcW w:w="105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0" w:type="dxa"/>
            <w:gridSpan w:val="3"/>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2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fiscal year 2021, we entered into a contingent consideration arrangement related to the acquisition of Bayonet. At September 30, 2022, we estimated the fair value of this contingent consideration liability at $4,323. The table below presents the fair value of this obligation, which used significant unobservable inputs (Level 3).</w:t>
      </w:r>
    </w:p>
    <w:tbl>
      <w:tblPr>
        <w:tblW w:w="6029" w:type="dxa"/>
        <w:jc w:val="center"/>
        <w:tblInd w:w="0" w:type="dxa"/>
        <w:tblCellMar>
          <w:top w:w="28" w:type="dxa"/>
          <w:left w:w="28" w:type="dxa"/>
          <w:bottom w:w="28" w:type="dxa"/>
          <w:right w:w="28" w:type="dxa"/>
        </w:tblCellMar>
      </w:tblPr>
      <w:tblGrid>
        <w:gridCol w:w="1020"/>
        <w:gridCol w:w="898"/>
        <w:gridCol w:w="901"/>
        <w:gridCol w:w="678"/>
        <w:gridCol w:w="2033"/>
        <w:gridCol w:w="499"/>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Agreement</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2020</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2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2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2021</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vAlign w:val="center"/>
          </w:tcPr>
          <w:p>
            <w:pPr>
              <w:pStyle w:val="TableContents"/>
              <w:spacing w:before="0" w:after="283"/>
              <w:rPr>
                <w:sz w:val="4"/>
                <w:szCs w:val="4"/>
              </w:rPr>
            </w:pPr>
            <w:r>
              <w:rPr>
                <w:sz w:val="4"/>
                <w:szCs w:val="4"/>
              </w:rPr>
            </w:r>
          </w:p>
        </w:tc>
        <w:tc>
          <w:tcPr>
            <w:tcW w:w="3210" w:type="dxa"/>
            <w:gridSpan w:val="3"/>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2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2022</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the inputs used to value the assets summarized in the preceding tables: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1</w:t>
      </w:r>
      <w:r>
        <w:rPr>
          <w:color w:val="000000"/>
        </w:rPr>
        <w:t xml:space="preserve"> — </w:t>
      </w:r>
      <w:r>
        <w:rPr>
          <w:rFonts w:ascii="Times New Roman;sans-serif" w:hAnsi="Times New Roman;sans-serif"/>
          <w:b w:val="false"/>
          <w:color w:val="000000"/>
          <w:sz w:val="20"/>
        </w:rPr>
        <w:t>Inputs represent unadjusted quoted prices for identical assets exchanged in active markets.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2</w:t>
      </w:r>
      <w:r>
        <w:rPr>
          <w:color w:val="000000"/>
        </w:rPr>
        <w:t xml:space="preserve"> — </w:t>
      </w:r>
      <w:r>
        <w:rPr>
          <w:rFonts w:ascii="Times New Roman;sans-serif" w:hAnsi="Times New Roman;sans-serif"/>
          <w:b w:val="false"/>
          <w:color w:val="000000"/>
          <w:sz w:val="20"/>
        </w:rPr>
        <w:t>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3</w:t>
      </w:r>
      <w:r>
        <w:rPr>
          <w:color w:val="000000"/>
        </w:rPr>
        <w:t xml:space="preserve"> — </w:t>
      </w:r>
      <w:r>
        <w:rPr>
          <w:rFonts w:ascii="Times New Roman;sans-serif" w:hAnsi="Times New Roman;sans-serif"/>
          <w:b w:val="false"/>
          <w:color w:val="000000"/>
          <w:sz w:val="20"/>
        </w:rPr>
        <w:t>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INVENTORY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w:t>
      </w:r>
    </w:p>
    <w:tbl>
      <w:tblPr>
        <w:tblW w:w="4029" w:type="dxa"/>
        <w:jc w:val="center"/>
        <w:tblInd w:w="0" w:type="dxa"/>
        <w:tblCellMar>
          <w:top w:w="28" w:type="dxa"/>
          <w:left w:w="28" w:type="dxa"/>
          <w:bottom w:w="28" w:type="dxa"/>
          <w:right w:w="28" w:type="dxa"/>
        </w:tblCellMar>
      </w:tblPr>
      <w:tblGrid>
        <w:gridCol w:w="570"/>
        <w:gridCol w:w="501"/>
        <w:gridCol w:w="504"/>
        <w:gridCol w:w="211"/>
        <w:gridCol w:w="721"/>
        <w:gridCol w:w="109"/>
        <w:gridCol w:w="109"/>
        <w:gridCol w:w="109"/>
        <w:gridCol w:w="109"/>
        <w:gridCol w:w="211"/>
        <w:gridCol w:w="721"/>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GOODWILL AND INTANGIBLE ASSETS</w:t>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changes in the carrying value of goodwill by segment for the years ended September 30, 2022 and 2021:</w:t>
      </w:r>
    </w:p>
    <w:tbl>
      <w:tblPr>
        <w:tblW w:w="10539" w:type="dxa"/>
        <w:jc w:val="left"/>
        <w:tblInd w:w="0" w:type="dxa"/>
        <w:tblCellMar>
          <w:top w:w="28" w:type="dxa"/>
          <w:left w:w="28" w:type="dxa"/>
          <w:bottom w:w="28" w:type="dxa"/>
          <w:right w:w="28" w:type="dxa"/>
        </w:tblCellMar>
      </w:tblPr>
      <w:tblGrid>
        <w:gridCol w:w="777"/>
        <w:gridCol w:w="682"/>
        <w:gridCol w:w="686"/>
        <w:gridCol w:w="338"/>
        <w:gridCol w:w="987"/>
        <w:gridCol w:w="176"/>
        <w:gridCol w:w="109"/>
        <w:gridCol w:w="109"/>
        <w:gridCol w:w="109"/>
        <w:gridCol w:w="211"/>
        <w:gridCol w:w="721"/>
        <w:gridCol w:w="109"/>
        <w:gridCol w:w="109"/>
        <w:gridCol w:w="109"/>
        <w:gridCol w:w="109"/>
        <w:gridCol w:w="345"/>
        <w:gridCol w:w="1185"/>
        <w:gridCol w:w="179"/>
        <w:gridCol w:w="109"/>
        <w:gridCol w:w="109"/>
        <w:gridCol w:w="109"/>
        <w:gridCol w:w="506"/>
        <w:gridCol w:w="975"/>
        <w:gridCol w:w="264"/>
        <w:gridCol w:w="109"/>
        <w:gridCol w:w="109"/>
        <w:gridCol w:w="109"/>
        <w:gridCol w:w="211"/>
        <w:gridCol w:w="721"/>
        <w:gridCol w:w="158"/>
      </w:tblGrid>
      <w:tr>
        <w:trPr/>
        <w:tc>
          <w:tcPr>
            <w:tcW w:w="7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2020</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19)</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the results of our annual goodwill impairment assessment at September 30, 2022, we concluded the fair value of each of our reporting units exceeded its book value, and therefore we recorded no impairment charges for the year ended September 30,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an accumulated impairment loss of $6,976 related to our Commercial &amp; Industrial segment.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539" w:type="dxa"/>
        <w:jc w:val="left"/>
        <w:tblInd w:w="0" w:type="dxa"/>
        <w:tblCellMar>
          <w:top w:w="28" w:type="dxa"/>
          <w:left w:w="28" w:type="dxa"/>
          <w:bottom w:w="28" w:type="dxa"/>
          <w:right w:w="28" w:type="dxa"/>
        </w:tblCellMar>
      </w:tblPr>
      <w:tblGrid>
        <w:gridCol w:w="982"/>
        <w:gridCol w:w="780"/>
        <w:gridCol w:w="771"/>
        <w:gridCol w:w="247"/>
        <w:gridCol w:w="247"/>
        <w:gridCol w:w="247"/>
        <w:gridCol w:w="247"/>
        <w:gridCol w:w="247"/>
        <w:gridCol w:w="247"/>
        <w:gridCol w:w="247"/>
        <w:gridCol w:w="247"/>
        <w:gridCol w:w="247"/>
        <w:gridCol w:w="109"/>
        <w:gridCol w:w="109"/>
        <w:gridCol w:w="109"/>
        <w:gridCol w:w="322"/>
        <w:gridCol w:w="1261"/>
        <w:gridCol w:w="166"/>
        <w:gridCol w:w="109"/>
        <w:gridCol w:w="109"/>
        <w:gridCol w:w="109"/>
        <w:gridCol w:w="389"/>
        <w:gridCol w:w="1363"/>
        <w:gridCol w:w="204"/>
        <w:gridCol w:w="109"/>
        <w:gridCol w:w="109"/>
        <w:gridCol w:w="109"/>
        <w:gridCol w:w="211"/>
        <w:gridCol w:w="721"/>
        <w:gridCol w:w="165"/>
      </w:tblGrid>
      <w:tr>
        <w:trPr/>
        <w:tc>
          <w:tcPr>
            <w:tcW w:w="98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(35,662)</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2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3"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(45,423)</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982"/>
        <w:gridCol w:w="780"/>
        <w:gridCol w:w="771"/>
        <w:gridCol w:w="247"/>
        <w:gridCol w:w="247"/>
        <w:gridCol w:w="247"/>
        <w:gridCol w:w="247"/>
        <w:gridCol w:w="247"/>
        <w:gridCol w:w="247"/>
        <w:gridCol w:w="247"/>
        <w:gridCol w:w="247"/>
        <w:gridCol w:w="247"/>
        <w:gridCol w:w="109"/>
        <w:gridCol w:w="109"/>
        <w:gridCol w:w="109"/>
        <w:gridCol w:w="322"/>
        <w:gridCol w:w="1261"/>
        <w:gridCol w:w="166"/>
        <w:gridCol w:w="109"/>
        <w:gridCol w:w="109"/>
        <w:gridCol w:w="109"/>
        <w:gridCol w:w="389"/>
        <w:gridCol w:w="1363"/>
        <w:gridCol w:w="204"/>
        <w:gridCol w:w="109"/>
        <w:gridCol w:w="109"/>
        <w:gridCol w:w="109"/>
        <w:gridCol w:w="211"/>
        <w:gridCol w:w="721"/>
        <w:gridCol w:w="165"/>
      </w:tblGrid>
      <w:tr>
        <w:trPr/>
        <w:tc>
          <w:tcPr>
            <w:tcW w:w="98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2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3"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(31,919)</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2022, 2021, and 2020, amortization expense of intangible assets was $13,666, $13,191 and $6,424, respectively. Our estimated future amortization expense for years ending September 30 is as follows:</w:t>
      </w:r>
    </w:p>
    <w:p>
      <w:pPr>
        <w:pStyle w:val="TextBody"/>
        <w:spacing w:before="0" w:after="0"/>
        <w:jc w:val="both"/>
        <w:rPr/>
      </w:pPr>
      <w:r>
        <w:rPr/>
      </w:r>
    </w:p>
    <w:tbl>
      <w:tblPr>
        <w:tblW w:w="2759" w:type="dxa"/>
        <w:jc w:val="center"/>
        <w:tblInd w:w="0" w:type="dxa"/>
        <w:tblCellMar>
          <w:top w:w="28" w:type="dxa"/>
          <w:left w:w="28" w:type="dxa"/>
          <w:bottom w:w="28" w:type="dxa"/>
          <w:right w:w="28" w:type="dxa"/>
        </w:tblCellMar>
      </w:tblPr>
      <w:tblGrid>
        <w:gridCol w:w="361"/>
        <w:gridCol w:w="318"/>
        <w:gridCol w:w="267"/>
        <w:gridCol w:w="352"/>
        <w:gridCol w:w="1204"/>
        <w:gridCol w:w="257"/>
      </w:tblGrid>
      <w:tr>
        <w:trPr/>
        <w:tc>
          <w:tcPr>
            <w:tcW w:w="36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75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Ending September 30,</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12,031 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71,936 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22, 2021, the United States Department of Labor Wage and Hour Division (the “DOL”) notified IES Residential, Inc. (“IESR”), a wholly-owned subsidiary of the Company, that the DOL had commenced an administrative investigation of IESR’s compliance with laws regulating employee wage payment. The inquiry concerned record keeping with respect to certain Arizona employees who are paid on a piece rate basis. We entered into a settlement with the DOL in November 2022 resolving this matter. Costs associated with this matter, which will not have a material impact on our results of operations, have been accrued as a liability as of September 30, 2022.</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r>
        <w:rPr>
          <w:color w:val="000000"/>
        </w:rPr>
        <w:t xml:space="preserve"> </w:t>
      </w:r>
      <w:r>
        <w:rPr>
          <w:rFonts w:ascii="Times New Roman;sans-serif" w:hAnsi="Times New Roman;sans-serif"/>
          <w:b w:val="false"/>
          <w:color w:val="000000"/>
          <w:sz w:val="20"/>
        </w:rPr>
        <w:t>At September 30, 2022, we had an aggregate $10,451 of trade accounts receivable where payment has been delayed as a result of contractual disputes. We believe that we are contractually entitled to all of these amounts, and intend to vigorously pursue recovery. However, based on uncertainty around the timing and amount of recovery, at September 30, 2022, we have recorded a reserve of $3,095 against these receivables.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2022 and 2021, we had $7,693 and $5,787, respectively, accrued for self-insurance liabilities. We are also subject to construction defect liabilities, primarily within our Residential segment. As of September 30, 2022 and 2021, we had $17 and $8,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2022 and 2021, $3,878 and $4,327, respectively, of our outstanding letters of credit was utilized to collateralize our insurance program.</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2022, the estimated cost to complete our bonded projects was approximately $107,556.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2022, we had commitments of $9,726 outstanding under agreements to purchase copper wire and other materials over the next 12 months in the ordinary course of business.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BUSINESS COMBINATIONS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completed no acquisitions in fiscal year 2022. We completed four acquisitions in fiscal year 2021 for total aggregate cash consideration of $92,463. In November 2020, we acquired both Wedlake Fabricating, Inc., a Tulsa, Oklahoma-based manufacturer of custom generator enclosures that are primarily used by data centers and large commercial and industrial facilities, and K.E.P. Electric, Inc., a Batavia, Ohio-based electrical contractor specializing in the design and installation of electrical systems for single-family housing and multi-family developments. In December 2020, we acquired an 80% interest in Bayonet Plumbing, Heating &amp; Air-Conditioning, LLC, a Hudson, Florida-based provider of residential heating, ventilation and air conditioning ("HVAC") and plumbing installation and maintenance services. In May 2021, we acquired an 80% ownership interest in Edmonson Electric, LLC, a Land O'Lakes, Florida-based provider of residential electric, low voltage, and HVAC installation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aggregate cash consideration for these acquisitions was $92,463, of which $10,916 was paid into escrow pending discharge of the acquired companies' indebtedness under the Paycheck Protection Program ("PPP") established by the Coronavirus Aid, Relief, and Economic Security Act and implemented by the U.S. Small Business Administration. Loans made under the PPP are eligible to be forgiven if certain criteria are met. During the year ended September 30, 2021, all PPP loans were forgiven and escrow payments were distributed to the respective sellers.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cash consideration, the purchase price included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 </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October 10, 2022, we sold 100% of the membership interests of STR Mechanical, LLC and its subsidiary Technical Services II, LLC (collectively, "STR"). As a result, we expect to record a pre-tax gain of approximately $13,000 in the first fiscal quarter of 2023. The disposition of STR, which had operated as part of our Commercial &amp; Industrial segment, will not have a material impact on our ongoing results of operations or financial position.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2022, our Board of Directors terminated our previous share repurchase program and authorized a new $40,000 share repurchase program.</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not been any changes in the Company’s internal control over financial reporting (as such term is defined in Rules 13a-15 and 15d-15 under the Exchange Act) during the fiscal quarter ended September 30, 2022 that have materially affected, or are reasonably likely to materially affect, the Company’s internal control over financial reporting.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2022,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2022.</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Ernst &amp; Young LLP (PCAOB No. 42), an independent registered public accounting firm that has audited the Company’s financial statements as of and for the three-year period ended September 30,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has issued a report on their audit of management’s internal control over financial reporting, which is included herein.</w:t>
      </w:r>
      <w:r>
        <w:rPr>
          <w:color w:val="000000"/>
        </w:rPr>
        <w:t xml:space="preserv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2023 Annual Meeting of Stockholders (the “Proxy Statement”) to be filed with the SEC no later than January 28, 2023.</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11 of Part III of this Annual Report on Form 10-K is incorporated by reference from the section entitled “Executive Compensation”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Stockholders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to be included in Item 12 of Part III of this Annual Report on Form 10-K is incorporated by reference from the section entitled “Security Ownership of Certain Beneficial Owners and Management” in the Proxy Statement.</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Securities Authorized for Issuance Under Equity Plans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provides information as of September 30, 2022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 set forth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Compensation Plan Information </w:t>
      </w:r>
    </w:p>
    <w:tbl>
      <w:tblPr>
        <w:tblW w:w="10539" w:type="dxa"/>
        <w:jc w:val="center"/>
        <w:tblInd w:w="0" w:type="dxa"/>
        <w:tblCellMar>
          <w:top w:w="28" w:type="dxa"/>
          <w:left w:w="28" w:type="dxa"/>
          <w:bottom w:w="28" w:type="dxa"/>
          <w:right w:w="28" w:type="dxa"/>
        </w:tblCellMar>
      </w:tblPr>
      <w:tblGrid>
        <w:gridCol w:w="696"/>
        <w:gridCol w:w="611"/>
        <w:gridCol w:w="605"/>
        <w:gridCol w:w="109"/>
        <w:gridCol w:w="109"/>
        <w:gridCol w:w="109"/>
        <w:gridCol w:w="834"/>
        <w:gridCol w:w="763"/>
        <w:gridCol w:w="765"/>
        <w:gridCol w:w="109"/>
        <w:gridCol w:w="109"/>
        <w:gridCol w:w="109"/>
        <w:gridCol w:w="529"/>
        <w:gridCol w:w="1281"/>
        <w:gridCol w:w="274"/>
        <w:gridCol w:w="109"/>
        <w:gridCol w:w="109"/>
        <w:gridCol w:w="109"/>
        <w:gridCol w:w="935"/>
        <w:gridCol w:w="935"/>
        <w:gridCol w:w="1330"/>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Number of Securities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 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Number of Securities Remaining Available for Future Issuance Under Equity Compensation Plans (Excluding Securities Reflected in Column (a))</w:t>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315,961 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 xml:space="preserve">713,058 </w:t>
            </w:r>
            <w:r>
              <w:rPr>
                <w:rFonts w:ascii="Times New Roman;sans-serif" w:hAnsi="Times New Roman;sans-serif"/>
                <w:b w:val="false"/>
                <w:color w:val="000000"/>
                <w:sz w:val="13"/>
              </w:rPr>
              <w:t>(1)</w:t>
            </w:r>
          </w:p>
        </w:tc>
      </w:tr>
      <w:tr>
        <w:trPr/>
        <w:tc>
          <w:tcPr>
            <w:tcW w:w="1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(1) 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315,961 shares that may be issued pursuant to outstanding performance based phantom stock units ("PPSUs") based on achievement of performance metrics, where applicable, and otherwise assuming the target award is met.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shares issuable upon exercise of outstanding options granted under the Company’s 2006 Equity Incentive Plan (as amended and restated as of October 2007), which was in place prior to the Amended Plan. This includes 7,000 options with a weighted-average term of 3.46 years.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13 of Part III of this Annual Report on Form 10-K is incorporated by reference from the section entitled “Certain Relationships and Related Person Transactions”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14 of Part III of this Form 10-K is incorporated by reference from the section entitled “Audit Fees” in the Proxy Statement.</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Financial Statement Schedules</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(a)    Financial Statements and Supplementary Data, Financial Statement Schedules and Exhibits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See Index to Financial Statements under Item 8. “</w:t>
      </w:r>
      <w:r>
        <w:rPr>
          <w:rFonts w:ascii="Times New Roman;sans-serif" w:hAnsi="Times New Roman;sans-serif"/>
          <w:b w:val="false"/>
          <w:i/>
          <w:color w:val="000000"/>
          <w:sz w:val="20"/>
        </w:rPr>
        <w:t xml:space="preserve">Financial Statements and Supplementary Data” </w:t>
      </w:r>
      <w:r>
        <w:rPr>
          <w:rFonts w:ascii="Times New Roman;sans-serif" w:hAnsi="Times New Roman;sans-serif"/>
          <w:b w:val="false"/>
          <w:color w:val="000000"/>
          <w:sz w:val="20"/>
        </w:rPr>
        <w:t>of this Form 10-K.</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539" w:type="dxa"/>
        <w:jc w:val="left"/>
        <w:tblInd w:w="0" w:type="dxa"/>
        <w:tblCellMar>
          <w:top w:w="28" w:type="dxa"/>
          <w:left w:w="28" w:type="dxa"/>
          <w:bottom w:w="28" w:type="dxa"/>
          <w:right w:w="28" w:type="dxa"/>
        </w:tblCellMar>
      </w:tblPr>
      <w:tblGrid>
        <w:gridCol w:w="252"/>
        <w:gridCol w:w="222"/>
        <w:gridCol w:w="223"/>
        <w:gridCol w:w="2889"/>
        <w:gridCol w:w="2863"/>
        <w:gridCol w:w="4090"/>
      </w:tblGrid>
      <w:tr>
        <w:trPr/>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4090" w:type="dxa"/>
            <w:tcBorders/>
            <w:shd w:fill="auto" w:val="clear"/>
            <w:vAlign w:val="center"/>
          </w:tcPr>
          <w:p>
            <w:pPr>
              <w:pStyle w:val="TableContents"/>
              <w:spacing w:before="0" w:after="283"/>
              <w:rPr>
                <w:sz w:val="4"/>
                <w:szCs w:val="4"/>
              </w:rPr>
            </w:pPr>
            <w:r>
              <w:rPr>
                <w:sz w:val="4"/>
                <w:szCs w:val="4"/>
              </w:rPr>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Exhibit</w:t>
            </w:r>
            <w:r>
              <w:rPr>
                <w:color w:val="000000"/>
              </w:rPr>
              <w:t xml:space="preserve"> </w:t>
            </w:r>
          </w:p>
          <w:p>
            <w:pPr>
              <w:pStyle w:val="TableContents"/>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No.</w:t>
            </w:r>
          </w:p>
        </w:tc>
        <w:tc>
          <w:tcPr>
            <w:tcW w:w="9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August 8,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Certificate of Designations of Series A Junior Participating Preferred Stock (Incorporated by reference to Exhibit 3.1 to the Company’s Current Report on Form 8-K filed January 28, 2013)</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Certificate of Elimination of Series A Junior Participating Preferred Stock of IES Holdings, Inc., as filed with the Secretary of State of the State of Delaware on May 24, 2021 (Incorporated by reference to Exhibit 3.1 to the Company's Current Report on Form 8-K filed on May 24, 2021)</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Amended and Restated Bylaws of IES Holdings, Inc., effective April 28, 2021 (Incorporated by reference to Exhibit 3.3 to the Company's Current Report on Form 8-K filed on April 30, 2021)</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Specimen common stock certificate. (Incorporated by reference to Exhibit 4.1 to the Company's Annual Report on Form 10-K filed December 9,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Registration Rights Agreement, dated May 12, 2006, by and among Integrated Electrical Services, Inc. (n/k/a IES Holdings, Inc.), Tontine Capital Partners, L.P. and certain of its affiliates and Southpoint Master Fund, L.P. (Incorporated by reference to Exhibit 10.5 to the Company’s Current Report on Form 8-K filed May 17, 2006)</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First Amendment to Registration Rights Agreement, dated September 11, 2007, by and among Integrated Electrical Services, Inc. (n/k/a IES Holdings, Inc.), Tontine Capital Partners, L.P. and certain of its affiliates (Incorporated by reference to Exhibit 10.24 to the Company’s Annual Report on Form 10-K filed December 14, 2012)</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Description of Registrant's Securities</w:t>
              </w:r>
            </w:hyperlink>
            <w:r>
              <w:rPr>
                <w:color w:val="000000"/>
              </w:rPr>
              <w:t xml:space="preserve"> </w:t>
            </w:r>
            <w:r>
              <w:rPr>
                <w:rFonts w:ascii="Times New Roman;sans-serif" w:hAnsi="Times New Roman;sans-serif"/>
                <w:b w:val="false"/>
                <w:color w:val="000000"/>
                <w:sz w:val="13"/>
              </w:rPr>
              <w:t>(1)</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Agreement of Indemnity, dated May 7, 2010, by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May 13, 2010)</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Amendment No. 1 to Agreement of Indemnity, dated August 16, 2012, between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August 17, 2012)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Agreement of Indemnity, September 9, 2016, by IES Holdings, Inc. and certain of its present and future subsidiaries and affiliates and Everest Reinsurance Company and Everest National Insurance Company, and their affiliated, associated and subsidiary companies, successors and assigns. (Incorporated by reference to Exhibit 10.1 to the Company’s Current Report on Form 8-K filed September 13,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General Agreement of Indemnity, July 14, 2017, by IES Holdings, Inc. and certain of its present and future subsidiaries and affiliates and Travelers Casualty and Surety Company of America, St. Paul Fire and Marine Insurance Company, and their affiliated, associated and subsidiary companies, successors and assigns. (Incorporated by reference to Exhibit 10.1 to the Company’s Current Report on Form 8-K filed July 14, 2017)</w:t>
              </w:r>
            </w:hyperlink>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45"/>
        <w:gridCol w:w="165"/>
        <w:gridCol w:w="161"/>
        <w:gridCol w:w="3179"/>
        <w:gridCol w:w="2811"/>
        <w:gridCol w:w="3978"/>
      </w:tblGrid>
      <w:tr>
        <w:trPr/>
        <w:tc>
          <w:tcPr>
            <w:tcW w:w="24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79"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3978" w:type="dxa"/>
            <w:tcBorders/>
            <w:shd w:fill="auto" w:val="clear"/>
            <w:vAlign w:val="center"/>
          </w:tcPr>
          <w:p>
            <w:pPr>
              <w:pStyle w:val="TableContents"/>
              <w:spacing w:before="0" w:after="283"/>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Agreement of Indemnity, dated August 17, 2020, by IES Holdings, Inc. and certain of its current and future subsidiaries and affiliates and United States Fire Insurance Company and its affiliated, associated and subsidiary companies, successors and assigns (Incorporated by reference to Exhibit 10.1 to the Company’s Current Report on Form 8-K filed August 20, 2020)</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FF"/>
                  <w:sz w:val="20"/>
                  <w:u w:val="single"/>
                </w:rPr>
                <w:t>Third Amended and Restated Credit and Security Agreement, dated April 28, 2022 by and among IES Holdings, Inc., each of the other Borrowers and Guarantors named therein and Wells Fargo Bank, National Association, as Administrative Agent. (Incorporated by reference to Exhibit 10.1 to the Company's Quarterly Report on Form 10-Q filed on April 29, 2022).</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amendmentno1tothirdarcredi.htm">
              <w:r>
                <w:rPr>
                  <w:rStyle w:val="InternetLink"/>
                  <w:rFonts w:ascii="Times New Roman;sans-serif" w:hAnsi="Times New Roman;sans-serif"/>
                  <w:b w:val="false"/>
                  <w:color w:val="0000FF"/>
                  <w:sz w:val="20"/>
                  <w:u w:val="single"/>
                </w:rPr>
                <w:t xml:space="preserve">Amendment No. 1 to Third Amended Restated Credit and Security Agreement, dated April 28, 2022 by and among IES Holdings, Inc., each of the other Borrowers and Guarantors named therein, Wells Fargo Bank, National Association, as Administrative Agent, and Fifth Third Bank, National Association </w:t>
              </w:r>
            </w:hyperlink>
            <w:r>
              <w:rPr>
                <w:rFonts w:ascii="Times New Roman;sans-serif" w:hAnsi="Times New Roman;sans-serif"/>
                <w:b w:val="false"/>
                <w:color w:val="000000"/>
                <w:sz w:val="13"/>
              </w:rPr>
              <w:t>(1)</w:t>
            </w:r>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Sublease Agreement between Tontine Associates, L.L.C. and IES Shared Services, Inc., dated March 29, 2012 (Incorporated by reference to Exhibit 10.1 to the Company’s Quarterly Report on Form 10-Q filed May 15, 2012)</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First Amendment between Tontine Associates, L.L.C., IES Shared Services, Inc. and IES Management ROO, LP, dated as of March 31, 2016, to Sublease Agreement between Tontine Associates, L.L.C., and IES Shared Services, Inc., dated March 29, 2012. (Incorporated by reference to Exhibit 10.5 to the Company’s Quarterly Report on Form 10-Q filed May 9, 2016)</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Second Amendment, dated as of May 1, 2019, to Sublease Agreement, dated as of March 29, 2012 and amended as of March 31, 2016, between Tontine Associates, L.L.C. and IES Management ROO, LP (Incorporated by reference to Exhibit 10.12 to the Company's Quarterly Report on Form 10-Q filed May 6, 2019)</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Third Amendment, dated as of November 5, 2019, to Sublease Agreement, dated as of March 29, 2012 and amended as of March 31, 2016 and May 1, 2019, between Tontine Associates, L.L.C. and IES Management ROO, LP (an exhibit to this agreement has been omitted pursuant to Item 601(a)(5) of Regulation S-K. A copy of the omitted exhibit will be furnished to the SEC upon request.) (Incorporated by reference to Exhibit 10.20 to the Company's Annual Report on Form 10-K filed December 6, 2019)</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Board Observer Letter Agreement between Tontine Associates, L.L.C. and IES Holdings, Inc., dated December 6, 2018 (Incorporated by reference to Exhibit 10.17 to the Company's Annual Report on Form 10-K filed December 7, 2018)</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10.13—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u w:val="single"/>
                </w:rPr>
                <w:t>Term Life Insurance Plan (Incorporated by reference to Exhibit 10.3 to the Company’s Current Report on Form 8-K filed October 17, 2007)</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Integrated Electrical Services, Inc. (n/k/a IES Holdings, Inc.) 2006 Equity Incentive Plan, as amended and restated through 2007 (Incorporated by reference to Exhibit 10.1 to the Company's Current Report on Form 8-K filed October 17, 2007)</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Form of Performance-Based Phantom Stock Unit Award Agreement under the Company’s 2006 Equity Incentive Plan, as amended and restated through 2007 (Incorporated by reference to Exhibit 10.1 to the Company's Quarterly Report on Form 10-Q filed February 8, 2016)</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u w:val="single"/>
                </w:rPr>
                <w:t>Integrated Electrical Services, Inc. (n/k/a IES Holdings, Inc.) Amended and Restated 2006 Equity Incentive Plan (as of February 9, 2016) (Incorporated by reference to Exhibit A to the Company’s Definitive Proxy Statement filed December 28, 2015)</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(Incorporated by reference to Exhibit 10.4 to the Company’s Quarterly Report on Form 10-Q filed May 9, 2016)</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Form of Stock Option Award Agreement under the Company’s Amended and Restated 2006 Equity Incentive Plan (as of February 9, 2016) (Incorporated by reference to Exhibit 10.3 to the Company’s Quarterly Report on Form 10-Q filed May 9, 2016)</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Form of Restricted Stock Award Agreement under the Company’s Amended and Restated 2006 Equity Incentive Plan (as of February 9, 2016) (Incorporated by reference to Exhibit 10.2 to the Company’s Quarterly Report on Form 10-Q filed May 9, 2016)</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u w:val="single"/>
                </w:rPr>
                <w:t>Performance-Based Phantom Stock Unit Award Agreement, dated as of June 6, 2016, by and between the Company and Mr. Santoni, under the Company’s Amended and Restated 2006 Equity Incentive Plan (as of February 9, 2016) (Incorporated by reference to Exhibit 10.1 to the Company’s Current Report on Form 8-K filed June 7, 2016)</w:t>
              </w:r>
            </w:hyperlink>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996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u w:val="single"/>
                </w:rPr>
                <w:t>Performance-Based Phantom Cash Unit Award Agreement, dated as of June 6, 2016, by and between the Company and Mr. Santoni, under the Company’s Amended and Restated 2006 Equity Incentive Plan (as of February 9, 2016) (Incorporated by reference to Exhibit 10.2 to the Company’s Current Report on Form 8-K filed June 7, 2016)</w:t>
              </w:r>
            </w:hyperlink>
          </w:p>
        </w:tc>
      </w:tr>
      <w:tr>
        <w:trPr/>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996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Amended and Restated 2009 Deferred Compensation Plan (Incorporated by reference to Exhibit 10.34 to the Company’s Annual Report on Form 10-K filed December 15, 2008)</w:t>
              </w:r>
            </w:hyperlink>
          </w:p>
        </w:tc>
      </w:tr>
    </w:tbl>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88"/>
        <w:gridCol w:w="216"/>
        <w:gridCol w:w="214"/>
        <w:gridCol w:w="2914"/>
        <w:gridCol w:w="2860"/>
        <w:gridCol w:w="4047"/>
      </w:tblGrid>
      <w:tr>
        <w:trPr/>
        <w:tc>
          <w:tcPr>
            <w:tcW w:w="28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4047" w:type="dxa"/>
            <w:tcBorders/>
            <w:shd w:fill="auto" w:val="clear"/>
            <w:vAlign w:val="center"/>
          </w:tcPr>
          <w:p>
            <w:pPr>
              <w:pStyle w:val="TableContents"/>
              <w:spacing w:before="0" w:after="283"/>
              <w:rPr>
                <w:sz w:val="4"/>
                <w:szCs w:val="4"/>
              </w:rPr>
            </w:pPr>
            <w:r>
              <w:rPr>
                <w:sz w:val="4"/>
                <w:szCs w:val="4"/>
              </w:rPr>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Integrated Electrical Services, Inc. (n/k/a IES Holdings, Inc.) Long Term Incentive Plan, as amended and restated. (Incorporated by reference to Exhibit 10.2 to the Company’s Current Report on Form 8-K filed September 23, 2009)</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IES Holdings, Inc. Executive Severance Benefit Plan, effective April 29, 2021 (Incorporated by reference to Exhibit 10.3 to the Company's Quarterly Report on Form 10-Q filed April 30, 2021)</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dated February 6, 2019 (Incorporated by reference to Exhibit 10.2 to the Company’s Quarterly Report on Form 10-Q filed May 6, 2019)</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IES Holdings, Inc. Short-Term Incentive Plan (Incorporated by reference to Exhibit 10.1 to the Company’s Current Report on Form 8-K filed March, 5, 2019)</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IES Holdings, Inc. Long-Term Incentive Plan Annual Grant Program (Incorporated by reference to Exhibit 10.2 to the Company’s Current Report on Form 8-K filed March, 5, 2019)</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Form of IES Holdings, Inc. Amended and Restated 2006 Equity Incentive Plan Restricted Stock Award Agreement (Incorporated by reference to Exhibit 10.2 to the Company’s Quarterly Report on Form 10-Q filed February 4, 2020)</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Form of IES Holdings, Inc. Amended and Restated 2006 Equity Incentive Plan Phantom Stock Unit Award Agreement (Incorporated by reference to Exhibit 10.3 to the Company’s Quarterly Report on Form 10-Q filed February 4, 2020)</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Form of Cumulative Income Restricted Stock Award Agreement under the Company’s 2006 Equity Incentive Plan (as of February 9, 2016), dated March 4, 2019 (Incorporated by reference to Exhibit 10.5 to the Company’s Quarterly Report on Form 10-Q filed May 6, 2019)</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Long-Term Incentive Plan Annual Grant Program (Incorporated by reference to Exhibit 10.1 to the Company's Current Report on Form 8-K filed December 6, 2019)</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Compensation Letter between IES Holdings, Inc. and Mr. Jeffrey L. Gendell as Chief Executive Officer (Incorporated by reference to Exhibit 10.1 to the Company's Current Report on Form 8-K filed October 5, 2020)</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u w:val="single"/>
                </w:rPr>
                <w:t>Phantom Stock Unit Award Agreement dated as of December 3, 2021, by and between the Company and Matthew Simmes (Incorporated by reference to Exhibit 10.2 to the Company’s Current Report on Form 8-K filed on December 3, 2021).</w:t>
              </w:r>
            </w:hyperlink>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Phantom Stock Unit Award Agreement dated as of December 1, 2021, by and between the Company and Jeffrey Gendell (Incorporated by reference to Exhibit 10.3 to the Company’s Current Report on Form 8-K filed on December 3, 2021).</w:t>
              </w:r>
            </w:hyperlink>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2ex211.htm">
              <w:r>
                <w:rPr>
                  <w:rStyle w:val="InternetLink"/>
                  <w:rFonts w:ascii="Times New Roman;sans-serif" w:hAnsi="Times New Roman;sans-serif"/>
                  <w:b w:val="false"/>
                  <w:color w:val="0000FF"/>
                  <w:sz w:val="20"/>
                  <w:u w:val="single"/>
                </w:rPr>
                <w:t>Subsidiaries of the Registrant</w:t>
              </w:r>
            </w:hyperlink>
            <w:r>
              <w:rPr>
                <w:color w:val="000000"/>
              </w:rPr>
              <w:t xml:space="preserve"> </w:t>
            </w:r>
            <w:r>
              <w:rPr>
                <w:rFonts w:ascii="Times New Roman;sans-serif" w:hAnsi="Times New Roman;sans-serif"/>
                <w:b w:val="false"/>
                <w:color w:val="000000"/>
                <w:sz w:val="13"/>
              </w:rPr>
              <w:t>(1)</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2ex231.htm">
              <w:r>
                <w:rPr>
                  <w:rStyle w:val="InternetLink"/>
                  <w:rFonts w:ascii="Times New Roman;sans-serif" w:hAnsi="Times New Roman;sans-serif"/>
                  <w:b w:val="false"/>
                  <w:color w:val="0000FF"/>
                  <w:sz w:val="20"/>
                  <w:u w:val="single"/>
                </w:rPr>
                <w:t>Consent of Ernst &amp; Young LLP</w:t>
              </w:r>
            </w:hyperlink>
            <w:r>
              <w:rPr>
                <w:color w:val="000000"/>
              </w:rPr>
              <w:t xml:space="preserve"> </w:t>
            </w:r>
            <w:r>
              <w:rPr>
                <w:rFonts w:ascii="Times New Roman;sans-serif" w:hAnsi="Times New Roman;sans-serif"/>
                <w:b w:val="false"/>
                <w:color w:val="000000"/>
                <w:sz w:val="13"/>
              </w:rPr>
              <w:t>(1)</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2ex311.htm">
              <w:r>
                <w:rPr>
                  <w:rStyle w:val="InternetLink"/>
                  <w:rFonts w:ascii="Times New Roman;sans-serif" w:hAnsi="Times New Roman;sans-serif"/>
                  <w:b w:val="false"/>
                  <w:color w:val="0000FF"/>
                  <w:sz w:val="20"/>
                  <w:u w:val="single"/>
                </w:rPr>
                <w:t>Rule 13a-14(a)/15d-14(a) Certification of Jeffrey L. Gendell, Chief Executive Officer</w:t>
              </w:r>
            </w:hyperlink>
            <w:r>
              <w:rPr>
                <w:color w:val="000000"/>
              </w:rPr>
              <w:t xml:space="preserve"> </w:t>
            </w:r>
            <w:r>
              <w:rPr>
                <w:rFonts w:ascii="Times New Roman;sans-serif" w:hAnsi="Times New Roman;sans-serif"/>
                <w:b w:val="false"/>
                <w:color w:val="000000"/>
                <w:sz w:val="13"/>
              </w:rPr>
              <w:t>(1)</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2ex312.htm">
              <w:r>
                <w:rPr>
                  <w:rStyle w:val="InternetLink"/>
                  <w:rFonts w:ascii="Times New Roman;sans-serif" w:hAnsi="Times New Roman;sans-serif"/>
                  <w:b w:val="false"/>
                  <w:color w:val="0000FF"/>
                  <w:sz w:val="20"/>
                  <w:u w:val="single"/>
                </w:rPr>
                <w:t>Rule 13a-14(a)/15d-14(a) Certification of Tracy A. McLauchlin, Chief Financial Officer</w:t>
              </w:r>
            </w:hyperlink>
            <w:r>
              <w:rPr>
                <w:color w:val="000000"/>
              </w:rPr>
              <w:t xml:space="preserve"> </w:t>
            </w:r>
            <w:r>
              <w:rPr>
                <w:rFonts w:ascii="Times New Roman;sans-serif" w:hAnsi="Times New Roman;sans-serif"/>
                <w:b w:val="false"/>
                <w:color w:val="000000"/>
                <w:sz w:val="13"/>
              </w:rPr>
              <w:t>(1)</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2ex321.htm">
              <w:r>
                <w:rPr>
                  <w:rStyle w:val="InternetLink"/>
                  <w:rFonts w:ascii="Times New Roman;sans-serif" w:hAnsi="Times New Roman;sans-serif"/>
                  <w:b w:val="false"/>
                  <w:color w:val="0000FF"/>
                  <w:sz w:val="20"/>
                  <w:u w:val="single"/>
                </w:rPr>
                <w:t>Section 1350 Certification of Jeffrey L. Gendell, Chief Executive Officer</w:t>
              </w:r>
            </w:hyperlink>
            <w:r>
              <w:rPr>
                <w:color w:val="000000"/>
              </w:rPr>
              <w:t xml:space="preserve"> </w:t>
            </w:r>
            <w:r>
              <w:rPr>
                <w:rFonts w:ascii="Times New Roman;sans-serif" w:hAnsi="Times New Roman;sans-serif"/>
                <w:b w:val="false"/>
                <w:color w:val="000000"/>
                <w:sz w:val="13"/>
              </w:rPr>
              <w:t>(2)</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2ex322.htm">
              <w:r>
                <w:rPr>
                  <w:rStyle w:val="InternetLink"/>
                  <w:rFonts w:ascii="Times New Roman;sans-serif" w:hAnsi="Times New Roman;sans-serif"/>
                  <w:b w:val="false"/>
                  <w:color w:val="0000FF"/>
                  <w:sz w:val="20"/>
                  <w:u w:val="single"/>
                </w:rPr>
                <w:t>Section 1350 Certification of Tracy A. McLauchlin, Chief Financial Officer</w:t>
              </w:r>
            </w:hyperlink>
            <w:r>
              <w:rPr>
                <w:color w:val="000000"/>
              </w:rPr>
              <w:t xml:space="preserve"> </w:t>
            </w:r>
            <w:r>
              <w:rPr>
                <w:rFonts w:ascii="Times New Roman;sans-serif" w:hAnsi="Times New Roman;sans-serif"/>
                <w:b w:val="false"/>
                <w:color w:val="000000"/>
                <w:sz w:val="13"/>
              </w:rPr>
              <w:t>(2)</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rPr>
              <w:t xml:space="preserve">(1) </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Schema Document </w:t>
            </w:r>
            <w:r>
              <w:rPr>
                <w:rFonts w:ascii="Times New Roman;sans-serif" w:hAnsi="Times New Roman;sans-serif"/>
                <w:b w:val="false"/>
                <w:color w:val="000000"/>
                <w:sz w:val="13"/>
              </w:rPr>
              <w:t>(1)</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Label Linkbase Document </w:t>
            </w:r>
            <w:r>
              <w:rPr>
                <w:rFonts w:ascii="Times New Roman;sans-serif" w:hAnsi="Times New Roman;sans-serif"/>
                <w:b w:val="false"/>
                <w:color w:val="000000"/>
                <w:sz w:val="13"/>
              </w:rPr>
              <w:t>(1)</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Presentation Linkbase Document </w:t>
            </w:r>
            <w:r>
              <w:rPr>
                <w:rFonts w:ascii="Times New Roman;sans-serif" w:hAnsi="Times New Roman;sans-serif"/>
                <w:b w:val="false"/>
                <w:color w:val="000000"/>
                <w:sz w:val="13"/>
              </w:rPr>
              <w:t>(1)</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Definition Linkbase Document </w:t>
            </w:r>
            <w:r>
              <w:rPr>
                <w:rFonts w:ascii="Times New Roman;sans-serif" w:hAnsi="Times New Roman;sans-serif"/>
                <w:b w:val="false"/>
                <w:color w:val="000000"/>
                <w:sz w:val="13"/>
              </w:rPr>
              <w:t>(1)</w:t>
            </w:r>
          </w:p>
        </w:tc>
      </w:tr>
      <w:tr>
        <w:trPr/>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82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Calculation Linkbase Document </w:t>
            </w:r>
            <w:r>
              <w:rPr>
                <w:rFonts w:ascii="Times New Roman;sans-serif" w:hAnsi="Times New Roman;sans-serif"/>
                <w:b w:val="false"/>
                <w:color w:val="000000"/>
                <w:sz w:val="13"/>
              </w:rPr>
              <w:t>(1)</w:t>
            </w:r>
          </w:p>
        </w:tc>
      </w:tr>
      <w:tr>
        <w:trPr/>
        <w:tc>
          <w:tcPr>
            <w:tcW w:w="7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9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or compensatory plans or arrangements required to be filed herewith pursuant to Item 15(a)(3) of this Annual Report on Form 10-K.</w:t>
            </w:r>
          </w:p>
        </w:tc>
      </w:tr>
      <w:tr>
        <w:trPr/>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spacing w:before="0" w:after="0"/>
        <w:ind w:left="0" w:right="0" w:firstLine="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December 6, 2022.</w:t>
      </w:r>
    </w:p>
    <w:p>
      <w:pPr>
        <w:pStyle w:val="TextBody"/>
        <w:spacing w:before="0" w:after="0"/>
        <w:rPr/>
      </w:pPr>
      <w:r>
        <w:rPr/>
      </w:r>
    </w:p>
    <w:p>
      <w:pPr>
        <w:pStyle w:val="TextBody"/>
        <w:spacing w:lineRule="auto" w:line="288" w:before="0" w:after="0"/>
        <w:ind w:left="0" w:right="0" w:firstLine="3240"/>
        <w:rPr>
          <w:rFonts w:ascii="Times New Roman;sans-serif" w:hAnsi="Times New Roman;sans-serif"/>
          <w:b/>
          <w:color w:val="000000"/>
          <w:sz w:val="20"/>
        </w:rPr>
      </w:pPr>
      <w:r>
        <w:rPr>
          <w:rFonts w:ascii="Times New Roman;sans-serif" w:hAnsi="Times New Roman;sans-serif"/>
          <w:b/>
          <w:color w:val="000000"/>
          <w:sz w:val="20"/>
        </w:rPr>
        <w:t>IES HOLDINGS, INC.</w:t>
      </w:r>
    </w:p>
    <w:tbl>
      <w:tblPr>
        <w:tblW w:w="5050" w:type="dxa"/>
        <w:jc w:val="left"/>
        <w:tblInd w:w="0" w:type="dxa"/>
        <w:tblCellMar>
          <w:top w:w="28" w:type="dxa"/>
          <w:left w:w="28" w:type="dxa"/>
          <w:bottom w:w="28" w:type="dxa"/>
          <w:right w:w="28" w:type="dxa"/>
        </w:tblCellMar>
      </w:tblPr>
      <w:tblGrid>
        <w:gridCol w:w="124"/>
        <w:gridCol w:w="109"/>
        <w:gridCol w:w="109"/>
        <w:gridCol w:w="134"/>
        <w:gridCol w:w="134"/>
        <w:gridCol w:w="136"/>
        <w:gridCol w:w="1259"/>
        <w:gridCol w:w="1259"/>
        <w:gridCol w:w="17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L. Gendell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r>
    </w:tbl>
    <w:p>
      <w:pPr>
        <w:pStyle w:val="TextBody"/>
        <w:spacing w:lineRule="auto" w:line="288" w:before="360" w:after="283"/>
        <w:ind w:left="0" w:right="0" w:firstLine="360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80" w:after="283"/>
        <w:jc w:val="both"/>
        <w:rPr/>
      </w:pPr>
      <w:r>
        <w:rPr>
          <w:rFonts w:ascii="Times New Roman;sans-serif" w:hAnsi="Times New Roman;sans-serif"/>
          <w:b w:val="false"/>
          <w:color w:val="000000"/>
          <w:sz w:val="20"/>
        </w:rPr>
        <w:t>KNOW ALL MEN BY THESE PRESENTS, that each of the undersigned officers and directors of IES HOLDINGS, INC. hereby constitutes and appoints Jeffrey L. Gendell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w:t>
      </w:r>
      <w:r>
        <w:rPr>
          <w:color w:val="000000"/>
        </w:rPr>
        <w:t xml:space="preserve"> </w:t>
      </w:r>
      <w:r>
        <w:rPr>
          <w:rFonts w:ascii="Times New Roman;sans-serif" w:hAnsi="Times New Roman;sans-serif"/>
          <w:b w:val="false"/>
          <w:color w:val="000000"/>
          <w:sz w:val="20"/>
        </w:rPr>
        <w:t>agents, or either of them, or their or his substitutes or substitute, may lawfully do or cause to be done by virtue hereof.</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lineRule="auto" w:line="288" w:before="0" w:after="0"/>
        <w:jc w:val="both"/>
        <w:rPr>
          <w:color w:val="000000"/>
        </w:rPr>
      </w:pPr>
      <w:r>
        <w:rPr>
          <w:color w:val="000000"/>
        </w:rPr>
        <w:t> </w:t>
      </w:r>
    </w:p>
    <w:tbl>
      <w:tblPr>
        <w:tblW w:w="8306" w:type="dxa"/>
        <w:jc w:val="left"/>
        <w:tblInd w:w="0" w:type="dxa"/>
        <w:tblCellMar>
          <w:top w:w="28" w:type="dxa"/>
          <w:left w:w="28" w:type="dxa"/>
          <w:bottom w:w="28" w:type="dxa"/>
          <w:right w:w="28" w:type="dxa"/>
        </w:tblCellMar>
      </w:tblPr>
      <w:tblGrid>
        <w:gridCol w:w="759"/>
        <w:gridCol w:w="668"/>
        <w:gridCol w:w="672"/>
        <w:gridCol w:w="109"/>
        <w:gridCol w:w="109"/>
        <w:gridCol w:w="109"/>
        <w:gridCol w:w="1414"/>
        <w:gridCol w:w="1414"/>
        <w:gridCol w:w="1432"/>
        <w:gridCol w:w="472"/>
        <w:gridCol w:w="472"/>
        <w:gridCol w:w="676"/>
      </w:tblGrid>
      <w:tr>
        <w:trPr/>
        <w:tc>
          <w:tcPr>
            <w:tcW w:w="75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br/>
              <w:t> and Treasurer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Alison M. Petersen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Alison M. Petersen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Elizabeth D. Leykum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D. Leykum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Jennifer A. Baldock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A. Baldock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46685"/>
                <wp:effectExtent l="0" t="0" r="0" b="0"/>
                <wp:wrapNone/>
                <wp:docPr id="78"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68" w:before="0" w:after="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10.7</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NO. 1 </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THIRD AMENDED AND RESTATED CREDIT AGREEMENT</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4"/>
        </w:rPr>
        <w:t>This AMENDMENT NO. 1 TO THIRD AMENDED AND RESTATED CREDIT AGREEMENT (this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xml:space="preserve">"), dated September 2, 2022, is made and entered into by and among </w:t>
      </w:r>
      <w:r>
        <w:rPr>
          <w:rFonts w:ascii="Times New Roman;sans-serif" w:hAnsi="Times New Roman;sans-serif"/>
          <w:b/>
          <w:color w:val="000000"/>
          <w:sz w:val="24"/>
        </w:rPr>
        <w:t>IES HOLDINGS, INC.</w:t>
      </w:r>
      <w:r>
        <w:rPr>
          <w:rFonts w:ascii="Times New Roman;sans-serif" w:hAnsi="Times New Roman;sans-serif"/>
          <w:b w:val="false"/>
          <w:color w:val="000000"/>
          <w:sz w:val="24"/>
        </w:rPr>
        <w:t>, a Delaware corporation, on behalf of itself and each other Borrower and Guarantor (the "</w:t>
      </w:r>
      <w:r>
        <w:rPr>
          <w:rFonts w:ascii="Times New Roman;sans-serif" w:hAnsi="Times New Roman;sans-serif"/>
          <w:b w:val="false"/>
          <w:color w:val="000000"/>
          <w:sz w:val="24"/>
          <w:u w:val="single"/>
        </w:rPr>
        <w:t>Administrative Borrower</w:t>
      </w:r>
      <w:r>
        <w:rPr>
          <w:rFonts w:ascii="Times New Roman;sans-serif" w:hAnsi="Times New Roman;sans-serif"/>
          <w:b w:val="false"/>
          <w:color w:val="000000"/>
          <w:sz w:val="24"/>
        </w:rPr>
        <w:t xml:space="preserve">"), the financial institutions party hereto as Lenders, and </w:t>
      </w:r>
      <w:r>
        <w:rPr>
          <w:rFonts w:ascii="Times New Roman;sans-serif" w:hAnsi="Times New Roman;sans-serif"/>
          <w:b/>
          <w:color w:val="000000"/>
          <w:sz w:val="24"/>
        </w:rPr>
        <w:t>WELLS FARGO BANK, NATIONAL ASSOCIATION</w:t>
      </w:r>
      <w:r>
        <w:rPr>
          <w:rFonts w:ascii="Times New Roman;sans-serif" w:hAnsi="Times New Roman;sans-serif"/>
          <w:b w:val="false"/>
          <w:color w:val="000000"/>
          <w:sz w:val="24"/>
        </w:rPr>
        <w:t>, a national banking association, as administrative agent for each member of the Lender Group and the Bank Product Providers (in such capacity, together with its successors and assigns in such capacity, "</w:t>
      </w:r>
      <w:r>
        <w:rPr>
          <w:rFonts w:ascii="Times New Roman;sans-serif" w:hAnsi="Times New Roman;sans-serif"/>
          <w:b w:val="false"/>
          <w:color w:val="000000"/>
          <w:sz w:val="24"/>
          <w:u w:val="single"/>
        </w:rPr>
        <w:t>Agent</w:t>
      </w:r>
      <w:r>
        <w:rPr>
          <w:rFonts w:ascii="Times New Roman;sans-serif" w:hAnsi="Times New Roman;sans-serif"/>
          <w:b w:val="false"/>
          <w:color w:val="000000"/>
          <w:sz w:val="24"/>
        </w:rPr>
        <w:t>").</w:t>
      </w:r>
    </w:p>
    <w:p>
      <w:pPr>
        <w:pStyle w:val="TextBody"/>
        <w:spacing w:before="0" w:after="0"/>
        <w:ind w:left="0" w:right="0" w:firstLine="72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before="0" w:after="0"/>
        <w:jc w:val="center"/>
        <w:rPr/>
      </w:pPr>
      <w:r>
        <w:rPr/>
      </w:r>
    </w:p>
    <w:p>
      <w:pPr>
        <w:pStyle w:val="TextBody"/>
        <w:spacing w:lineRule="auto" w:line="268" w:before="0" w:after="0"/>
        <w:jc w:val="both"/>
        <w:rPr/>
      </w:pPr>
      <w:r>
        <w:rPr>
          <w:rFonts w:ascii="Times New Roman;sans-serif" w:hAnsi="Times New Roman;sans-serif"/>
          <w:b w:val="false"/>
          <w:color w:val="000000"/>
          <w:sz w:val="24"/>
        </w:rPr>
        <w:t>A.WHEREAS, Borrowers, Guarantors, the Lenders party thereto from time to time, and Agent have entered into that certain Third Amended and Restated Credit Agreement dated as of April 28, 2022 (as amended, restated, supplemented or otherwise modified from time to time, the "</w:t>
      </w:r>
      <w:r>
        <w:rPr>
          <w:rFonts w:ascii="Times New Roman;sans-serif" w:hAnsi="Times New Roman;sans-serif"/>
          <w:b w:val="false"/>
          <w:color w:val="000000"/>
          <w:sz w:val="24"/>
          <w:u w:val="single"/>
        </w:rPr>
        <w:t>Credit Agreement</w:t>
      </w:r>
      <w:r>
        <w:rPr>
          <w:rFonts w:ascii="Times New Roman;sans-serif" w:hAnsi="Times New Roman;sans-serif"/>
          <w:b w:val="false"/>
          <w:color w:val="000000"/>
          <w:sz w:val="24"/>
        </w:rPr>
        <w:t>"). Capitalized terms used but not otherwise defined herein shall have the meanings ascribed to them in the Credit Agreement.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B.WHEREAS, Agent and Lenders have agreed to amend the Credit Agreement, in each case, on the terms and conditions set forth herein.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w:t>
      </w:r>
    </w:p>
    <w:p>
      <w:pPr>
        <w:pStyle w:val="TextBody"/>
        <w:spacing w:before="0" w:after="0"/>
        <w:jc w:val="center"/>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as of the Effective Date (as defined below), the Credit Agreement is hereby amended and supplemented as follows: </w:t>
      </w:r>
    </w:p>
    <w:p>
      <w:pPr>
        <w:pStyle w:val="TextBody"/>
        <w:spacing w:before="0" w:after="0"/>
        <w:ind w:left="0" w:right="0" w:firstLine="720"/>
        <w:rPr/>
      </w:pPr>
      <w:r>
        <w:rPr/>
      </w:r>
    </w:p>
    <w:p>
      <w:pPr>
        <w:pStyle w:val="TextBody"/>
        <w:spacing w:lineRule="auto" w:line="268" w:before="0" w:after="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Amendment to Cover Page</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reference to "Third Amended and Restated Credit and Security Agreement" set forth on the cover page to the Credit Agreement is hereby deleted and a reference to "Third Amended and Restated Credit Agreement" in inserted in lieu thereof.</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Amendments to Schedule 1.1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definitions of "Bonded Accounts", "Bonded Contract", "Fixed Asset Availability", "Net Liquidation Percentage", and "Raw Materials Trigger Date" are hereby amended by deleting each reference to "Lender" set forth therein and inserting "Agent" in lieu thereof.</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75260"/>
                <wp:effectExtent l="0" t="0" r="0" b="0"/>
                <wp:wrapNone/>
                <wp:docPr id="79" name="Frame7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definition of "Acquisition" is hereby amended by replacing each reference to "(or such lesser amount as Agent, after a request from a Loan Party, may approve, in writing, in its sole discretion)" set forth therein and inserting "(or such lesser amount as Required Lenders, after a request from a Loan Party, may approve, in writing, in their sole discretion)" in lieu thereof. </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definition of "Bank Product Provider" is hereby amended and restated in its entirety as set forth below:</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Bank Product Provider</w:t>
      </w:r>
      <w:r>
        <w:rPr>
          <w:rFonts w:ascii="Times New Roman;sans-serif" w:hAnsi="Times New Roman;sans-serif"/>
          <w:b w:val="false"/>
          <w:color w:val="000000"/>
          <w:sz w:val="24"/>
        </w:rPr>
        <w:t xml:space="preserve">" means any Lender or any of its Affiliates, including each of the foregoing in its capacity, if applicable, as a Hedge Provider;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such Person (other than Wells Fargo or its Affiliates) shall constitute a Bank Product Provider with respect to a Bank Product unless and until Agent receives a Bank Product Provider Agreement from such Person (a) on or prior to the Closing Date (or such later date as Agent shall agree to in writing in its sole discretion) with respect to Bank Products provided on or prior to the Closing Date, or (b) on or prior to the date that is 10 days after the provision of such Bank Product to a Loan Party or its Subsidiaries (or such later date as Agent shall agree to in writing in its sole discretion) with respect to Bank Products provided after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at any time, a Lender ceases to be a Lender under this Agreement (prior to the payment in full of the Obligations), then, from and after the date on which it so ceases to be a Lender hereunder, neither it nor any of its Affiliates shall constitute Bank Product Providers and the obligations with respect to Bank Products provided by such former Lender or any of its Affiliates shall no longer constitute Bank Product Obligations</w:t>
      </w:r>
    </w:p>
    <w:p>
      <w:pPr>
        <w:pStyle w:val="TextBody"/>
        <w:spacing w:before="0" w:after="0"/>
        <w:ind w:left="0" w:right="0" w:firstLine="720"/>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definition of "Change of Control" is hereby amended by deleting each reference to "Acquisition consented to by Lender" set forth therein and inserting "Acquisition consented to by Required Lenders". </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The definition of "Fixed Asset Availability" is hereby amended by deleting the reference to "June 30, 2022" set forth therein and inserting "September 28, 2022" in lieu thereof.</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definition of "Hedge Provider" is hereby amended and restated in its entirety as set forth below:</w:t>
      </w:r>
    </w:p>
    <w:p>
      <w:pPr>
        <w:pStyle w:val="TextBody"/>
        <w:spacing w:before="0" w:after="0"/>
        <w:ind w:left="0" w:right="0" w:firstLine="1440"/>
        <w:jc w:val="both"/>
        <w:rPr/>
      </w:pPr>
      <w:r>
        <w:rPr/>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Hedge Provider</w:t>
      </w:r>
      <w:r>
        <w:rPr>
          <w:rFonts w:ascii="Times New Roman;sans-serif" w:hAnsi="Times New Roman;sans-serif"/>
          <w:b w:val="false"/>
          <w:color w:val="000000"/>
          <w:sz w:val="24"/>
        </w:rPr>
        <w:t>" means any Bank Product Provider that is a party to a Hedge Agreement with a Loan Party or its Subsidiaries or otherwise provides Bank Products under clause (f) of the definition thereof; provided,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pStyle w:val="TextBody"/>
        <w:spacing w:before="0" w:after="0"/>
        <w:ind w:left="0" w:right="0" w:firstLine="720"/>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Clause (f) of the definition of "Permitted Indebtedness" is hereby amended by deleting the reference to "Lender" set forth therein and inserting "Agent" in lieu thereof. </w:t>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80" name="Frame7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Clause (r) of the definition of "Permitted Liens" is hereby amended by deleting the reference to "junior to the Liens upon the Collateral in favor of Lender" set forth therein and inserting "junior to the Liens upon the Collateral in favor of Agent, on behalf of itself and the other Lenders" in lieu thereof.</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Clause (p) of the definition of "Permitted Dispositions" is hereby amended by deleting the reference to "$1,000,000" set forth therein and inserting "$2,000,000" in lieu thereof. </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Amendments to Section 2.3</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Clause (d)(i) of Section 2.3 is hereby amended by inserting the following at the end of Clause(d)(i):</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aggregate amount of all Protective Advances outstanding at any one time shall not exceed 10% of the Borrowing Base (or such greater amount as agreed to, in writing, by Agent and Required Lenders).</w:t>
      </w:r>
    </w:p>
    <w:p>
      <w:pPr>
        <w:pStyle w:val="TextBody"/>
        <w:spacing w:before="0" w:after="0"/>
        <w:ind w:left="0" w:right="0" w:firstLine="720"/>
        <w:rPr/>
      </w:pPr>
      <w:r>
        <w:rPr/>
      </w:r>
    </w:p>
    <w:p>
      <w:pPr>
        <w:pStyle w:val="TextBody"/>
        <w:spacing w:lineRule="auto" w:line="268" w:before="0" w:after="0"/>
        <w:jc w:val="both"/>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Amendments to Section 5.1</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Section 5.1 is hereby amended by inserting the following sentence at the end thereof:</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4"/>
        </w:rPr>
        <w:t xml:space="preserve">At the written request of any Lender, Agent shall promptly deliver such financial statements, reports, and other items set forth on </w:t>
      </w:r>
      <w:r>
        <w:rPr>
          <w:rFonts w:ascii="Times New Roman;sans-serif" w:hAnsi="Times New Roman;sans-serif"/>
          <w:b w:val="false"/>
          <w:color w:val="000000"/>
          <w:sz w:val="24"/>
          <w:u w:val="single"/>
        </w:rPr>
        <w:t>Schedule 5.1</w:t>
      </w:r>
      <w:r>
        <w:rPr>
          <w:color w:val="000000"/>
        </w:rPr>
        <w:t xml:space="preserve"> </w:t>
      </w:r>
      <w:r>
        <w:rPr>
          <w:rFonts w:ascii="Times New Roman;sans-serif" w:hAnsi="Times New Roman;sans-serif"/>
          <w:b w:val="false"/>
          <w:color w:val="000000"/>
          <w:sz w:val="24"/>
        </w:rPr>
        <w:t xml:space="preserve">to such Lender. </w:t>
      </w:r>
    </w:p>
    <w:p>
      <w:pPr>
        <w:pStyle w:val="TextBody"/>
        <w:spacing w:before="0" w:after="0"/>
        <w:ind w:left="0" w:right="0" w:firstLine="720"/>
        <w:rPr/>
      </w:pPr>
      <w:r>
        <w:rPr/>
      </w:r>
    </w:p>
    <w:p>
      <w:pPr>
        <w:pStyle w:val="TextBody"/>
        <w:spacing w:lineRule="auto" w:line="268" w:before="0" w:after="0"/>
        <w:jc w:val="both"/>
        <w:rPr/>
      </w:pPr>
      <w:r>
        <w:rPr>
          <w:rFonts w:ascii="Times New Roman;sans-serif" w:hAnsi="Times New Roman;sans-serif"/>
          <w:b w:val="false"/>
          <w:color w:val="000000"/>
          <w:sz w:val="24"/>
        </w:rPr>
        <w:t>1.05    </w:t>
      </w:r>
      <w:r>
        <w:rPr>
          <w:rFonts w:ascii="Times New Roman;sans-serif" w:hAnsi="Times New Roman;sans-serif"/>
          <w:b w:val="false"/>
          <w:color w:val="000000"/>
          <w:sz w:val="24"/>
          <w:u w:val="single"/>
        </w:rPr>
        <w:t>Amendments to Section 5.2</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Section 5.2 is hereby amended by inserting the following sentence at the end thereof:</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4"/>
        </w:rPr>
        <w:t xml:space="preserve">At the written request of any Lender, Agent shall promptly deliver such reports and other items set forth on </w:t>
      </w:r>
      <w:r>
        <w:rPr>
          <w:rFonts w:ascii="Times New Roman;sans-serif" w:hAnsi="Times New Roman;sans-serif"/>
          <w:b w:val="false"/>
          <w:color w:val="000000"/>
          <w:sz w:val="24"/>
          <w:u w:val="single"/>
        </w:rPr>
        <w:t>Schedule 5.2</w:t>
      </w:r>
      <w:r>
        <w:rPr>
          <w:color w:val="000000"/>
        </w:rPr>
        <w:t xml:space="preserve"> </w:t>
      </w:r>
      <w:r>
        <w:rPr>
          <w:rFonts w:ascii="Times New Roman;sans-serif" w:hAnsi="Times New Roman;sans-serif"/>
          <w:b w:val="false"/>
          <w:color w:val="000000"/>
          <w:sz w:val="24"/>
        </w:rPr>
        <w:t xml:space="preserve">to such Lender. </w:t>
      </w:r>
    </w:p>
    <w:p>
      <w:pPr>
        <w:pStyle w:val="TextBody"/>
        <w:spacing w:before="0" w:after="0"/>
        <w:ind w:left="0" w:right="0" w:firstLine="720"/>
        <w:rPr/>
      </w:pPr>
      <w:r>
        <w:rPr/>
      </w:r>
    </w:p>
    <w:p>
      <w:pPr>
        <w:pStyle w:val="TextBody"/>
        <w:spacing w:lineRule="auto" w:line="268" w:before="0" w:after="0"/>
        <w:jc w:val="both"/>
        <w:rPr/>
      </w:pPr>
      <w:r>
        <w:rPr>
          <w:rFonts w:ascii="Times New Roman;sans-serif" w:hAnsi="Times New Roman;sans-serif"/>
          <w:b w:val="false"/>
          <w:color w:val="000000"/>
          <w:sz w:val="24"/>
        </w:rPr>
        <w:t>1.06    </w:t>
      </w:r>
      <w:r>
        <w:rPr>
          <w:rFonts w:ascii="Times New Roman;sans-serif" w:hAnsi="Times New Roman;sans-serif"/>
          <w:b w:val="false"/>
          <w:color w:val="000000"/>
          <w:sz w:val="24"/>
          <w:u w:val="single"/>
        </w:rPr>
        <w:t>Amendments to Section 6.7</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Clause (b)(iii) of Section 6.7 is hereby amended by deleting each reference to "(or any other Acquisition consented to by Agent, in writing, in its sole discretion)" set forth therein and inserting "(or any other Acquisition consented to by Required Lenders, in writing, in their sole discretion)" in lieu thereof. </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1.07    </w:t>
      </w:r>
      <w:r>
        <w:rPr>
          <w:rFonts w:ascii="Times New Roman;sans-serif" w:hAnsi="Times New Roman;sans-serif"/>
          <w:b w:val="false"/>
          <w:color w:val="000000"/>
          <w:sz w:val="24"/>
          <w:u w:val="single"/>
        </w:rPr>
        <w:t>Amendments to Section 6.10</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Clauses (g) and (h) of Section 6.10 are hereby amended by deleting each reference to "(or any other Acquisition consented to by Lender, in writing, in its sole discretion)" set forth therein and inserting "(or any other Acquisition consented to by Required Lenders, in writing, in their sole discretion)" in lieu thereof. </w:t>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75260"/>
                <wp:effectExtent l="0" t="0" r="0" b="0"/>
                <wp:wrapNone/>
                <wp:docPr id="81" name="Frame7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1.08    </w:t>
      </w:r>
      <w:r>
        <w:rPr>
          <w:rFonts w:ascii="Times New Roman;sans-serif" w:hAnsi="Times New Roman;sans-serif"/>
          <w:b w:val="false"/>
          <w:color w:val="000000"/>
          <w:sz w:val="24"/>
          <w:u w:val="single"/>
        </w:rPr>
        <w:t>Amendments to Section 6.11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Clause (b) of Section 6.11 is hereby amended by deleting each reference to "Lender" set forth therein and inserting "Agent" in lieu thereof.</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1.09    </w:t>
      </w:r>
      <w:r>
        <w:rPr>
          <w:rFonts w:ascii="Times New Roman;sans-serif" w:hAnsi="Times New Roman;sans-serif"/>
          <w:b w:val="false"/>
          <w:color w:val="000000"/>
          <w:sz w:val="24"/>
          <w:u w:val="single"/>
        </w:rPr>
        <w:t>Amendment to Section 11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Section 11 is hereby amended by deleting the reference to "If to Lender:" set forth therein and inserting "If to Agent:" in lieu thereof.</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1.10    </w:t>
      </w:r>
      <w:r>
        <w:rPr>
          <w:rFonts w:ascii="Times New Roman;sans-serif" w:hAnsi="Times New Roman;sans-serif"/>
          <w:b w:val="false"/>
          <w:color w:val="000000"/>
          <w:sz w:val="24"/>
          <w:u w:val="single"/>
        </w:rPr>
        <w:t>Amendments to Section 14.1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Section 14.1(a)(viii) is hereby amended and restated in its entirety as follows:</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(viii) amend, modify, or eliminate the definitions of "Required Lenders", "Supermajority Lenders", "Pro Rata Share", "Permitted Liens", or clause (p) of the definition of "Permitted Dispositions". </w:t>
      </w:r>
    </w:p>
    <w:p>
      <w:pPr>
        <w:pStyle w:val="TextBody"/>
        <w:spacing w:before="0" w:after="0"/>
        <w:ind w:left="0" w:right="0" w:firstLine="720"/>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Section 14.1(c) is hereby amended by deleting the reference to "Agent, Borrowers and the Supermajority Lenders" and inserting "Agent, Borrowers, and all Lenders" in lieu thereof. </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1.11    </w:t>
      </w:r>
      <w:r>
        <w:rPr>
          <w:rFonts w:ascii="Times New Roman;sans-serif" w:hAnsi="Times New Roman;sans-serif"/>
          <w:b w:val="false"/>
          <w:color w:val="000000"/>
          <w:sz w:val="24"/>
          <w:u w:val="single"/>
        </w:rPr>
        <w:t>Amendments to Schedule 5.2</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first row in the table set forth in Schedule 5.2 is hereby amended by (i) deleting the reference to "and" in clause (e), and (ii) inserting the following at the end of clause (f) and before the period:</w:t>
      </w:r>
    </w:p>
    <w:p>
      <w:pPr>
        <w:pStyle w:val="TextBody"/>
        <w:spacing w:before="0" w:after="0"/>
        <w:ind w:left="0" w:right="0" w:firstLine="1440"/>
        <w:jc w:val="both"/>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 and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(g) a report showing (i) which Accounts represent progress billings from other Accounts in the Loan Parties' Collateral reporting and (ii) Accounts representing progress billings as of the previous month end that have been completed and billed together with an overall completion percentage for all Accounts representing progress billings. </w:t>
      </w:r>
    </w:p>
    <w:p>
      <w:pPr>
        <w:pStyle w:val="TextBody"/>
        <w:spacing w:before="0" w:after="0"/>
        <w:ind w:left="0" w:right="0" w:firstLine="720"/>
        <w:rPr/>
      </w:pPr>
      <w:r>
        <w:rPr/>
      </w:r>
    </w:p>
    <w:p>
      <w:pPr>
        <w:pStyle w:val="TextBody"/>
        <w:spacing w:lineRule="auto" w:line="268" w:before="0" w:after="0"/>
        <w:jc w:val="both"/>
        <w:rPr/>
      </w:pPr>
      <w:r>
        <w:rPr>
          <w:rFonts w:ascii="Times New Roman;sans-serif" w:hAnsi="Times New Roman;sans-serif"/>
          <w:b w:val="false"/>
          <w:color w:val="000000"/>
          <w:sz w:val="24"/>
        </w:rPr>
        <w:t>1.12    </w:t>
      </w:r>
      <w:r>
        <w:rPr>
          <w:rFonts w:ascii="Times New Roman;sans-serif" w:hAnsi="Times New Roman;sans-serif"/>
          <w:b w:val="false"/>
          <w:color w:val="000000"/>
          <w:sz w:val="24"/>
          <w:u w:val="single"/>
        </w:rPr>
        <w:t>Amendments to Schedule C-1</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Schedule C-1 is hereby amended and restated in its entirety as set forth on Schedule C-1 attached hereto.</w:t>
      </w:r>
    </w:p>
    <w:p>
      <w:pPr>
        <w:pStyle w:val="TextBody"/>
        <w:spacing w:before="0" w:after="0"/>
        <w:ind w:left="0" w:right="0" w:firstLine="1440"/>
        <w:jc w:val="both"/>
        <w:rPr/>
      </w:pPr>
      <w:r>
        <w:rPr/>
      </w:r>
    </w:p>
    <w:p>
      <w:pPr>
        <w:pStyle w:val="TextBody"/>
        <w:spacing w:lineRule="auto" w:line="268" w:before="0" w:after="0"/>
        <w:jc w:val="both"/>
        <w:rPr/>
      </w:pPr>
      <w:r>
        <w:rPr>
          <w:rFonts w:ascii="Times New Roman;sans-serif" w:hAnsi="Times New Roman;sans-serif"/>
          <w:b w:val="false"/>
          <w:color w:val="000000"/>
          <w:sz w:val="24"/>
        </w:rPr>
        <w:t>1.13    </w:t>
      </w:r>
      <w:r>
        <w:rPr>
          <w:rFonts w:ascii="Times New Roman;sans-serif" w:hAnsi="Times New Roman;sans-serif"/>
          <w:b w:val="false"/>
          <w:color w:val="000000"/>
          <w:sz w:val="24"/>
          <w:u w:val="single"/>
        </w:rPr>
        <w:t>Amendments to Exhibit A-1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Form of Assignment and Acceptance in the form attached hereto as Annex A shall be attached to the Credit Agreement as Exhibit A-1 thereto. </w:t>
      </w:r>
    </w:p>
    <w:p>
      <w:pPr>
        <w:pStyle w:val="TextBody"/>
        <w:spacing w:before="0" w:after="0"/>
        <w:ind w:left="0" w:right="0" w:firstLine="144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spacing w:lineRule="auto" w:line="268"/>
        <w:jc w:val="center"/>
        <w:rPr/>
      </w:pPr>
      <w:r>
        <w:rPr>
          <w:rFonts w:ascii="Times New Roman;sans-serif" w:hAnsi="Times New Roman;sans-serif"/>
          <w:b/>
          <w:color w:val="000000"/>
          <w:sz w:val="24"/>
        </w:rPr>
        <w:t>[</w:t>
      </w:r>
      <w:r>
        <w:rPr>
          <w:rFonts w:ascii="Times New Roman;sans-serif" w:hAnsi="Times New Roman;sans-serif"/>
          <w:b/>
          <w:i/>
          <w:color w:val="000000"/>
          <w:sz w:val="24"/>
        </w:rPr>
        <w:t>Reserved</w:t>
      </w:r>
      <w:r>
        <w:rPr>
          <w:rFonts w:ascii="Times New Roman;sans-serif" w:hAnsi="Times New Roman;sans-serif"/>
          <w:b/>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color w:val="000000"/>
          <w:sz w:val="24"/>
        </w:rPr>
        <w:t>ARTICLE II</w:t>
      </w:r>
      <w:r>
        <w:rPr>
          <w:rFonts w:ascii="Times New Roman;sans-serif" w:hAnsi="Times New Roman;sans-serif"/>
          <w:b/>
          <w:color w:val="000000"/>
          <w:sz w:val="24"/>
          <w:u w:val="single"/>
        </w:rPr>
        <w:t>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 WAIVER</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3.01    </w:t>
      </w:r>
      <w:r>
        <w:rPr>
          <w:rFonts w:ascii="Times New Roman;sans-serif" w:hAnsi="Times New Roman;sans-serif"/>
          <w:b/>
          <w:color w:val="000000"/>
          <w:sz w:val="24"/>
          <w:u w:val="single"/>
        </w:rPr>
        <w:t>No Waiver</w:t>
      </w:r>
      <w:r>
        <w:rPr>
          <w:rFonts w:ascii="Times New Roman;sans-serif" w:hAnsi="Times New Roman;sans-serif"/>
          <w:b w:val="false"/>
          <w:color w:val="000000"/>
          <w:sz w:val="24"/>
        </w:rPr>
        <w:t xml:space="preserve">. This Agreement is a limited consent and other than as set forth above in </w:t>
      </w:r>
      <w:r>
        <w:rPr>
          <w:rFonts w:ascii="Times New Roman;sans-serif" w:hAnsi="Times New Roman;sans-serif"/>
          <w:b w:val="false"/>
          <w:color w:val="000000"/>
          <w:sz w:val="24"/>
          <w:u w:val="single"/>
        </w:rPr>
        <w:t>Article I</w:t>
      </w:r>
      <w:r>
        <w:rPr>
          <w:color w:val="000000"/>
        </w:rPr>
        <w:t xml:space="preserve"> </w:t>
      </w:r>
      <w:r>
        <w:rPr>
          <w:rFonts w:ascii="Times New Roman;sans-serif" w:hAnsi="Times New Roman;sans-serif"/>
          <w:b w:val="false"/>
          <w:color w:val="000000"/>
          <w:sz w:val="24"/>
        </w:rPr>
        <w:t>hereof, nothing contained in this Agreement shall be construed as an amendment of, consent to, or waiver by, Agent and Lenders of any covenant or provision of the Credit Agreement, the other Loan Documents, this Agreement, or of any other contract or instrument between any Loan Party, Agent and Lenders, and the failure of Agent at any time or times hereafter to require strict performance by the Loan Parties of any provision thereof shall not waive, affect or diminish any right of Agent or Lenders to thereafter demand strict compliance therewith. Agent and Lenders hereby reserve all rights granted under the Credit Agreement, the other Loan Documents, this Agreement and any other contract or instrument between any Loan Party, Agent and Lenders.</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CONDITIONS PRECEDENT</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4.01    </w:t>
      </w:r>
      <w:r>
        <w:rPr>
          <w:rFonts w:ascii="Times New Roman;sans-serif" w:hAnsi="Times New Roman;sans-serif"/>
          <w:b/>
          <w:color w:val="000000"/>
          <w:sz w:val="24"/>
          <w:u w:val="single"/>
        </w:rPr>
        <w:t>Conditions to Effectiveness</w:t>
      </w:r>
      <w:r>
        <w:rPr>
          <w:rFonts w:ascii="Times New Roman;sans-serif" w:hAnsi="Times New Roman;sans-serif"/>
          <w:b w:val="false"/>
          <w:color w:val="000000"/>
          <w:sz w:val="24"/>
        </w:rPr>
        <w:t>. This Agreement shall become effective only upon the satisfaction in full, in a manner satisfactory to Agent and Lenders, of the following conditions precedent (the first date upon which all such conditions have been satisfied being herein called the "</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Agent shall have received a fully executed copy of this Agreement in form and substance acceptable to Agent, together with such other documents, agreements and instruments as Agent may require or reasonably request;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After giving effect to this Agreement,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After giving effect to this Agreement, each Loan Party is in compliance with all applicable covenants and agreements contained in the Credit Agreement and the other Loan Documents.</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 Default or Event of Default shall exist under any of the Loan Documents (as amended hereby), and no Default or Event of Default will result under any of the Loan Documents from the execution, delivery or performance of this Agreement.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All corporate and other proceedings, and all documents instruments and other legal matters in connection with the transactions contemplated by this Agreement shall be satisfactory in form and substance to Agent and its counsel.</w:t>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RATIFICATIONS, REPRESENTATIONS AND WARRANTIES</w:t>
      </w:r>
    </w:p>
    <w:p>
      <w:pPr>
        <w:pStyle w:val="TextBody"/>
        <w:spacing w:lineRule="auto" w:line="268" w:before="0" w:after="0"/>
        <w:ind w:left="0" w:right="0" w:hanging="36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w:t>
      </w:r>
    </w:p>
    <w:p>
      <w:pPr>
        <w:pStyle w:val="TextBody"/>
        <w:spacing w:lineRule="auto" w:line="268" w:before="0" w:after="0"/>
        <w:ind w:left="0" w:right="0" w:firstLine="720"/>
        <w:jc w:val="both"/>
        <w:rPr/>
      </w:pPr>
      <w:r>
        <w:rPr>
          <w:rFonts w:ascii="Times New Roman;sans-serif" w:hAnsi="Times New Roman;sans-serif"/>
          <w:b w:val="false"/>
          <w:color w:val="000000"/>
          <w:sz w:val="24"/>
        </w:rPr>
        <w:t>5.01    </w:t>
      </w:r>
      <w:r>
        <w:rPr>
          <w:rFonts w:ascii="Times New Roman;sans-serif" w:hAnsi="Times New Roman;sans-serif"/>
          <w:b/>
          <w:color w:val="000000"/>
          <w:sz w:val="24"/>
          <w:u w:val="single"/>
        </w:rPr>
        <w:t>Ratifications</w:t>
      </w:r>
      <w:r>
        <w:rPr>
          <w:rFonts w:ascii="Times New Roman;sans-serif" w:hAnsi="Times New Roman;sans-serif"/>
          <w:b w:val="false"/>
          <w:color w:val="000000"/>
          <w:sz w:val="24"/>
        </w:rPr>
        <w:t>. The terms and provisions set forth in this Agreement shall modify and supersede all inconsistent terms and provisions set forth in the Credit Agreement and the other Loan Documents, and, except as expressly modified and superseded by this Agreement,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Agent, on behalf of Lenders, agree that the Credit Agreement and the other Loan Documents, as amended hereby, shall continue to be legal, valid, binding and enforceable in accordance with their respective terms.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5.02    </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 Administrative Borrower, on behalf of itself and each other Loan Party, hereby represents and warrants, jointly and severally, to Agent and Lenders as of the date hereof as follows: (a) it is duly organized, validly existing and in good standing under the laws of its jurisdiction of organization; (b) the execution, delivery and performance by it of this Agreement,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Agreement,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Agreement, the Credit Agreement and all other Loan Documents executed and/or delivered in connection herewith have been duly executed and delivered by it; (e) this Agreement,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Agreement; (g) each Loan Party is in compliance with all applicable covenants and agreements contained in the Credit Agreement and the other Loan Documents, as amended hereby; and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POST CLOSING COVENANT</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6.01    </w:t>
      </w:r>
      <w:r>
        <w:rPr>
          <w:rFonts w:ascii="Times New Roman;sans-serif" w:hAnsi="Times New Roman;sans-serif"/>
          <w:b/>
          <w:color w:val="000000"/>
          <w:sz w:val="24"/>
          <w:u w:val="single"/>
        </w:rPr>
        <w:t>General</w:t>
      </w:r>
      <w:r>
        <w:rPr>
          <w:rFonts w:ascii="Times New Roman;sans-serif" w:hAnsi="Times New Roman;sans-serif"/>
          <w:b w:val="false"/>
          <w:color w:val="000000"/>
          <w:sz w:val="24"/>
        </w:rPr>
        <w:t xml:space="preserve">. The Borrowers covenant and agree to fulfill the obligations set forth on Exhibit A. The failure to have taken such actions or deliver such agreements shall not constitute a Default or an Event of Default or a breach of any representation and warranty until the date specified on Exhibit A (as such date may be extended as provided therein);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failure to have taken such action or make such required delivery by the date specified in Exhibit A shall be an immediate Event of Default (such Event of Default may be waived solely with the consent of Agent and all other Lenders).</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MISCELLANEOUS PROVISIONS</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7.01    </w:t>
      </w:r>
      <w:r>
        <w:rPr>
          <w:rFonts w:ascii="Times New Roman;sans-serif" w:hAnsi="Times New Roman;sans-serif"/>
          <w:b/>
          <w:color w:val="000000"/>
          <w:sz w:val="24"/>
          <w:u w:val="single"/>
        </w:rPr>
        <w:t>Survival of Representations and Warranties</w:t>
      </w:r>
      <w:r>
        <w:rPr>
          <w:rFonts w:ascii="Times New Roman;sans-serif" w:hAnsi="Times New Roman;sans-serif"/>
          <w:b w:val="false"/>
          <w:color w:val="000000"/>
          <w:sz w:val="24"/>
        </w:rPr>
        <w:t>. All representations and warranties made in the Credit Agreement or the other Loan Documents, including, without limitation, any document furnished in connection with this Agreement, shall survive the execution and delivery of this Agreement and the other Loan Documents, and no investigation by Agent and Lenders shall affect the representations and warranties or the right of Agent and Lenders to rely upon them.</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7.02    </w:t>
      </w:r>
      <w:r>
        <w:rPr>
          <w:rFonts w:ascii="Times New Roman;sans-serif" w:hAnsi="Times New Roman;sans-serif"/>
          <w:b/>
          <w:color w:val="000000"/>
          <w:sz w:val="24"/>
          <w:u w:val="single"/>
        </w:rPr>
        <w:t>Reference to Credit Agreement</w:t>
      </w:r>
      <w:r>
        <w:rPr>
          <w:rFonts w:ascii="Times New Roman;sans-serif" w:hAnsi="Times New Roman;sans-serif"/>
          <w:b w:val="false"/>
          <w:color w:val="000000"/>
          <w:sz w:val="24"/>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7.03    </w:t>
      </w:r>
      <w:r>
        <w:rPr>
          <w:rFonts w:ascii="Times New Roman;sans-serif" w:hAnsi="Times New Roman;sans-serif"/>
          <w:b/>
          <w:color w:val="000000"/>
          <w:sz w:val="24"/>
          <w:u w:val="single"/>
        </w:rPr>
        <w:t>Lender Group Expenses</w:t>
      </w:r>
      <w:r>
        <w:rPr>
          <w:rFonts w:ascii="Times New Roman;sans-serif" w:hAnsi="Times New Roman;sans-serif"/>
          <w:b w:val="false"/>
          <w:color w:val="000000"/>
          <w:sz w:val="24"/>
        </w:rPr>
        <w:t>. The Borrowers agree to pay on demand all reasonable Lender Group Expenses incurred by Agent and Lenders in connection with any and all amendments, modifications, and supplements to the other Loan Documents, including, without limitation, the reasonable costs and fees of Agent's and Lenders' legal counsel, and all costs and expenses incurred by Agent and Lenders in connection with the enforcement or preservation of any rights under the Credit Agreement, as amended hereby, or any other Loan Documents, including, without, limitation, the costs and fees of Agent's and Lenders' legal counsel.</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7.04    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of this Agreement held by a court of competent jurisdiction to be invalid or unenforceable shall not impair or invalidate the remainder of this Agreement and the effect thereof shall be confined to the provision so held to be invalid or unenforceable.</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7.05    </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This Agreement is binding upon and shall inure to the benefit of Agent and Lenders and each Loan Party and their respective successors and assigns, except that no Loan Party may assign or transfer any of its respective rights or obligations hereunder without the prior written consent of Agent.</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7.06    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xml:space="preserve">. This Agreement may be executed in any number of counterparts and by different parties on separate counterparts, each of which, when executed and delivered,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7.07    </w:t>
      </w:r>
      <w:r>
        <w:rPr>
          <w:rFonts w:ascii="Times New Roman;sans-serif" w:hAnsi="Times New Roman;sans-serif"/>
          <w:b/>
          <w:color w:val="000000"/>
          <w:sz w:val="24"/>
          <w:u w:val="single"/>
        </w:rPr>
        <w:t>Effect of Waiver</w:t>
      </w:r>
      <w:r>
        <w:rPr>
          <w:rFonts w:ascii="Times New Roman;sans-serif" w:hAnsi="Times New Roman;sans-serif"/>
          <w:b w:val="false"/>
          <w:color w:val="000000"/>
          <w:sz w:val="24"/>
        </w:rPr>
        <w:t>. No consent or waiver, express or implied, by Agent or Lender to or for any breach of or deviation from any covenant or condition by any Loan Party shall be deemed a consent to or waiver of any other breach of the same or any other covenant, condition or duty.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7.08    </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captions, and arrangements used in this Agreement are for convenience only and shall not affect the interpretation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7.09</w:t>
      </w:r>
      <w:r>
        <w:rPr>
          <w:color w:val="000000"/>
        </w:rPr>
        <w:t>    </w:t>
      </w:r>
      <w:r>
        <w:rPr>
          <w:rFonts w:ascii="Times New Roman;sans-serif" w:hAnsi="Times New Roman;sans-serif"/>
          <w:b/>
          <w:color w:val="000000"/>
          <w:sz w:val="24"/>
          <w:u w:val="single"/>
        </w:rPr>
        <w:t>CHOICE OF LAW AND VENUE; JURY TRIAL WAIVERL; JUDICIAL REFERENCE PROVISION</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THIS AGREEMENT SHALL BE SUBJECT TO THE PROVISIONS REGARDING CHOICE OF LAW AND VENUE; JURY TRIAL WAIVER; JUDICIAL REFERENCE PROVISION SET FORTH IN </w:t>
      </w:r>
      <w:r>
        <w:rPr>
          <w:rFonts w:ascii="Times New Roman;sans-serif" w:hAnsi="Times New Roman;sans-serif"/>
          <w:b/>
          <w:color w:val="000000"/>
          <w:sz w:val="24"/>
          <w:u w:val="single"/>
        </w:rPr>
        <w:t>SECTION 12</w:t>
      </w:r>
      <w:r>
        <w:rPr>
          <w:color w:val="000000"/>
        </w:rPr>
        <w:t xml:space="preserve"> </w:t>
      </w:r>
      <w:r>
        <w:rPr>
          <w:rFonts w:ascii="Times New Roman;sans-serif" w:hAnsi="Times New Roman;sans-serif"/>
          <w:b/>
          <w:color w:val="000000"/>
          <w:sz w:val="24"/>
        </w:rPr>
        <w:t xml:space="preserve">OF THE CREDIT AGREEMENT, AND SUCH PROVISIONS ARE INCORPORATED HEREIN BY THIS REFERENCE, </w:t>
      </w:r>
      <w:r>
        <w:rPr>
          <w:rFonts w:ascii="Times New Roman;sans-serif" w:hAnsi="Times New Roman;sans-serif"/>
          <w:b/>
          <w:i/>
          <w:color w:val="000000"/>
          <w:sz w:val="24"/>
        </w:rPr>
        <w:t>MUTATIS</w:t>
      </w:r>
      <w:r>
        <w:rPr>
          <w:color w:val="000000"/>
        </w:rPr>
        <w:t xml:space="preserve"> </w:t>
      </w:r>
      <w:r>
        <w:rPr>
          <w:rFonts w:ascii="Times New Roman;sans-serif" w:hAnsi="Times New Roman;sans-serif"/>
          <w:b/>
          <w:i/>
          <w:color w:val="000000"/>
          <w:sz w:val="24"/>
        </w:rPr>
        <w:t>MUTANDIS</w:t>
      </w:r>
      <w:r>
        <w:rPr>
          <w:rFonts w:ascii="Times New Roman;sans-serif" w:hAnsi="Times New Roman;sans-serif"/>
          <w:b/>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7.10    </w:t>
      </w:r>
      <w:r>
        <w:rPr>
          <w:rFonts w:ascii="Times New Roman;sans-serif" w:hAnsi="Times New Roman;sans-serif"/>
          <w:b/>
          <w:color w:val="000000"/>
          <w:sz w:val="24"/>
          <w:u w:val="single"/>
        </w:rPr>
        <w:t>Final Agreement</w:t>
      </w:r>
      <w:r>
        <w:rPr>
          <w:rFonts w:ascii="Times New Roman;sans-serif" w:hAnsi="Times New Roman;sans-serif"/>
          <w:b w:val="false"/>
          <w:color w:val="000000"/>
          <w:sz w:val="24"/>
        </w:rPr>
        <w:t>. THE CREDIT AGREEMENT AND THE OTHER LOAN DOCUMENTS, EACH AS MODIFIED HEREBY, REPRESENT THE ENTIRE EXPRESSION OF THE PARTIES WITH RESPECT TO THE SUBJECT MATTER HEREOF ON THE DATE THIS AGREEMENT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AGREEMENT SHALL BE MADE, EXCEPT BY A WRITTEN AGREEMENT SIGNED BY THE BORROWERS, AGENT, AND required lenders.</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7.11    </w:t>
      </w:r>
      <w:r>
        <w:rPr>
          <w:rFonts w:ascii="Times New Roman;sans-serif" w:hAnsi="Times New Roman;sans-serif"/>
          <w:b/>
          <w:color w:val="000000"/>
          <w:sz w:val="24"/>
          <w:u w:val="single"/>
        </w:rPr>
        <w:t>Release</w:t>
      </w:r>
      <w:r>
        <w:rPr>
          <w:rFonts w:ascii="Times New Roman;sans-serif" w:hAnsi="Times New Roman;sans-serif"/>
          <w:b w:val="false"/>
          <w:color w:val="000000"/>
          <w:sz w:val="24"/>
        </w:rPr>
        <w:t xml:space="preserve">.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AGENT AND LENDERS TO THE BORROWERS UNDER THE CREDIT </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AGREEMENT OR THE OTHER LOAN DOCUMENTS OR TO SEEK AFFIRMATIVE RELIEF OR DAMAGES OF ANY KIND OR NATURE FROM AGENT AND LENDERS. ADMINISTRATIVE BORROWER, ON BEHALF OF ITSELF AND EACH LOAN PARTY, HEREBY VOLUNTARILY AND KNOWINGLY RELEASES AND FOREVER DISCHARGES AGENT AND LENDERS, THEIR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AGREEMENT IS EXECUTED, WHICH ANY LOAN PARTY MAY NOW OR HEREAFTER HAVE AGAINST AGENT AND LENDERS, THEIR PREDECESSORS, AGENTS, EMPLOYEES, SUCCESSORS AND ASSIGNS, IF ANY, AND IRRESPECTIVE OF WHETHER ANY SUCH CLAIMS ARISE OUT OF CONTRACT, TORT, VIOLATION OF LAW OR REGULATIONS, OR OTHERWISE, AND ARISING FROM ANY LOANS OR EXTENSIONS OF CREDIT FROM AGENT AND LENDERS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7.12    </w:t>
      </w:r>
      <w:r>
        <w:rPr>
          <w:rFonts w:ascii="Times New Roman;sans-serif" w:hAnsi="Times New Roman;sans-serif"/>
          <w:b/>
          <w:color w:val="000000"/>
          <w:sz w:val="24"/>
          <w:u w:val="single"/>
        </w:rPr>
        <w:t>Consent of Guarantors</w:t>
      </w:r>
      <w:r>
        <w:rPr>
          <w:rFonts w:ascii="Times New Roman;sans-serif" w:hAnsi="Times New Roman;sans-serif"/>
          <w:b w:val="false"/>
          <w:color w:val="000000"/>
          <w:sz w:val="24"/>
        </w:rPr>
        <w:t>. The Administrative Borrower, on behalf of each Guarantor, hereby (a) consents to the transactions contemplated by this Agreement;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Agent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pStyle w:val="TextBody"/>
        <w:spacing w:before="0" w:after="0"/>
        <w:ind w:left="0" w:right="0" w:firstLine="720"/>
        <w:jc w:val="both"/>
        <w:rPr/>
      </w:pPr>
      <w:r>
        <w:rPr/>
      </w:r>
    </w:p>
    <w:p>
      <w:pPr>
        <w:pStyle w:val="TextBody"/>
        <w:spacing w:lineRule="auto" w:line="26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Agreement as of the date first above written.</w:t>
      </w:r>
    </w:p>
    <w:p>
      <w:pPr>
        <w:pStyle w:val="TextBody"/>
        <w:spacing w:before="0" w:after="0"/>
        <w:rPr/>
      </w:pPr>
      <w:r>
        <w:rPr/>
      </w:r>
    </w:p>
    <w:tbl>
      <w:tblPr>
        <w:tblW w:w="6197" w:type="dxa"/>
        <w:jc w:val="left"/>
        <w:tblInd w:w="0" w:type="dxa"/>
        <w:tblCellMar>
          <w:top w:w="28" w:type="dxa"/>
          <w:left w:w="28" w:type="dxa"/>
          <w:bottom w:w="28" w:type="dxa"/>
          <w:right w:w="28" w:type="dxa"/>
        </w:tblCellMar>
      </w:tblPr>
      <w:tblGrid>
        <w:gridCol w:w="124"/>
        <w:gridCol w:w="109"/>
        <w:gridCol w:w="109"/>
        <w:gridCol w:w="617"/>
        <w:gridCol w:w="617"/>
        <w:gridCol w:w="617"/>
        <w:gridCol w:w="1171"/>
        <w:gridCol w:w="1171"/>
        <w:gridCol w:w="16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ADMINISTRATIVE 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IES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 CFO &amp; Treasurer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tbl>
      <w:tblPr>
        <w:tblW w:w="4496" w:type="dxa"/>
        <w:jc w:val="left"/>
        <w:tblInd w:w="0" w:type="dxa"/>
        <w:tblCellMar>
          <w:top w:w="28" w:type="dxa"/>
          <w:left w:w="28" w:type="dxa"/>
          <w:bottom w:w="28" w:type="dxa"/>
          <w:right w:w="28" w:type="dxa"/>
        </w:tblCellMar>
      </w:tblPr>
      <w:tblGrid>
        <w:gridCol w:w="124"/>
        <w:gridCol w:w="109"/>
        <w:gridCol w:w="109"/>
        <w:gridCol w:w="647"/>
        <w:gridCol w:w="647"/>
        <w:gridCol w:w="647"/>
        <w:gridCol w:w="647"/>
        <w:gridCol w:w="647"/>
        <w:gridCol w:w="9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WELLS FARGO BANK, NATIONAL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ASSOCIATION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Gerard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75260"/>
                <wp:effectExtent l="0" t="0" r="0" b="0"/>
                <wp:wrapNone/>
                <wp:docPr id="89"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before="0" w:after="0"/>
        <w:rPr/>
      </w:pPr>
      <w:r>
        <w:rPr/>
      </w:r>
    </w:p>
    <w:tbl>
      <w:tblPr>
        <w:tblW w:w="4345" w:type="dxa"/>
        <w:jc w:val="left"/>
        <w:tblInd w:w="0" w:type="dxa"/>
        <w:tblCellMar>
          <w:top w:w="28" w:type="dxa"/>
          <w:left w:w="28" w:type="dxa"/>
          <w:bottom w:w="28" w:type="dxa"/>
          <w:right w:w="28" w:type="dxa"/>
        </w:tblCellMar>
      </w:tblPr>
      <w:tblGrid>
        <w:gridCol w:w="124"/>
        <w:gridCol w:w="109"/>
        <w:gridCol w:w="109"/>
        <w:gridCol w:w="622"/>
        <w:gridCol w:w="622"/>
        <w:gridCol w:w="622"/>
        <w:gridCol w:w="622"/>
        <w:gridCol w:w="622"/>
        <w:gridCol w:w="8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FIFTH THIRD BANK, NATIONAL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ASSOCIATION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Elias Makris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Elias Makris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Managing Director</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175260"/>
                <wp:effectExtent l="0" t="0" r="0" b="0"/>
                <wp:wrapNone/>
                <wp:docPr id="90" name="Frame8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Post-Closing Covenant </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1.Borrower shall, at its sole cost and expense, deliver or cause to be delivered to Agent the following items with respect to (x) the real property located at 5859 US-98 Lakeland, Florida 33809 within 180 days after the date hereof (or such later date as Agent and all other Lenders may agree, in writing, in its sole discretion), (y) the real property located at 4160 Half-Acre Rd, Batavia, Ohio 45103 within 180 days after the date hereof (or such later date as Agent and all other Lenders may agree, in writing, in its sole discretion), and (z) the real property located at 2121 North 161st Avenue, Tulsa, Oklahoma within 180 days after the date hereof (or such later date as Agent and all other Lenders may agree, in writing, in its sole discretion), all of which shall be in form and substance reasonably satisfactory to Agent: (a) a loan policy of title insurance, (b) a mortgage or deed of trust (with assignment of leases and rents), (c) a legal opinion covering the due authorization, execution, delivery and enforceability of the mortgage or deed of trust (as applicable), (d) a survey, (e) an environmental report, (f) a zoning report, and (g) any other information or documentation reasonably required by Agent to comply with applicable laws, regulations or internal policies (including any of the foregoing related to flood insurance).</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91" name="Frame8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color w:val="000000"/>
          <w:sz w:val="24"/>
          <w:u w:val="single"/>
        </w:rPr>
        <w:t>Schedule C-1</w:t>
      </w:r>
      <w:r>
        <w:rPr>
          <w:color w:val="000000"/>
        </w:rPr>
        <w:t xml:space="preserve">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Commitments</w:t>
      </w:r>
    </w:p>
    <w:p>
      <w:pPr>
        <w:pStyle w:val="TextBody"/>
        <w:spacing w:before="0" w:after="0"/>
        <w:jc w:val="center"/>
        <w:rPr/>
      </w:pPr>
      <w:r>
        <w:rPr/>
      </w:r>
    </w:p>
    <w:tbl>
      <w:tblPr>
        <w:tblW w:w="8667" w:type="dxa"/>
        <w:jc w:val="left"/>
        <w:tblInd w:w="0" w:type="dxa"/>
        <w:tblCellMar>
          <w:top w:w="28" w:type="dxa"/>
          <w:left w:w="28" w:type="dxa"/>
          <w:bottom w:w="28" w:type="dxa"/>
          <w:right w:w="28" w:type="dxa"/>
        </w:tblCellMar>
      </w:tblPr>
      <w:tblGrid>
        <w:gridCol w:w="1506"/>
        <w:gridCol w:w="1323"/>
        <w:gridCol w:w="1340"/>
        <w:gridCol w:w="804"/>
        <w:gridCol w:w="804"/>
        <w:gridCol w:w="806"/>
        <w:gridCol w:w="610"/>
        <w:gridCol w:w="610"/>
        <w:gridCol w:w="864"/>
      </w:tblGrid>
      <w:tr>
        <w:trPr/>
        <w:tc>
          <w:tcPr>
            <w:tcW w:w="1506"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Lender</w:t>
            </w:r>
          </w:p>
        </w:tc>
        <w:tc>
          <w:tcPr>
            <w:tcW w:w="2414" w:type="dxa"/>
            <w:gridSpan w:val="3"/>
            <w:tcBorders>
              <w:top w:val="single" w:sz="8" w:space="0" w:color="000000"/>
              <w:left w:val="single" w:sz="8" w:space="0" w:color="000000"/>
            </w:tcBorders>
            <w:shd w:fill="CCCCCC"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Revolver Commitment</w:t>
            </w:r>
          </w:p>
        </w:tc>
        <w:tc>
          <w:tcPr>
            <w:tcW w:w="2084" w:type="dxa"/>
            <w:gridSpan w:val="3"/>
            <w:tcBorders>
              <w:top w:val="single" w:sz="8" w:space="0" w:color="000000"/>
              <w:left w:val="single" w:sz="8" w:space="0" w:color="000000"/>
              <w:right w:val="single" w:sz="8" w:space="0" w:color="000000"/>
            </w:tcBorders>
            <w:shd w:fill="CCCCCC" w:val="clear"/>
            <w:tcMar>
              <w:top w:w="30" w:type="dxa"/>
              <w:bottom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Total Commitment</w:t>
            </w:r>
          </w:p>
        </w:tc>
      </w:tr>
      <w:tr>
        <w:trPr/>
        <w:tc>
          <w:tcPr>
            <w:tcW w:w="41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Wells Fargo Bank, National Association</w:t>
            </w:r>
          </w:p>
        </w:tc>
        <w:tc>
          <w:tcPr>
            <w:tcW w:w="24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$115,000,000</w:t>
            </w:r>
          </w:p>
        </w:tc>
        <w:tc>
          <w:tcPr>
            <w:tcW w:w="20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$115,000,000</w:t>
            </w:r>
          </w:p>
        </w:tc>
      </w:tr>
      <w:tr>
        <w:trPr/>
        <w:tc>
          <w:tcPr>
            <w:tcW w:w="41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Fifth Third Bank, National Association</w:t>
            </w:r>
          </w:p>
        </w:tc>
        <w:tc>
          <w:tcPr>
            <w:tcW w:w="24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$35,000,000</w:t>
            </w:r>
          </w:p>
        </w:tc>
        <w:tc>
          <w:tcPr>
            <w:tcW w:w="20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$35,000,000</w:t>
            </w:r>
          </w:p>
        </w:tc>
      </w:tr>
      <w:tr>
        <w:trPr/>
        <w:tc>
          <w:tcPr>
            <w:tcW w:w="41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All Lenders</w:t>
            </w:r>
          </w:p>
        </w:tc>
        <w:tc>
          <w:tcPr>
            <w:tcW w:w="24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$150,000,000</w:t>
            </w:r>
          </w:p>
        </w:tc>
        <w:tc>
          <w:tcPr>
            <w:tcW w:w="208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$150,000,000</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175260"/>
                <wp:effectExtent l="0" t="0" r="0" b="0"/>
                <wp:wrapNone/>
                <wp:docPr id="92" name="Frame9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A</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 Form of Assignment and Acceptance</w:t>
      </w:r>
    </w:p>
    <w:p>
      <w:pPr>
        <w:pStyle w:val="TextBody"/>
        <w:spacing w:before="0" w:after="0"/>
        <w:rPr/>
      </w:pPr>
      <w:r>
        <w:rPr/>
      </w:r>
    </w:p>
    <w:p>
      <w:pPr>
        <w:pStyle w:val="TextBody"/>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175260"/>
                <wp:effectExtent l="0" t="0" r="0" b="0"/>
                <wp:wrapNone/>
                <wp:docPr id="93" name="Frame9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88" w:before="100" w:after="283"/>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260" w:after="283"/>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September 30, 2022 </w:t>
      </w:r>
    </w:p>
    <w:tbl>
      <w:tblPr>
        <w:tblW w:w="7300" w:type="dxa"/>
        <w:jc w:val="center"/>
        <w:tblInd w:w="0" w:type="dxa"/>
        <w:tblCellMar>
          <w:top w:w="28" w:type="dxa"/>
          <w:left w:w="28" w:type="dxa"/>
          <w:bottom w:w="28" w:type="dxa"/>
          <w:right w:w="28" w:type="dxa"/>
        </w:tblCellMar>
      </w:tblPr>
      <w:tblGrid>
        <w:gridCol w:w="1630"/>
        <w:gridCol w:w="1430"/>
        <w:gridCol w:w="1439"/>
        <w:gridCol w:w="109"/>
        <w:gridCol w:w="109"/>
        <w:gridCol w:w="109"/>
        <w:gridCol w:w="724"/>
        <w:gridCol w:w="724"/>
        <w:gridCol w:w="1026"/>
      </w:tblGrid>
      <w:tr>
        <w:trPr/>
        <w:tc>
          <w:tcPr>
            <w:tcW w:w="163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w:t>
            </w:r>
          </w:p>
        </w:tc>
      </w:tr>
      <w:tr>
        <w:trPr/>
        <w:tc>
          <w:tcPr>
            <w:tcW w:w="4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Aerial Lighting &amp; Electric,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Azimuth Communications,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Bayonet Plumbing, Heating &amp; Air Conditioning,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Calumet Armature and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Edmonson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Freeman Enclosure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Hotchkiss Alarms,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Commercial,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Communications,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Consolidation,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FL 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Infrastructure Solutions,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IES Investments,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ROO,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IES OK 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Operations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Residential,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Shared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Subsidiary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Electrical Finance,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K.E.P. Electric,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Electrical Supply,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Magnetech Industrial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Power and Control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Industrial Sales and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Mechanical,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Technibus,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Services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Popp &amp;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Wedlake Fabricating,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175260"/>
                <wp:effectExtent l="0" t="0" r="0" b="0"/>
                <wp:wrapNone/>
                <wp:docPr id="94" name="Frame9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220" w:after="283"/>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on Form S-8 (No. 333-209483) pertaining to the Amended and Restated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on Form S-8 (No. 333-134100) pertaining to the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on Form S-3 (No. 333-186786) pertaining to the registration for resale of common stock of IES Holdings, Inc. by the selling stockholders named therein;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(4)Registration Statement on Form S-3 (No. 333-215071) pertaining to the registration for resale of common stock of IES Holdings, Inc. by the selling stockholders named therein;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December 6, 2022,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6, 2022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175260"/>
                <wp:effectExtent l="0" t="0" r="0" b="0"/>
                <wp:wrapNone/>
                <wp:docPr id="95" name="Frame9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L. Gendell,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Date: December 6, 2022</w:t>
      </w:r>
    </w:p>
    <w:tbl>
      <w:tblPr>
        <w:tblW w:w="3228" w:type="dxa"/>
        <w:jc w:val="left"/>
        <w:tblInd w:w="0" w:type="dxa"/>
        <w:tblCellMar>
          <w:top w:w="28" w:type="dxa"/>
          <w:left w:w="28" w:type="dxa"/>
          <w:bottom w:w="28" w:type="dxa"/>
          <w:right w:w="28" w:type="dxa"/>
        </w:tblCellMar>
      </w:tblPr>
      <w:tblGrid>
        <w:gridCol w:w="124"/>
        <w:gridCol w:w="109"/>
        <w:gridCol w:w="109"/>
        <w:gridCol w:w="279"/>
        <w:gridCol w:w="279"/>
        <w:gridCol w:w="279"/>
        <w:gridCol w:w="279"/>
        <w:gridCol w:w="279"/>
        <w:gridCol w:w="279"/>
        <w:gridCol w:w="279"/>
        <w:gridCol w:w="279"/>
        <w:gridCol w:w="28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175260"/>
                <wp:effectExtent l="0" t="0" r="0" b="0"/>
                <wp:wrapNone/>
                <wp:docPr id="96" name="Frame9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Tracy A. McLauchlin,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6, 2022 </w:t>
      </w:r>
    </w:p>
    <w:tbl>
      <w:tblPr>
        <w:tblW w:w="5649" w:type="dxa"/>
        <w:jc w:val="left"/>
        <w:tblInd w:w="0" w:type="dxa"/>
        <w:tblCellMar>
          <w:top w:w="28" w:type="dxa"/>
          <w:left w:w="28" w:type="dxa"/>
          <w:bottom w:w="28" w:type="dxa"/>
          <w:right w:w="28" w:type="dxa"/>
        </w:tblCellMar>
      </w:tblPr>
      <w:tblGrid>
        <w:gridCol w:w="124"/>
        <w:gridCol w:w="109"/>
        <w:gridCol w:w="109"/>
        <w:gridCol w:w="548"/>
        <w:gridCol w:w="548"/>
        <w:gridCol w:w="548"/>
        <w:gridCol w:w="548"/>
        <w:gridCol w:w="548"/>
        <w:gridCol w:w="548"/>
        <w:gridCol w:w="548"/>
        <w:gridCol w:w="548"/>
        <w:gridCol w:w="5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175260"/>
                <wp:effectExtent l="0" t="0" r="0" b="0"/>
                <wp:wrapNone/>
                <wp:docPr id="97" name="Frame9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2022 (the “Report”), I, Jeffrey L. Gendell,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tbl>
      <w:tblPr>
        <w:tblW w:w="5142"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50"/>
        <w:gridCol w:w="750"/>
        <w:gridCol w:w="1065"/>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r>
    </w:tbl>
    <w:p>
      <w:pPr>
        <w:pStyle w:val="TextBody"/>
        <w:ind w:left="0" w:right="0" w:firstLine="72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175260"/>
                <wp:effectExtent l="0" t="0" r="0" b="0"/>
                <wp:wrapNone/>
                <wp:docPr id="98" name="Frame9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2022 (the “Report”), I, Tracy A. McLauchlin, Senior Vice President, Chief Financial Officer and Treasurer of the Company, certify, pursuant to 18 U.S.C. § 1350, as adopted pursuant to § 906 of the Sarbanes-Oxley Act of 2002, that:</w:t>
      </w:r>
    </w:p>
    <w:p>
      <w:pPr>
        <w:pStyle w:val="TextBody"/>
        <w:spacing w:before="0" w:after="0"/>
        <w:ind w:left="0" w:right="0" w:firstLine="72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jc w:val="both"/>
        <w:rPr/>
      </w:pPr>
      <w:r>
        <w:rPr/>
      </w:r>
    </w:p>
    <w:tbl>
      <w:tblPr>
        <w:tblW w:w="7557"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74"/>
        <w:gridCol w:w="774"/>
        <w:gridCol w:w="774"/>
        <w:gridCol w:w="774"/>
        <w:gridCol w:w="774"/>
        <w:gridCol w:w="1110"/>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175260"/>
                <wp:effectExtent l="0" t="0" r="0" b="0"/>
                <wp:wrapNone/>
                <wp:docPr id="99" name="Frame9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048268/000119312516674386/d211495dex31.htm" TargetMode="External"/><Relationship Id="rId5" Type="http://schemas.openxmlformats.org/officeDocument/2006/relationships/hyperlink" Target="http://www.sec.gov/Archives/edgar/data/1048268/000119312513026383/d474722dex31.htm" TargetMode="External"/><Relationship Id="rId6" Type="http://schemas.openxmlformats.org/officeDocument/2006/relationships/hyperlink" Target="https://www.sec.gov/Archives/edgar/data/1048268/000119312521171027/d87196dex31.htm" TargetMode="External"/><Relationship Id="rId7" Type="http://schemas.openxmlformats.org/officeDocument/2006/relationships/hyperlink" Target="https://www.sec.gov/Archives/edgar/data/0001048268/000104826821000065/amendedandrestatedbylawsof.htm" TargetMode="External"/><Relationship Id="rId8" Type="http://schemas.openxmlformats.org/officeDocument/2006/relationships/hyperlink" Target="http://www.sec.gov/Archives/edgar/data/1048268/000119312516789187/d310826dex41.htm" TargetMode="External"/><Relationship Id="rId9" Type="http://schemas.openxmlformats.org/officeDocument/2006/relationships/hyperlink" Target="http://www.sec.gov/Archives/edgar/data/1048268/000095012906005627/h36237exv10w5.htm" TargetMode="External"/><Relationship Id="rId10" Type="http://schemas.openxmlformats.org/officeDocument/2006/relationships/hyperlink" Target="http://www.sec.gov/Archives/edgar/data/1048268/000119312512503507/d452277dex1024.htm" TargetMode="External"/><Relationship Id="rId11" Type="http://schemas.openxmlformats.org/officeDocument/2006/relationships/hyperlink" Target="https://www.sec.gov/Archives/edgar/data/1048268/000104826821000162/descriptionofcapitalstock.htm" TargetMode="External"/><Relationship Id="rId12" Type="http://schemas.openxmlformats.org/officeDocument/2006/relationships/hyperlink" Target="http://www.sec.gov/Archives/edgar/data/1048268/000095012310049149/h73084exv10w1.htm" TargetMode="External"/><Relationship Id="rId13" Type="http://schemas.openxmlformats.org/officeDocument/2006/relationships/hyperlink" Target="http://www.sec.gov/Archives/edgar/data/1048268/000104826812000030/ies_amd1indemnityagmt-2012.htm" TargetMode="External"/><Relationship Id="rId14" Type="http://schemas.openxmlformats.org/officeDocument/2006/relationships/hyperlink" Target="http://www.sec.gov/Archives/edgar/data/1048268/000119312516708628/d258745dex101.htm" TargetMode="External"/><Relationship Id="rId15" Type="http://schemas.openxmlformats.org/officeDocument/2006/relationships/hyperlink" Target="http://www.sec.gov/Archives/edgar/data/1048268/000119312517227986/d419769dex101.htm" TargetMode="External"/><Relationship Id="rId16" Type="http://schemas.openxmlformats.org/officeDocument/2006/relationships/hyperlink" Target="https://www.sec.gov/Archives/edgar/data/1048268/000119312520225684/d97671dex101.htm" TargetMode="External"/><Relationship Id="rId17" Type="http://schemas.openxmlformats.org/officeDocument/2006/relationships/hyperlink" Target="https://www.sec.gov/Archives/edgar/data/1048268/000104826822000048/thirdamendedandrestatedcre.htm" TargetMode="External"/><Relationship Id="rId18" Type="http://schemas.openxmlformats.org/officeDocument/2006/relationships/hyperlink" Target="https://www.sec.gov/Archives/edgar/data/1048268/000119312512232008/d351050dex101.htm" TargetMode="External"/><Relationship Id="rId19" Type="http://schemas.openxmlformats.org/officeDocument/2006/relationships/hyperlink" Target="http://www.sec.gov/Archives/edgar/data/1048268/000119312516582843/d193200dex105.htm" TargetMode="External"/><Relationship Id="rId20" Type="http://schemas.openxmlformats.org/officeDocument/2006/relationships/hyperlink" Target="http://www.sec.gov/Archives/edgar/data/1048268/000119312519138305/d740684dex1012.htm" TargetMode="External"/><Relationship Id="rId21" Type="http://schemas.openxmlformats.org/officeDocument/2006/relationships/hyperlink" Target="http://www.sec.gov/Archives/edgar/data/1048268/000104826819000007/q42019ex1020.htm" TargetMode="External"/><Relationship Id="rId22" Type="http://schemas.openxmlformats.org/officeDocument/2006/relationships/hyperlink" Target="http://www.sec.gov/Archives/edgar/data/1048268/000119312518344274/d668006dex1017.htm" TargetMode="External"/><Relationship Id="rId23" Type="http://schemas.openxmlformats.org/officeDocument/2006/relationships/hyperlink" Target="http://www.sec.gov/Archives/edgar/data/1048268/000104826807000040/d72828_ex10-3.htm" TargetMode="External"/><Relationship Id="rId24" Type="http://schemas.openxmlformats.org/officeDocument/2006/relationships/hyperlink" Target="http://www.sec.gov/Archives/edgar/data/1048268/000104826807000040/d72828_ex10-1.htm" TargetMode="External"/><Relationship Id="rId25" Type="http://schemas.openxmlformats.org/officeDocument/2006/relationships/hyperlink" Target="http://www.sec.gov/Archives/edgar/data/1048268/000119312516453210/d133572dex101.htm" TargetMode="External"/><Relationship Id="rId26" Type="http://schemas.openxmlformats.org/officeDocument/2006/relationships/hyperlink" Target="http://www.sec.gov/Archives/edgar/data/1048268/000119312515413732/d103218ddef14a.htm" TargetMode="External"/><Relationship Id="rId27" Type="http://schemas.openxmlformats.org/officeDocument/2006/relationships/hyperlink" Target="http://www.sec.gov/Archives/edgar/data/1048268/000119312516582843/d193200dex104.htm" TargetMode="External"/><Relationship Id="rId28" Type="http://schemas.openxmlformats.org/officeDocument/2006/relationships/hyperlink" Target="http://www.sec.gov/Archives/edgar/data/1048268/000119312516582843/d193200dex103.htm" TargetMode="External"/><Relationship Id="rId29" Type="http://schemas.openxmlformats.org/officeDocument/2006/relationships/hyperlink" Target="http://www.sec.gov/Archives/edgar/data/1048268/000119312516582843/d193200dex102.htm" TargetMode="External"/><Relationship Id="rId30" Type="http://schemas.openxmlformats.org/officeDocument/2006/relationships/hyperlink" Target="http://www.sec.gov/Archives/edgar/data/1048268/000119312516615339/d173606dex101.htm" TargetMode="External"/><Relationship Id="rId31" Type="http://schemas.openxmlformats.org/officeDocument/2006/relationships/hyperlink" Target="http://www.sec.gov/Archives/edgar/data/1048268/000119312516615339/d173606dex102.htm" TargetMode="External"/><Relationship Id="rId32" Type="http://schemas.openxmlformats.org/officeDocument/2006/relationships/hyperlink" Target="http://www.sec.gov/Archives/edgar/data/1048268/000104746908013171/a2188873zex-10_34.htm" TargetMode="External"/><Relationship Id="rId33" Type="http://schemas.openxmlformats.org/officeDocument/2006/relationships/hyperlink" Target="http://www.sec.gov/Archives/edgar/data/1048268/000104826809000014/ltipfy2009_2010.htm" TargetMode="External"/><Relationship Id="rId34" Type="http://schemas.openxmlformats.org/officeDocument/2006/relationships/hyperlink" Target="http://www.sec.gov/Archives/edgar/data/1048268/000119312516789187/d310826dex1030.htm" TargetMode="External"/><Relationship Id="rId35" Type="http://schemas.openxmlformats.org/officeDocument/2006/relationships/hyperlink" Target="http://www.sec.gov/Archives/edgar/data/1048268/000119312519138305/d740684dex102.htm" TargetMode="External"/><Relationship Id="rId36" Type="http://schemas.openxmlformats.org/officeDocument/2006/relationships/hyperlink" Target="http://www.sec.gov/Archives/edgar/data/1048268/000119312519064120/d697792dex101.htm" TargetMode="External"/><Relationship Id="rId37" Type="http://schemas.openxmlformats.org/officeDocument/2006/relationships/hyperlink" Target="http://www.sec.gov/Archives/edgar/data/1048268/000119312519064120/d697792dex102.htm" TargetMode="External"/><Relationship Id="rId38" Type="http://schemas.openxmlformats.org/officeDocument/2006/relationships/hyperlink" Target="https://www.sec.gov/Archives/edgar/data/1048268/000104826820000005/q12020ex102.htm" TargetMode="External"/><Relationship Id="rId39" Type="http://schemas.openxmlformats.org/officeDocument/2006/relationships/hyperlink" Target="https://www.sec.gov/Archives/edgar/data/1048268/000104826820000005/q12020ex103.htm" TargetMode="External"/><Relationship Id="rId40" Type="http://schemas.openxmlformats.org/officeDocument/2006/relationships/hyperlink" Target="https://www.sec.gov/Archives/edgar/data/1048268/000119312519138305/d740684dex105.htm" TargetMode="External"/><Relationship Id="rId41" Type="http://schemas.openxmlformats.org/officeDocument/2006/relationships/hyperlink" Target="https://www.sec.gov/Archives/edgar/data/1048268/000119312519307837/d835677dex101.htm" TargetMode="External"/><Relationship Id="rId42" Type="http://schemas.openxmlformats.org/officeDocument/2006/relationships/hyperlink" Target="https://www.sec.gov/Archives/edgar/data/1048268/000119312520263380/d41776dex101.htm" TargetMode="External"/><Relationship Id="rId43" Type="http://schemas.openxmlformats.org/officeDocument/2006/relationships/hyperlink" Target="https://www.sec.gov/Archives/edgar/data/1048268/000104826821000163/psugrant-matthewsimmes.htm" TargetMode="External"/><Relationship Id="rId44" Type="http://schemas.openxmlformats.org/officeDocument/2006/relationships/hyperlink" Target="https://www.sec.gov/Archives/edgar/data/1048268/000104826821000163/psugrant-jeffreygendell.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51285</Words>
  <CharactersWithSpaces>333481</CharactersWithSpaces>
  <Paragraphs>4050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