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gif" ContentType="image/gif"/>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before="0" w:after="0"/>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UNITED STATES </w:t>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SECURITIES AND EXCHANGE COMMISSION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bl>
      <w:tblPr>
        <w:tblW w:w="1514" w:type="dxa"/>
        <w:jc w:val="center"/>
        <w:tblInd w:w="0" w:type="dxa"/>
        <w:tblCellMar>
          <w:top w:w="28" w:type="dxa"/>
          <w:left w:w="28" w:type="dxa"/>
          <w:bottom w:w="28" w:type="dxa"/>
          <w:right w:w="28" w:type="dxa"/>
        </w:tblCellMar>
      </w:tblPr>
      <w:tblGrid>
        <w:gridCol w:w="315"/>
        <w:gridCol w:w="277"/>
        <w:gridCol w:w="278"/>
        <w:gridCol w:w="188"/>
        <w:gridCol w:w="188"/>
        <w:gridCol w:w="268"/>
      </w:tblGrid>
      <w:tr>
        <w:trPr/>
        <w:tc>
          <w:tcPr>
            <w:tcW w:w="315"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r>
      <w:tr>
        <w:trPr/>
        <w:tc>
          <w:tcPr>
            <w:tcW w:w="87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220" w:after="283"/>
              <w:jc w:val="right"/>
              <w:rPr>
                <w:rFonts w:ascii="Times New Roman;sans-serif" w:hAnsi="Times New Roman;sans-serif"/>
                <w:b/>
                <w:color w:val="000000"/>
                <w:sz w:val="22"/>
              </w:rPr>
            </w:pPr>
            <w:r>
              <w:rPr>
                <w:rFonts w:ascii="Times New Roman;sans-serif" w:hAnsi="Times New Roman;sans-serif"/>
                <w:b/>
                <w:color w:val="000000"/>
                <w:sz w:val="22"/>
              </w:rPr>
              <w:t xml:space="preserve">FORM </w:t>
            </w:r>
          </w:p>
        </w:tc>
        <w:tc>
          <w:tcPr>
            <w:tcW w:w="64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220" w:after="283"/>
              <w:jc w:val="left"/>
              <w:rPr>
                <w:rFonts w:ascii="Times New Roman;sans-serif" w:hAnsi="Times New Roman;sans-serif"/>
                <w:b/>
                <w:color w:val="000000"/>
                <w:sz w:val="22"/>
              </w:rPr>
            </w:pPr>
            <w:r>
              <w:rPr>
                <w:rFonts w:ascii="Times New Roman;sans-serif" w:hAnsi="Times New Roman;sans-serif"/>
                <w:b/>
                <w:color w:val="000000"/>
                <w:sz w:val="22"/>
              </w:rPr>
              <w:t>10-Q</w:t>
            </w:r>
          </w:p>
        </w:tc>
      </w:tr>
    </w:tbl>
    <w:p>
      <w:pPr>
        <w:pStyle w:val="TextBody"/>
        <w:spacing w:before="0" w:after="0"/>
        <w:jc w:val="center"/>
        <w:rPr/>
      </w:pPr>
      <w:r>
        <w:rPr/>
      </w:r>
    </w:p>
    <w:tbl>
      <w:tblPr>
        <w:tblW w:w="10356" w:type="dxa"/>
        <w:jc w:val="center"/>
        <w:tblInd w:w="0" w:type="dxa"/>
        <w:tblCellMar>
          <w:top w:w="28" w:type="dxa"/>
          <w:left w:w="28" w:type="dxa"/>
          <w:bottom w:w="28" w:type="dxa"/>
          <w:right w:w="28" w:type="dxa"/>
        </w:tblCellMar>
      </w:tblPr>
      <w:tblGrid>
        <w:gridCol w:w="128"/>
        <w:gridCol w:w="113"/>
        <w:gridCol w:w="113"/>
        <w:gridCol w:w="1557"/>
        <w:gridCol w:w="1557"/>
        <w:gridCol w:w="1557"/>
        <w:gridCol w:w="1557"/>
        <w:gridCol w:w="1557"/>
        <w:gridCol w:w="2217"/>
      </w:tblGrid>
      <w:tr>
        <w:trPr/>
        <w:tc>
          <w:tcPr>
            <w:tcW w:w="128"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557" w:type="dxa"/>
            <w:tcBorders/>
            <w:shd w:fill="auto" w:val="clear"/>
            <w:vAlign w:val="center"/>
          </w:tcPr>
          <w:p>
            <w:pPr>
              <w:pStyle w:val="TableContents"/>
              <w:spacing w:before="0" w:after="283"/>
              <w:rPr>
                <w:sz w:val="4"/>
                <w:szCs w:val="4"/>
              </w:rPr>
            </w:pPr>
            <w:r>
              <w:rPr>
                <w:sz w:val="4"/>
                <w:szCs w:val="4"/>
              </w:rPr>
            </w:r>
          </w:p>
        </w:tc>
        <w:tc>
          <w:tcPr>
            <w:tcW w:w="1557" w:type="dxa"/>
            <w:tcBorders/>
            <w:shd w:fill="auto" w:val="clear"/>
            <w:vAlign w:val="center"/>
          </w:tcPr>
          <w:p>
            <w:pPr>
              <w:pStyle w:val="TableContents"/>
              <w:spacing w:before="0" w:after="283"/>
              <w:rPr>
                <w:sz w:val="4"/>
                <w:szCs w:val="4"/>
              </w:rPr>
            </w:pPr>
            <w:r>
              <w:rPr>
                <w:sz w:val="4"/>
                <w:szCs w:val="4"/>
              </w:rPr>
            </w:r>
          </w:p>
        </w:tc>
        <w:tc>
          <w:tcPr>
            <w:tcW w:w="1557" w:type="dxa"/>
            <w:tcBorders/>
            <w:shd w:fill="auto" w:val="clear"/>
            <w:vAlign w:val="center"/>
          </w:tcPr>
          <w:p>
            <w:pPr>
              <w:pStyle w:val="TableContents"/>
              <w:spacing w:before="0" w:after="283"/>
              <w:rPr>
                <w:sz w:val="4"/>
                <w:szCs w:val="4"/>
              </w:rPr>
            </w:pPr>
            <w:r>
              <w:rPr>
                <w:sz w:val="4"/>
                <w:szCs w:val="4"/>
              </w:rPr>
            </w:r>
          </w:p>
        </w:tc>
        <w:tc>
          <w:tcPr>
            <w:tcW w:w="1557" w:type="dxa"/>
            <w:tcBorders/>
            <w:shd w:fill="auto" w:val="clear"/>
            <w:vAlign w:val="center"/>
          </w:tcPr>
          <w:p>
            <w:pPr>
              <w:pStyle w:val="TableContents"/>
              <w:spacing w:before="0" w:after="283"/>
              <w:rPr>
                <w:sz w:val="4"/>
                <w:szCs w:val="4"/>
              </w:rPr>
            </w:pPr>
            <w:r>
              <w:rPr>
                <w:sz w:val="4"/>
                <w:szCs w:val="4"/>
              </w:rPr>
            </w:r>
          </w:p>
        </w:tc>
        <w:tc>
          <w:tcPr>
            <w:tcW w:w="1557" w:type="dxa"/>
            <w:tcBorders/>
            <w:shd w:fill="auto" w:val="clear"/>
            <w:vAlign w:val="center"/>
          </w:tcPr>
          <w:p>
            <w:pPr>
              <w:pStyle w:val="TableContents"/>
              <w:spacing w:before="0" w:after="283"/>
              <w:rPr>
                <w:sz w:val="4"/>
                <w:szCs w:val="4"/>
              </w:rPr>
            </w:pPr>
            <w:r>
              <w:rPr>
                <w:sz w:val="4"/>
                <w:szCs w:val="4"/>
              </w:rPr>
            </w:r>
          </w:p>
        </w:tc>
        <w:tc>
          <w:tcPr>
            <w:tcW w:w="2217" w:type="dxa"/>
            <w:tcBorders/>
            <w:shd w:fill="auto" w:val="clear"/>
            <w:vAlign w:val="center"/>
          </w:tcPr>
          <w:p>
            <w:pPr>
              <w:pStyle w:val="TableContents"/>
              <w:spacing w:before="0" w:after="283"/>
              <w:rPr>
                <w:sz w:val="4"/>
                <w:szCs w:val="4"/>
              </w:rPr>
            </w:pPr>
            <w:r>
              <w:rPr>
                <w:sz w:val="4"/>
                <w:szCs w:val="4"/>
              </w:rPr>
            </w:r>
          </w:p>
        </w:tc>
      </w:tr>
      <w:tr>
        <w:trPr/>
        <w:tc>
          <w:tcPr>
            <w:tcW w:w="10356" w:type="dxa"/>
            <w:gridSpan w:val="9"/>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(Mark One)</w:t>
            </w:r>
          </w:p>
        </w:tc>
      </w:tr>
      <w:tr>
        <w:trPr/>
        <w:tc>
          <w:tcPr>
            <w:tcW w:w="3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0002"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r>
        <w:trPr/>
        <w:tc>
          <w:tcPr>
            <w:tcW w:w="5025" w:type="dxa"/>
            <w:gridSpan w:val="6"/>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For the quarterly period ended</w:t>
            </w:r>
          </w:p>
        </w:tc>
        <w:tc>
          <w:tcPr>
            <w:tcW w:w="53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December 31, 2020</w:t>
            </w:r>
          </w:p>
        </w:tc>
      </w:tr>
      <w:tr>
        <w:trPr/>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2"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OR</w:t>
            </w:r>
          </w:p>
        </w:tc>
      </w:tr>
      <w:tr>
        <w:trPr/>
        <w:tc>
          <w:tcPr>
            <w:tcW w:w="3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0002"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r>
        <w:trPr/>
        <w:tc>
          <w:tcPr>
            <w:tcW w:w="10356" w:type="dxa"/>
            <w:gridSpan w:val="9"/>
            <w:tcBorders/>
            <w:shd w:fill="auto" w:val="clear"/>
            <w:tcMar>
              <w:top w:w="0" w:type="dxa"/>
              <w:left w:w="0" w:type="dxa"/>
              <w:bottom w:w="0" w:type="dxa"/>
              <w:right w:w="0" w:type="dxa"/>
            </w:tcMar>
            <w:vAlign w:val="center"/>
          </w:tcPr>
          <w:p>
            <w:pPr>
              <w:pStyle w:val="TableContents"/>
              <w:spacing w:lineRule="auto" w:line="240" w:before="220" w:after="283"/>
              <w:jc w:val="center"/>
              <w:rPr/>
            </w:pPr>
            <w:r>
              <w:rPr>
                <w:rFonts w:ascii="Times New Roman;sans-serif" w:hAnsi="Times New Roman;sans-serif"/>
                <w:b/>
                <w:color w:val="000000"/>
                <w:sz w:val="18"/>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18"/>
              </w:rPr>
              <w:t xml:space="preserve">to </w:t>
            </w:r>
            <w:r>
              <w:rPr>
                <w:color w:val="000000"/>
                <w:u w:val="single"/>
              </w:rPr>
              <w:t>                    </w:t>
            </w:r>
          </w:p>
        </w:tc>
      </w:tr>
    </w:tbl>
    <w:p>
      <w:pPr>
        <w:pStyle w:val="TextBody"/>
        <w:spacing w:before="0" w:after="0"/>
        <w:jc w:val="center"/>
        <w:rPr/>
      </w:pPr>
      <w:r>
        <w:rPr/>
      </w:r>
    </w:p>
    <w:tbl>
      <w:tblPr>
        <w:tblW w:w="2984" w:type="dxa"/>
        <w:jc w:val="center"/>
        <w:tblInd w:w="0" w:type="dxa"/>
        <w:tblCellMar>
          <w:top w:w="28" w:type="dxa"/>
          <w:left w:w="28" w:type="dxa"/>
          <w:bottom w:w="28" w:type="dxa"/>
          <w:right w:w="28" w:type="dxa"/>
        </w:tblCellMar>
      </w:tblPr>
      <w:tblGrid>
        <w:gridCol w:w="743"/>
        <w:gridCol w:w="654"/>
        <w:gridCol w:w="658"/>
        <w:gridCol w:w="272"/>
        <w:gridCol w:w="272"/>
        <w:gridCol w:w="385"/>
      </w:tblGrid>
      <w:tr>
        <w:trPr/>
        <w:tc>
          <w:tcPr>
            <w:tcW w:w="743"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8"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r>
      <w:tr>
        <w:trPr/>
        <w:tc>
          <w:tcPr>
            <w:tcW w:w="205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220" w:after="283"/>
              <w:jc w:val="right"/>
              <w:rPr>
                <w:rFonts w:ascii="Times New Roman;sans-serif" w:hAnsi="Times New Roman;sans-serif"/>
                <w:b/>
                <w:color w:val="000000"/>
                <w:sz w:val="18"/>
              </w:rPr>
            </w:pPr>
            <w:r>
              <w:rPr>
                <w:rFonts w:ascii="Times New Roman;sans-serif" w:hAnsi="Times New Roman;sans-serif"/>
                <w:b/>
                <w:color w:val="000000"/>
                <w:sz w:val="18"/>
              </w:rPr>
              <w:t xml:space="preserve">Commission file number </w:t>
            </w:r>
          </w:p>
        </w:tc>
        <w:tc>
          <w:tcPr>
            <w:tcW w:w="92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220" w:after="283"/>
              <w:jc w:val="left"/>
              <w:rPr>
                <w:rFonts w:ascii="Times New Roman;sans-serif" w:hAnsi="Times New Roman;sans-serif"/>
                <w:b/>
                <w:color w:val="000000"/>
                <w:sz w:val="18"/>
              </w:rPr>
            </w:pPr>
            <w:r>
              <w:rPr>
                <w:rFonts w:ascii="Times New Roman;sans-serif" w:hAnsi="Times New Roman;sans-serif"/>
                <w:b/>
                <w:color w:val="000000"/>
                <w:sz w:val="18"/>
              </w:rPr>
              <w:t>001-13783</w:t>
            </w:r>
          </w:p>
        </w:tc>
      </w:tr>
    </w:tbl>
    <w:p>
      <w:pPr>
        <w:pStyle w:val="TextBody"/>
        <w:spacing w:before="60" w:after="283"/>
        <w:jc w:val="center"/>
        <w:rPr/>
      </w:pPr>
      <w:r>
        <w:rPr/>
        <w:drawing>
          <wp:inline distT="0" distB="63500" distL="0" distR="0">
            <wp:extent cx="1619250" cy="666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19250" cy="666750"/>
                    </a:xfrm>
                    <a:prstGeom prst="rect">
                      <a:avLst/>
                    </a:prstGeom>
                  </pic:spPr>
                </pic:pic>
              </a:graphicData>
            </a:graphic>
          </wp:inline>
        </w:drawing>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IES Holdings, Inc. </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220" w:after="283"/>
              <w:jc w:val="center"/>
              <w:rPr/>
            </w:pPr>
            <w:r>
              <w:rPr/>
            </w:r>
          </w:p>
          <w:p>
            <w:pPr>
              <w:pStyle w:val="TableContents"/>
              <w:spacing w:before="220" w:after="283"/>
              <w:jc w:val="center"/>
              <w:rPr/>
            </w:pPr>
            <w:r>
              <w:rPr/>
            </w:r>
          </w:p>
          <w:p>
            <w:pPr>
              <w:pStyle w:val="TableContents"/>
              <w:spacing w:before="0" w:after="0"/>
              <w:jc w:val="center"/>
              <w:rPr/>
            </w:pPr>
            <w:r>
              <w:rPr/>
            </w:r>
          </w:p>
        </w:tc>
      </w:tr>
    </w:tbl>
    <w:p>
      <w:pPr>
        <w:pStyle w:val="TextBody"/>
        <w:spacing w:before="0" w:after="0"/>
        <w:jc w:val="center"/>
        <w:rPr/>
      </w:pPr>
      <w:r>
        <w:rPr/>
      </w:r>
    </w:p>
    <w:tbl>
      <w:tblPr>
        <w:tblW w:w="3855" w:type="dxa"/>
        <w:jc w:val="center"/>
        <w:tblInd w:w="0" w:type="dxa"/>
        <w:tblCellMar>
          <w:top w:w="28" w:type="dxa"/>
          <w:left w:w="28" w:type="dxa"/>
          <w:bottom w:w="28" w:type="dxa"/>
          <w:right w:w="28" w:type="dxa"/>
        </w:tblCellMar>
      </w:tblPr>
      <w:tblGrid>
        <w:gridCol w:w="854"/>
        <w:gridCol w:w="754"/>
        <w:gridCol w:w="762"/>
        <w:gridCol w:w="434"/>
        <w:gridCol w:w="434"/>
        <w:gridCol w:w="617"/>
      </w:tblGrid>
      <w:tr>
        <w:trPr/>
        <w:tc>
          <w:tcPr>
            <w:tcW w:w="854"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r>
      <w:tr>
        <w:trPr/>
        <w:tc>
          <w:tcPr>
            <w:tcW w:w="23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14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76-0542208</w:t>
            </w:r>
          </w:p>
        </w:tc>
      </w:tr>
      <w:tr>
        <w:trPr/>
        <w:tc>
          <w:tcPr>
            <w:tcW w:w="23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r>
          </w:p>
        </w:tc>
        <w:tc>
          <w:tcPr>
            <w:tcW w:w="14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r>
          </w:p>
        </w:tc>
      </w:tr>
      <w:tr>
        <w:trPr/>
        <w:tc>
          <w:tcPr>
            <w:tcW w:w="23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incorporation or organization)</w:t>
            </w:r>
          </w:p>
        </w:tc>
        <w:tc>
          <w:tcPr>
            <w:tcW w:w="14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bl>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5433 Westheimer Road, Suite 500, Houston, Texas 77056 </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and zip code)</w:t>
      </w:r>
    </w:p>
    <w:p>
      <w:pPr>
        <w:pStyle w:val="TextBody"/>
        <w:spacing w:lineRule="auto" w:line="288" w:before="60" w:after="283"/>
        <w:jc w:val="center"/>
        <w:rPr/>
      </w:pPr>
      <w:r>
        <w:rPr>
          <w:rFonts w:ascii="Times New Roman;sans-serif" w:hAnsi="Times New Roman;sans-serif"/>
          <w:b/>
          <w:color w:val="000000"/>
          <w:sz w:val="18"/>
        </w:rPr>
        <w:t>Registrant’s telephone number, including area code:</w:t>
      </w:r>
      <w:r>
        <w:rPr>
          <w:color w:val="000000"/>
        </w:rPr>
        <w:t xml:space="preserve"> </w:t>
      </w:r>
      <w:r>
        <w:rPr>
          <w:rFonts w:ascii="Times New Roman;sans-serif" w:hAnsi="Times New Roman;sans-serif"/>
          <w:b/>
          <w:color w:val="000000"/>
          <w:sz w:val="18"/>
        </w:rPr>
        <w:t xml:space="preserve">(713) 860-1500 </w:t>
      </w:r>
    </w:p>
    <w:p>
      <w:pPr>
        <w:pStyle w:val="TextBody"/>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12(b) of the Act:</w:t>
      </w:r>
    </w:p>
    <w:tbl>
      <w:tblPr>
        <w:tblW w:w="9141" w:type="dxa"/>
        <w:jc w:val="center"/>
        <w:tblInd w:w="0" w:type="dxa"/>
        <w:tblCellMar>
          <w:top w:w="28" w:type="dxa"/>
          <w:left w:w="28" w:type="dxa"/>
          <w:bottom w:w="28" w:type="dxa"/>
          <w:right w:w="28" w:type="dxa"/>
        </w:tblCellMar>
      </w:tblPr>
      <w:tblGrid>
        <w:gridCol w:w="1209"/>
        <w:gridCol w:w="1064"/>
        <w:gridCol w:w="1071"/>
        <w:gridCol w:w="109"/>
        <w:gridCol w:w="109"/>
        <w:gridCol w:w="109"/>
        <w:gridCol w:w="454"/>
        <w:gridCol w:w="454"/>
        <w:gridCol w:w="456"/>
        <w:gridCol w:w="109"/>
        <w:gridCol w:w="109"/>
        <w:gridCol w:w="109"/>
        <w:gridCol w:w="1107"/>
        <w:gridCol w:w="1107"/>
        <w:gridCol w:w="1565"/>
      </w:tblGrid>
      <w:tr>
        <w:trPr/>
        <w:tc>
          <w:tcPr>
            <w:tcW w:w="1209"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spacing w:before="0" w:after="283"/>
              <w:rPr>
                <w:sz w:val="4"/>
                <w:szCs w:val="4"/>
              </w:rPr>
            </w:pPr>
            <w:r>
              <w:rPr>
                <w:sz w:val="4"/>
                <w:szCs w:val="4"/>
              </w:rPr>
            </w:r>
          </w:p>
        </w:tc>
        <w:tc>
          <w:tcPr>
            <w:tcW w:w="10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1565"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8"/>
              </w:rPr>
              <w:t>Name of each exchange on which registered</w:t>
            </w:r>
          </w:p>
        </w:tc>
      </w:tr>
      <w:tr>
        <w:trPr/>
        <w:tc>
          <w:tcPr>
            <w:tcW w:w="33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ind w:left="0" w:right="0" w:hanging="180"/>
              <w:jc w:val="center"/>
              <w:rPr>
                <w:rFonts w:ascii="Times New Roman;sans-serif" w:hAnsi="Times New Roman;sans-serif"/>
                <w:b/>
                <w:color w:val="000000"/>
                <w:sz w:val="18"/>
              </w:rPr>
            </w:pPr>
            <w:r>
              <w:rPr>
                <w:rFonts w:ascii="Times New Roman;sans-serif" w:hAnsi="Times New Roman;sans-serif"/>
                <w:b/>
                <w:color w:val="000000"/>
                <w:sz w:val="18"/>
              </w:rPr>
              <w:t>Common Stock, par value $0.01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IESC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NASDAQ Global Market</w:t>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180"/>
              <w:jc w:val="center"/>
              <w:rPr>
                <w:rFonts w:ascii="Times New Roman;sans-serif" w:hAnsi="Times New Roman;sans-serif"/>
                <w:b/>
                <w:color w:val="000000"/>
                <w:sz w:val="18"/>
              </w:rPr>
            </w:pPr>
            <w:r>
              <w:rPr>
                <w:rFonts w:ascii="Times New Roman;sans-serif" w:hAnsi="Times New Roman;sans-serif"/>
                <w:b/>
                <w:color w:val="000000"/>
                <w:sz w:val="18"/>
              </w:rPr>
              <w:t>Rights to Purchase Preferred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IESC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NASDAQ Global Market</w:t>
            </w:r>
          </w:p>
        </w:tc>
      </w:tr>
    </w:tbl>
    <w:p>
      <w:pPr>
        <w:pStyle w:val="TextBody"/>
        <w:spacing w:before="0" w:after="0"/>
        <w:jc w:val="center"/>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220" w:after="283"/>
              <w:jc w:val="center"/>
              <w:rPr/>
            </w:pPr>
            <w:r>
              <w:rPr/>
            </w:r>
          </w:p>
          <w:p>
            <w:pPr>
              <w:pStyle w:val="TableContents"/>
              <w:spacing w:before="220" w:after="283"/>
              <w:jc w:val="center"/>
              <w:rPr/>
            </w:pPr>
            <w:r>
              <w:rPr/>
            </w:r>
          </w:p>
          <w:p>
            <w:pPr>
              <w:pStyle w:val="TableContents"/>
              <w:spacing w:before="0" w:after="0"/>
              <w:jc w:val="center"/>
              <w:rPr/>
            </w:pPr>
            <w:r>
              <w:rPr/>
            </w:r>
          </w:p>
        </w:tc>
      </w:tr>
    </w:tbl>
    <w:p>
      <w:pPr>
        <w:pStyle w:val="TextBody"/>
        <w:spacing w:lineRule="auto" w:line="288" w:before="0" w:after="120"/>
        <w:jc w:val="both"/>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color w:val="000000"/>
        </w:rPr>
        <w:t xml:space="preserve"> ☑ </w:t>
      </w:r>
      <w:r>
        <w:rPr>
          <w:rFonts w:ascii="Times New Roman;sans-serif" w:hAnsi="Times New Roman;sans-serif"/>
          <w:b w:val="false"/>
          <w:color w:val="000000"/>
          <w:sz w:val="18"/>
        </w:rPr>
        <w:t>No</w:t>
      </w:r>
      <w:r>
        <w:rPr>
          <w:color w:val="000000"/>
        </w:rPr>
        <w:t xml:space="preserve"> ☐</w:t>
      </w:r>
    </w:p>
    <w:p>
      <w:pPr>
        <w:pStyle w:val="TextBody"/>
        <w:spacing w:lineRule="auto" w:line="288" w:before="0" w:after="120"/>
        <w:jc w:val="both"/>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color w:val="000000"/>
        </w:rPr>
        <w:t xml:space="preserve"> ☑ </w:t>
      </w:r>
      <w:r>
        <w:rPr>
          <w:rFonts w:ascii="Times New Roman;sans-serif" w:hAnsi="Times New Roman;sans-serif"/>
          <w:b w:val="false"/>
          <w:color w:val="000000"/>
          <w:sz w:val="18"/>
        </w:rPr>
        <w:t>No</w:t>
      </w:r>
      <w:r>
        <w:rPr>
          <w:color w:val="000000"/>
        </w:rPr>
        <w:t xml:space="preserve"> ☐</w:t>
      </w:r>
    </w:p>
    <w:p>
      <w:pPr>
        <w:pStyle w:val="TextBody"/>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105" w:type="dxa"/>
        <w:jc w:val="left"/>
        <w:tblInd w:w="0" w:type="dxa"/>
        <w:tblCellMar>
          <w:top w:w="28" w:type="dxa"/>
          <w:left w:w="28" w:type="dxa"/>
          <w:bottom w:w="28" w:type="dxa"/>
          <w:right w:w="28" w:type="dxa"/>
        </w:tblCellMar>
      </w:tblPr>
      <w:tblGrid>
        <w:gridCol w:w="744"/>
        <w:gridCol w:w="654"/>
        <w:gridCol w:w="656"/>
        <w:gridCol w:w="109"/>
        <w:gridCol w:w="109"/>
        <w:gridCol w:w="109"/>
        <w:gridCol w:w="109"/>
        <w:gridCol w:w="109"/>
        <w:gridCol w:w="109"/>
        <w:gridCol w:w="674"/>
        <w:gridCol w:w="674"/>
        <w:gridCol w:w="677"/>
        <w:gridCol w:w="109"/>
        <w:gridCol w:w="109"/>
        <w:gridCol w:w="154"/>
      </w:tblGrid>
      <w:tr>
        <w:trPr/>
        <w:tc>
          <w:tcPr>
            <w:tcW w:w="744"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2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2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spacing w:lineRule="auto" w:line="288" w:before="0" w:after="120"/>
        <w:jc w:val="both"/>
        <w:rPr/>
      </w:pPr>
      <w:r>
        <w:rPr>
          <w:rFonts w:ascii="Times New Roman;sans-serif" w:hAnsi="Times New Roman;sans-serif"/>
          <w:b w:val="false"/>
          <w:color w:val="000000"/>
          <w:sz w:val="18"/>
        </w:rPr>
        <w:t>Indicate by check mark whether the registrant is a shell company (as defined in Rule 12b-2 of the Exchange Act). Yes</w:t>
      </w:r>
      <w:r>
        <w:rPr>
          <w:color w:val="000000"/>
        </w:rPr>
        <w:t xml:space="preserve"> ☐ </w:t>
      </w:r>
      <w:r>
        <w:rPr>
          <w:rFonts w:ascii="Times New Roman;sans-serif" w:hAnsi="Times New Roman;sans-serif"/>
          <w:b w:val="false"/>
          <w:color w:val="000000"/>
          <w:sz w:val="18"/>
        </w:rPr>
        <w:t>No</w:t>
      </w:r>
      <w:r>
        <w:rPr>
          <w:color w:val="000000"/>
        </w:rPr>
        <w:t xml:space="preserve"> ☑</w:t>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On February 3, 2021, there were 20,769,984 shares of common stock outstanding.</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692265" cy="146685"/>
                <wp:effectExtent l="0" t="0" r="0" b="0"/>
                <wp:wrapNone/>
                <wp:docPr id="2" name="Frame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IES HOLDINGS,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w:t>
      </w:r>
    </w:p>
    <w:tbl>
      <w:tblPr>
        <w:tblW w:w="10539" w:type="dxa"/>
        <w:jc w:val="center"/>
        <w:tblInd w:w="0" w:type="dxa"/>
        <w:tblCellMar>
          <w:top w:w="28" w:type="dxa"/>
          <w:left w:w="28" w:type="dxa"/>
          <w:bottom w:w="28" w:type="dxa"/>
          <w:right w:w="28" w:type="dxa"/>
        </w:tblCellMar>
      </w:tblPr>
      <w:tblGrid>
        <w:gridCol w:w="340"/>
        <w:gridCol w:w="299"/>
        <w:gridCol w:w="299"/>
        <w:gridCol w:w="371"/>
        <w:gridCol w:w="336"/>
        <w:gridCol w:w="336"/>
        <w:gridCol w:w="2652"/>
        <w:gridCol w:w="2610"/>
        <w:gridCol w:w="2720"/>
        <w:gridCol w:w="167"/>
        <w:gridCol w:w="167"/>
        <w:gridCol w:w="242"/>
      </w:tblGrid>
      <w:tr>
        <w:trPr/>
        <w:tc>
          <w:tcPr>
            <w:tcW w:w="340"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2652" w:type="dxa"/>
            <w:tcBorders/>
            <w:shd w:fill="auto" w:val="clear"/>
            <w:vAlign w:val="center"/>
          </w:tcPr>
          <w:p>
            <w:pPr>
              <w:pStyle w:val="TableContents"/>
              <w:spacing w:before="0" w:after="283"/>
              <w:rPr>
                <w:sz w:val="4"/>
                <w:szCs w:val="4"/>
              </w:rPr>
            </w:pPr>
            <w:r>
              <w:rPr>
                <w:sz w:val="4"/>
                <w:szCs w:val="4"/>
              </w:rPr>
            </w:r>
          </w:p>
        </w:tc>
        <w:tc>
          <w:tcPr>
            <w:tcW w:w="2610" w:type="dxa"/>
            <w:tcBorders/>
            <w:shd w:fill="auto" w:val="clear"/>
            <w:vAlign w:val="center"/>
          </w:tcPr>
          <w:p>
            <w:pPr>
              <w:pStyle w:val="TableContents"/>
              <w:spacing w:before="0" w:after="283"/>
              <w:rPr>
                <w:sz w:val="4"/>
                <w:szCs w:val="4"/>
              </w:rPr>
            </w:pPr>
            <w:r>
              <w:rPr>
                <w:sz w:val="4"/>
                <w:szCs w:val="4"/>
              </w:rPr>
            </w:r>
          </w:p>
        </w:tc>
        <w:tc>
          <w:tcPr>
            <w:tcW w:w="2720"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r>
      <w:tr>
        <w:trPr/>
        <w:tc>
          <w:tcPr>
            <w:tcW w:w="9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963" w:type="dxa"/>
            <w:gridSpan w:val="9"/>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a72d51699dfe4642b6d216bb45e2e276_10">
              <w:r>
                <w:rPr>
                  <w:rStyle w:val="InternetLink"/>
                  <w:rFonts w:ascii="Times New Roman;sans-serif" w:hAnsi="Times New Roman;sans-serif"/>
                  <w:b w:val="false"/>
                  <w:color w:val="0000FF"/>
                  <w:sz w:val="20"/>
                  <w:u w:val="single"/>
                </w:rPr>
                <w:t>PART I. FINANCIAL INFORMATION</w:t>
              </w:r>
            </w:hyperlink>
          </w:p>
        </w:tc>
        <w:tc>
          <w:tcPr>
            <w:tcW w:w="5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9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72d51699dfe4642b6d216bb45e2e276_13">
              <w:r>
                <w:rPr>
                  <w:rStyle w:val="InternetLink"/>
                  <w:rFonts w:ascii="Times New Roman;sans-serif" w:hAnsi="Times New Roman;sans-serif"/>
                  <w:b w:val="false"/>
                  <w:color w:val="0000FF"/>
                  <w:sz w:val="20"/>
                  <w:u w:val="single"/>
                </w:rPr>
                <w:t>Item 1. Financial Statements</w:t>
              </w:r>
            </w:hyperlink>
          </w:p>
        </w:tc>
        <w:tc>
          <w:tcPr>
            <w:tcW w:w="5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72d51699dfe4642b6d216bb45e2e276_16">
              <w:r>
                <w:rPr>
                  <w:rStyle w:val="InternetLink"/>
                  <w:rFonts w:ascii="Times New Roman;sans-serif" w:hAnsi="Times New Roman;sans-serif"/>
                  <w:b w:val="false"/>
                  <w:color w:val="0000FF"/>
                  <w:sz w:val="20"/>
                  <w:u w:val="single"/>
                </w:rPr>
                <w:t>Condensed Consolidated Balance Sheets as of December 31, 2020 and September 30, 2020</w:t>
              </w:r>
            </w:hyperlink>
          </w:p>
        </w:tc>
        <w:tc>
          <w:tcPr>
            <w:tcW w:w="57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a72d51699dfe4642b6d216bb45e2e276_16">
              <w:r>
                <w:rPr>
                  <w:rStyle w:val="InternetLink"/>
                  <w:rFonts w:ascii="Times New Roman;sans-serif" w:hAnsi="Times New Roman;sans-serif"/>
                  <w:b w:val="false"/>
                  <w:strike w:val="false"/>
                  <w:dstrike w:val="false"/>
                  <w:color w:val="0000FF"/>
                  <w:sz w:val="20"/>
                  <w:u w:val="none"/>
                  <w:effect w:val="none"/>
                </w:rPr>
                <w:t>5</w:t>
              </w:r>
            </w:hyperlink>
          </w:p>
        </w:tc>
      </w:tr>
      <w:tr>
        <w:trPr/>
        <w:tc>
          <w:tcPr>
            <w:tcW w:w="9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72d51699dfe4642b6d216bb45e2e276_22">
              <w:r>
                <w:rPr>
                  <w:rStyle w:val="InternetLink"/>
                  <w:rFonts w:ascii="Times New Roman;sans-serif" w:hAnsi="Times New Roman;sans-serif"/>
                  <w:b w:val="false"/>
                  <w:color w:val="0000FF"/>
                  <w:sz w:val="20"/>
                  <w:u w:val="single"/>
                </w:rPr>
                <w:t>Condensed Consolidated Statements of Comprehensive Income for the Three Months Ended December 31, 2020 and 2019</w:t>
              </w:r>
            </w:hyperlink>
          </w:p>
        </w:tc>
        <w:tc>
          <w:tcPr>
            <w:tcW w:w="57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a72d51699dfe4642b6d216bb45e2e276_22">
              <w:r>
                <w:rPr>
                  <w:rStyle w:val="InternetLink"/>
                  <w:rFonts w:ascii="Times New Roman;sans-serif" w:hAnsi="Times New Roman;sans-serif"/>
                  <w:b w:val="false"/>
                  <w:strike w:val="false"/>
                  <w:dstrike w:val="false"/>
                  <w:color w:val="0000FF"/>
                  <w:sz w:val="20"/>
                  <w:u w:val="none"/>
                  <w:effect w:val="none"/>
                </w:rPr>
                <w:t>6</w:t>
              </w:r>
            </w:hyperlink>
          </w:p>
        </w:tc>
      </w:tr>
      <w:tr>
        <w:trPr/>
        <w:tc>
          <w:tcPr>
            <w:tcW w:w="9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72d51699dfe4642b6d216bb45e2e276_28">
              <w:r>
                <w:rPr>
                  <w:rStyle w:val="InternetLink"/>
                  <w:rFonts w:ascii="Times New Roman;sans-serif" w:hAnsi="Times New Roman;sans-serif"/>
                  <w:b w:val="false"/>
                  <w:color w:val="0000FF"/>
                  <w:sz w:val="20"/>
                  <w:u w:val="single"/>
                </w:rPr>
                <w:t>Condensed Consolidated Statements of Stockholders’ Equity for the Three Months Ended December 31, 2020 and 2019</w:t>
              </w:r>
            </w:hyperlink>
          </w:p>
        </w:tc>
        <w:tc>
          <w:tcPr>
            <w:tcW w:w="57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a72d51699dfe4642b6d216bb45e2e276_28">
              <w:r>
                <w:rPr>
                  <w:rStyle w:val="InternetLink"/>
                  <w:rFonts w:ascii="Times New Roman;sans-serif" w:hAnsi="Times New Roman;sans-serif"/>
                  <w:b w:val="false"/>
                  <w:strike w:val="false"/>
                  <w:dstrike w:val="false"/>
                  <w:color w:val="0000FF"/>
                  <w:sz w:val="20"/>
                  <w:u w:val="none"/>
                  <w:effect w:val="none"/>
                </w:rPr>
                <w:t>7</w:t>
              </w:r>
            </w:hyperlink>
          </w:p>
        </w:tc>
      </w:tr>
      <w:tr>
        <w:trPr/>
        <w:tc>
          <w:tcPr>
            <w:tcW w:w="9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2"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a72d51699dfe4642b6d216bb45e2e276_34">
              <w:r>
                <w:rPr>
                  <w:rStyle w:val="InternetLink"/>
                  <w:rFonts w:ascii="Times New Roman;sans-serif" w:hAnsi="Times New Roman;sans-serif"/>
                  <w:b w:val="false"/>
                  <w:color w:val="0000FF"/>
                  <w:sz w:val="20"/>
                  <w:u w:val="single"/>
                </w:rPr>
                <w:t>Condensed Consolidated Statements of Cash Flows for the Three Months Ended December 31, 2020 and 2019</w:t>
              </w:r>
            </w:hyperlink>
          </w:p>
        </w:tc>
        <w:tc>
          <w:tcPr>
            <w:tcW w:w="57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a72d51699dfe4642b6d216bb45e2e276_34">
              <w:r>
                <w:rPr>
                  <w:rStyle w:val="InternetLink"/>
                  <w:rFonts w:ascii="Times New Roman;sans-serif" w:hAnsi="Times New Roman;sans-serif"/>
                  <w:b w:val="false"/>
                  <w:strike w:val="false"/>
                  <w:dstrike w:val="false"/>
                  <w:color w:val="0000FF"/>
                  <w:sz w:val="20"/>
                  <w:u w:val="none"/>
                  <w:effect w:val="none"/>
                </w:rPr>
                <w:t>8</w:t>
              </w:r>
            </w:hyperlink>
          </w:p>
        </w:tc>
      </w:tr>
      <w:tr>
        <w:trPr/>
        <w:tc>
          <w:tcPr>
            <w:tcW w:w="9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72d51699dfe4642b6d216bb45e2e276_37">
              <w:r>
                <w:rPr>
                  <w:rStyle w:val="InternetLink"/>
                  <w:rFonts w:ascii="Times New Roman;sans-serif" w:hAnsi="Times New Roman;sans-serif"/>
                  <w:b w:val="false"/>
                  <w:color w:val="0000FF"/>
                  <w:sz w:val="20"/>
                  <w:u w:val="single"/>
                </w:rPr>
                <w:t>Notes to Condensed Consolidated Financial Statements</w:t>
              </w:r>
            </w:hyperlink>
          </w:p>
        </w:tc>
        <w:tc>
          <w:tcPr>
            <w:tcW w:w="57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a72d51699dfe4642b6d216bb45e2e276_37">
              <w:r>
                <w:rPr>
                  <w:rStyle w:val="InternetLink"/>
                  <w:rFonts w:ascii="Times New Roman;sans-serif" w:hAnsi="Times New Roman;sans-serif"/>
                  <w:b w:val="false"/>
                  <w:strike w:val="false"/>
                  <w:dstrike w:val="false"/>
                  <w:color w:val="0000FF"/>
                  <w:sz w:val="20"/>
                  <w:u w:val="none"/>
                  <w:effect w:val="none"/>
                </w:rPr>
                <w:t>9</w:t>
              </w:r>
            </w:hyperlink>
          </w:p>
        </w:tc>
      </w:tr>
      <w:tr>
        <w:trPr/>
        <w:tc>
          <w:tcPr>
            <w:tcW w:w="9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72d51699dfe4642b6d216bb45e2e276_88">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57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a72d51699dfe4642b6d216bb45e2e276_88">
              <w:r>
                <w:rPr>
                  <w:rStyle w:val="InternetLink"/>
                  <w:rFonts w:ascii="Times New Roman;sans-serif" w:hAnsi="Times New Roman;sans-serif"/>
                  <w:b w:val="false"/>
                  <w:strike w:val="false"/>
                  <w:dstrike w:val="false"/>
                  <w:color w:val="0000FF"/>
                  <w:sz w:val="20"/>
                  <w:u w:val="none"/>
                  <w:effect w:val="none"/>
                </w:rPr>
                <w:t>23</w:t>
              </w:r>
            </w:hyperlink>
          </w:p>
        </w:tc>
      </w:tr>
      <w:tr>
        <w:trPr/>
        <w:tc>
          <w:tcPr>
            <w:tcW w:w="9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72d51699dfe4642b6d216bb45e2e276_142">
              <w:r>
                <w:rPr>
                  <w:rStyle w:val="InternetLink"/>
                  <w:rFonts w:ascii="Times New Roman;sans-serif" w:hAnsi="Times New Roman;sans-serif"/>
                  <w:b w:val="false"/>
                  <w:color w:val="0000FF"/>
                  <w:sz w:val="20"/>
                  <w:u w:val="single"/>
                </w:rPr>
                <w:t>Item 3. Quantitative and Qualitative Disclosures About Market Risk</w:t>
              </w:r>
            </w:hyperlink>
          </w:p>
        </w:tc>
        <w:tc>
          <w:tcPr>
            <w:tcW w:w="57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a72d51699dfe4642b6d216bb45e2e276_142">
              <w:r>
                <w:rPr>
                  <w:rStyle w:val="InternetLink"/>
                  <w:rFonts w:ascii="Times New Roman;sans-serif" w:hAnsi="Times New Roman;sans-serif"/>
                  <w:b w:val="false"/>
                  <w:strike w:val="false"/>
                  <w:dstrike w:val="false"/>
                  <w:color w:val="0000FF"/>
                  <w:sz w:val="20"/>
                  <w:u w:val="none"/>
                  <w:effect w:val="none"/>
                </w:rPr>
                <w:t>31</w:t>
              </w:r>
            </w:hyperlink>
          </w:p>
        </w:tc>
      </w:tr>
      <w:tr>
        <w:trPr/>
        <w:tc>
          <w:tcPr>
            <w:tcW w:w="9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72d51699dfe4642b6d216bb45e2e276_145">
              <w:r>
                <w:rPr>
                  <w:rStyle w:val="InternetLink"/>
                  <w:rFonts w:ascii="Times New Roman;sans-serif" w:hAnsi="Times New Roman;sans-serif"/>
                  <w:b w:val="false"/>
                  <w:color w:val="0000FF"/>
                  <w:sz w:val="20"/>
                  <w:u w:val="single"/>
                </w:rPr>
                <w:t>Item 4. Controls and Procedures</w:t>
              </w:r>
            </w:hyperlink>
          </w:p>
        </w:tc>
        <w:tc>
          <w:tcPr>
            <w:tcW w:w="57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a72d51699dfe4642b6d216bb45e2e276_145">
              <w:r>
                <w:rPr>
                  <w:rStyle w:val="InternetLink"/>
                  <w:rFonts w:ascii="Times New Roman;sans-serif" w:hAnsi="Times New Roman;sans-serif"/>
                  <w:b w:val="false"/>
                  <w:strike w:val="false"/>
                  <w:dstrike w:val="false"/>
                  <w:color w:val="0000FF"/>
                  <w:sz w:val="20"/>
                  <w:u w:val="none"/>
                  <w:effect w:val="none"/>
                </w:rPr>
                <w:t>31</w:t>
              </w:r>
            </w:hyperlink>
          </w:p>
        </w:tc>
      </w:tr>
      <w:tr>
        <w:trPr/>
        <w:tc>
          <w:tcPr>
            <w:tcW w:w="9963" w:type="dxa"/>
            <w:gridSpan w:val="9"/>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a72d51699dfe4642b6d216bb45e2e276_148">
              <w:r>
                <w:rPr>
                  <w:rStyle w:val="InternetLink"/>
                  <w:rFonts w:ascii="Times New Roman;sans-serif" w:hAnsi="Times New Roman;sans-serif"/>
                  <w:b w:val="false"/>
                  <w:color w:val="0000FF"/>
                  <w:sz w:val="20"/>
                  <w:u w:val="single"/>
                </w:rPr>
                <w:t>PART II. OTHER INFORMATION</w:t>
              </w:r>
            </w:hyperlink>
          </w:p>
        </w:tc>
        <w:tc>
          <w:tcPr>
            <w:tcW w:w="5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72d51699dfe4642b6d216bb45e2e276_151">
              <w:r>
                <w:rPr>
                  <w:rStyle w:val="InternetLink"/>
                  <w:rFonts w:ascii="Times New Roman;sans-serif" w:hAnsi="Times New Roman;sans-serif"/>
                  <w:b w:val="false"/>
                  <w:color w:val="0000FF"/>
                  <w:sz w:val="20"/>
                  <w:u w:val="single"/>
                </w:rPr>
                <w:t>Item 1. Legal Proceedings</w:t>
              </w:r>
            </w:hyperlink>
          </w:p>
        </w:tc>
        <w:tc>
          <w:tcPr>
            <w:tcW w:w="57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a72d51699dfe4642b6d216bb45e2e276_151">
              <w:r>
                <w:rPr>
                  <w:rStyle w:val="InternetLink"/>
                  <w:rFonts w:ascii="Times New Roman;sans-serif" w:hAnsi="Times New Roman;sans-serif"/>
                  <w:b w:val="false"/>
                  <w:strike w:val="false"/>
                  <w:dstrike w:val="false"/>
                  <w:color w:val="0000FF"/>
                  <w:sz w:val="20"/>
                  <w:u w:val="none"/>
                  <w:effect w:val="none"/>
                </w:rPr>
                <w:t>32</w:t>
              </w:r>
            </w:hyperlink>
          </w:p>
        </w:tc>
      </w:tr>
      <w:tr>
        <w:trPr/>
        <w:tc>
          <w:tcPr>
            <w:tcW w:w="9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72d51699dfe4642b6d216bb45e2e276_154">
              <w:r>
                <w:rPr>
                  <w:rStyle w:val="InternetLink"/>
                  <w:rFonts w:ascii="Times New Roman;sans-serif" w:hAnsi="Times New Roman;sans-serif"/>
                  <w:b w:val="false"/>
                  <w:color w:val="0000FF"/>
                  <w:sz w:val="20"/>
                  <w:u w:val="single"/>
                </w:rPr>
                <w:t>Item 1A. Risk Factors</w:t>
              </w:r>
            </w:hyperlink>
          </w:p>
        </w:tc>
        <w:tc>
          <w:tcPr>
            <w:tcW w:w="57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a72d51699dfe4642b6d216bb45e2e276_154">
              <w:r>
                <w:rPr>
                  <w:rStyle w:val="InternetLink"/>
                  <w:rFonts w:ascii="Times New Roman;sans-serif" w:hAnsi="Times New Roman;sans-serif"/>
                  <w:b w:val="false"/>
                  <w:strike w:val="false"/>
                  <w:dstrike w:val="false"/>
                  <w:color w:val="0000FF"/>
                  <w:sz w:val="20"/>
                  <w:u w:val="none"/>
                  <w:effect w:val="none"/>
                </w:rPr>
                <w:t>32</w:t>
              </w:r>
            </w:hyperlink>
          </w:p>
        </w:tc>
      </w:tr>
      <w:tr>
        <w:trPr/>
        <w:tc>
          <w:tcPr>
            <w:tcW w:w="9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72d51699dfe4642b6d216bb45e2e276_157">
              <w:r>
                <w:rPr>
                  <w:rStyle w:val="InternetLink"/>
                  <w:rFonts w:ascii="Times New Roman;sans-serif" w:hAnsi="Times New Roman;sans-serif"/>
                  <w:b w:val="false"/>
                  <w:color w:val="0000FF"/>
                  <w:sz w:val="20"/>
                  <w:u w:val="single"/>
                </w:rPr>
                <w:t>Item 2. Unregistered Sales of Equity Securities and Use of Proceeds</w:t>
              </w:r>
            </w:hyperlink>
          </w:p>
        </w:tc>
        <w:tc>
          <w:tcPr>
            <w:tcW w:w="57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a72d51699dfe4642b6d216bb45e2e276_157">
              <w:r>
                <w:rPr>
                  <w:rStyle w:val="InternetLink"/>
                  <w:rFonts w:ascii="Times New Roman;sans-serif" w:hAnsi="Times New Roman;sans-serif"/>
                  <w:b w:val="false"/>
                  <w:strike w:val="false"/>
                  <w:dstrike w:val="false"/>
                  <w:color w:val="0000FF"/>
                  <w:sz w:val="20"/>
                  <w:u w:val="none"/>
                  <w:effect w:val="none"/>
                </w:rPr>
                <w:t>32</w:t>
              </w:r>
            </w:hyperlink>
          </w:p>
        </w:tc>
      </w:tr>
      <w:tr>
        <w:trPr/>
        <w:tc>
          <w:tcPr>
            <w:tcW w:w="9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72d51699dfe4642b6d216bb45e2e276_160">
              <w:r>
                <w:rPr>
                  <w:rStyle w:val="InternetLink"/>
                  <w:rFonts w:ascii="Times New Roman;sans-serif" w:hAnsi="Times New Roman;sans-serif"/>
                  <w:b w:val="false"/>
                  <w:color w:val="0000FF"/>
                  <w:sz w:val="20"/>
                  <w:u w:val="single"/>
                </w:rPr>
                <w:t>Item 3. Defaults Upon Senior Securities</w:t>
              </w:r>
            </w:hyperlink>
          </w:p>
        </w:tc>
        <w:tc>
          <w:tcPr>
            <w:tcW w:w="57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a72d51699dfe4642b6d216bb45e2e276_160">
              <w:r>
                <w:rPr>
                  <w:rStyle w:val="InternetLink"/>
                  <w:rFonts w:ascii="Times New Roman;sans-serif" w:hAnsi="Times New Roman;sans-serif"/>
                  <w:b w:val="false"/>
                  <w:strike w:val="false"/>
                  <w:dstrike w:val="false"/>
                  <w:color w:val="0000FF"/>
                  <w:sz w:val="20"/>
                  <w:u w:val="none"/>
                  <w:effect w:val="none"/>
                </w:rPr>
                <w:t>32</w:t>
              </w:r>
            </w:hyperlink>
          </w:p>
        </w:tc>
      </w:tr>
      <w:tr>
        <w:trPr/>
        <w:tc>
          <w:tcPr>
            <w:tcW w:w="9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72d51699dfe4642b6d216bb45e2e276_163">
              <w:r>
                <w:rPr>
                  <w:rStyle w:val="InternetLink"/>
                  <w:rFonts w:ascii="Times New Roman;sans-serif" w:hAnsi="Times New Roman;sans-serif"/>
                  <w:b w:val="false"/>
                  <w:color w:val="0000FF"/>
                  <w:sz w:val="20"/>
                  <w:u w:val="single"/>
                </w:rPr>
                <w:t>Item 4. Mine Safety Disclosures</w:t>
              </w:r>
            </w:hyperlink>
          </w:p>
        </w:tc>
        <w:tc>
          <w:tcPr>
            <w:tcW w:w="57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a72d51699dfe4642b6d216bb45e2e276_163">
              <w:r>
                <w:rPr>
                  <w:rStyle w:val="InternetLink"/>
                  <w:rFonts w:ascii="Times New Roman;sans-serif" w:hAnsi="Times New Roman;sans-serif"/>
                  <w:b w:val="false"/>
                  <w:strike w:val="false"/>
                  <w:dstrike w:val="false"/>
                  <w:color w:val="0000FF"/>
                  <w:sz w:val="20"/>
                  <w:u w:val="none"/>
                  <w:effect w:val="none"/>
                </w:rPr>
                <w:t>32</w:t>
              </w:r>
            </w:hyperlink>
          </w:p>
        </w:tc>
      </w:tr>
      <w:tr>
        <w:trPr/>
        <w:tc>
          <w:tcPr>
            <w:tcW w:w="9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72d51699dfe4642b6d216bb45e2e276_166">
              <w:r>
                <w:rPr>
                  <w:rStyle w:val="InternetLink"/>
                  <w:rFonts w:ascii="Times New Roman;sans-serif" w:hAnsi="Times New Roman;sans-serif"/>
                  <w:b w:val="false"/>
                  <w:color w:val="0000FF"/>
                  <w:sz w:val="20"/>
                  <w:u w:val="single"/>
                </w:rPr>
                <w:t>Item 5. Other Information</w:t>
              </w:r>
            </w:hyperlink>
          </w:p>
        </w:tc>
        <w:tc>
          <w:tcPr>
            <w:tcW w:w="57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a72d51699dfe4642b6d216bb45e2e276_166">
              <w:r>
                <w:rPr>
                  <w:rStyle w:val="InternetLink"/>
                  <w:rFonts w:ascii="Times New Roman;sans-serif" w:hAnsi="Times New Roman;sans-serif"/>
                  <w:b w:val="false"/>
                  <w:strike w:val="false"/>
                  <w:dstrike w:val="false"/>
                  <w:color w:val="0000FF"/>
                  <w:sz w:val="20"/>
                  <w:u w:val="none"/>
                  <w:effect w:val="none"/>
                </w:rPr>
                <w:t>32</w:t>
              </w:r>
            </w:hyperlink>
          </w:p>
        </w:tc>
      </w:tr>
      <w:tr>
        <w:trPr/>
        <w:tc>
          <w:tcPr>
            <w:tcW w:w="9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72d51699dfe4642b6d216bb45e2e276_169">
              <w:r>
                <w:rPr>
                  <w:rStyle w:val="InternetLink"/>
                  <w:rFonts w:ascii="Times New Roman;sans-serif" w:hAnsi="Times New Roman;sans-serif"/>
                  <w:b w:val="false"/>
                  <w:color w:val="0000FF"/>
                  <w:sz w:val="20"/>
                  <w:u w:val="single"/>
                </w:rPr>
                <w:t>Item 6. Exhibits</w:t>
              </w:r>
            </w:hyperlink>
          </w:p>
        </w:tc>
        <w:tc>
          <w:tcPr>
            <w:tcW w:w="57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a72d51699dfe4642b6d216bb45e2e276_169">
              <w:r>
                <w:rPr>
                  <w:rStyle w:val="InternetLink"/>
                  <w:rFonts w:ascii="Times New Roman;sans-serif" w:hAnsi="Times New Roman;sans-serif"/>
                  <w:b w:val="false"/>
                  <w:strike w:val="false"/>
                  <w:dstrike w:val="false"/>
                  <w:color w:val="0000FF"/>
                  <w:sz w:val="20"/>
                  <w:u w:val="none"/>
                  <w:effect w:val="none"/>
                </w:rPr>
                <w:t>33</w:t>
              </w:r>
            </w:hyperlink>
          </w:p>
        </w:tc>
      </w:tr>
      <w:tr>
        <w:trPr/>
        <w:tc>
          <w:tcPr>
            <w:tcW w:w="9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5"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a72d51699dfe4642b6d216bb45e2e276_172">
              <w:r>
                <w:rPr>
                  <w:rStyle w:val="InternetLink"/>
                  <w:rFonts w:ascii="Times New Roman;sans-serif" w:hAnsi="Times New Roman;sans-serif"/>
                  <w:b w:val="false"/>
                  <w:color w:val="0000FF"/>
                  <w:sz w:val="20"/>
                  <w:u w:val="single"/>
                </w:rPr>
                <w:t>Signatures</w:t>
              </w:r>
            </w:hyperlink>
          </w:p>
        </w:tc>
        <w:tc>
          <w:tcPr>
            <w:tcW w:w="57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a72d51699dfe4642b6d216bb45e2e276_172">
              <w:r>
                <w:rPr>
                  <w:rStyle w:val="InternetLink"/>
                  <w:rFonts w:ascii="Times New Roman;sans-serif" w:hAnsi="Times New Roman;sans-serif"/>
                  <w:b w:val="false"/>
                  <w:strike w:val="false"/>
                  <w:dstrike w:val="false"/>
                  <w:color w:val="0000FF"/>
                  <w:sz w:val="20"/>
                  <w:u w:val="none"/>
                  <w:effect w:val="none"/>
                </w:rPr>
                <w:t>34</w:t>
              </w:r>
            </w:hyperlink>
          </w:p>
        </w:tc>
      </w:tr>
    </w:tbl>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692265" cy="146685"/>
                <wp:effectExtent l="0" t="0" r="0" b="0"/>
                <wp:wrapNone/>
                <wp:docPr id="3" name="Frame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before="0" w:after="0"/>
        <w:rPr/>
      </w:pPr>
      <w:r>
        <w:rPr/>
      </w:r>
    </w:p>
    <w:p>
      <w:pPr>
        <w:pStyle w:val="TextBody"/>
        <w:spacing w:before="0" w:after="0"/>
        <w:jc w:val="center"/>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1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DEFINITIONS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this Quarterly Report on Form 10-Q, the words “IES”, the “Company”, the “Registrant”, “we”, “our”, “ours” and “us” refer to IES Holdings, Inc. and, except as otherwise specified herein, to our subsidiaries.</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DISCLOSURE REGARDING FORWARD-LOOKING STATEMENTS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includes certain statements that may be deemed “forward-looking statements” within the meaning of Section 27A of the Securities Act of 1933, as amended, and Section 21E of the Securities Exchange Act of 1934, as amended, all of which are based upon various estimates and assumptions that the Company believes to be reasonable as of the date hereof. In some cases, you can identify forward-looking statements by terminology such as “may,” “will,” “could,” “should,” “expect,” “plan,” “project,” “intend,” “anticipate,” “believe,” “seek,” “estimate,” “predict,” “potential,” “pursue,” “target,” “continue,” the negative of such terms or other comparable terminology. These statements involve risks and uncertainties that could cause the Company’s actual future outcomes to differ materially from those set forth in such statements. Such risks and uncertainties include, but are not limited to:</w:t>
      </w:r>
    </w:p>
    <w:p>
      <w:pPr>
        <w:pStyle w:val="TextBody"/>
        <w:spacing w:before="0" w:after="0"/>
        <w:rPr/>
      </w:pPr>
      <w:r>
        <w:rPr/>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 xml:space="preserve">the impact of the COVID-19 outbreak or future epidemics on our business, including the potential for new or continuing job site closures or work stoppages, supply chain disruptions, delays in awarding new project bids, construction delays, reduced demand for our services, delays in our ability to collect from our customers, or illness of management or other employees; </w:t>
      </w:r>
    </w:p>
    <w:p>
      <w:pPr>
        <w:pStyle w:val="TextBody"/>
        <w:spacing w:before="0" w:after="0"/>
        <w:rPr/>
      </w:pPr>
      <w:r>
        <w:rPr/>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competition in the industries in which we operate, both from third parties and former employees, which could result in the loss of one or more customers or lead to lower margins on new projects;</w:t>
      </w:r>
    </w:p>
    <w:p>
      <w:pPr>
        <w:pStyle w:val="TextBody"/>
        <w:spacing w:before="0" w:after="0"/>
        <w:rPr/>
      </w:pPr>
      <w:r>
        <w:rPr/>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our ability to successfully manage projects, the cost and availability of qualified labor and the ability to maintain positive labor relations, and our ability to pass along increases in the cost of commodities used in our business, in particular, copper, aluminum, steel, fuel and certain plastics; potential supply chain disruptions due to credit or liquidity problems faced by our suppliers;</w:t>
      </w:r>
    </w:p>
    <w:p>
      <w:pPr>
        <w:pStyle w:val="TextBody"/>
        <w:spacing w:before="0" w:after="0"/>
        <w:rPr/>
      </w:pPr>
      <w:r>
        <w:rPr/>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our ability to enter into, and the terms of, future contracts;</w:t>
      </w:r>
    </w:p>
    <w:p>
      <w:pPr>
        <w:pStyle w:val="TextBody"/>
        <w:spacing w:before="0" w:after="0"/>
        <w:rPr/>
      </w:pPr>
      <w:r>
        <w:rPr/>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the inability to carry out plans and strategies as expected, including the inability to identify and complete acquisitions that meet our investment criteria in furtherance of our corporate strategy, or the subsequent underperformance of those acquisitions;</w:t>
      </w:r>
    </w:p>
    <w:p>
      <w:pPr>
        <w:pStyle w:val="TextBody"/>
        <w:spacing w:before="0" w:after="0"/>
        <w:rPr/>
      </w:pPr>
      <w:r>
        <w:rPr/>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challenges integrating new businesses into the Company or new types of work, products or processes into our segments;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 general reduction in the demand for our services;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backlog that may not be realized or may not result in profits;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closures or sales of facilities resulting in significant future charges, including potential warranty losses or other unexpected liabilities, or a significant disruption of our operations;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an increased cost of surety bonds affecting margins on work and the potential for our surety providers to refuse bonding or require additional collateral at their discretion;</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fluctuations in operating activity due to downturns in levels of construction or the housing market, seasonality and differing regional economic conditions;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increases in bad debt expense and days sales outstanding due to liquidity problems faced by our customers;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accidents resulting from the physical hazards associated with our work and the potential for accidents;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possibility that our current insurance coverage may not be adequate or that we may not be able to obtain policies at acceptable rates;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effect of litigation, claims and contingencies, including warranty losses, damages or other latent defect claims in excess of our existing reserves and accruals;</w:t>
      </w: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692265" cy="146685"/>
                <wp:effectExtent l="0" t="0" r="0" b="0"/>
                <wp:wrapNone/>
                <wp:docPr id="4" name="Frame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interruptions to our information systems and cyber security or data breaches;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liabilities under laws and regulations protecting the environment;</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loss of key personnel and effective transition of new management, or inability to transfer, renew and obtain electrical and other licenses;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possibility that certain tax benefits of our net operating losses may be restricted or reduced in a change in ownership or a change in the federal tax rate;</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recognition of tax benefits related to uncertain tax positions and the potential for disagreements with taxing authorities with regard to tax positions we have adopted;</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potential recognition of valuation allowances or write-downs on deferred tax assets;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limitations on the availability of sufficient credit or cash flow to fund our working capital needs and capital expenditures, complete acquisitions, and for debt service;</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credit and capital market conditions, including changes in interest rates that affect the cost of construction financing and mortgages, and the inability of some of our customers to retain sufficient financing, which could lead to project delays or cancellations;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difficulty in fulfilling the covenant terms of our revolving credit facility, including liquidity, and other financial requirements, which could result in a default and acceleration of any indebtedness we may incur under our revolving credit facility;</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inaccurate estimates used when entering into fixed-priced contracts, the possibility of errors when estimating revenue and progress to date on percentage-of-completion contracts, and complications associated with the incorporation of new accounting, control and operating procedures;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uncertainties inherent in estimating future operating results, including revenues, operating income or cash flow;</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recognition of potential goodwill, long-lived assets and other investment impairments;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phase-out, replacement or unavailability of the London Interbank Offered Rate ("LIBOR");</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existence of a controlling shareholder, who has the ability to take action not aligned with other shareholders or could dispose of all or any portion of the shares of our common stock it holds, which could trigger certain change of control provisions in a number of our material agreements, including our financing and surety arrangements and our executive severance plan, as well as exercisability of the purchase rights under our tax benefit protection plan;</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relatively low trading volume of our common stock, as a result of which it could be more difficult for shareholders to sell a substantial number of shares for the same price at which shareholders could sell a smaller number of shares;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possibility that we issue additional shares of common stock, preferred stock or convertible securities that will dilute the percentage ownership interest of existing stockholders and may dilute the value per share of our common stock;</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the potential for substantial sales of our common stock, which could adversely affect our stock price;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possibility that our internal controls over financial reporting and our disclosure controls and procedures may not prevent all possible errors that could occur, and</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other factors discussed elsewhere in this Quarterly Report on Form 10-Q.</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You should understand that the foregoing, as well as other risk factors discussed in this document and those listed in Part I, Item 1A of our Annual Report on Form 10-K for the fiscal year ended September 30, 2020, could cause future outcomes to differ materially from those experienced previously or those expressed in such forward-looking statements. We undertake no obligation to publicly update or revise any information, including without limitation information concerning our controlling stockholder, net operating losses, borrowing availability or cash position, or any forward-looking statements to reflect events or circumstances that may arise after the date of this report. Forward-looking statements are provided in this Quarterly Report on Form 10-Q pursuant to the safe harbor established under the Private Securities Litigation Reform Act of 1995 and should be evaluated in the context of the estimates, assumptions, uncertainties and risks described herein.</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692265" cy="146685"/>
                <wp:effectExtent l="0" t="0" r="0" b="0"/>
                <wp:wrapNone/>
                <wp:docPr id="5" name="Frame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before="0" w:after="0"/>
        <w:rPr/>
      </w:pPr>
      <w:r>
        <w:rPr/>
      </w:r>
    </w:p>
    <w:p>
      <w:pPr>
        <w:pStyle w:val="TextBody"/>
        <w:spacing w:lineRule="auto" w:line="288" w:before="220" w:after="283"/>
        <w:rPr/>
      </w:pPr>
      <w:r>
        <w:rPr>
          <w:rFonts w:ascii="Times New Roman;sans-serif" w:hAnsi="Times New Roman;sans-serif"/>
          <w:b/>
          <w:color w:val="000000"/>
          <w:sz w:val="20"/>
        </w:rPr>
        <w:t xml:space="preserve">Item 1. </w:t>
      </w:r>
      <w:r>
        <w:rPr>
          <w:rFonts w:ascii="Times New Roman;sans-serif" w:hAnsi="Times New Roman;sans-serif"/>
          <w:b/>
          <w:i/>
          <w:color w:val="000000"/>
          <w:sz w:val="20"/>
        </w:rPr>
        <w:t>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20" w:after="283"/>
        <w:jc w:val="center"/>
        <w:rPr>
          <w:rFonts w:ascii="Times New Roman;sans-serif" w:hAnsi="Times New Roman;sans-serif"/>
          <w:b/>
          <w:color w:val="000000"/>
          <w:sz w:val="20"/>
        </w:rPr>
      </w:pPr>
      <w:r>
        <w:rPr>
          <w:rFonts w:ascii="Times New Roman;sans-serif" w:hAnsi="Times New Roman;sans-serif"/>
          <w:b/>
          <w:color w:val="000000"/>
          <w:sz w:val="20"/>
        </w:rPr>
        <w:t>IES HOLDINGS,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Information)</w:t>
      </w:r>
    </w:p>
    <w:p>
      <w:pPr>
        <w:pStyle w:val="TextBody"/>
        <w:spacing w:before="0" w:after="0"/>
        <w:jc w:val="center"/>
        <w:rPr/>
      </w:pPr>
      <w:r>
        <w:rPr/>
      </w:r>
    </w:p>
    <w:tbl>
      <w:tblPr>
        <w:tblW w:w="10539" w:type="dxa"/>
        <w:jc w:val="center"/>
        <w:tblInd w:w="0" w:type="dxa"/>
        <w:tblCellMar>
          <w:top w:w="28" w:type="dxa"/>
          <w:left w:w="28" w:type="dxa"/>
          <w:bottom w:w="28" w:type="dxa"/>
          <w:right w:w="28" w:type="dxa"/>
        </w:tblCellMar>
      </w:tblPr>
      <w:tblGrid>
        <w:gridCol w:w="170"/>
        <w:gridCol w:w="149"/>
        <w:gridCol w:w="149"/>
        <w:gridCol w:w="149"/>
        <w:gridCol w:w="149"/>
        <w:gridCol w:w="149"/>
        <w:gridCol w:w="389"/>
        <w:gridCol w:w="389"/>
        <w:gridCol w:w="389"/>
        <w:gridCol w:w="1761"/>
        <w:gridCol w:w="1757"/>
        <w:gridCol w:w="1765"/>
        <w:gridCol w:w="109"/>
        <w:gridCol w:w="109"/>
        <w:gridCol w:w="109"/>
        <w:gridCol w:w="222"/>
        <w:gridCol w:w="875"/>
        <w:gridCol w:w="114"/>
        <w:gridCol w:w="109"/>
        <w:gridCol w:w="109"/>
        <w:gridCol w:w="109"/>
        <w:gridCol w:w="230"/>
        <w:gridCol w:w="903"/>
        <w:gridCol w:w="176"/>
      </w:tblGrid>
      <w:tr>
        <w:trPr/>
        <w:tc>
          <w:tcPr>
            <w:tcW w:w="170"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1761" w:type="dxa"/>
            <w:tcBorders/>
            <w:shd w:fill="auto" w:val="clear"/>
            <w:vAlign w:val="center"/>
          </w:tcPr>
          <w:p>
            <w:pPr>
              <w:pStyle w:val="TableContents"/>
              <w:spacing w:before="0" w:after="283"/>
              <w:rPr>
                <w:sz w:val="4"/>
                <w:szCs w:val="4"/>
              </w:rPr>
            </w:pPr>
            <w:r>
              <w:rPr>
                <w:sz w:val="4"/>
                <w:szCs w:val="4"/>
              </w:rPr>
            </w:r>
          </w:p>
        </w:tc>
        <w:tc>
          <w:tcPr>
            <w:tcW w:w="1757" w:type="dxa"/>
            <w:tcBorders/>
            <w:shd w:fill="auto" w:val="clear"/>
            <w:vAlign w:val="center"/>
          </w:tcPr>
          <w:p>
            <w:pPr>
              <w:pStyle w:val="TableContents"/>
              <w:spacing w:before="0" w:after="283"/>
              <w:rPr>
                <w:sz w:val="4"/>
                <w:szCs w:val="4"/>
              </w:rPr>
            </w:pPr>
            <w:r>
              <w:rPr>
                <w:sz w:val="4"/>
                <w:szCs w:val="4"/>
              </w:rPr>
            </w:r>
          </w:p>
        </w:tc>
        <w:tc>
          <w:tcPr>
            <w:tcW w:w="17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r>
      <w:tr>
        <w:trPr/>
        <w:tc>
          <w:tcPr>
            <w:tcW w:w="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w:t>
            </w:r>
          </w:p>
        </w:tc>
      </w:tr>
      <w:tr>
        <w:trPr/>
        <w:tc>
          <w:tcPr>
            <w:tcW w:w="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r>
      <w:tr>
        <w:trPr/>
        <w:tc>
          <w:tcPr>
            <w:tcW w:w="4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65"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5" w:type="dxa"/>
            <w:gridSpan w:val="12"/>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0"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27,281 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53,577 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0"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4,813 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0"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Trade, net of allowance of $1,389 and $2,613, respectively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214,948 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213,016 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Retainage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41,821 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40,878 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0"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33,298 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24,889 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0"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estimated earnings in excess of billings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23,836 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29,937 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0"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12,878 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9,153 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5" w:type="dxa"/>
            <w:gridSpan w:val="12"/>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358,875 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371,450 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5" w:type="dxa"/>
            <w:gridSpan w:val="12"/>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29,164 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24,589 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5" w:type="dxa"/>
            <w:gridSpan w:val="12"/>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86,449 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53,763 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5" w:type="dxa"/>
            <w:gridSpan w:val="12"/>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62,823 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39,357 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5" w:type="dxa"/>
            <w:gridSpan w:val="12"/>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29,760 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33,803 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5" w:type="dxa"/>
            <w:gridSpan w:val="12"/>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right of use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36,606 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31,786 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5" w:type="dxa"/>
            <w:gridSpan w:val="12"/>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5,693 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5,780 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5" w:type="dxa"/>
            <w:gridSpan w:val="12"/>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609,370 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560,528 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5" w:type="dxa"/>
            <w:gridSpan w:val="12"/>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65" w:type="dxa"/>
            <w:gridSpan w:val="12"/>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0"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184,270 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186,710 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0"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Billings in excess of costs and estimated earnings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64,731 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55,739 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5" w:type="dxa"/>
            <w:gridSpan w:val="12"/>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249,001 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242,449 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5" w:type="dxa"/>
            <w:gridSpan w:val="12"/>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5" w:type="dxa"/>
            <w:gridSpan w:val="12"/>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long-term 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23,907 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20,530 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5" w:type="dxa"/>
            <w:gridSpan w:val="12"/>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13,912 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12,215 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5" w:type="dxa"/>
            <w:gridSpan w:val="12"/>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301,315 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275,411 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5" w:type="dxa"/>
            <w:gridSpan w:val="12"/>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5" w:type="dxa"/>
            <w:gridSpan w:val="12"/>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0" w:type="dxa"/>
            <w:gridSpan w:val="6"/>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$0.01 par value, 10,000,000 shares authorized, none issued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 outstanding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0" w:type="dxa"/>
            <w:gridSpan w:val="6"/>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 100,000,000 shares authorized; 22,049,529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issued and 20,769,984 and 20,762,395 outstanding, respectively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0" w:type="dxa"/>
            <w:gridSpan w:val="6"/>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1,279,545 and 1,287,134 shares, respectively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(24,984)</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(24,499)</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0"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201,219 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200,587 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0"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119,007 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107,005 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5" w:type="dxa"/>
            <w:gridSpan w:val="12"/>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295,462 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283,313 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65" w:type="dxa"/>
            <w:gridSpan w:val="12"/>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609,370 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560,528 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spacing w:before="0" w:after="0"/>
        <w:jc w:val="center"/>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692265" cy="146685"/>
                <wp:effectExtent l="0" t="0" r="0" b="0"/>
                <wp:wrapNone/>
                <wp:docPr id="6" name="Frame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before="0" w:after="0"/>
        <w:rPr/>
      </w:pPr>
      <w:r>
        <w:rPr/>
      </w:r>
    </w:p>
    <w:p>
      <w:pPr>
        <w:pStyle w:val="TextBody"/>
        <w:spacing w:lineRule="auto" w:line="288" w:before="220" w:after="283"/>
        <w:jc w:val="center"/>
        <w:rPr>
          <w:rFonts w:ascii="Times New Roman;sans-serif" w:hAnsi="Times New Roman;sans-serif"/>
          <w:b/>
          <w:color w:val="000000"/>
          <w:sz w:val="20"/>
        </w:rPr>
      </w:pPr>
      <w:r>
        <w:rPr>
          <w:rFonts w:ascii="Times New Roman;sans-serif" w:hAnsi="Times New Roman;sans-serif"/>
          <w:b/>
          <w:color w:val="000000"/>
          <w:sz w:val="20"/>
        </w:rPr>
        <w:t>IES HOLDINGS,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Information)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before="0" w:after="0"/>
        <w:jc w:val="center"/>
        <w:rPr/>
      </w:pPr>
      <w:r>
        <w:rPr/>
      </w:r>
    </w:p>
    <w:tbl>
      <w:tblPr>
        <w:tblW w:w="9699" w:type="dxa"/>
        <w:jc w:val="center"/>
        <w:tblInd w:w="0" w:type="dxa"/>
        <w:tblCellMar>
          <w:top w:w="28" w:type="dxa"/>
          <w:left w:w="28" w:type="dxa"/>
          <w:bottom w:w="28" w:type="dxa"/>
          <w:right w:w="28" w:type="dxa"/>
        </w:tblCellMar>
      </w:tblPr>
      <w:tblGrid>
        <w:gridCol w:w="124"/>
        <w:gridCol w:w="109"/>
        <w:gridCol w:w="109"/>
        <w:gridCol w:w="109"/>
        <w:gridCol w:w="109"/>
        <w:gridCol w:w="109"/>
        <w:gridCol w:w="481"/>
        <w:gridCol w:w="481"/>
        <w:gridCol w:w="481"/>
        <w:gridCol w:w="549"/>
        <w:gridCol w:w="549"/>
        <w:gridCol w:w="549"/>
        <w:gridCol w:w="549"/>
        <w:gridCol w:w="549"/>
        <w:gridCol w:w="549"/>
        <w:gridCol w:w="109"/>
        <w:gridCol w:w="109"/>
        <w:gridCol w:w="109"/>
        <w:gridCol w:w="195"/>
        <w:gridCol w:w="195"/>
        <w:gridCol w:w="195"/>
        <w:gridCol w:w="457"/>
        <w:gridCol w:w="457"/>
        <w:gridCol w:w="195"/>
        <w:gridCol w:w="195"/>
        <w:gridCol w:w="195"/>
        <w:gridCol w:w="195"/>
        <w:gridCol w:w="195"/>
        <w:gridCol w:w="195"/>
        <w:gridCol w:w="195"/>
        <w:gridCol w:w="413"/>
        <w:gridCol w:w="413"/>
        <w:gridCol w:w="27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6"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December 31,</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58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87"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37"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314,838 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276,043 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37"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256,159 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225,828 </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94"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58,679 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50,215 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37"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42,786 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37,872 </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3" w:type="dxa"/>
            <w:gridSpan w:val="3"/>
            <w:tcBorders/>
            <w:shd w:fill="auto" w:val="clear"/>
            <w:vAlign w:val="center"/>
          </w:tcPr>
          <w:p>
            <w:pPr>
              <w:pStyle w:val="TableContents"/>
              <w:spacing w:before="0" w:after="283"/>
              <w:rPr>
                <w:sz w:val="4"/>
                <w:szCs w:val="4"/>
              </w:rPr>
            </w:pPr>
            <w:r>
              <w:rPr>
                <w:sz w:val="4"/>
                <w:szCs w:val="4"/>
              </w:rPr>
            </w:r>
          </w:p>
        </w:tc>
        <w:tc>
          <w:tcPr>
            <w:tcW w:w="1647" w:type="dxa"/>
            <w:gridSpan w:val="3"/>
            <w:tcBorders/>
            <w:shd w:fill="auto" w:val="clear"/>
            <w:vAlign w:val="center"/>
          </w:tcPr>
          <w:p>
            <w:pPr>
              <w:pStyle w:val="TableContents"/>
              <w:spacing w:before="0" w:after="283"/>
              <w:rPr>
                <w:sz w:val="4"/>
                <w:szCs w:val="4"/>
              </w:rPr>
            </w:pPr>
            <w:r>
              <w:rPr>
                <w:sz w:val="4"/>
                <w:szCs w:val="4"/>
              </w:rPr>
            </w:r>
          </w:p>
        </w:tc>
        <w:tc>
          <w:tcPr>
            <w:tcW w:w="16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85" w:type="dxa"/>
            <w:gridSpan w:val="3"/>
            <w:tcBorders/>
            <w:shd w:fill="auto" w:val="clear"/>
            <w:vAlign w:val="center"/>
          </w:tcPr>
          <w:p>
            <w:pPr>
              <w:pStyle w:val="TableContents"/>
              <w:spacing w:before="0" w:after="283"/>
              <w:rPr>
                <w:sz w:val="4"/>
                <w:szCs w:val="4"/>
              </w:rPr>
            </w:pPr>
            <w:r>
              <w:rPr>
                <w:sz w:val="4"/>
                <w:szCs w:val="4"/>
              </w:rPr>
            </w:r>
          </w:p>
        </w:tc>
        <w:tc>
          <w:tcPr>
            <w:tcW w:w="1109" w:type="dxa"/>
            <w:gridSpan w:val="3"/>
            <w:tcBorders/>
            <w:shd w:fill="auto" w:val="clear"/>
            <w:vAlign w:val="center"/>
          </w:tcPr>
          <w:p>
            <w:pPr>
              <w:pStyle w:val="TableContents"/>
              <w:spacing w:before="0" w:after="283"/>
              <w:rPr>
                <w:sz w:val="4"/>
                <w:szCs w:val="4"/>
              </w:rPr>
            </w:pPr>
            <w:r>
              <w:rPr>
                <w:sz w:val="4"/>
                <w:szCs w:val="4"/>
              </w:rPr>
            </w:r>
          </w:p>
        </w:tc>
        <w:tc>
          <w:tcPr>
            <w:tcW w:w="585" w:type="dxa"/>
            <w:gridSpan w:val="3"/>
            <w:tcBorders/>
            <w:shd w:fill="auto" w:val="clear"/>
            <w:vAlign w:val="center"/>
          </w:tcPr>
          <w:p>
            <w:pPr>
              <w:pStyle w:val="TableContents"/>
              <w:spacing w:before="0" w:after="283"/>
              <w:rPr>
                <w:sz w:val="4"/>
                <w:szCs w:val="4"/>
              </w:rPr>
            </w:pPr>
            <w:r>
              <w:rPr>
                <w:sz w:val="4"/>
                <w:szCs w:val="4"/>
              </w:rPr>
            </w:r>
          </w:p>
        </w:tc>
        <w:tc>
          <w:tcPr>
            <w:tcW w:w="1687" w:type="dxa"/>
            <w:gridSpan w:val="6"/>
            <w:tcBorders/>
            <w:shd w:fill="auto" w:val="clea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37"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94"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15,903 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12,379 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37"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37"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37"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37"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 before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15,849 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11,999 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37"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3,639 </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3,469 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37"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12,210 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8,530 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37"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37"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IES Holdings,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12,098 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8,502 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37" w:type="dxa"/>
            <w:gridSpan w:val="9"/>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37"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 attributable to IES Holdings,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94"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0.58</w:t>
            </w:r>
          </w:p>
        </w:tc>
        <w:tc>
          <w:tcPr>
            <w:tcW w:w="5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0.40</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94"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0.58</w:t>
            </w:r>
          </w:p>
        </w:tc>
        <w:tc>
          <w:tcPr>
            <w:tcW w:w="5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64" w:type="dxa"/>
            <w:gridSpan w:val="12"/>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used in the computation of earnings per share:</w:t>
            </w:r>
          </w:p>
        </w:tc>
        <w:tc>
          <w:tcPr>
            <w:tcW w:w="5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94"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20,734,516</w:t>
            </w:r>
          </w:p>
        </w:tc>
        <w:tc>
          <w:tcPr>
            <w:tcW w:w="5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20,883,477</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94"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21,061,355</w:t>
            </w:r>
          </w:p>
        </w:tc>
        <w:tc>
          <w:tcPr>
            <w:tcW w:w="5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21,148,312</w:t>
            </w:r>
          </w:p>
        </w:tc>
      </w:tr>
    </w:tbl>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spacing w:before="0" w:after="0"/>
        <w:jc w:val="center"/>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692265" cy="146685"/>
                <wp:effectExtent l="0" t="0" r="0" b="0"/>
                <wp:wrapNone/>
                <wp:docPr id="7" name="Frame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before="0" w:after="0"/>
        <w:rPr/>
      </w:pPr>
      <w:r>
        <w:rPr/>
      </w:r>
    </w:p>
    <w:p>
      <w:pPr>
        <w:pStyle w:val="TextBody"/>
        <w:spacing w:lineRule="auto" w:line="288" w:before="220" w:after="283"/>
        <w:jc w:val="center"/>
        <w:rPr>
          <w:rFonts w:ascii="Times New Roman;sans-serif" w:hAnsi="Times New Roman;sans-serif"/>
          <w:b/>
          <w:color w:val="000000"/>
          <w:sz w:val="20"/>
        </w:rPr>
      </w:pPr>
      <w:r>
        <w:rPr>
          <w:rFonts w:ascii="Times New Roman;sans-serif" w:hAnsi="Times New Roman;sans-serif"/>
          <w:b/>
          <w:color w:val="000000"/>
          <w:sz w:val="20"/>
        </w:rPr>
        <w:t>IES HOLDINGS,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 (unaudited)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Information)</w:t>
      </w:r>
    </w:p>
    <w:p>
      <w:pPr>
        <w:pStyle w:val="TextBody"/>
        <w:spacing w:before="0" w:after="0"/>
        <w:jc w:val="center"/>
        <w:rPr/>
      </w:pPr>
      <w:r>
        <w:rPr/>
      </w:r>
    </w:p>
    <w:tbl>
      <w:tblPr>
        <w:tblW w:w="11786" w:type="dxa"/>
        <w:jc w:val="center"/>
        <w:tblInd w:w="0" w:type="dxa"/>
        <w:tblCellMar>
          <w:top w:w="28" w:type="dxa"/>
          <w:left w:w="28" w:type="dxa"/>
          <w:bottom w:w="28" w:type="dxa"/>
          <w:right w:w="28" w:type="dxa"/>
        </w:tblCellMar>
      </w:tblPr>
      <w:tblGrid>
        <w:gridCol w:w="175"/>
        <w:gridCol w:w="154"/>
        <w:gridCol w:w="154"/>
        <w:gridCol w:w="465"/>
        <w:gridCol w:w="390"/>
        <w:gridCol w:w="286"/>
        <w:gridCol w:w="480"/>
        <w:gridCol w:w="481"/>
        <w:gridCol w:w="186"/>
        <w:gridCol w:w="109"/>
        <w:gridCol w:w="109"/>
        <w:gridCol w:w="109"/>
        <w:gridCol w:w="112"/>
        <w:gridCol w:w="112"/>
        <w:gridCol w:w="112"/>
        <w:gridCol w:w="210"/>
        <w:gridCol w:w="211"/>
        <w:gridCol w:w="116"/>
        <w:gridCol w:w="109"/>
        <w:gridCol w:w="109"/>
        <w:gridCol w:w="109"/>
        <w:gridCol w:w="443"/>
        <w:gridCol w:w="443"/>
        <w:gridCol w:w="186"/>
        <w:gridCol w:w="109"/>
        <w:gridCol w:w="109"/>
        <w:gridCol w:w="109"/>
        <w:gridCol w:w="112"/>
        <w:gridCol w:w="112"/>
        <w:gridCol w:w="112"/>
        <w:gridCol w:w="330"/>
        <w:gridCol w:w="331"/>
        <w:gridCol w:w="116"/>
        <w:gridCol w:w="109"/>
        <w:gridCol w:w="109"/>
        <w:gridCol w:w="109"/>
        <w:gridCol w:w="140"/>
        <w:gridCol w:w="140"/>
        <w:gridCol w:w="140"/>
        <w:gridCol w:w="368"/>
        <w:gridCol w:w="368"/>
        <w:gridCol w:w="141"/>
        <w:gridCol w:w="109"/>
        <w:gridCol w:w="109"/>
        <w:gridCol w:w="109"/>
        <w:gridCol w:w="120"/>
        <w:gridCol w:w="120"/>
        <w:gridCol w:w="120"/>
        <w:gridCol w:w="368"/>
        <w:gridCol w:w="368"/>
        <w:gridCol w:w="121"/>
        <w:gridCol w:w="109"/>
        <w:gridCol w:w="109"/>
        <w:gridCol w:w="109"/>
        <w:gridCol w:w="168"/>
        <w:gridCol w:w="168"/>
        <w:gridCol w:w="168"/>
        <w:gridCol w:w="368"/>
        <w:gridCol w:w="368"/>
        <w:gridCol w:w="241"/>
      </w:tblGrid>
      <w:tr>
        <w:trPr/>
        <w:tc>
          <w:tcPr>
            <w:tcW w:w="175"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r>
      <w:tr>
        <w:trPr/>
        <w:tc>
          <w:tcPr>
            <w:tcW w:w="4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2" w:type="dxa"/>
            <w:gridSpan w:val="54"/>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 December 31, 2020</w:t>
            </w:r>
          </w:p>
        </w:tc>
      </w:tr>
      <w:tr>
        <w:trPr/>
        <w:tc>
          <w:tcPr>
            <w:tcW w:w="4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7" w:type="dxa"/>
            <w:gridSpan w:val="12"/>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12" w:type="dxa"/>
            <w:gridSpan w:val="12"/>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Treasury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7" w:type="dxa"/>
            <w:gridSpan w:val="6"/>
            <w:vMerge w:val="restart"/>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Retained Earnings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81" w:type="dxa"/>
            <w:gridSpan w:val="6"/>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 Stockholders' Equity</w:t>
            </w:r>
          </w:p>
        </w:tc>
      </w:tr>
      <w:tr>
        <w:trPr/>
        <w:tc>
          <w:tcPr>
            <w:tcW w:w="4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7"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7" w:type="dxa"/>
            <w:gridSpan w:val="6"/>
            <w:vMerge w:val="continue"/>
            <w:tcBorders>
              <w:top w:val="single" w:sz="8" w:space="0" w:color="000000"/>
            </w:tcBorders>
            <w:shd w:fill="FFFFFF"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1" w:type="dxa"/>
            <w:gridSpan w:val="6"/>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r>
      <w:tr>
        <w:trPr/>
        <w:tc>
          <w:tcPr>
            <w:tcW w:w="1624"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September 30, 2020</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22,049,529 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(1,287,134)</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(24,499)</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200,587 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107,005 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283,313 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Issuances under compensation plans</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38,467 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741 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(741)</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treasury stock</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(30,878)</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(1,226)</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531 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(695)</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compensation</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842 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842 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Decrease in noncontrolling interest</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Cumulative effect adjustment from adoption of new accounting standard</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IES Holdings, Inc.</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12,098 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12,098 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4"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December 31, 2020</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22,049,529 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(1,279,545)</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(24,984)</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201,219 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119,007 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295,462 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5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7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0"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04" w:type="dxa"/>
            <w:gridSpan w:val="3"/>
            <w:tcBorders/>
            <w:shd w:fill="auto" w:val="clear"/>
            <w:vAlign w:val="center"/>
          </w:tcPr>
          <w:p>
            <w:pPr>
              <w:pStyle w:val="TableContents"/>
              <w:spacing w:before="0" w:after="283"/>
              <w:rPr>
                <w:sz w:val="4"/>
                <w:szCs w:val="4"/>
              </w:rPr>
            </w:pPr>
            <w:r>
              <w:rPr>
                <w:sz w:val="4"/>
                <w:szCs w:val="4"/>
              </w:rPr>
            </w:r>
          </w:p>
        </w:tc>
        <w:tc>
          <w:tcPr>
            <w:tcW w:w="977" w:type="dxa"/>
            <w:gridSpan w:val="3"/>
            <w:tcBorders/>
            <w:shd w:fill="auto" w:val="clear"/>
            <w:vAlign w:val="center"/>
          </w:tcPr>
          <w:p>
            <w:pPr>
              <w:pStyle w:val="TableContents"/>
              <w:spacing w:before="0" w:after="283"/>
              <w:rPr>
                <w:sz w:val="4"/>
                <w:szCs w:val="4"/>
              </w:rPr>
            </w:pPr>
            <w:r>
              <w:rPr>
                <w:sz w:val="4"/>
                <w:szCs w:val="4"/>
              </w:rPr>
            </w:r>
          </w:p>
        </w:tc>
      </w:tr>
      <w:tr>
        <w:trPr/>
        <w:tc>
          <w:tcPr>
            <w:tcW w:w="483"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5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7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0"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8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04" w:type="dxa"/>
            <w:gridSpan w:val="3"/>
            <w:tcBorders/>
            <w:shd w:fill="auto" w:val="clear"/>
            <w:vAlign w:val="center"/>
          </w:tcPr>
          <w:p>
            <w:pPr>
              <w:pStyle w:val="TableContents"/>
              <w:spacing w:before="0" w:after="283"/>
              <w:rPr>
                <w:sz w:val="4"/>
                <w:szCs w:val="4"/>
              </w:rPr>
            </w:pPr>
            <w:r>
              <w:rPr>
                <w:sz w:val="4"/>
                <w:szCs w:val="4"/>
              </w:rPr>
            </w:r>
          </w:p>
        </w:tc>
        <w:tc>
          <w:tcPr>
            <w:tcW w:w="977"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tbl>
      <w:tblPr>
        <w:tblW w:w="11561" w:type="dxa"/>
        <w:jc w:val="center"/>
        <w:tblInd w:w="0" w:type="dxa"/>
        <w:tblCellMar>
          <w:top w:w="28" w:type="dxa"/>
          <w:left w:w="28" w:type="dxa"/>
          <w:bottom w:w="28" w:type="dxa"/>
          <w:right w:w="28" w:type="dxa"/>
        </w:tblCellMar>
      </w:tblPr>
      <w:tblGrid>
        <w:gridCol w:w="175"/>
        <w:gridCol w:w="154"/>
        <w:gridCol w:w="154"/>
        <w:gridCol w:w="465"/>
        <w:gridCol w:w="390"/>
        <w:gridCol w:w="286"/>
        <w:gridCol w:w="480"/>
        <w:gridCol w:w="481"/>
        <w:gridCol w:w="186"/>
        <w:gridCol w:w="109"/>
        <w:gridCol w:w="109"/>
        <w:gridCol w:w="109"/>
        <w:gridCol w:w="112"/>
        <w:gridCol w:w="112"/>
        <w:gridCol w:w="112"/>
        <w:gridCol w:w="210"/>
        <w:gridCol w:w="211"/>
        <w:gridCol w:w="116"/>
        <w:gridCol w:w="109"/>
        <w:gridCol w:w="109"/>
        <w:gridCol w:w="109"/>
        <w:gridCol w:w="375"/>
        <w:gridCol w:w="376"/>
        <w:gridCol w:w="186"/>
        <w:gridCol w:w="109"/>
        <w:gridCol w:w="109"/>
        <w:gridCol w:w="109"/>
        <w:gridCol w:w="112"/>
        <w:gridCol w:w="112"/>
        <w:gridCol w:w="112"/>
        <w:gridCol w:w="330"/>
        <w:gridCol w:w="331"/>
        <w:gridCol w:w="116"/>
        <w:gridCol w:w="109"/>
        <w:gridCol w:w="109"/>
        <w:gridCol w:w="109"/>
        <w:gridCol w:w="140"/>
        <w:gridCol w:w="140"/>
        <w:gridCol w:w="140"/>
        <w:gridCol w:w="368"/>
        <w:gridCol w:w="368"/>
        <w:gridCol w:w="141"/>
        <w:gridCol w:w="109"/>
        <w:gridCol w:w="109"/>
        <w:gridCol w:w="109"/>
        <w:gridCol w:w="120"/>
        <w:gridCol w:w="120"/>
        <w:gridCol w:w="120"/>
        <w:gridCol w:w="323"/>
        <w:gridCol w:w="323"/>
        <w:gridCol w:w="121"/>
        <w:gridCol w:w="109"/>
        <w:gridCol w:w="109"/>
        <w:gridCol w:w="109"/>
        <w:gridCol w:w="168"/>
        <w:gridCol w:w="168"/>
        <w:gridCol w:w="168"/>
        <w:gridCol w:w="368"/>
        <w:gridCol w:w="368"/>
        <w:gridCol w:w="241"/>
      </w:tblGrid>
      <w:tr>
        <w:trPr/>
        <w:tc>
          <w:tcPr>
            <w:tcW w:w="175"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r>
      <w:tr>
        <w:trPr/>
        <w:tc>
          <w:tcPr>
            <w:tcW w:w="4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7" w:type="dxa"/>
            <w:gridSpan w:val="54"/>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 December 31, 2019</w:t>
            </w:r>
          </w:p>
        </w:tc>
      </w:tr>
      <w:tr>
        <w:trPr/>
        <w:tc>
          <w:tcPr>
            <w:tcW w:w="4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7" w:type="dxa"/>
            <w:gridSpan w:val="12"/>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77" w:type="dxa"/>
            <w:gridSpan w:val="12"/>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Treasury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6"/>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Retained Earnings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81" w:type="dxa"/>
            <w:gridSpan w:val="6"/>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 Stockholders' Equity</w:t>
            </w:r>
          </w:p>
        </w:tc>
      </w:tr>
      <w:tr>
        <w:trPr/>
        <w:tc>
          <w:tcPr>
            <w:tcW w:w="4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7"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Additional Paid -In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gridSpan w:val="6"/>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1" w:type="dxa"/>
            <w:gridSpan w:val="6"/>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r>
      <w:tr>
        <w:trPr/>
        <w:tc>
          <w:tcPr>
            <w:tcW w:w="1624"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September 30, 2019</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22,049,529 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(884,518)</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(12,483)</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192,911 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65,600 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246,248 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Issuances under compensation plans</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95,409 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1,343 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(1,343)</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treasury stock</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(37,244)</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(858)</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(858)</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compensation</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931 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931 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Increase in noncontrolling interest</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IES Holdings, Inc.</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8,502 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8,502 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4"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December 31, 2019</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22,049,529 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(826,353)</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(11,998)</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192,499 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74,057 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254,778 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483"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5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7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0"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04" w:type="dxa"/>
            <w:gridSpan w:val="3"/>
            <w:tcBorders/>
            <w:shd w:fill="auto" w:val="clear"/>
            <w:vAlign w:val="center"/>
          </w:tcPr>
          <w:p>
            <w:pPr>
              <w:pStyle w:val="TableContents"/>
              <w:spacing w:before="0" w:after="283"/>
              <w:rPr>
                <w:sz w:val="4"/>
                <w:szCs w:val="4"/>
              </w:rPr>
            </w:pPr>
            <w:r>
              <w:rPr>
                <w:sz w:val="4"/>
                <w:szCs w:val="4"/>
              </w:rPr>
            </w:r>
          </w:p>
        </w:tc>
        <w:tc>
          <w:tcPr>
            <w:tcW w:w="977" w:type="dxa"/>
            <w:gridSpan w:val="3"/>
            <w:tcBorders/>
            <w:shd w:fill="auto" w:val="clear"/>
            <w:vAlign w:val="center"/>
          </w:tcPr>
          <w:p>
            <w:pPr>
              <w:pStyle w:val="TableContents"/>
              <w:spacing w:before="0" w:after="283"/>
              <w:rPr>
                <w:sz w:val="4"/>
                <w:szCs w:val="4"/>
              </w:rPr>
            </w:pPr>
            <w:r>
              <w:rPr>
                <w:sz w:val="4"/>
                <w:szCs w:val="4"/>
              </w:rPr>
            </w:r>
          </w:p>
        </w:tc>
      </w:tr>
      <w:tr>
        <w:trPr/>
        <w:tc>
          <w:tcPr>
            <w:tcW w:w="483"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5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36" w:type="dxa"/>
            <w:gridSpan w:val="3"/>
            <w:tcBorders/>
            <w:shd w:fill="auto" w:val="clear"/>
            <w:vAlign w:val="center"/>
          </w:tcPr>
          <w:p>
            <w:pPr>
              <w:pStyle w:val="TableContents"/>
              <w:spacing w:before="0" w:after="283"/>
              <w:rPr>
                <w:sz w:val="4"/>
                <w:szCs w:val="4"/>
              </w:rPr>
            </w:pPr>
            <w:r>
              <w:rPr>
                <w:sz w:val="4"/>
                <w:szCs w:val="4"/>
              </w:rPr>
            </w:r>
          </w:p>
        </w:tc>
        <w:tc>
          <w:tcPr>
            <w:tcW w:w="7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20"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04" w:type="dxa"/>
            <w:gridSpan w:val="3"/>
            <w:tcBorders/>
            <w:shd w:fill="auto" w:val="clear"/>
            <w:vAlign w:val="center"/>
          </w:tcPr>
          <w:p>
            <w:pPr>
              <w:pStyle w:val="TableContents"/>
              <w:spacing w:before="0" w:after="283"/>
              <w:rPr>
                <w:sz w:val="4"/>
                <w:szCs w:val="4"/>
              </w:rPr>
            </w:pPr>
            <w:r>
              <w:rPr>
                <w:sz w:val="4"/>
                <w:szCs w:val="4"/>
              </w:rPr>
            </w:r>
          </w:p>
        </w:tc>
        <w:tc>
          <w:tcPr>
            <w:tcW w:w="977"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spacing w:before="0" w:after="0"/>
        <w:jc w:val="center"/>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692265" cy="146685"/>
                <wp:effectExtent l="0" t="0" r="0" b="0"/>
                <wp:wrapNone/>
                <wp:docPr id="8" name="Frame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before="0" w:after="0"/>
        <w:rPr/>
      </w:pPr>
      <w:r>
        <w:rPr/>
      </w:r>
    </w:p>
    <w:p>
      <w:pPr>
        <w:pStyle w:val="TextBody"/>
        <w:spacing w:lineRule="auto" w:line="288" w:before="220" w:after="283"/>
        <w:jc w:val="center"/>
        <w:rPr>
          <w:rFonts w:ascii="Times New Roman;sans-serif" w:hAnsi="Times New Roman;sans-serif"/>
          <w:b/>
          <w:color w:val="000000"/>
          <w:sz w:val="20"/>
        </w:rPr>
      </w:pPr>
      <w:r>
        <w:rPr>
          <w:rFonts w:ascii="Times New Roman;sans-serif" w:hAnsi="Times New Roman;sans-serif"/>
          <w:b/>
          <w:color w:val="000000"/>
          <w:sz w:val="20"/>
        </w:rPr>
        <w:t>IES HOLDINGS,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before="0" w:after="0"/>
        <w:rPr/>
      </w:pPr>
      <w:r>
        <w:rPr/>
      </w:r>
    </w:p>
    <w:tbl>
      <w:tblPr>
        <w:tblW w:w="10539" w:type="dxa"/>
        <w:jc w:val="center"/>
        <w:tblInd w:w="0" w:type="dxa"/>
        <w:tblCellMar>
          <w:top w:w="28" w:type="dxa"/>
          <w:left w:w="28" w:type="dxa"/>
          <w:bottom w:w="28" w:type="dxa"/>
          <w:right w:w="28" w:type="dxa"/>
        </w:tblCellMar>
      </w:tblPr>
      <w:tblGrid>
        <w:gridCol w:w="393"/>
        <w:gridCol w:w="346"/>
        <w:gridCol w:w="346"/>
        <w:gridCol w:w="888"/>
        <w:gridCol w:w="779"/>
        <w:gridCol w:w="776"/>
        <w:gridCol w:w="1230"/>
        <w:gridCol w:w="939"/>
        <w:gridCol w:w="968"/>
        <w:gridCol w:w="109"/>
        <w:gridCol w:w="109"/>
        <w:gridCol w:w="109"/>
        <w:gridCol w:w="165"/>
        <w:gridCol w:w="165"/>
        <w:gridCol w:w="165"/>
        <w:gridCol w:w="386"/>
        <w:gridCol w:w="388"/>
        <w:gridCol w:w="165"/>
        <w:gridCol w:w="165"/>
        <w:gridCol w:w="165"/>
        <w:gridCol w:w="165"/>
        <w:gridCol w:w="165"/>
        <w:gridCol w:w="165"/>
        <w:gridCol w:w="165"/>
        <w:gridCol w:w="437"/>
        <w:gridCol w:w="442"/>
        <w:gridCol w:w="244"/>
      </w:tblGrid>
      <w:tr>
        <w:trPr/>
        <w:tc>
          <w:tcPr>
            <w:tcW w:w="393"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1230"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9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r>
      <w:tr>
        <w:trPr/>
        <w:tc>
          <w:tcPr>
            <w:tcW w:w="1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7"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December 31,</w:t>
            </w:r>
          </w:p>
        </w:tc>
      </w:tr>
      <w:tr>
        <w:trPr/>
        <w:tc>
          <w:tcPr>
            <w:tcW w:w="1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49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18"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r>
      <w:tr>
        <w:trPr/>
        <w:tc>
          <w:tcPr>
            <w:tcW w:w="6665"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80"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12,210 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8,530 </w:t>
            </w:r>
          </w:p>
        </w:tc>
        <w:tc>
          <w:tcPr>
            <w:tcW w:w="2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80"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Bad debt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financing cost amortization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2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4,020 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2,362 </w:t>
            </w:r>
          </w:p>
        </w:tc>
        <w:tc>
          <w:tcPr>
            <w:tcW w:w="2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2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compensation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931 </w:t>
            </w:r>
          </w:p>
        </w:tc>
        <w:tc>
          <w:tcPr>
            <w:tcW w:w="2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2,751 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2,815 </w:t>
            </w:r>
          </w:p>
        </w:tc>
        <w:tc>
          <w:tcPr>
            <w:tcW w:w="2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80"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6,008 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16,699 </w:t>
            </w:r>
          </w:p>
        </w:tc>
        <w:tc>
          <w:tcPr>
            <w:tcW w:w="2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(4,320)</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1,683 </w:t>
            </w:r>
          </w:p>
        </w:tc>
        <w:tc>
          <w:tcPr>
            <w:tcW w:w="2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estimated earnings in excess of billings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6,101 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1,918 </w:t>
            </w:r>
          </w:p>
        </w:tc>
        <w:tc>
          <w:tcPr>
            <w:tcW w:w="2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(6,291)</w:t>
            </w:r>
          </w:p>
        </w:tc>
        <w:tc>
          <w:tcPr>
            <w:tcW w:w="2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2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(14,764)</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(22,772)</w:t>
            </w:r>
          </w:p>
        </w:tc>
        <w:tc>
          <w:tcPr>
            <w:tcW w:w="2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Billings in excess of costs and estimated earnings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8,992 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4,992 </w:t>
            </w:r>
          </w:p>
        </w:tc>
        <w:tc>
          <w:tcPr>
            <w:tcW w:w="2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65"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7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11,021 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65"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80"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w:t>
            </w:r>
          </w:p>
        </w:tc>
        <w:tc>
          <w:tcPr>
            <w:tcW w:w="2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80"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2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80"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in conjunction with business combinations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(54,774)</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65"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7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(55,944)</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65"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80"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of debt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25,115 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104,189 </w:t>
            </w:r>
          </w:p>
        </w:tc>
        <w:tc>
          <w:tcPr>
            <w:tcW w:w="2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80"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(10,099)</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(104,189)</w:t>
            </w:r>
          </w:p>
        </w:tc>
        <w:tc>
          <w:tcPr>
            <w:tcW w:w="2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80"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finance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80"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to noncontrolling interest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w:t>
            </w:r>
          </w:p>
        </w:tc>
        <w:tc>
          <w:tcPr>
            <w:tcW w:w="2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80"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treasury stock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w:t>
            </w:r>
          </w:p>
        </w:tc>
        <w:tc>
          <w:tcPr>
            <w:tcW w:w="2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5" w:type="dxa"/>
            <w:gridSpan w:val="3"/>
            <w:tcBorders/>
            <w:shd w:fill="auto" w:val="clear"/>
            <w:vAlign w:val="center"/>
          </w:tcPr>
          <w:p>
            <w:pPr>
              <w:pStyle w:val="TableContents"/>
              <w:spacing w:before="0" w:after="283"/>
              <w:rPr>
                <w:sz w:val="4"/>
                <w:szCs w:val="4"/>
              </w:rPr>
            </w:pPr>
            <w:r>
              <w:rPr>
                <w:sz w:val="4"/>
                <w:szCs w:val="4"/>
              </w:rPr>
            </w:r>
          </w:p>
        </w:tc>
        <w:tc>
          <w:tcPr>
            <w:tcW w:w="2443" w:type="dxa"/>
            <w:gridSpan w:val="3"/>
            <w:tcBorders/>
            <w:shd w:fill="auto" w:val="clear"/>
            <w:vAlign w:val="center"/>
          </w:tcPr>
          <w:p>
            <w:pPr>
              <w:pStyle w:val="TableContents"/>
              <w:spacing w:before="0" w:after="283"/>
              <w:rPr>
                <w:sz w:val="4"/>
                <w:szCs w:val="4"/>
              </w:rPr>
            </w:pPr>
            <w:r>
              <w:rPr>
                <w:sz w:val="4"/>
                <w:szCs w:val="4"/>
              </w:rPr>
            </w:r>
          </w:p>
        </w:tc>
        <w:tc>
          <w:tcPr>
            <w:tcW w:w="31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95" w:type="dxa"/>
            <w:gridSpan w:val="3"/>
            <w:tcBorders/>
            <w:shd w:fill="auto" w:val="clear"/>
            <w:vAlign w:val="center"/>
          </w:tcPr>
          <w:p>
            <w:pPr>
              <w:pStyle w:val="TableContents"/>
              <w:spacing w:before="0" w:after="283"/>
              <w:rPr>
                <w:sz w:val="4"/>
                <w:szCs w:val="4"/>
              </w:rPr>
            </w:pPr>
            <w:r>
              <w:rPr>
                <w:sz w:val="4"/>
                <w:szCs w:val="4"/>
              </w:rPr>
            </w:r>
          </w:p>
        </w:tc>
        <w:tc>
          <w:tcPr>
            <w:tcW w:w="939" w:type="dxa"/>
            <w:gridSpan w:val="3"/>
            <w:tcBorders/>
            <w:shd w:fill="auto" w:val="clear"/>
            <w:vAlign w:val="center"/>
          </w:tcPr>
          <w:p>
            <w:pPr>
              <w:pStyle w:val="TableContents"/>
              <w:spacing w:before="0" w:after="283"/>
              <w:rPr>
                <w:sz w:val="4"/>
                <w:szCs w:val="4"/>
              </w:rPr>
            </w:pPr>
            <w:r>
              <w:rPr>
                <w:sz w:val="4"/>
                <w:szCs w:val="4"/>
              </w:rPr>
            </w:r>
          </w:p>
        </w:tc>
        <w:tc>
          <w:tcPr>
            <w:tcW w:w="495" w:type="dxa"/>
            <w:gridSpan w:val="3"/>
            <w:tcBorders/>
            <w:shd w:fill="auto" w:val="clear"/>
            <w:vAlign w:val="center"/>
          </w:tcPr>
          <w:p>
            <w:pPr>
              <w:pStyle w:val="TableContents"/>
              <w:spacing w:before="0" w:after="283"/>
              <w:rPr>
                <w:sz w:val="4"/>
                <w:szCs w:val="4"/>
              </w:rPr>
            </w:pPr>
            <w:r>
              <w:rPr>
                <w:sz w:val="4"/>
                <w:szCs w:val="4"/>
              </w:rPr>
            </w:r>
          </w:p>
        </w:tc>
        <w:tc>
          <w:tcPr>
            <w:tcW w:w="495" w:type="dxa"/>
            <w:gridSpan w:val="3"/>
            <w:tcBorders/>
            <w:shd w:fill="auto" w:val="clear"/>
            <w:vAlign w:val="center"/>
          </w:tcPr>
          <w:p>
            <w:pPr>
              <w:pStyle w:val="TableContents"/>
              <w:spacing w:before="0" w:after="283"/>
              <w:rPr>
                <w:sz w:val="4"/>
                <w:szCs w:val="4"/>
              </w:rPr>
            </w:pPr>
            <w:r>
              <w:rPr>
                <w:sz w:val="4"/>
                <w:szCs w:val="4"/>
              </w:rPr>
            </w:r>
          </w:p>
        </w:tc>
        <w:tc>
          <w:tcPr>
            <w:tcW w:w="1123" w:type="dxa"/>
            <w:gridSpan w:val="3"/>
            <w:tcBorders/>
            <w:shd w:fill="auto" w:val="clear"/>
          </w:tcPr>
          <w:p>
            <w:pPr>
              <w:pStyle w:val="TableContents"/>
              <w:spacing w:before="0" w:after="283"/>
              <w:rPr>
                <w:sz w:val="4"/>
                <w:szCs w:val="4"/>
              </w:rPr>
            </w:pPr>
            <w:r>
              <w:rPr>
                <w:sz w:val="4"/>
                <w:szCs w:val="4"/>
              </w:rPr>
            </w:r>
          </w:p>
        </w:tc>
      </w:tr>
      <w:tr>
        <w:trPr/>
        <w:tc>
          <w:tcPr>
            <w:tcW w:w="6665"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7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14,211 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65"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7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(21,483)</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8,361 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65" w:type="dxa"/>
            <w:gridSpan w:val="9"/>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beginning of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53,577 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18,934 </w:t>
            </w:r>
          </w:p>
        </w:tc>
        <w:tc>
          <w:tcPr>
            <w:tcW w:w="2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65"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end of period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32,094 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87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27,295 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65" w:type="dxa"/>
            <w:gridSpan w:val="9"/>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65" w:type="dxa"/>
            <w:gridSpan w:val="9"/>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DISCLOSURE OF CASH FLOW INFORMATION: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2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w:t>
            </w:r>
          </w:p>
        </w:tc>
        <w:tc>
          <w:tcPr>
            <w:tcW w:w="2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jc w:val="center"/>
        <w:rPr/>
      </w:pPr>
      <w:r>
        <w:rPr/>
      </w:r>
    </w:p>
    <w:p>
      <w:pPr>
        <w:pStyle w:val="TextBody"/>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692265" cy="146685"/>
                <wp:effectExtent l="0" t="0" r="0" b="0"/>
                <wp:wrapNone/>
                <wp:docPr id="9" name="Frame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IES HOLDINGS,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Condensed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Amounts in Thousands Except Share Amounts)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firstLine="720"/>
        <w:jc w:val="both"/>
        <w:rPr>
          <w:rFonts w:ascii="Times New Roman;sans-serif" w:hAnsi="Times New Roman;sans-serif"/>
          <w:b/>
          <w:color w:val="000000"/>
          <w:sz w:val="20"/>
        </w:rPr>
      </w:pPr>
      <w:r>
        <w:rPr>
          <w:rFonts w:ascii="Times New Roman;sans-serif" w:hAnsi="Times New Roman;sans-serif"/>
          <w:b/>
          <w:color w:val="000000"/>
          <w:sz w:val="20"/>
        </w:rPr>
        <w:t>1. BUSINESS AND ACCOUNTING POLICIES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Description of the Business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IES Holdings, Inc</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0"/>
        </w:rPr>
        <w:t>is a holding company that owns and manages operating subsidiaries that design and install integrated electrical and technology systems and provide infrastructure products and services across a variety of end-markets, including data centers, residential housing and commercial and industrial facilities. Our operations are currently organized into four principal business segments, based upon the nature of our current services: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u w:val="single"/>
        </w:rPr>
        <w:t>Communications</w:t>
      </w:r>
      <w:r>
        <w:rPr>
          <w:color w:val="000000"/>
        </w:rPr>
        <w:t xml:space="preserve"> – </w:t>
      </w:r>
      <w:r>
        <w:rPr>
          <w:rFonts w:ascii="Times New Roman;sans-serif" w:hAnsi="Times New Roman;sans-serif"/>
          <w:b w:val="false"/>
          <w:color w:val="000000"/>
          <w:sz w:val="20"/>
        </w:rPr>
        <w:t>Nationwide provider of technology infrastructure services, including the design, build, and maintenance of the communications infrastructure within data centers for co-location and managed hosting customers, for both large corporations and independent businesses.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u w:val="single"/>
        </w:rPr>
        <w:t>Residential</w:t>
      </w:r>
      <w:r>
        <w:rPr>
          <w:color w:val="000000"/>
        </w:rPr>
        <w:t xml:space="preserve"> – </w:t>
      </w:r>
      <w:r>
        <w:rPr>
          <w:rFonts w:ascii="Times New Roman;sans-serif" w:hAnsi="Times New Roman;sans-serif"/>
          <w:b w:val="false"/>
          <w:color w:val="000000"/>
          <w:sz w:val="20"/>
        </w:rPr>
        <w:t xml:space="preserve">Regional provider of electrical installation services for single-family housing and multi-family apartment complexes.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u w:val="single"/>
        </w:rPr>
        <w:t>Infrastructure Solutions</w:t>
      </w:r>
      <w:r>
        <w:rPr>
          <w:color w:val="000000"/>
        </w:rPr>
        <w:t xml:space="preserve"> – </w:t>
      </w:r>
      <w:r>
        <w:rPr>
          <w:rFonts w:ascii="Times New Roman;sans-serif" w:hAnsi="Times New Roman;sans-serif"/>
          <w:b w:val="false"/>
          <w:color w:val="000000"/>
          <w:sz w:val="20"/>
        </w:rPr>
        <w:t xml:space="preserve">Provider of electro-mechanical solutions for industrial operations, including apparatus repair and custom-engineered products, such as generator enclosures, to be used in data centers and other industrial applications.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u w:val="single"/>
        </w:rPr>
        <w:t>Commercial &amp; Industrial</w:t>
      </w:r>
      <w:r>
        <w:rPr>
          <w:color w:val="000000"/>
        </w:rPr>
        <w:t xml:space="preserve"> – </w:t>
      </w:r>
      <w:r>
        <w:rPr>
          <w:rFonts w:ascii="Times New Roman;sans-serif" w:hAnsi="Times New Roman;sans-serif"/>
          <w:b w:val="false"/>
          <w:color w:val="000000"/>
          <w:sz w:val="20"/>
        </w:rPr>
        <w:t>Provider of electrical and mechanical design, construction, and maintenance services to the commercial and industrial markets in various regional markets and nationwide in certain areas of expertise, such as the power infrastructure market and data centers.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words “IES”, the “Company”, “we”, “our”, and “us” refer to IES Holdings, Inc. and, except as otherwise specified herein, to our consolidated subsidiaries.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Seasonality and Quarterly Fluctuations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Results of operations from our Residential segment can be seasonal, depending on weather trends, with typically higher revenues generated during spring and summer and lower revenues generated during fall and winter. The Commercial &amp; Industrial, Communications and Infrastructure Solutions segments of our business are less subject to seasonal trends, as work in these segments generally is performed inside structures protected from the weather, although weather can still impact these businesses, especially in the early stages of projects. Our service and maintenance business is generally not affected by seasonality. Our volume of business may be adversely affected by declines in construction projects resulting from adverse regional or national economic conditions. Quarterly results may also be materially affected by the timing of new construction projects. Results for our Infrastructure Solutions segment may be affected by the timing of outages at our customers’ facilities. Accordingly, operating results for any fiscal period are not necessarily indicative of results that may be achieved for any subsequent fiscal period.</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Basis of Financial Statement Preparation</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include the accounts of IES, our wholly-owned subsidiaries, and entities that we control due to ownership of a majority of voting interest and have been prepared in accordance with the instructions to interim financial reporting as prescribed by the United States Securities and Exchange Commission (the “SEC”). The results for the interim periods are not necessarily indicative of results for the entire year. These interim financial statements do not include all disclosures required by U.S. generally accepted accounting principles (“GAAP”), and should be read in conjunction with the consolidated financial statements and notes thereto filed with the SEC in our Annual Report on Form 10-K for the fiscal year ended September 30, 2020. In the opinion of management, the unaudited Condensed Consolidated Financial Statements contained in this report include all known accruals and adjustments necessary for a fair presentation of the financial position, results of operations, and cash flows for the periods reported herein. Any such adjustments are of a normal recurring nature.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Noncontrolling Interest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our acquisitions of Bayonet Plumbing, Heating and Air-Conditioning, LLC (“Bayonet”) in fiscal 2021, NEXT Electric, LLC in fiscal 2017, and STR Mechanical, LLC in fiscal 2016, we acquired an 80 percent interest in each of the entities, with the remaining 20 percent interest in each such entity being retained by the respective third party seller. The interests retained by those third party sellers are identified on our Condensed Consolidated Balance Sheets as noncontrolling interest, classified outside of permanent equity. Under the terms of each entity’s operating agreement, after five years from the date of the acquisition, we may elect to purchase, or the third party seller may require us to purchase, part or all of the remaining 20 percent interest in the applicable entity. The purchase price is variable, based on a multiple of earnings as defined in the operating agreements. Therefore, this noncontrolling </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692265" cy="146685"/>
                <wp:effectExtent l="0" t="0" r="0" b="0"/>
                <wp:wrapNone/>
                <wp:docPr id="10" name="Frame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is carried at the greater of the balance determined under Accounting Standards Codification (“ASC”) 810 and the redemption amounts assuming the noncontrolling interests were redeemable at the balance sheet date. If all of these interests had been redeemable at December 31, 2020, the redemption amount would have been $12,234. </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Use of Estimates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the use of estimates and assumptions by management in determining the reported amounts of assets and liabilities, disclosures of contingent liabilities at the date of the financial statements and the reported amounts of revenues and expenses during the reporting period. Actual results could differ from those estimates. Estimates are primarily used in our revenue recognition of construction in progress, fair value assumptions in accounting for business combinations and analyzing goodwill, investments, intangible assets and long-lived asset impairments and adjustments, allowance for doubtful accounts receivable, stock-based compensation, reserves for legal matters, realizability of deferred tax assets, unrecognized tax benefits and self-insured claims liabilities and related reserves.</w:t>
      </w:r>
    </w:p>
    <w:p>
      <w:pPr>
        <w:pStyle w:val="TextBody"/>
        <w:spacing w:before="0" w:after="0"/>
        <w:jc w:val="both"/>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Restricted Cash</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subject to contractual restrictions and not readily available are classified as restricted cash. As of December 31, 2020, the Company's restricted cash balances of $4,813 represents cash in escrow for the repayment of a Paycheck Protection Program loan acquired in connection with a business combination completed during the quarter ended December 31, 2020. Pending the outcome of an application for loan forgiveness, the cash in escrow will either be used to repay the loan, or if forgiveness is approved, the cash will be paid to the selling shareholders of the acquired entity. </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Accounting Standards Recently Adopted </w:t>
      </w:r>
    </w:p>
    <w:p>
      <w:pPr>
        <w:pStyle w:val="TextBody"/>
        <w:spacing w:before="0" w:after="0"/>
        <w:jc w:val="both"/>
        <w:rPr/>
      </w:pPr>
      <w:r>
        <w:rPr/>
      </w:r>
    </w:p>
    <w:p>
      <w:pPr>
        <w:pStyle w:val="TextBody"/>
        <w:spacing w:lineRule="auto" w:line="256"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2016, the Financial Accounting Standards Board (“FASB”) issued Accounting Standard Update No. 2016-13, Financial Instruments – Credit Losses (“ASU 2016-13”), which requires companies to consider historical experiences, current market conditions and reasonable and supportable forecasts in the measurement of expected credit losses, with further clarifications made in April 2019 and May 2019 with the issuances of Accounting Standard Updates No. 2019-04 and 2019-05. This update is effective for fiscal years beginning after December 15, 2019 and for interim periods within those fiscal years. We adopted this standard on October 1, 2020, using a modified retrospective transition method through a cumulative-effect adjustment to beginning retained earnings in the period of adoption. As a result, we recorded an increase in the Allowance for Credit Losses of $284, an increase to Deferred Tax Assets of $70, and an adjustment of $214 to retained earnings. </w:t>
      </w:r>
    </w:p>
    <w:p>
      <w:pPr>
        <w:pStyle w:val="TextBody"/>
        <w:spacing w:before="0" w:after="0"/>
        <w:jc w:val="both"/>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ASU 2016-13 requires the recognition of expected credit losses on financial assets measured at amortized cost basis. In calculating our expected credit losses, we considered trade receivables, retainage, and costs and estimated earnings in excess of billings, all of which constitute a homogenous portfolio, and therefore, to measure the expected credit loss, they have been grouped together.</w:t>
      </w:r>
    </w:p>
    <w:p>
      <w:pPr>
        <w:pStyle w:val="TextBody"/>
        <w:spacing w:before="0" w:after="0"/>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We have elected to calculate an expected credit loss based on loss rates from historical data. Each segment groups financial assets with similar risk characteristics and collectively assesses the expected credit losses. If an individual asset experiences credit deterioration to the extent the credit risk is no longer characteristic of the other assets in the group, it will be analyzed individually. The loss rates for our portfolios include our history of credit loss expense, the aging of our receivables, our expectation of payments and adjustment for forward-looking factors specific to the macroeconomic trends in the U.S. construction market.</w:t>
      </w:r>
    </w:p>
    <w:p>
      <w:pPr>
        <w:pStyle w:val="TextBody"/>
        <w:spacing w:before="0" w:after="0"/>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Other than trade receivables due in one year or less, we do not have any other financial assets that are past due or are on non-accrual status.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2018, the FASB issued Accounting Standard Update No. 2018-13, Fair Value Measurement Disclosure Framework (“ASU 2018-13”), to modify certain disclosure requirements for fair value measurements. Under the new guidance, registrants will need to disclose weighted average information for significant unobservable inputs for all Level 3 fair value measurements. The guidance does not specify how entities should calculate the weighted average, but requires them to explain their calculation. The new guidance also requires disclosing the changes in unrealized gains and losses for the period included in other comprehensive income for recurring Level 3 fair value measurements of instruments held at the end of the reporting period. This guidance is effective for fiscal years beginning after December 15, 2019 and for interim periods within those fiscal years. We adopted this standard on October 1, 2020, with no impact on our Condensed Consolidated Financial Statements.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692265" cy="146685"/>
                <wp:effectExtent l="0" t="0" r="0" b="0"/>
                <wp:wrapNone/>
                <wp:docPr id="11" name="Frame1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Accounting Standards Not Yet Adopted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2019, the FASB issued Accounting Standard Update No. 2019-12, “Income Taxes (Topic 740): Simplifying the Accounting for Income Taxes.” This standard simplifies the accounting for income taxes by eliminating certain exceptions to the guidance in Topic 740 related to the approach for intraperiod tax allocation, the methodology for calculating income taxes in an interim period and the recognition of deferred tax liabilities for outside basis differences. The standard also simplifies aspects of the accounting for franchise taxes and enacted changes in tax laws or rates and clarifies the accounting for transactions that result in a step-up in the tax basis of goodwill. This update is effective for fiscal years beginning after December 15, 2020 and interim periods within that year. Early adoption is permitted. We expect to adopt this standard on October 1, 2021, and do not expect it to have a material impact on our Condensed Consolidated Financial Statements.</w:t>
      </w:r>
    </w:p>
    <w:p>
      <w:pPr>
        <w:pStyle w:val="TextBody"/>
        <w:spacing w:before="0" w:after="0"/>
        <w:jc w:val="both"/>
        <w:rPr/>
      </w:pPr>
      <w:r>
        <w:rPr/>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2. CONTROLLING STOCKHOLDER</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Tontine Associates, L.L.C. ("Tontine Associates"), together with its affiliates (collectively, “Tontine”) is the Company’s controlling stockholder, owning approximately 56 percent of the Company’s outstanding common stock based on an amended Schedule 13D filed by Tontine with the United States Securities and Exchange Commission (the "SEC") on October 9, 2020. Accordingly, Tontine has the ability to exercise significant control over our affairs, including the election of directors and most actions requiring the approval of stockholders.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Tontine is subject to certain restrictions under federal securities laws on sales of its shares as an affiliate, the Company has filed a shelf registration statement to register all of the shares of IES common stock owned by Tontine at the time of registration. As long as the shelf registration statement remains effective and the Company remains eligible to use it, Tontine has the ability to resell any or all of its registered shares from time to time in one or more offerings, as described in the shelf registration statement and in any prospectus supplement filed in connection with an offering pursuant to the shelf registration statement.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Should Tontine sell or otherwise dispose of all or a portion of its position in IES, a change in ownership of IES could occur. A change in ownership, as defined by Internal Revenue Code Section 382, could reduce the availability of the Company’s net operating losses (“NOLs”) for federal and state income tax purposes. On November 8, 2016, the Company implemented a tax benefit protection plan (the “NOL Rights Plan”). The NOL Rights Plan is designed to deter an acquisition of the Company's stock in excess of a threshold amount that could trigger a change in ownership within the meaning of Internal Revenue Code Section 382. There can be no assurance that the NOL Rights Plan will be effective in deterring a change in ownership or protecting the NOLs. Furthermore, a change of control would trigger the change of control provisions in a number of our material agreements, including our credit agreement, bonding agreements with our sureties and our executive severance plan.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Jeffrey L. Gendell was appointed as Chief Executive Officer of the Company effective October 1, 2020, having served as the Company's Interim Chief Executive Officer since July 31, 2020. Mr. Gendell also serves as Chairman of the Company's Board of Directors (the "Board"), a position he has held since November 2016. He is the managing member and founder of Tontine, and the brother of David B. Gendell, who has served as a member of our Board since February 2012, and who previously served as Interim Director of Operations from November 2017 to January 2019, as Vice Chairman of the Board from November 2016 to November 2017 and as Chairman of the Board from January 2015 to November 2016. David B. Gendell was an employee of Tontine from 2004 until December 31, 2017.</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party to a sublease agreement with Tontine Associates for corporate office space in Greenwich, Connecticut. The sublease extends through February 27, 2023, with monthly payments due in the amount of approximately $8. Payments by the Company are at a rate consistent with that paid by Tontine Associates to its landlord.</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6, 2018, the Company entered into a Board Observer Letter Agreement (the "Observer Agreement") with Tontine Associates in order to assist Tontine in managing its investment in the Company. Subject to the terms and conditions set forth in the Observer Agreement, the Company granted Tontine the right, at any time that Tontine holds at least 20% of the outstanding common stock of the Company, to appoint a representative to serve as an observer to the Board (the “Board Observer”). The Board Observer, who must be reasonably acceptable to those members of the Board who are not affiliates of Tontine, shall have no voting rights or other decision making authority. Subject to the terms and conditions set forth in the Observer Agreement, so long as Tontine has the right to appoint a Board Observer, the Board Observer will have the right to attend and participate in meetings of the Board and the committees thereof, subject to confidentiality requirements, and to receive reimbursement for reasonable out-of-pocket expenses incurred in his or her capacity as a Board Observer and such rights to coverage under the Company’s directors’ and officers’ liability insurance policy as are available to the Company’s directors.</w:t>
      </w:r>
    </w:p>
    <w:p>
      <w:pPr>
        <w:pStyle w:val="TextBody"/>
        <w:spacing w:before="0" w:after="0"/>
        <w:jc w:val="both"/>
        <w:rPr/>
      </w:pPr>
      <w:r>
        <w:rPr/>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692265" cy="146685"/>
                <wp:effectExtent l="0" t="0" r="0" b="0"/>
                <wp:wrapNone/>
                <wp:docPr id="12" name="Frame1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3. REVENUE RECOGNITION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 is derived from contracts with customers, and we determine the appropriate accounting treatment for each contract at its inception. Our contracts primarily relate to electrical and mechanical contracting services, technology infrastructure products and services, and electro-mechanical solutions for industrial operations. Revenue is earned based upon an agreed fixed price or actual costs incurred plus an agreed upon percentage.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account for a contract when: (i) it has approval and commitment from both parties, (ii) the rights of the parties are identified, (iii) payment terms are identified, (iv) the contract has commercial substance, and (v) collectability of consideration is probable. We consider the start of a project to be when the above criteria have been met and we have written authorization from the customer to proceed.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Performance Obligations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performance obligation is a promise in a contract to transfer a distinct good or service to the customer. A contract’s transaction price is allocated to each distinct performance obligation and recognized as revenue when, or as, the performance obligation is satisfied.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revenue over time for the majority of the services we perform as (i) control continuously transfers to the customer as work progresses at a project location controlled by the customer and (ii) we have the right to bill the customer as costs are incurred. Within our Infrastructure Solutions segment, we often perform work inside our own facilities, where control does not continuously transfer to the customer as work progresses. In such cases, we evaluate whether we have the right to bill the customer as costs are incurred. Such assessment involves an evaluation of contractual termination clauses. Where we have a contractual right to payment for work performed to date, we recognize revenue over time. If we do not have such a right, we recognize revenue upon completion of the contract, when control of the work transfers to the customer.</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fixed price arrangements, we use the percentage of completion method of accounting under which revenue recognized is measured principally by the costs incurred and accrued to date for each contract as a percentage of the estimated total cost for each contract at completion. Contract costs include all direct material, labor and indirect costs related to contract performance. Changes in job performance, job conditions, estimated contract costs and profitability and final contract settlements may result in revisions to costs and income, and the effects of these revisions are recognized in the period in which the revisions are determined. Provisions for estimated losses on uncompleted contracts are made in the period in which such losses are determined. This measurement and comparison process requires updates to the estimate of total costs to complete the contract, and these updates may include subjective assessments and judgments.</w:t>
      </w:r>
    </w:p>
    <w:p>
      <w:pPr>
        <w:pStyle w:val="TextBody"/>
        <w:spacing w:lineRule="auto" w:line="288" w:before="0" w:after="0"/>
        <w:ind w:left="0" w:right="0" w:firstLine="720"/>
        <w:rPr>
          <w:color w:val="FF0000"/>
        </w:rPr>
      </w:pPr>
      <w:r>
        <w:rPr>
          <w:color w:val="FF0000"/>
        </w:rPr>
        <w:t> </w:t>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Variable Consideration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transaction price for our contracts may include variable consideration, which includes changes to transaction price for approved and unapproved change orders, claims and incentives. Change orders, claims and incentives are generally not distinct from the existing contract due to the significant integration service provided in the context of the contract and are accounted for as a modification of the existing contract and performance obligation. We estimate variable consideration for a performance obligation at the probability weighted value we expect to receive (or the most probable amount we expect to incur in the case of liquidated damages, if any), utilizing estimation methods that best predict the amount of consideration to which we will be entitled (or will be incurred in the case of liquidated damages, if any). We include variable consideration in the estimated transaction price to the extent it is probable that a significant reversal of cumulative revenue recognized will not occur or when the uncertainty associated with the variable consideration is resolved. Our estimates of variable consideration and determination of whether to include estimated amounts in transaction price are based largely on an assessment of our anticipated performance and all information (historical, current and forecasted) that is reasonably available to us. The effect of variable consideration on the transaction price of a performance obligation is recognized as an adjustment to revenue on a cumulative catch-up basis. To the extent unapproved change orders and claims reflected in transaction price (or accounted for as a reduction of the transaction price in the case of liquidated damages) are not resolved in our favor, or to the extent incentives reflected in transaction price are not earned, there could be reductions in, or reversals of, previously recognized revenue.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Costs of Obtaining a Contract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certain of our operations, we incur commission costs related to entering into a contract that we only incurred because of that contract. When this occurs, we capitalize that cost and amortize it over the expected term of the contract. At December 31, 2020, we had capitalized commission costs of $96.</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generally do not incur significant incremental costs related to obtaining or fulfilling a contract prior to the start of a project. When </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692265" cy="146685"/>
                <wp:effectExtent l="0" t="0" r="0" b="0"/>
                <wp:wrapNone/>
                <wp:docPr id="13" name="Frame1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significant pre-contract costs are incurred, they will be capitalized and amortized on a percentage of completion basis over the life of the contract.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Disaggregation of Revenue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disaggregate our revenue from contracts with customers by activity and contract type, as these categories reflect how the nature, amount, timing and uncertainty of our revenue and cash flows are affected by economic factors. Our consolidated revenue for the three months ended December 31, 2020 and 2019 was derived from the following activities. See details in the following tables:</w:t>
      </w:r>
    </w:p>
    <w:p>
      <w:pPr>
        <w:pStyle w:val="TextBody"/>
        <w:spacing w:before="0" w:after="0"/>
        <w:rPr/>
      </w:pPr>
      <w:r>
        <w:rPr/>
      </w:r>
    </w:p>
    <w:tbl>
      <w:tblPr>
        <w:tblW w:w="6279" w:type="dxa"/>
        <w:jc w:val="center"/>
        <w:tblInd w:w="0" w:type="dxa"/>
        <w:tblCellMar>
          <w:top w:w="28" w:type="dxa"/>
          <w:left w:w="28" w:type="dxa"/>
          <w:bottom w:w="28" w:type="dxa"/>
          <w:right w:w="28" w:type="dxa"/>
        </w:tblCellMar>
      </w:tblPr>
      <w:tblGrid>
        <w:gridCol w:w="906"/>
        <w:gridCol w:w="797"/>
        <w:gridCol w:w="801"/>
        <w:gridCol w:w="109"/>
        <w:gridCol w:w="109"/>
        <w:gridCol w:w="109"/>
        <w:gridCol w:w="239"/>
        <w:gridCol w:w="937"/>
        <w:gridCol w:w="123"/>
        <w:gridCol w:w="123"/>
        <w:gridCol w:w="123"/>
        <w:gridCol w:w="123"/>
        <w:gridCol w:w="239"/>
        <w:gridCol w:w="937"/>
        <w:gridCol w:w="123"/>
        <w:gridCol w:w="109"/>
        <w:gridCol w:w="109"/>
        <w:gridCol w:w="109"/>
        <w:gridCol w:w="154"/>
      </w:tblGrid>
      <w:tr>
        <w:trPr/>
        <w:tc>
          <w:tcPr>
            <w:tcW w:w="906" w:type="dxa"/>
            <w:tcBorders/>
            <w:shd w:fill="auto" w:val="clear"/>
            <w:vAlign w:val="center"/>
          </w:tcPr>
          <w:p>
            <w:pPr>
              <w:pStyle w:val="TableContents"/>
              <w:spacing w:before="0" w:after="283"/>
              <w:rPr>
                <w:sz w:val="4"/>
                <w:szCs w:val="4"/>
              </w:rPr>
            </w:pPr>
            <w:r>
              <w:rPr>
                <w:sz w:val="4"/>
                <w:szCs w:val="4"/>
              </w:rPr>
            </w:r>
          </w:p>
        </w:tc>
        <w:tc>
          <w:tcPr>
            <w:tcW w:w="797"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937"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937"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December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6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Communications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98,356 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84,289 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Single-family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72,126 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54,874 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Multi-family and 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47,365 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37,854 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Residential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119,491 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92,728 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Infrastructure Solutions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 Services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10,040 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11,111 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 Power Solutions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24,361 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20,172 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Infrastructure Solutions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34,401 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31,283 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&amp; Industrial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62,590 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67,743 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314,838 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276,043 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tbl>
      <w:tblPr>
        <w:tblW w:w="10769" w:type="dxa"/>
        <w:jc w:val="center"/>
        <w:tblInd w:w="0" w:type="dxa"/>
        <w:tblCellMar>
          <w:top w:w="28" w:type="dxa"/>
          <w:left w:w="28" w:type="dxa"/>
          <w:bottom w:w="28" w:type="dxa"/>
          <w:right w:w="28" w:type="dxa"/>
        </w:tblCellMar>
      </w:tblPr>
      <w:tblGrid>
        <w:gridCol w:w="299"/>
        <w:gridCol w:w="263"/>
        <w:gridCol w:w="263"/>
        <w:gridCol w:w="263"/>
        <w:gridCol w:w="263"/>
        <w:gridCol w:w="270"/>
        <w:gridCol w:w="109"/>
        <w:gridCol w:w="109"/>
        <w:gridCol w:w="109"/>
        <w:gridCol w:w="250"/>
        <w:gridCol w:w="250"/>
        <w:gridCol w:w="250"/>
        <w:gridCol w:w="360"/>
        <w:gridCol w:w="361"/>
        <w:gridCol w:w="251"/>
        <w:gridCol w:w="109"/>
        <w:gridCol w:w="109"/>
        <w:gridCol w:w="109"/>
        <w:gridCol w:w="172"/>
        <w:gridCol w:w="172"/>
        <w:gridCol w:w="172"/>
        <w:gridCol w:w="413"/>
        <w:gridCol w:w="413"/>
        <w:gridCol w:w="176"/>
        <w:gridCol w:w="109"/>
        <w:gridCol w:w="109"/>
        <w:gridCol w:w="109"/>
        <w:gridCol w:w="197"/>
        <w:gridCol w:w="197"/>
        <w:gridCol w:w="197"/>
        <w:gridCol w:w="360"/>
        <w:gridCol w:w="361"/>
        <w:gridCol w:w="201"/>
        <w:gridCol w:w="109"/>
        <w:gridCol w:w="109"/>
        <w:gridCol w:w="109"/>
        <w:gridCol w:w="182"/>
        <w:gridCol w:w="182"/>
        <w:gridCol w:w="182"/>
        <w:gridCol w:w="360"/>
        <w:gridCol w:w="361"/>
        <w:gridCol w:w="186"/>
        <w:gridCol w:w="109"/>
        <w:gridCol w:w="109"/>
        <w:gridCol w:w="109"/>
        <w:gridCol w:w="109"/>
        <w:gridCol w:w="109"/>
        <w:gridCol w:w="109"/>
        <w:gridCol w:w="413"/>
        <w:gridCol w:w="413"/>
        <w:gridCol w:w="154"/>
      </w:tblGrid>
      <w:tr>
        <w:trPr/>
        <w:tc>
          <w:tcPr>
            <w:tcW w:w="29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8" w:type="dxa"/>
            <w:gridSpan w:val="4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December 31, 2020</w:t>
            </w:r>
          </w:p>
        </w:tc>
      </w:tr>
      <w:tr>
        <w:trPr/>
        <w:tc>
          <w:tcPr>
            <w:tcW w:w="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6"/>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22"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Communications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18"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13"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Infrastructure Solutions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53"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Commercial &amp; Industrial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1621"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Fixed-price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76,014 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119,491 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32,664 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60,687 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288,856 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1"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Time-and-material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22,342 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25,982 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1"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98,356 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119,491 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34,401 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62,590 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314,838 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2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8" w:type="dxa"/>
            <w:gridSpan w:val="4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December 31, 2019</w:t>
            </w:r>
          </w:p>
        </w:tc>
      </w:tr>
      <w:tr>
        <w:trPr/>
        <w:tc>
          <w:tcPr>
            <w:tcW w:w="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22"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Communications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18"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13"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Infrastructure Solutions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53"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Commercial &amp; Industrial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7"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1621"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Fixed-price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62,027 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92,728 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29,491 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63,835 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1"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Time-and-material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22,262 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3,908 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27,962 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1"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84,289 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92,728 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31,283 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67,743 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2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25"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21" w:type="dxa"/>
            <w:gridSpan w:val="42"/>
            <w:tcBorders/>
            <w:shd w:fill="auto" w:val="clear"/>
          </w:tcPr>
          <w:p>
            <w:pPr>
              <w:pStyle w:val="TableContents"/>
              <w:spacing w:before="0" w:after="283"/>
              <w:rPr>
                <w:sz w:val="4"/>
                <w:szCs w:val="4"/>
              </w:rPr>
            </w:pPr>
            <w:r>
              <w:rPr>
                <w:sz w:val="4"/>
                <w:szCs w:val="4"/>
              </w:rPr>
            </w:r>
          </w:p>
        </w:tc>
      </w:tr>
      <w:tr>
        <w:trPr/>
        <w:tc>
          <w:tcPr>
            <w:tcW w:w="825"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0"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6" w:type="dxa"/>
            <w:gridSpan w:val="3"/>
            <w:tcBorders/>
            <w:shd w:fill="auto" w:val="clear"/>
            <w:vAlign w:val="center"/>
          </w:tcPr>
          <w:p>
            <w:pPr>
              <w:pStyle w:val="TableContents"/>
              <w:spacing w:before="0" w:after="283"/>
              <w:rPr>
                <w:sz w:val="4"/>
                <w:szCs w:val="4"/>
              </w:rPr>
            </w:pPr>
            <w:r>
              <w:rPr>
                <w:sz w:val="4"/>
                <w:szCs w:val="4"/>
              </w:rPr>
            </w:r>
          </w:p>
        </w:tc>
        <w:tc>
          <w:tcPr>
            <w:tcW w:w="10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1" w:type="dxa"/>
            <w:gridSpan w:val="3"/>
            <w:tcBorders/>
            <w:shd w:fill="auto" w:val="clear"/>
            <w:vAlign w:val="center"/>
          </w:tcPr>
          <w:p>
            <w:pPr>
              <w:pStyle w:val="TableContents"/>
              <w:spacing w:before="0" w:after="283"/>
              <w:rPr>
                <w:sz w:val="4"/>
                <w:szCs w:val="4"/>
              </w:rPr>
            </w:pPr>
            <w:r>
              <w:rPr>
                <w:sz w:val="4"/>
                <w:szCs w:val="4"/>
              </w:rPr>
            </w:r>
          </w:p>
        </w:tc>
        <w:tc>
          <w:tcPr>
            <w:tcW w:w="9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087" w:type="dxa"/>
            <w:gridSpan w:val="15"/>
            <w:tcBorders/>
            <w:shd w:fill="auto" w:val="clear"/>
          </w:tcPr>
          <w:p>
            <w:pPr>
              <w:pStyle w:val="TableContents"/>
              <w:spacing w:before="0" w:after="283"/>
              <w:rPr>
                <w:sz w:val="4"/>
                <w:szCs w:val="4"/>
              </w:rPr>
            </w:pPr>
            <w:r>
              <w:rPr>
                <w:sz w:val="4"/>
                <w:szCs w:val="4"/>
              </w:rPr>
            </w:r>
          </w:p>
        </w:tc>
      </w:tr>
      <w:tr>
        <w:trPr/>
        <w:tc>
          <w:tcPr>
            <w:tcW w:w="825"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0"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6" w:type="dxa"/>
            <w:gridSpan w:val="3"/>
            <w:tcBorders/>
            <w:shd w:fill="auto" w:val="clear"/>
            <w:vAlign w:val="center"/>
          </w:tcPr>
          <w:p>
            <w:pPr>
              <w:pStyle w:val="TableContents"/>
              <w:spacing w:before="0" w:after="283"/>
              <w:rPr>
                <w:sz w:val="4"/>
                <w:szCs w:val="4"/>
              </w:rPr>
            </w:pPr>
            <w:r>
              <w:rPr>
                <w:sz w:val="4"/>
                <w:szCs w:val="4"/>
              </w:rPr>
            </w:r>
          </w:p>
        </w:tc>
        <w:tc>
          <w:tcPr>
            <w:tcW w:w="10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1" w:type="dxa"/>
            <w:gridSpan w:val="3"/>
            <w:tcBorders/>
            <w:shd w:fill="auto" w:val="clear"/>
            <w:vAlign w:val="center"/>
          </w:tcPr>
          <w:p>
            <w:pPr>
              <w:pStyle w:val="TableContents"/>
              <w:spacing w:before="0" w:after="283"/>
              <w:rPr>
                <w:sz w:val="4"/>
                <w:szCs w:val="4"/>
              </w:rPr>
            </w:pPr>
            <w:r>
              <w:rPr>
                <w:sz w:val="4"/>
                <w:szCs w:val="4"/>
              </w:rPr>
            </w:r>
          </w:p>
        </w:tc>
        <w:tc>
          <w:tcPr>
            <w:tcW w:w="9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9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0" w:type="dxa"/>
            <w:gridSpan w:val="3"/>
            <w:tcBorders/>
            <w:shd w:fill="auto" w:val="clear"/>
          </w:tcPr>
          <w:p>
            <w:pPr>
              <w:pStyle w:val="TableContents"/>
              <w:spacing w:before="0" w:after="283"/>
              <w:rPr>
                <w:sz w:val="4"/>
                <w:szCs w:val="4"/>
              </w:rPr>
            </w:pPr>
            <w:r>
              <w:rPr>
                <w:sz w:val="4"/>
                <w:szCs w:val="4"/>
              </w:rPr>
            </w:r>
          </w:p>
        </w:tc>
      </w:tr>
      <w:tr>
        <w:trPr/>
        <w:tc>
          <w:tcPr>
            <w:tcW w:w="825"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0"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6" w:type="dxa"/>
            <w:gridSpan w:val="3"/>
            <w:tcBorders/>
            <w:shd w:fill="auto" w:val="clear"/>
            <w:vAlign w:val="center"/>
          </w:tcPr>
          <w:p>
            <w:pPr>
              <w:pStyle w:val="TableContents"/>
              <w:spacing w:before="0" w:after="283"/>
              <w:rPr>
                <w:sz w:val="4"/>
                <w:szCs w:val="4"/>
              </w:rPr>
            </w:pPr>
            <w:r>
              <w:rPr>
                <w:sz w:val="4"/>
                <w:szCs w:val="4"/>
              </w:rPr>
            </w:r>
          </w:p>
        </w:tc>
        <w:tc>
          <w:tcPr>
            <w:tcW w:w="10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1" w:type="dxa"/>
            <w:gridSpan w:val="3"/>
            <w:tcBorders/>
            <w:shd w:fill="auto" w:val="clear"/>
            <w:vAlign w:val="center"/>
          </w:tcPr>
          <w:p>
            <w:pPr>
              <w:pStyle w:val="TableContents"/>
              <w:spacing w:before="0" w:after="283"/>
              <w:rPr>
                <w:sz w:val="4"/>
                <w:szCs w:val="4"/>
              </w:rPr>
            </w:pPr>
            <w:r>
              <w:rPr>
                <w:sz w:val="4"/>
                <w:szCs w:val="4"/>
              </w:rPr>
            </w:r>
          </w:p>
        </w:tc>
        <w:tc>
          <w:tcPr>
            <w:tcW w:w="9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9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0" w:type="dxa"/>
            <w:gridSpan w:val="3"/>
            <w:tcBorders/>
            <w:shd w:fill="auto" w:val="clear"/>
          </w:tcPr>
          <w:p>
            <w:pPr>
              <w:pStyle w:val="TableContents"/>
              <w:spacing w:before="0" w:after="283"/>
              <w:rPr>
                <w:sz w:val="4"/>
                <w:szCs w:val="4"/>
              </w:rPr>
            </w:pPr>
            <w:r>
              <w:rPr>
                <w:sz w:val="4"/>
                <w:szCs w:val="4"/>
              </w:rPr>
            </w:r>
          </w:p>
        </w:tc>
      </w:tr>
      <w:tr>
        <w:trPr/>
        <w:tc>
          <w:tcPr>
            <w:tcW w:w="825"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0"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6" w:type="dxa"/>
            <w:gridSpan w:val="3"/>
            <w:tcBorders/>
            <w:shd w:fill="auto" w:val="clear"/>
            <w:vAlign w:val="center"/>
          </w:tcPr>
          <w:p>
            <w:pPr>
              <w:pStyle w:val="TableContents"/>
              <w:spacing w:before="0" w:after="283"/>
              <w:rPr>
                <w:sz w:val="4"/>
                <w:szCs w:val="4"/>
              </w:rPr>
            </w:pPr>
            <w:r>
              <w:rPr>
                <w:sz w:val="4"/>
                <w:szCs w:val="4"/>
              </w:rPr>
            </w:r>
          </w:p>
        </w:tc>
        <w:tc>
          <w:tcPr>
            <w:tcW w:w="10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1" w:type="dxa"/>
            <w:gridSpan w:val="3"/>
            <w:tcBorders/>
            <w:shd w:fill="auto" w:val="clear"/>
            <w:vAlign w:val="center"/>
          </w:tcPr>
          <w:p>
            <w:pPr>
              <w:pStyle w:val="TableContents"/>
              <w:spacing w:before="0" w:after="283"/>
              <w:rPr>
                <w:sz w:val="4"/>
                <w:szCs w:val="4"/>
              </w:rPr>
            </w:pPr>
            <w:r>
              <w:rPr>
                <w:sz w:val="4"/>
                <w:szCs w:val="4"/>
              </w:rPr>
            </w:r>
          </w:p>
        </w:tc>
        <w:tc>
          <w:tcPr>
            <w:tcW w:w="9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9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0" w:type="dxa"/>
            <w:gridSpan w:val="3"/>
            <w:tcBorders/>
            <w:shd w:fill="auto" w:val="clear"/>
          </w:tcPr>
          <w:p>
            <w:pPr>
              <w:pStyle w:val="TableContents"/>
              <w:spacing w:before="0" w:after="283"/>
              <w:rPr>
                <w:sz w:val="4"/>
                <w:szCs w:val="4"/>
              </w:rPr>
            </w:pPr>
            <w:r>
              <w:rPr>
                <w:sz w:val="4"/>
                <w:szCs w:val="4"/>
              </w:rPr>
            </w:r>
          </w:p>
        </w:tc>
      </w:tr>
      <w:tr>
        <w:trPr/>
        <w:tc>
          <w:tcPr>
            <w:tcW w:w="825"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0"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6" w:type="dxa"/>
            <w:gridSpan w:val="3"/>
            <w:tcBorders/>
            <w:shd w:fill="auto" w:val="clear"/>
            <w:vAlign w:val="center"/>
          </w:tcPr>
          <w:p>
            <w:pPr>
              <w:pStyle w:val="TableContents"/>
              <w:spacing w:before="0" w:after="283"/>
              <w:rPr>
                <w:sz w:val="4"/>
                <w:szCs w:val="4"/>
              </w:rPr>
            </w:pPr>
            <w:r>
              <w:rPr>
                <w:sz w:val="4"/>
                <w:szCs w:val="4"/>
              </w:rPr>
            </w:r>
          </w:p>
        </w:tc>
        <w:tc>
          <w:tcPr>
            <w:tcW w:w="10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1" w:type="dxa"/>
            <w:gridSpan w:val="3"/>
            <w:tcBorders/>
            <w:shd w:fill="auto" w:val="clear"/>
            <w:vAlign w:val="center"/>
          </w:tcPr>
          <w:p>
            <w:pPr>
              <w:pStyle w:val="TableContents"/>
              <w:spacing w:before="0" w:after="283"/>
              <w:rPr>
                <w:sz w:val="4"/>
                <w:szCs w:val="4"/>
              </w:rPr>
            </w:pPr>
            <w:r>
              <w:rPr>
                <w:sz w:val="4"/>
                <w:szCs w:val="4"/>
              </w:rPr>
            </w:r>
          </w:p>
        </w:tc>
        <w:tc>
          <w:tcPr>
            <w:tcW w:w="9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9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0" w:type="dxa"/>
            <w:gridSpan w:val="3"/>
            <w:tcBorders/>
            <w:shd w:fill="auto" w:val="clear"/>
          </w:tcPr>
          <w:p>
            <w:pPr>
              <w:pStyle w:val="TableContents"/>
              <w:spacing w:before="0" w:after="283"/>
              <w:rPr>
                <w:sz w:val="4"/>
                <w:szCs w:val="4"/>
              </w:rPr>
            </w:pPr>
            <w:r>
              <w:rPr>
                <w:sz w:val="4"/>
                <w:szCs w:val="4"/>
              </w:rPr>
            </w:r>
          </w:p>
        </w:tc>
      </w:tr>
      <w:tr>
        <w:trPr/>
        <w:tc>
          <w:tcPr>
            <w:tcW w:w="825"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21" w:type="dxa"/>
            <w:gridSpan w:val="42"/>
            <w:tcBorders/>
            <w:shd w:fill="auto" w:val="clear"/>
          </w:tcPr>
          <w:p>
            <w:pPr>
              <w:pStyle w:val="TableContents"/>
              <w:spacing w:before="0" w:after="283"/>
              <w:rPr>
                <w:sz w:val="4"/>
                <w:szCs w:val="4"/>
              </w:rPr>
            </w:pPr>
            <w:r>
              <w:rPr>
                <w:sz w:val="4"/>
                <w:szCs w:val="4"/>
              </w:rPr>
            </w:r>
          </w:p>
        </w:tc>
      </w:tr>
      <w:tr>
        <w:trPr/>
        <w:tc>
          <w:tcPr>
            <w:tcW w:w="825"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0"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6" w:type="dxa"/>
            <w:gridSpan w:val="3"/>
            <w:tcBorders/>
            <w:shd w:fill="auto" w:val="clear"/>
            <w:vAlign w:val="center"/>
          </w:tcPr>
          <w:p>
            <w:pPr>
              <w:pStyle w:val="TableContents"/>
              <w:spacing w:before="0" w:after="283"/>
              <w:rPr>
                <w:sz w:val="4"/>
                <w:szCs w:val="4"/>
              </w:rPr>
            </w:pPr>
            <w:r>
              <w:rPr>
                <w:sz w:val="4"/>
                <w:szCs w:val="4"/>
              </w:rPr>
            </w:r>
          </w:p>
        </w:tc>
        <w:tc>
          <w:tcPr>
            <w:tcW w:w="10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1" w:type="dxa"/>
            <w:gridSpan w:val="3"/>
            <w:tcBorders/>
            <w:shd w:fill="auto" w:val="clear"/>
            <w:vAlign w:val="center"/>
          </w:tcPr>
          <w:p>
            <w:pPr>
              <w:pStyle w:val="TableContents"/>
              <w:spacing w:before="0" w:after="283"/>
              <w:rPr>
                <w:sz w:val="4"/>
                <w:szCs w:val="4"/>
              </w:rPr>
            </w:pPr>
            <w:r>
              <w:rPr>
                <w:sz w:val="4"/>
                <w:szCs w:val="4"/>
              </w:rPr>
            </w:r>
          </w:p>
        </w:tc>
        <w:tc>
          <w:tcPr>
            <w:tcW w:w="9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087" w:type="dxa"/>
            <w:gridSpan w:val="15"/>
            <w:tcBorders/>
            <w:shd w:fill="auto" w:val="clear"/>
          </w:tcPr>
          <w:p>
            <w:pPr>
              <w:pStyle w:val="TableContents"/>
              <w:spacing w:before="0" w:after="283"/>
              <w:rPr>
                <w:sz w:val="4"/>
                <w:szCs w:val="4"/>
              </w:rPr>
            </w:pPr>
            <w:r>
              <w:rPr>
                <w:sz w:val="4"/>
                <w:szCs w:val="4"/>
              </w:rPr>
            </w:r>
          </w:p>
        </w:tc>
      </w:tr>
      <w:tr>
        <w:trPr/>
        <w:tc>
          <w:tcPr>
            <w:tcW w:w="825"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0"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6" w:type="dxa"/>
            <w:gridSpan w:val="3"/>
            <w:tcBorders/>
            <w:shd w:fill="auto" w:val="clear"/>
            <w:vAlign w:val="center"/>
          </w:tcPr>
          <w:p>
            <w:pPr>
              <w:pStyle w:val="TableContents"/>
              <w:spacing w:before="0" w:after="283"/>
              <w:rPr>
                <w:sz w:val="4"/>
                <w:szCs w:val="4"/>
              </w:rPr>
            </w:pPr>
            <w:r>
              <w:rPr>
                <w:sz w:val="4"/>
                <w:szCs w:val="4"/>
              </w:rPr>
            </w:r>
          </w:p>
        </w:tc>
        <w:tc>
          <w:tcPr>
            <w:tcW w:w="10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1" w:type="dxa"/>
            <w:gridSpan w:val="3"/>
            <w:tcBorders/>
            <w:shd w:fill="auto" w:val="clear"/>
            <w:vAlign w:val="center"/>
          </w:tcPr>
          <w:p>
            <w:pPr>
              <w:pStyle w:val="TableContents"/>
              <w:spacing w:before="0" w:after="283"/>
              <w:rPr>
                <w:sz w:val="4"/>
                <w:szCs w:val="4"/>
              </w:rPr>
            </w:pPr>
            <w:r>
              <w:rPr>
                <w:sz w:val="4"/>
                <w:szCs w:val="4"/>
              </w:rPr>
            </w:r>
          </w:p>
        </w:tc>
        <w:tc>
          <w:tcPr>
            <w:tcW w:w="9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9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0" w:type="dxa"/>
            <w:gridSpan w:val="3"/>
            <w:tcBorders/>
            <w:shd w:fill="auto" w:val="clear"/>
          </w:tcPr>
          <w:p>
            <w:pPr>
              <w:pStyle w:val="TableContents"/>
              <w:spacing w:before="0" w:after="283"/>
              <w:rPr>
                <w:sz w:val="4"/>
                <w:szCs w:val="4"/>
              </w:rPr>
            </w:pPr>
            <w:r>
              <w:rPr>
                <w:sz w:val="4"/>
                <w:szCs w:val="4"/>
              </w:rPr>
            </w:r>
          </w:p>
        </w:tc>
      </w:tr>
      <w:tr>
        <w:trPr/>
        <w:tc>
          <w:tcPr>
            <w:tcW w:w="825"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0"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6" w:type="dxa"/>
            <w:gridSpan w:val="3"/>
            <w:tcBorders/>
            <w:shd w:fill="auto" w:val="clear"/>
            <w:vAlign w:val="center"/>
          </w:tcPr>
          <w:p>
            <w:pPr>
              <w:pStyle w:val="TableContents"/>
              <w:spacing w:before="0" w:after="283"/>
              <w:rPr>
                <w:sz w:val="4"/>
                <w:szCs w:val="4"/>
              </w:rPr>
            </w:pPr>
            <w:r>
              <w:rPr>
                <w:sz w:val="4"/>
                <w:szCs w:val="4"/>
              </w:rPr>
            </w:r>
          </w:p>
        </w:tc>
        <w:tc>
          <w:tcPr>
            <w:tcW w:w="10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1" w:type="dxa"/>
            <w:gridSpan w:val="3"/>
            <w:tcBorders/>
            <w:shd w:fill="auto" w:val="clear"/>
            <w:vAlign w:val="center"/>
          </w:tcPr>
          <w:p>
            <w:pPr>
              <w:pStyle w:val="TableContents"/>
              <w:spacing w:before="0" w:after="283"/>
              <w:rPr>
                <w:sz w:val="4"/>
                <w:szCs w:val="4"/>
              </w:rPr>
            </w:pPr>
            <w:r>
              <w:rPr>
                <w:sz w:val="4"/>
                <w:szCs w:val="4"/>
              </w:rPr>
            </w:r>
          </w:p>
        </w:tc>
        <w:tc>
          <w:tcPr>
            <w:tcW w:w="9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9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0" w:type="dxa"/>
            <w:gridSpan w:val="3"/>
            <w:tcBorders/>
            <w:shd w:fill="auto" w:val="clear"/>
          </w:tcPr>
          <w:p>
            <w:pPr>
              <w:pStyle w:val="TableContents"/>
              <w:spacing w:before="0" w:after="283"/>
              <w:rPr>
                <w:sz w:val="4"/>
                <w:szCs w:val="4"/>
              </w:rPr>
            </w:pPr>
            <w:r>
              <w:rPr>
                <w:sz w:val="4"/>
                <w:szCs w:val="4"/>
              </w:rPr>
            </w:r>
          </w:p>
        </w:tc>
      </w:tr>
      <w:tr>
        <w:trPr/>
        <w:tc>
          <w:tcPr>
            <w:tcW w:w="825"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0" w:type="dxa"/>
            <w:gridSpan w:val="3"/>
            <w:tcBorders/>
            <w:shd w:fill="auto" w:val="clear"/>
            <w:vAlign w:val="center"/>
          </w:tcPr>
          <w:p>
            <w:pPr>
              <w:pStyle w:val="TableContents"/>
              <w:spacing w:before="0" w:after="283"/>
              <w:rPr>
                <w:sz w:val="4"/>
                <w:szCs w:val="4"/>
              </w:rPr>
            </w:pPr>
            <w:r>
              <w:rPr>
                <w:sz w:val="4"/>
                <w:szCs w:val="4"/>
              </w:rPr>
            </w:r>
          </w:p>
        </w:tc>
        <w:tc>
          <w:tcPr>
            <w:tcW w:w="9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6" w:type="dxa"/>
            <w:gridSpan w:val="3"/>
            <w:tcBorders/>
            <w:shd w:fill="auto" w:val="clear"/>
            <w:vAlign w:val="center"/>
          </w:tcPr>
          <w:p>
            <w:pPr>
              <w:pStyle w:val="TableContents"/>
              <w:spacing w:before="0" w:after="283"/>
              <w:rPr>
                <w:sz w:val="4"/>
                <w:szCs w:val="4"/>
              </w:rPr>
            </w:pPr>
            <w:r>
              <w:rPr>
                <w:sz w:val="4"/>
                <w:szCs w:val="4"/>
              </w:rPr>
            </w:r>
          </w:p>
        </w:tc>
        <w:tc>
          <w:tcPr>
            <w:tcW w:w="100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1" w:type="dxa"/>
            <w:gridSpan w:val="3"/>
            <w:tcBorders/>
            <w:shd w:fill="auto" w:val="clear"/>
            <w:vAlign w:val="center"/>
          </w:tcPr>
          <w:p>
            <w:pPr>
              <w:pStyle w:val="TableContents"/>
              <w:spacing w:before="0" w:after="283"/>
              <w:rPr>
                <w:sz w:val="4"/>
                <w:szCs w:val="4"/>
              </w:rPr>
            </w:pPr>
            <w:r>
              <w:rPr>
                <w:sz w:val="4"/>
                <w:szCs w:val="4"/>
              </w:rPr>
            </w:r>
          </w:p>
        </w:tc>
        <w:tc>
          <w:tcPr>
            <w:tcW w:w="9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90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0" w:type="dxa"/>
            <w:gridSpan w:val="3"/>
            <w:tcBorders/>
            <w:shd w:fill="auto" w:val="clear"/>
          </w:tcPr>
          <w:p>
            <w:pPr>
              <w:pStyle w:val="TableContents"/>
              <w:spacing w:before="0" w:after="283"/>
              <w:rPr>
                <w:sz w:val="4"/>
                <w:szCs w:val="4"/>
              </w:rPr>
            </w:pPr>
            <w:r>
              <w:rPr>
                <w:sz w:val="4"/>
                <w:szCs w:val="4"/>
              </w:rPr>
            </w:r>
          </w:p>
        </w:tc>
      </w:tr>
    </w:tbl>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692265" cy="146685"/>
                <wp:effectExtent l="0" t="0" r="0" b="0"/>
                <wp:wrapNone/>
                <wp:docPr id="14" name="Frame1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Accounts Receivable</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Accounts receivable include amounts which we have billed or have an unconditional right to bill our customers. As of December 31, 2020, Accounts receivable included $10,392 of unbilled receivables for which we have an unconditional right to bill.</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 Assets and Liabilities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Project contracts typically provide for a schedule of billings on percentage of completion of specific tasks inherent in the fulfillment of our performance obligation(s). The schedules for such billings usually do not precisely match the schedule on which costs are incurred. As a result, contract revenue recognized in the statement of operations can and usually does differ from amounts that can be billed to the customer at any point during the contract. Amounts by which cumulative contract revenue recognized on a contract as of a given date exceeds cumulative billings and unbilled receivables to the customer under the contract are reflected as a current asset in our Condensed Consolidated Balance Sheet under the caption “Costs and estimated earnings in excess of billings”. Amounts by which cumulative billings to the customer under a contract as of a given date exceed cumulative contract revenue recognized are reflected as a current liability in our Condensed Consolidated Balance Sheet under the caption “Billings in excess of costs and estimated earnings”.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December 31, 2020 and 2019, we recognized revenue of $25,225 and $19,550 related to our contract liabilities at October 1, 2020 and 2019, respectively.</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did not have any impairment losses recognized on our receivables or contract assets for the three months ended December 31, 2020 or 2019.</w:t>
      </w:r>
    </w:p>
    <w:p>
      <w:pPr>
        <w:pStyle w:val="TextBody"/>
        <w:spacing w:lineRule="auto" w:line="288" w:before="0" w:after="0"/>
        <w:rPr/>
      </w:pPr>
      <w:r>
        <w:rPr>
          <w:rFonts w:ascii="Times New Roman;sans-serif" w:hAnsi="Times New Roman;sans-serif"/>
          <w:b w:val="false"/>
          <w:i/>
          <w:color w:val="000000"/>
          <w:sz w:val="20"/>
        </w:rPr>
        <w:t>Remaining Performance Obligations</w:t>
      </w:r>
      <w:r>
        <w:rPr>
          <w:color w:val="000000"/>
        </w:rPr>
        <w:t xml:space="preserve">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Remaining performance obligations represent the unrecognized revenue value of our contract commitments. New awards represent the total expected revenue value of new contract commitments undertaken during a given period, as well as additions to the scope of existing contract commitments. Our new performance obligations vary significantly each reporting period based on the timing of our major new contract commitments. At December 31, 2020, we had remaining performance obligations of $525,141. The Company expects to recognize revenue on approximately $443,580 of the remaining performance obligations over the next 12 months, with the remaining recognized thereafter.</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December 31, 2020, net revenue recognized from our performance obligations satisfied in previous periods was not material.</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4.  DEBT</w:t>
      </w:r>
    </w:p>
    <w:p>
      <w:pPr>
        <w:pStyle w:val="TextBody"/>
        <w:spacing w:before="0" w:after="0"/>
        <w:jc w:val="both"/>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At December 31, 2020 and September 30, 2020, we had $14,307 and $12, respectively, in borrowings outstanding under our revolving credit facility with Wells Fargo Bank, N.A. ("Wells Fargo"), and long-term debt related to loans on capital expenditures of $188 and $205, respectively. At December 31, 2020, we also had $6,314 in outstanding letters of credit and total availability of $78,659 under our revolving credit facility without triggering our financial covenants under Amended Credit Agreement (as defined below).</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a $100 million revolving credit facility that matures on September 30, 2024, pursuant to our Second Amended and Restated Credit and Security Agreement with Wells Fargo (as amended, the “Amended Credit Agreement”). The Amended Credit Agreement contains customary affirmative, negative and financial covenants as disclosed in Item 7 of our Annual Report on Form 10-K for the year ended September 30, 2020. As of December 31, 2020, the Company was in compliance with the financial covenants under the Amended Credit Agreement.</w:t>
      </w:r>
    </w:p>
    <w:p>
      <w:pPr>
        <w:pStyle w:val="TextBody"/>
        <w:spacing w:before="0" w:after="0"/>
        <w:jc w:val="both"/>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692265" cy="146685"/>
                <wp:effectExtent l="0" t="0" r="0" b="0"/>
                <wp:wrapNone/>
                <wp:docPr id="15" name="Frame1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before="0" w:after="0"/>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5. PER SHARE INFORMATION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tables reconcile the components of basic and diluted earnings per share for the three months ended December 31, 2020 and 2019:</w:t>
      </w:r>
    </w:p>
    <w:tbl>
      <w:tblPr>
        <w:tblW w:w="10539" w:type="dxa"/>
        <w:jc w:val="center"/>
        <w:tblInd w:w="0" w:type="dxa"/>
        <w:tblCellMar>
          <w:top w:w="28" w:type="dxa"/>
          <w:left w:w="28" w:type="dxa"/>
          <w:bottom w:w="28" w:type="dxa"/>
          <w:right w:w="28" w:type="dxa"/>
        </w:tblCellMar>
      </w:tblPr>
      <w:tblGrid>
        <w:gridCol w:w="2177"/>
        <w:gridCol w:w="1891"/>
        <w:gridCol w:w="1901"/>
        <w:gridCol w:w="109"/>
        <w:gridCol w:w="109"/>
        <w:gridCol w:w="109"/>
        <w:gridCol w:w="182"/>
        <w:gridCol w:w="182"/>
        <w:gridCol w:w="182"/>
        <w:gridCol w:w="539"/>
        <w:gridCol w:w="542"/>
        <w:gridCol w:w="182"/>
        <w:gridCol w:w="182"/>
        <w:gridCol w:w="182"/>
        <w:gridCol w:w="182"/>
        <w:gridCol w:w="182"/>
        <w:gridCol w:w="182"/>
        <w:gridCol w:w="182"/>
        <w:gridCol w:w="540"/>
        <w:gridCol w:w="541"/>
        <w:gridCol w:w="261"/>
      </w:tblGrid>
      <w:tr>
        <w:trPr/>
        <w:tc>
          <w:tcPr>
            <w:tcW w:w="2177" w:type="dxa"/>
            <w:tcBorders/>
            <w:shd w:fill="auto" w:val="clear"/>
            <w:vAlign w:val="center"/>
          </w:tcPr>
          <w:p>
            <w:pPr>
              <w:pStyle w:val="TableContents"/>
              <w:spacing w:before="0" w:after="283"/>
              <w:rPr>
                <w:sz w:val="4"/>
                <w:szCs w:val="4"/>
              </w:rPr>
            </w:pPr>
            <w:r>
              <w:rPr>
                <w:sz w:val="4"/>
                <w:szCs w:val="4"/>
              </w:rPr>
            </w:r>
          </w:p>
        </w:tc>
        <w:tc>
          <w:tcPr>
            <w:tcW w:w="1891" w:type="dxa"/>
            <w:tcBorders/>
            <w:shd w:fill="auto" w:val="clear"/>
            <w:vAlign w:val="center"/>
          </w:tcPr>
          <w:p>
            <w:pPr>
              <w:pStyle w:val="TableContents"/>
              <w:spacing w:before="0" w:after="283"/>
              <w:rPr>
                <w:sz w:val="4"/>
                <w:szCs w:val="4"/>
              </w:rPr>
            </w:pPr>
            <w:r>
              <w:rPr>
                <w:sz w:val="4"/>
                <w:szCs w:val="4"/>
              </w:rPr>
            </w:r>
          </w:p>
        </w:tc>
        <w:tc>
          <w:tcPr>
            <w:tcW w:w="1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r>
      <w:tr>
        <w:trPr/>
        <w:tc>
          <w:tcPr>
            <w:tcW w:w="5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43"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December 31,</w:t>
            </w:r>
          </w:p>
        </w:tc>
      </w:tr>
      <w:tr>
        <w:trPr/>
        <w:tc>
          <w:tcPr>
            <w:tcW w:w="5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9"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5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88"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r>
      <w:tr>
        <w:trPr/>
        <w:tc>
          <w:tcPr>
            <w:tcW w:w="5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6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stockholders of IES Holdings,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12,204 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8,337 </w:t>
            </w:r>
          </w:p>
        </w:tc>
        <w:tc>
          <w:tcPr>
            <w:tcW w:w="2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noncontrolling interest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2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restricted stockholders of IES Holdings,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2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IES Holdings, Inc.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12,098 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8,502 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6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 basic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20,734,516 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20,883,477 </w:t>
            </w:r>
          </w:p>
        </w:tc>
        <w:tc>
          <w:tcPr>
            <w:tcW w:w="2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stock options and non-vested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326,839 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264,835 </w:t>
            </w:r>
          </w:p>
        </w:tc>
        <w:tc>
          <w:tcPr>
            <w:tcW w:w="2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and common equivalent shares outstanding — diluted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21,061,355 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21,148,312 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6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 attributable to common shareholders of IES Holdings, Inc.: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0.58</w:t>
            </w:r>
          </w:p>
        </w:tc>
        <w:tc>
          <w:tcPr>
            <w:tcW w:w="5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0.40</w:t>
            </w:r>
          </w:p>
        </w:tc>
      </w:tr>
      <w:tr>
        <w:trPr/>
        <w:tc>
          <w:tcPr>
            <w:tcW w:w="59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0.58</w:t>
            </w:r>
          </w:p>
        </w:tc>
        <w:tc>
          <w:tcPr>
            <w:tcW w:w="5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w:t>
            </w:r>
          </w:p>
        </w:tc>
      </w:tr>
      <w:tr>
        <w:trPr/>
        <w:tc>
          <w:tcPr>
            <w:tcW w:w="59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3697" w:type="dxa"/>
            <w:gridSpan w:val="12"/>
            <w:tcBorders/>
            <w:shd w:fill="auto" w:val="clear"/>
          </w:tcPr>
          <w:p>
            <w:pPr>
              <w:pStyle w:val="TableContents"/>
              <w:spacing w:before="0" w:after="283"/>
              <w:rPr>
                <w:sz w:val="4"/>
                <w:szCs w:val="4"/>
              </w:rPr>
            </w:pPr>
            <w:r>
              <w:rPr>
                <w:sz w:val="4"/>
                <w:szCs w:val="4"/>
              </w:rPr>
            </w:r>
          </w:p>
        </w:tc>
      </w:tr>
      <w:tr>
        <w:trPr/>
        <w:tc>
          <w:tcPr>
            <w:tcW w:w="59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1263"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1888" w:type="dxa"/>
            <w:gridSpan w:val="6"/>
            <w:tcBorders/>
            <w:shd w:fill="auto" w:val="clear"/>
          </w:tcPr>
          <w:p>
            <w:pPr>
              <w:pStyle w:val="TableContents"/>
              <w:spacing w:before="0" w:after="283"/>
              <w:rPr>
                <w:sz w:val="4"/>
                <w:szCs w:val="4"/>
              </w:rPr>
            </w:pPr>
            <w:r>
              <w:rPr>
                <w:sz w:val="4"/>
                <w:szCs w:val="4"/>
              </w:rPr>
            </w:r>
          </w:p>
        </w:tc>
      </w:tr>
      <w:tr>
        <w:trPr/>
        <w:tc>
          <w:tcPr>
            <w:tcW w:w="59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1263"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r>
      <w:tr>
        <w:trPr/>
        <w:tc>
          <w:tcPr>
            <w:tcW w:w="59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1263"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r>
      <w:tr>
        <w:trPr/>
        <w:tc>
          <w:tcPr>
            <w:tcW w:w="59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1263"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r>
      <w:tr>
        <w:trPr/>
        <w:tc>
          <w:tcPr>
            <w:tcW w:w="59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1263"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r>
      <w:tr>
        <w:trPr/>
        <w:tc>
          <w:tcPr>
            <w:tcW w:w="59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1263"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r>
      <w:tr>
        <w:trPr/>
        <w:tc>
          <w:tcPr>
            <w:tcW w:w="59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1263"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r>
      <w:tr>
        <w:trPr/>
        <w:tc>
          <w:tcPr>
            <w:tcW w:w="59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1263"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r>
      <w:tr>
        <w:trPr/>
        <w:tc>
          <w:tcPr>
            <w:tcW w:w="59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1263"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r>
      <w:tr>
        <w:trPr/>
        <w:tc>
          <w:tcPr>
            <w:tcW w:w="59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1263"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r>
      <w:tr>
        <w:trPr/>
        <w:tc>
          <w:tcPr>
            <w:tcW w:w="59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1263"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r>
      <w:tr>
        <w:trPr/>
        <w:tc>
          <w:tcPr>
            <w:tcW w:w="59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1263"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r>
      <w:tr>
        <w:trPr/>
        <w:tc>
          <w:tcPr>
            <w:tcW w:w="59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1263"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r>
      <w:tr>
        <w:trPr/>
        <w:tc>
          <w:tcPr>
            <w:tcW w:w="59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1263"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r>
      <w:tr>
        <w:trPr/>
        <w:tc>
          <w:tcPr>
            <w:tcW w:w="59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1263"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December 31, 2020 and 2019, the average price of our common shares exceeded the exercise price of all of our outstanding options; therefore, all of our outstanding stock options were included in the computation of fully diluted earnings per share.</w:t>
      </w:r>
    </w:p>
    <w:p>
      <w:pPr>
        <w:pStyle w:val="TextBody"/>
        <w:spacing w:before="0" w:after="0"/>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692265" cy="175260"/>
                <wp:effectExtent l="0" t="0" r="0" b="0"/>
                <wp:wrapNone/>
                <wp:docPr id="16" name="Frame15"/>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6. OPERATING SEGMENTS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manage and measure performance of our business in four distinct operating segments: Communications, Residential, Infrastructure Solutions, and Commercial &amp; Industrial. These segments are reflective of how the Company’s Chief Operating Decision Maker (“CODM”) reviews operating results for the purpose of allocating resources and assessing performance. The Company’s CODM is its Chief Executive Officer.</w:t>
      </w:r>
    </w:p>
    <w:p>
      <w:pPr>
        <w:pStyle w:val="TextBody"/>
        <w:spacing w:before="0" w:after="0"/>
        <w:ind w:left="0" w:right="0" w:firstLine="72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Transactions between segments, if any, are eliminated in consolidation. Our corporate office provides general and administrative services, as well as support services, to our four operating segments. Management allocates certain shared costs between segments for selling, general and administrative expenses and depreciation expense.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Segment information for the three months ended December 31, 2020 and 2019 is as follows:</w:t>
      </w:r>
    </w:p>
    <w:p>
      <w:pPr>
        <w:pStyle w:val="TextBody"/>
        <w:spacing w:before="0" w:after="0"/>
        <w:rPr/>
      </w:pPr>
      <w:r>
        <w:rPr/>
      </w:r>
    </w:p>
    <w:tbl>
      <w:tblPr>
        <w:tblW w:w="10539" w:type="dxa"/>
        <w:jc w:val="center"/>
        <w:tblInd w:w="0" w:type="dxa"/>
        <w:tblCellMar>
          <w:top w:w="28" w:type="dxa"/>
          <w:left w:w="28" w:type="dxa"/>
          <w:bottom w:w="28" w:type="dxa"/>
          <w:right w:w="28" w:type="dxa"/>
        </w:tblCellMar>
      </w:tblPr>
      <w:tblGrid>
        <w:gridCol w:w="282"/>
        <w:gridCol w:w="248"/>
        <w:gridCol w:w="248"/>
        <w:gridCol w:w="523"/>
        <w:gridCol w:w="523"/>
        <w:gridCol w:w="334"/>
        <w:gridCol w:w="245"/>
        <w:gridCol w:w="923"/>
        <w:gridCol w:w="138"/>
        <w:gridCol w:w="109"/>
        <w:gridCol w:w="109"/>
        <w:gridCol w:w="109"/>
        <w:gridCol w:w="196"/>
        <w:gridCol w:w="736"/>
        <w:gridCol w:w="109"/>
        <w:gridCol w:w="109"/>
        <w:gridCol w:w="109"/>
        <w:gridCol w:w="109"/>
        <w:gridCol w:w="227"/>
        <w:gridCol w:w="857"/>
        <w:gridCol w:w="128"/>
        <w:gridCol w:w="109"/>
        <w:gridCol w:w="109"/>
        <w:gridCol w:w="109"/>
        <w:gridCol w:w="236"/>
        <w:gridCol w:w="777"/>
        <w:gridCol w:w="132"/>
        <w:gridCol w:w="109"/>
        <w:gridCol w:w="109"/>
        <w:gridCol w:w="109"/>
        <w:gridCol w:w="196"/>
        <w:gridCol w:w="646"/>
        <w:gridCol w:w="109"/>
        <w:gridCol w:w="109"/>
        <w:gridCol w:w="109"/>
        <w:gridCol w:w="109"/>
        <w:gridCol w:w="196"/>
        <w:gridCol w:w="736"/>
        <w:gridCol w:w="159"/>
      </w:tblGrid>
      <w:tr>
        <w:trPr/>
        <w:tc>
          <w:tcPr>
            <w:tcW w:w="282"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7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81"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Three Months Ended December 31, 2020</w:t>
            </w:r>
          </w:p>
        </w:tc>
      </w:tr>
      <w:tr>
        <w:trPr/>
        <w:tc>
          <w:tcPr>
            <w:tcW w:w="7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Communications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Residential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Infrastructure Solutions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Commercial &amp; Industrial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Corporate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Total</w:t>
            </w:r>
          </w:p>
        </w:tc>
      </w:tr>
      <w:tr>
        <w:trPr/>
        <w:tc>
          <w:tcPr>
            <w:tcW w:w="2158"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98,356 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119,491 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34,401 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62,590 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314,838 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8"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services</w:t>
            </w:r>
          </w:p>
        </w:tc>
        <w:tc>
          <w:tcPr>
            <w:tcW w:w="11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79,817 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95,963 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23,464 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56,915 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256,159 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8"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11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18,539 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10,937 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58,679 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8"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9,341 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5,611 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6,424 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42,786 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8" w:type="dxa"/>
            <w:gridSpan w:val="3"/>
            <w:tcBorders/>
            <w:shd w:fill="auto" w:val="clear"/>
            <w:vAlign w:val="center"/>
          </w:tcPr>
          <w:p>
            <w:pPr>
              <w:pStyle w:val="TableContents"/>
              <w:spacing w:before="0" w:after="283"/>
              <w:rPr>
                <w:sz w:val="4"/>
                <w:szCs w:val="4"/>
              </w:rPr>
            </w:pPr>
            <w:r>
              <w:rPr>
                <w:sz w:val="4"/>
                <w:szCs w:val="4"/>
              </w:rPr>
            </w:r>
          </w:p>
        </w:tc>
        <w:tc>
          <w:tcPr>
            <w:tcW w:w="1380"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1" w:type="dxa"/>
            <w:gridSpan w:val="3"/>
            <w:tcBorders/>
            <w:shd w:fill="auto" w:val="clear"/>
          </w:tcPr>
          <w:p>
            <w:pPr>
              <w:pStyle w:val="TableContents"/>
              <w:spacing w:before="0" w:after="283"/>
              <w:rPr>
                <w:sz w:val="4"/>
                <w:szCs w:val="4"/>
              </w:rPr>
            </w:pPr>
            <w:r>
              <w:rPr>
                <w:sz w:val="4"/>
                <w:szCs w:val="4"/>
              </w:rPr>
            </w:r>
          </w:p>
        </w:tc>
      </w:tr>
      <w:tr>
        <w:trPr/>
        <w:tc>
          <w:tcPr>
            <w:tcW w:w="2158"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sale of assets</w:t>
            </w:r>
          </w:p>
        </w:tc>
        <w:tc>
          <w:tcPr>
            <w:tcW w:w="11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8"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 (loss)</w:t>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9,198 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5,327 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15,903 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8"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data:</w:t>
            </w:r>
          </w:p>
        </w:tc>
        <w:tc>
          <w:tcPr>
            <w:tcW w:w="130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w:t>
            </w:r>
          </w:p>
        </w:tc>
        <w:tc>
          <w:tcPr>
            <w:tcW w:w="24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1,441 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4,020 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24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1,182 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4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137,457 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198,227 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129,283 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72,148 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72,255 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609,370 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tbl>
      <w:tblPr>
        <w:tblW w:w="10539" w:type="dxa"/>
        <w:jc w:val="center"/>
        <w:tblInd w:w="0" w:type="dxa"/>
        <w:tblCellMar>
          <w:top w:w="28" w:type="dxa"/>
          <w:left w:w="28" w:type="dxa"/>
          <w:bottom w:w="28" w:type="dxa"/>
          <w:right w:w="28" w:type="dxa"/>
        </w:tblCellMar>
      </w:tblPr>
      <w:tblGrid>
        <w:gridCol w:w="287"/>
        <w:gridCol w:w="252"/>
        <w:gridCol w:w="252"/>
        <w:gridCol w:w="535"/>
        <w:gridCol w:w="535"/>
        <w:gridCol w:w="351"/>
        <w:gridCol w:w="245"/>
        <w:gridCol w:w="923"/>
        <w:gridCol w:w="138"/>
        <w:gridCol w:w="109"/>
        <w:gridCol w:w="109"/>
        <w:gridCol w:w="109"/>
        <w:gridCol w:w="196"/>
        <w:gridCol w:w="646"/>
        <w:gridCol w:w="109"/>
        <w:gridCol w:w="109"/>
        <w:gridCol w:w="109"/>
        <w:gridCol w:w="109"/>
        <w:gridCol w:w="230"/>
        <w:gridCol w:w="868"/>
        <w:gridCol w:w="130"/>
        <w:gridCol w:w="109"/>
        <w:gridCol w:w="109"/>
        <w:gridCol w:w="109"/>
        <w:gridCol w:w="240"/>
        <w:gridCol w:w="790"/>
        <w:gridCol w:w="134"/>
        <w:gridCol w:w="109"/>
        <w:gridCol w:w="109"/>
        <w:gridCol w:w="109"/>
        <w:gridCol w:w="196"/>
        <w:gridCol w:w="646"/>
        <w:gridCol w:w="109"/>
        <w:gridCol w:w="109"/>
        <w:gridCol w:w="109"/>
        <w:gridCol w:w="109"/>
        <w:gridCol w:w="196"/>
        <w:gridCol w:w="736"/>
        <w:gridCol w:w="160"/>
      </w:tblGrid>
      <w:tr>
        <w:trPr/>
        <w:tc>
          <w:tcPr>
            <w:tcW w:w="287"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7"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Three Months Ended December 31, 2019</w:t>
            </w:r>
          </w:p>
        </w:tc>
      </w:tr>
      <w:tr>
        <w:trPr/>
        <w:tc>
          <w:tcPr>
            <w:tcW w:w="7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Communications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Residential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Infrastructure Solutions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Commercial &amp; Industrial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Corporate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Total</w:t>
            </w:r>
          </w:p>
        </w:tc>
      </w:tr>
      <w:tr>
        <w:trPr/>
        <w:tc>
          <w:tcPr>
            <w:tcW w:w="2212"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84,289 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92,728 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31,283 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67,743 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276,043 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2"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services</w:t>
            </w:r>
          </w:p>
        </w:tc>
        <w:tc>
          <w:tcPr>
            <w:tcW w:w="11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68,722 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23,513 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61,008 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225,828 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2"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11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15,567 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7,770 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6,735 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50,215 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2"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8,569 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4,493 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7,288 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37,872 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1" w:type="dxa"/>
            <w:gridSpan w:val="3"/>
            <w:tcBorders/>
            <w:shd w:fill="auto" w:val="clear"/>
            <w:vAlign w:val="center"/>
          </w:tcPr>
          <w:p>
            <w:pPr>
              <w:pStyle w:val="TableContents"/>
              <w:spacing w:before="0" w:after="283"/>
              <w:rPr>
                <w:sz w:val="4"/>
                <w:szCs w:val="4"/>
              </w:rPr>
            </w:pPr>
            <w:r>
              <w:rPr>
                <w:sz w:val="4"/>
                <w:szCs w:val="4"/>
              </w:rPr>
            </w:r>
          </w:p>
        </w:tc>
        <w:tc>
          <w:tcPr>
            <w:tcW w:w="1421"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tcPr>
          <w:p>
            <w:pPr>
              <w:pStyle w:val="TableContents"/>
              <w:spacing w:before="0" w:after="283"/>
              <w:rPr>
                <w:sz w:val="4"/>
                <w:szCs w:val="4"/>
              </w:rPr>
            </w:pPr>
            <w:r>
              <w:rPr>
                <w:sz w:val="4"/>
                <w:szCs w:val="4"/>
              </w:rPr>
            </w:r>
          </w:p>
        </w:tc>
      </w:tr>
      <w:tr>
        <w:trPr/>
        <w:tc>
          <w:tcPr>
            <w:tcW w:w="2212"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sale of assets</w:t>
            </w:r>
          </w:p>
        </w:tc>
        <w:tc>
          <w:tcPr>
            <w:tcW w:w="11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2"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 (loss)</w:t>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7,007 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3,277 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12,379 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2"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data:</w:t>
            </w:r>
          </w:p>
        </w:tc>
        <w:tc>
          <w:tcPr>
            <w:tcW w:w="130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w:t>
            </w:r>
          </w:p>
        </w:tc>
        <w:tc>
          <w:tcPr>
            <w:tcW w:w="24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1,120 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676 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2,362 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24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1,391 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4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113,574 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77,109 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112,413 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80,612 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86,157 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469,865 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tbl>
      <w:tblPr>
        <w:tblW w:w="4638"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642" w:type="dxa"/>
            <w:gridSpan w:val="33"/>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tbl>
      <w:tblPr>
        <w:tblW w:w="4638"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642" w:type="dxa"/>
            <w:gridSpan w:val="33"/>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7. STOCKHOLDERS’ EQUITY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Equity Incentive Plan</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The Company’s 2006 Equity Incentive Plan, as amended and restated (the “Equity Incentive Plan”), provides for grants of stock options as well as grants of stock, including restricted stock.</w:t>
      </w:r>
      <w:r>
        <w:rPr>
          <w:color w:val="000000"/>
        </w:rPr>
        <w:t xml:space="preserve"> </w:t>
      </w:r>
      <w:r>
        <w:rPr>
          <w:rFonts w:ascii="Times New Roman;sans-serif" w:hAnsi="Times New Roman;sans-serif"/>
          <w:b w:val="false"/>
          <w:color w:val="000000"/>
          <w:sz w:val="20"/>
        </w:rPr>
        <w:t xml:space="preserve">Approximately 3.0 million shares of common stock are authorized for issuance under the Equity Incentive Plan, of which approximately 855,053 shares were available for issuance at December 31, 2020.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692265" cy="146685"/>
                <wp:effectExtent l="0" t="0" r="0" b="0"/>
                <wp:wrapNone/>
                <wp:docPr id="17" name="Frame1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Stock Repurchase Program</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In 2015, our Board authorized a stock repurchase program for the purchase from time to time of up to 1.5 million shares of the Company’s common stock, and on May 2, 2019, our Board authorized the repurchase from time to time of up to an additional 1.0 million shares of our common stock under the stock repurchase program. Share purchases are made for cash in open market transactions at prevailing market prices or in privately negotiated transactions or otherwise. The timing and amount of purchases under the program are determined based upon prevailing market conditions, our liquidity requirements, contractual restrictions and other factors. All or part of the repurchases may be implemented under a Rule 10b5-1 trading plan, which allows repurchases under pre-set terms at times when the Company might otherwise be prevented from purchasing under insider trading laws or because of self-imposed blackout periods. The program does not require the Company to purchase any specific number of shares and may be modified, suspended or reinstated at any time at the Company’s discretion and without notice. We repurchased no shares of our common stock during the three months ended December 31, 2020 in open market transactions. We repurchased 19,817 shares of our common stock during the three months ended December 31, 2019 in open market transactions at an average price of $22.51 per share.</w:t>
      </w:r>
      <w:r>
        <w:rPr>
          <w:color w:val="000000"/>
        </w:rPr>
        <w:t xml:space="preserve"> </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Treasury Stock</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December 31, 2020, we issued 38,087 shares of common stock from treasury stock to employees and repurchased 16,882 shares of common stock from our employees to satisfy statutory tax withholding requirements upon the vesting of certain performance phantom stock units under the Equity Incentive Plan. In addition, 13,996 restricted shares were forfeited by certain former employees upon their departure and returned to treasury stock. We also issued 380 unrestricted shares of common stock from treasury to members of our Board of Directors as part of their overall compensation.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December 31, 2019, we issued 95,409 shares of common stock from treasury to employees and repurchased 17,427 shares of common stock from our employees to satisfy statutory tax withholding requirements upon the vesting of certain performance phantom stock units under the Equity Incentive Plan. We also repurchased 19,817 shares of common stock on the open market pursuant to our stock repurchase program.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Restricted Stock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granted no restricted shares to executives during the three months ended December 31, 2020. Of the awards previously granted, 8,183 shares vested and 13,996 shares were forfeited by certain former employees upon their departure. The remaining restricted shares either vest subject to the achievement of specified levels of cumulative net income before taxes or vest based on the passage of time. During the three months ended December 31, 2020 and 2019, we recognized $38 and $366, respectively, in compensation expense related to all restricted stock awards. At December 31, 2020, the unamortized compensation cost related to outstanding unvested restricted stock was $274. </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Director Phantom Stock Units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Director phantom stock units (“Director PSUs”) are primarily granted to the members of the Board of Directors as part of their overall compensation. These Director PSUs are contractual rights to receive one share of the Company's common stock and are paid via unrestricted stock grants to each director upon their departure from the Board of Directors, or upon a change in control . We record compensation expense for the full value of the grant on the date of grant. During the three months ended December 31, 2020 and 2019, we recognized $96 and $100, respectively, in compensation expense related to these grants.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Employee Phantom Stock Units </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 employee phantom stock unit (an “Employee PSU”) is a contractual right to receive one share of the Company’s common stock. Depending on the terms of each grant, Employee PSUs may vest upon the achievement of certain specified performance objectives and continued performance of services, or may vest based on continued performance of services through the vesting date.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2020, the Company had outstanding Employee PSUs, which, subject to the achievement of certain performance metrics, could result in the issuance of 253,809 shares of common stock. Of the Employee PSUs granted, 114,020 Employee PSUs have been forfeited, and 87,769 have vested. During the three months ended December 31, 2020 and 2019, we recognized $697 and $429, respectively, in compensation expense related to Employee PSU grants.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692265" cy="146685"/>
                <wp:effectExtent l="0" t="0" r="0" b="0"/>
                <wp:wrapNone/>
                <wp:docPr id="18" name="Frame1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8. EMPLOYEE BENEFIT PLANS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401(k) Plan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1998, we established the IES Holdings, Inc. 401(k) Retirement Savings Plan. All full-time IES employees are eligible to participate on the first day of the month subsequent to completing sixty days of service and attaining age twenty one. Participants become vested in our matching contributions following three years of service. We also maintain several subsidiary retirement savings plans. During the three months ended December 31, 2020 and 2019, we recognized $706 and $385, respectively, in matching expense. </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Post Retirement Benefit Plans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Certain individuals at one of the Company’s locations are entitled to receive fixed annual payments pursuant to post retirement benefit plans. We had an unfunded benefit liability of $720 and $719 recorded as of December 31, 2020 and September 30, 2020, respectively, related to such plans.</w:t>
      </w:r>
    </w:p>
    <w:p>
      <w:pPr>
        <w:pStyle w:val="TextBody"/>
        <w:spacing w:before="0" w:after="0"/>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9. FAIR VALUE MEASUREMENTS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Fair Value Measurement Accounting</w:t>
      </w:r>
    </w:p>
    <w:p>
      <w:pPr>
        <w:pStyle w:val="TextBody"/>
        <w:spacing w:lineRule="auto" w:line="288" w:before="140" w:after="283"/>
        <w:jc w:val="both"/>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is considered the price to sell an asset, or transfer a liability, between market participants on the measurement date. Fair value measurements assume that (1) the asset or liability is exchanged in an orderly manner, (2) the exchange is in the principal market for that asset or liability, and (3) the market participants are independent, knowledgeable, able and willing to transact an exchange. Fair value accounting and reporting establishes a framework for measuring fair value by creating a hierarchy for observable independent market inputs and unobservable market assumptions and expands disclosures about fair value measurements. Considerable judgment is required to interpret the market data used to develop fair value estimates. As such, the estimates presented herein are not necessarily indicative of the amounts that could be realized in a current exchange. The use of different market assumptions and/or estimation methods could have a material effect on the estimated fair value.</w:t>
      </w:r>
    </w:p>
    <w:p>
      <w:pPr>
        <w:pStyle w:val="TextBody"/>
        <w:spacing w:lineRule="auto" w:line="288" w:before="100" w:after="100"/>
        <w:rPr>
          <w:rFonts w:ascii="Times New Roman;sans-serif" w:hAnsi="Times New Roman;sans-serif"/>
          <w:b w:val="false"/>
          <w:color w:val="000000"/>
          <w:sz w:val="20"/>
        </w:rPr>
      </w:pPr>
      <w:r>
        <w:rPr>
          <w:rFonts w:ascii="Times New Roman;sans-serif" w:hAnsi="Times New Roman;sans-serif"/>
          <w:b w:val="false"/>
          <w:color w:val="000000"/>
          <w:sz w:val="20"/>
        </w:rPr>
        <w:t>At December 31, 2020, financial assets and liabilities measured at fair value on a recurring basis were limited to our Executive Deferred Compensation Plan, under which certain employees are permitted to defer a portion of their base salary and/or bonus for a Plan Year (as defined in the plan), and contingent consideration liabilities related to certain of our acquisitions.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Financial assets and liabilities measured at fair value on a recurring basis as of December 31, 2020 and September 30, 2020, are summarized in the following tables by the type of inputs applicable to the fair value measurements:</w:t>
      </w:r>
    </w:p>
    <w:p>
      <w:pPr>
        <w:pStyle w:val="TextBody"/>
        <w:spacing w:before="0" w:after="0"/>
        <w:rPr/>
      </w:pPr>
      <w:r>
        <w:rPr/>
      </w:r>
    </w:p>
    <w:tbl>
      <w:tblPr>
        <w:tblW w:w="10539" w:type="dxa"/>
        <w:jc w:val="center"/>
        <w:tblInd w:w="0" w:type="dxa"/>
        <w:tblCellMar>
          <w:top w:w="28" w:type="dxa"/>
          <w:left w:w="28" w:type="dxa"/>
          <w:bottom w:w="28" w:type="dxa"/>
          <w:right w:w="28" w:type="dxa"/>
        </w:tblCellMar>
      </w:tblPr>
      <w:tblGrid>
        <w:gridCol w:w="939"/>
        <w:gridCol w:w="772"/>
        <w:gridCol w:w="777"/>
        <w:gridCol w:w="109"/>
        <w:gridCol w:w="109"/>
        <w:gridCol w:w="109"/>
        <w:gridCol w:w="109"/>
        <w:gridCol w:w="109"/>
        <w:gridCol w:w="109"/>
        <w:gridCol w:w="465"/>
        <w:gridCol w:w="413"/>
        <w:gridCol w:w="415"/>
        <w:gridCol w:w="109"/>
        <w:gridCol w:w="109"/>
        <w:gridCol w:w="109"/>
        <w:gridCol w:w="109"/>
        <w:gridCol w:w="109"/>
        <w:gridCol w:w="109"/>
        <w:gridCol w:w="577"/>
        <w:gridCol w:w="575"/>
        <w:gridCol w:w="577"/>
        <w:gridCol w:w="109"/>
        <w:gridCol w:w="109"/>
        <w:gridCol w:w="109"/>
        <w:gridCol w:w="109"/>
        <w:gridCol w:w="109"/>
        <w:gridCol w:w="109"/>
        <w:gridCol w:w="895"/>
        <w:gridCol w:w="895"/>
        <w:gridCol w:w="1277"/>
      </w:tblGrid>
      <w:tr>
        <w:trPr/>
        <w:tc>
          <w:tcPr>
            <w:tcW w:w="939"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5" w:type="dxa"/>
            <w:tcBorders/>
            <w:shd w:fill="auto" w:val="clear"/>
            <w:vAlign w:val="center"/>
          </w:tcPr>
          <w:p>
            <w:pPr>
              <w:pStyle w:val="TableContents"/>
              <w:spacing w:before="0" w:after="283"/>
              <w:rPr>
                <w:sz w:val="4"/>
                <w:szCs w:val="4"/>
              </w:rPr>
            </w:pPr>
            <w:r>
              <w:rPr>
                <w:sz w:val="4"/>
                <w:szCs w:val="4"/>
              </w:rPr>
            </w:r>
          </w:p>
        </w:tc>
        <w:tc>
          <w:tcPr>
            <w:tcW w:w="895" w:type="dxa"/>
            <w:tcBorders/>
            <w:shd w:fill="auto" w:val="clear"/>
            <w:vAlign w:val="center"/>
          </w:tcPr>
          <w:p>
            <w:pPr>
              <w:pStyle w:val="TableContents"/>
              <w:spacing w:before="0" w:after="283"/>
              <w:rPr>
                <w:sz w:val="4"/>
                <w:szCs w:val="4"/>
              </w:rPr>
            </w:pPr>
            <w:r>
              <w:rPr>
                <w:sz w:val="4"/>
                <w:szCs w:val="4"/>
              </w:rPr>
            </w:r>
          </w:p>
        </w:tc>
        <w:tc>
          <w:tcPr>
            <w:tcW w:w="1277" w:type="dxa"/>
            <w:tcBorders/>
            <w:shd w:fill="auto" w:val="clear"/>
            <w:vAlign w:val="center"/>
          </w:tcPr>
          <w:p>
            <w:pPr>
              <w:pStyle w:val="TableContents"/>
              <w:spacing w:before="0" w:after="283"/>
              <w:rPr>
                <w:sz w:val="4"/>
                <w:szCs w:val="4"/>
              </w:rPr>
            </w:pPr>
            <w:r>
              <w:rPr>
                <w:sz w:val="4"/>
                <w:szCs w:val="4"/>
              </w:rPr>
            </w:r>
          </w:p>
        </w:tc>
      </w:tr>
      <w:tr>
        <w:trPr/>
        <w:tc>
          <w:tcPr>
            <w:tcW w:w="24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1"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2020</w:t>
            </w:r>
          </w:p>
        </w:tc>
      </w:tr>
      <w:tr>
        <w:trPr/>
        <w:tc>
          <w:tcPr>
            <w:tcW w:w="24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Quoted Prices (Level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0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Significant Unobservable Inputs (Level 3)</w:t>
            </w:r>
          </w:p>
        </w:tc>
      </w:tr>
      <w:tr>
        <w:trPr/>
        <w:tc>
          <w:tcPr>
            <w:tcW w:w="24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savings plan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876 </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876 </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savings plan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w:t>
            </w:r>
          </w:p>
        </w:tc>
        <w:tc>
          <w:tcPr>
            <w:tcW w:w="4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w:t>
            </w:r>
          </w:p>
        </w:tc>
        <w:tc>
          <w:tcPr>
            <w:tcW w:w="5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(3,380)</w:t>
            </w:r>
          </w:p>
        </w:tc>
        <w:tc>
          <w:tcPr>
            <w:tcW w:w="4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(3,380)</w:t>
            </w:r>
          </w:p>
        </w:tc>
        <w:tc>
          <w:tcPr>
            <w:tcW w:w="12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(3,253)</w:t>
            </w:r>
          </w:p>
        </w:tc>
        <w:tc>
          <w:tcPr>
            <w:tcW w:w="4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5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(3,380)</w:t>
            </w:r>
          </w:p>
        </w:tc>
        <w:tc>
          <w:tcPr>
            <w:tcW w:w="1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tbl>
      <w:tblPr>
        <w:tblW w:w="10539" w:type="dxa"/>
        <w:jc w:val="center"/>
        <w:tblInd w:w="0" w:type="dxa"/>
        <w:tblCellMar>
          <w:top w:w="28" w:type="dxa"/>
          <w:left w:w="28" w:type="dxa"/>
          <w:bottom w:w="28" w:type="dxa"/>
          <w:right w:w="28" w:type="dxa"/>
        </w:tblCellMar>
      </w:tblPr>
      <w:tblGrid>
        <w:gridCol w:w="887"/>
        <w:gridCol w:w="781"/>
        <w:gridCol w:w="786"/>
        <w:gridCol w:w="109"/>
        <w:gridCol w:w="109"/>
        <w:gridCol w:w="109"/>
        <w:gridCol w:w="109"/>
        <w:gridCol w:w="109"/>
        <w:gridCol w:w="109"/>
        <w:gridCol w:w="436"/>
        <w:gridCol w:w="417"/>
        <w:gridCol w:w="419"/>
        <w:gridCol w:w="109"/>
        <w:gridCol w:w="109"/>
        <w:gridCol w:w="109"/>
        <w:gridCol w:w="109"/>
        <w:gridCol w:w="109"/>
        <w:gridCol w:w="109"/>
        <w:gridCol w:w="584"/>
        <w:gridCol w:w="581"/>
        <w:gridCol w:w="584"/>
        <w:gridCol w:w="109"/>
        <w:gridCol w:w="109"/>
        <w:gridCol w:w="109"/>
        <w:gridCol w:w="109"/>
        <w:gridCol w:w="109"/>
        <w:gridCol w:w="109"/>
        <w:gridCol w:w="905"/>
        <w:gridCol w:w="905"/>
        <w:gridCol w:w="1292"/>
      </w:tblGrid>
      <w:tr>
        <w:trPr/>
        <w:tc>
          <w:tcPr>
            <w:tcW w:w="887"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1292" w:type="dxa"/>
            <w:tcBorders/>
            <w:shd w:fill="auto" w:val="clear"/>
            <w:vAlign w:val="center"/>
          </w:tcPr>
          <w:p>
            <w:pPr>
              <w:pStyle w:val="TableContents"/>
              <w:spacing w:before="0" w:after="283"/>
              <w:rPr>
                <w:sz w:val="4"/>
                <w:szCs w:val="4"/>
              </w:rPr>
            </w:pPr>
            <w:r>
              <w:rPr>
                <w:sz w:val="4"/>
                <w:szCs w:val="4"/>
              </w:rPr>
            </w:r>
          </w:p>
        </w:tc>
      </w:tr>
      <w:tr>
        <w:trPr/>
        <w:tc>
          <w:tcPr>
            <w:tcW w:w="2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5"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2020</w:t>
            </w:r>
          </w:p>
        </w:tc>
      </w:tr>
      <w:tr>
        <w:trPr/>
        <w:tc>
          <w:tcPr>
            <w:tcW w:w="2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Quoted Prices (Level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1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Significant Unobservable Inputs (Level 3)</w:t>
            </w:r>
          </w:p>
        </w:tc>
      </w:tr>
      <w:tr>
        <w:trPr/>
        <w:tc>
          <w:tcPr>
            <w:tcW w:w="24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savings plan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766 </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766 </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savings plan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w:t>
            </w:r>
          </w:p>
        </w:tc>
        <w:tc>
          <w:tcPr>
            <w:tcW w:w="4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w:t>
            </w:r>
          </w:p>
        </w:tc>
        <w:tc>
          <w:tcPr>
            <w:tcW w:w="5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102" w:type="dxa"/>
            <w:gridSpan w:val="3"/>
            <w:tcBorders/>
            <w:shd w:fill="auto" w:val="clear"/>
            <w:vAlign w:val="center"/>
          </w:tcPr>
          <w:p>
            <w:pPr>
              <w:pStyle w:val="TableContents"/>
              <w:spacing w:before="0" w:after="283"/>
              <w:rPr>
                <w:sz w:val="4"/>
                <w:szCs w:val="4"/>
              </w:rPr>
            </w:pPr>
            <w:r>
              <w:rPr>
                <w:sz w:val="4"/>
                <w:szCs w:val="4"/>
              </w:rPr>
            </w:r>
          </w:p>
        </w:tc>
      </w:tr>
      <w:tr>
        <w:trPr/>
        <w:tc>
          <w:tcPr>
            <w:tcW w:w="24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4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5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1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entered into a contingent consideration arrangement related to the acquisition of Bayonet. At December 31, 2020, we estimated the fair value of this contingent consideration liability at $3,380. The table below presents a reconciliation of the fair value of this obligation, which used significant unobservable inputs (Level 3).</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692265" cy="146685"/>
                <wp:effectExtent l="0" t="0" r="0" b="0"/>
                <wp:wrapNone/>
                <wp:docPr id="19" name="Frame1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before="0" w:after="0"/>
        <w:rPr/>
      </w:pPr>
      <w:r>
        <w:rPr/>
      </w:r>
    </w:p>
    <w:tbl>
      <w:tblPr>
        <w:tblW w:w="6729" w:type="dxa"/>
        <w:jc w:val="center"/>
        <w:tblInd w:w="0" w:type="dxa"/>
        <w:tblCellMar>
          <w:top w:w="28" w:type="dxa"/>
          <w:left w:w="28" w:type="dxa"/>
          <w:bottom w:w="28" w:type="dxa"/>
          <w:right w:w="28" w:type="dxa"/>
        </w:tblCellMar>
      </w:tblPr>
      <w:tblGrid>
        <w:gridCol w:w="1009"/>
        <w:gridCol w:w="889"/>
        <w:gridCol w:w="892"/>
        <w:gridCol w:w="109"/>
        <w:gridCol w:w="109"/>
        <w:gridCol w:w="109"/>
        <w:gridCol w:w="109"/>
        <w:gridCol w:w="109"/>
        <w:gridCol w:w="109"/>
        <w:gridCol w:w="961"/>
        <w:gridCol w:w="961"/>
        <w:gridCol w:w="1363"/>
      </w:tblGrid>
      <w:tr>
        <w:trPr/>
        <w:tc>
          <w:tcPr>
            <w:tcW w:w="1009"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363" w:type="dxa"/>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Agreements</w:t>
            </w:r>
          </w:p>
        </w:tc>
      </w:tr>
      <w:tr>
        <w:trPr/>
        <w:tc>
          <w:tcPr>
            <w:tcW w:w="2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at September 30, 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3,380 </w:t>
            </w:r>
          </w:p>
        </w:tc>
        <w:tc>
          <w:tcPr>
            <w:tcW w:w="13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85" w:type="dxa"/>
            <w:gridSpan w:val="3"/>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at December 31, 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2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3,380 </w:t>
            </w:r>
          </w:p>
        </w:tc>
        <w:tc>
          <w:tcPr>
            <w:tcW w:w="13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7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85" w:type="dxa"/>
            <w:gridSpan w:val="3"/>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8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10. INVENTORY</w:t>
      </w:r>
    </w:p>
    <w:p>
      <w:pPr>
        <w:pStyle w:val="TextBody"/>
        <w:spacing w:before="0" w:after="0"/>
        <w:jc w:val="both"/>
        <w:rPr/>
      </w:pPr>
      <w:r>
        <w:rPr/>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Inventories consist of the following components:</w:t>
      </w:r>
    </w:p>
    <w:p>
      <w:pPr>
        <w:pStyle w:val="TextBody"/>
        <w:spacing w:before="0" w:after="0"/>
        <w:jc w:val="center"/>
        <w:rPr/>
      </w:pPr>
      <w:r>
        <w:rPr/>
      </w:r>
    </w:p>
    <w:tbl>
      <w:tblPr>
        <w:tblW w:w="5051" w:type="dxa"/>
        <w:jc w:val="center"/>
        <w:tblInd w:w="0" w:type="dxa"/>
        <w:tblCellMar>
          <w:top w:w="28" w:type="dxa"/>
          <w:left w:w="28" w:type="dxa"/>
          <w:bottom w:w="28" w:type="dxa"/>
          <w:right w:w="28" w:type="dxa"/>
        </w:tblCellMar>
      </w:tblPr>
      <w:tblGrid>
        <w:gridCol w:w="291"/>
        <w:gridCol w:w="255"/>
        <w:gridCol w:w="255"/>
        <w:gridCol w:w="255"/>
        <w:gridCol w:w="255"/>
        <w:gridCol w:w="262"/>
        <w:gridCol w:w="201"/>
        <w:gridCol w:w="201"/>
        <w:gridCol w:w="201"/>
        <w:gridCol w:w="360"/>
        <w:gridCol w:w="361"/>
        <w:gridCol w:w="207"/>
        <w:gridCol w:w="109"/>
        <w:gridCol w:w="109"/>
        <w:gridCol w:w="109"/>
        <w:gridCol w:w="202"/>
        <w:gridCol w:w="202"/>
        <w:gridCol w:w="202"/>
        <w:gridCol w:w="360"/>
        <w:gridCol w:w="361"/>
        <w:gridCol w:w="293"/>
      </w:tblGrid>
      <w:tr>
        <w:trPr/>
        <w:tc>
          <w:tcPr>
            <w:tcW w:w="291"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r>
      <w:tr>
        <w:trPr/>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w:t>
            </w:r>
          </w:p>
        </w:tc>
      </w:tr>
      <w:tr>
        <w:trPr/>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r>
      <w:tr>
        <w:trPr/>
        <w:tc>
          <w:tcPr>
            <w:tcW w:w="1573"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60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3,763 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3,232 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3"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6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6,255 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4,894 </w:t>
            </w:r>
          </w:p>
        </w:tc>
        <w:tc>
          <w:tcPr>
            <w:tcW w:w="2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3"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6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1,366 </w:t>
            </w:r>
          </w:p>
        </w:tc>
        <w:tc>
          <w:tcPr>
            <w:tcW w:w="20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1,186 </w:t>
            </w:r>
          </w:p>
        </w:tc>
        <w:tc>
          <w:tcPr>
            <w:tcW w:w="2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3"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Parts and supplies</w:t>
            </w:r>
          </w:p>
        </w:tc>
        <w:tc>
          <w:tcPr>
            <w:tcW w:w="6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21,914 </w:t>
            </w:r>
          </w:p>
        </w:tc>
        <w:tc>
          <w:tcPr>
            <w:tcW w:w="20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15,577 </w:t>
            </w:r>
          </w:p>
        </w:tc>
        <w:tc>
          <w:tcPr>
            <w:tcW w:w="2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73"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inventories</w:t>
            </w:r>
          </w:p>
        </w:tc>
        <w:tc>
          <w:tcPr>
            <w:tcW w:w="60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33,298 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24,889 </w:t>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11. GOODWILL AND INTANGIBLE ASSETS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Goodwill</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changes in the carrying value of goodwill by segment for the three months ended December 31, 2020:</w:t>
      </w:r>
    </w:p>
    <w:p>
      <w:pPr>
        <w:pStyle w:val="TextBody"/>
        <w:spacing w:before="0" w:after="0"/>
        <w:jc w:val="center"/>
        <w:rPr/>
      </w:pPr>
      <w:r>
        <w:rPr/>
      </w:r>
    </w:p>
    <w:tbl>
      <w:tblPr>
        <w:tblW w:w="10539" w:type="dxa"/>
        <w:jc w:val="center"/>
        <w:tblInd w:w="0" w:type="dxa"/>
        <w:tblCellMar>
          <w:top w:w="28" w:type="dxa"/>
          <w:left w:w="28" w:type="dxa"/>
          <w:bottom w:w="28" w:type="dxa"/>
          <w:right w:w="28" w:type="dxa"/>
        </w:tblCellMar>
      </w:tblPr>
      <w:tblGrid>
        <w:gridCol w:w="564"/>
        <w:gridCol w:w="349"/>
        <w:gridCol w:w="350"/>
        <w:gridCol w:w="109"/>
        <w:gridCol w:w="109"/>
        <w:gridCol w:w="109"/>
        <w:gridCol w:w="250"/>
        <w:gridCol w:w="250"/>
        <w:gridCol w:w="250"/>
        <w:gridCol w:w="308"/>
        <w:gridCol w:w="308"/>
        <w:gridCol w:w="251"/>
        <w:gridCol w:w="109"/>
        <w:gridCol w:w="109"/>
        <w:gridCol w:w="109"/>
        <w:gridCol w:w="109"/>
        <w:gridCol w:w="109"/>
        <w:gridCol w:w="109"/>
        <w:gridCol w:w="172"/>
        <w:gridCol w:w="172"/>
        <w:gridCol w:w="172"/>
        <w:gridCol w:w="360"/>
        <w:gridCol w:w="361"/>
        <w:gridCol w:w="176"/>
        <w:gridCol w:w="109"/>
        <w:gridCol w:w="109"/>
        <w:gridCol w:w="109"/>
        <w:gridCol w:w="206"/>
        <w:gridCol w:w="206"/>
        <w:gridCol w:w="206"/>
        <w:gridCol w:w="360"/>
        <w:gridCol w:w="361"/>
        <w:gridCol w:w="210"/>
        <w:gridCol w:w="109"/>
        <w:gridCol w:w="109"/>
        <w:gridCol w:w="109"/>
        <w:gridCol w:w="109"/>
        <w:gridCol w:w="109"/>
        <w:gridCol w:w="109"/>
        <w:gridCol w:w="193"/>
        <w:gridCol w:w="193"/>
        <w:gridCol w:w="193"/>
        <w:gridCol w:w="232"/>
        <w:gridCol w:w="193"/>
        <w:gridCol w:w="197"/>
        <w:gridCol w:w="109"/>
        <w:gridCol w:w="109"/>
        <w:gridCol w:w="109"/>
        <w:gridCol w:w="109"/>
        <w:gridCol w:w="109"/>
        <w:gridCol w:w="109"/>
        <w:gridCol w:w="360"/>
        <w:gridCol w:w="361"/>
        <w:gridCol w:w="159"/>
      </w:tblGrid>
      <w:tr>
        <w:trPr/>
        <w:tc>
          <w:tcPr>
            <w:tcW w:w="564"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1590"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7"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Communications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3"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9"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Infrastructure Solutions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Commercial &amp; Industrial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126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at September 30, 2020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2,816 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34,728 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53,763 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28,121 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4,565 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32,686 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0" w:type="dxa"/>
            <w:gridSpan w:val="3"/>
            <w:tcBorders/>
            <w:shd w:fill="auto" w:val="clear"/>
            <w:vAlign w:val="center"/>
          </w:tcPr>
          <w:p>
            <w:pPr>
              <w:pStyle w:val="TableContents"/>
              <w:spacing w:before="0" w:after="283"/>
              <w:rPr>
                <w:sz w:val="4"/>
                <w:szCs w:val="4"/>
              </w:rPr>
            </w:pPr>
            <w:r>
              <w:rPr>
                <w:sz w:val="4"/>
                <w:szCs w:val="4"/>
              </w:rPr>
            </w:r>
          </w:p>
        </w:tc>
        <w:tc>
          <w:tcPr>
            <w:tcW w:w="8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6"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18"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9" w:type="dxa"/>
            <w:gridSpan w:val="3"/>
            <w:tcBorders/>
            <w:shd w:fill="auto" w:val="clear"/>
            <w:vAlign w:val="center"/>
          </w:tcPr>
          <w:p>
            <w:pPr>
              <w:pStyle w:val="TableContents"/>
              <w:spacing w:before="0" w:after="283"/>
              <w:rPr>
                <w:sz w:val="4"/>
                <w:szCs w:val="4"/>
              </w:rPr>
            </w:pPr>
            <w:r>
              <w:rPr>
                <w:sz w:val="4"/>
                <w:szCs w:val="4"/>
              </w:rPr>
            </w:r>
          </w:p>
        </w:tc>
        <w:tc>
          <w:tcPr>
            <w:tcW w:w="6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0" w:type="dxa"/>
            <w:gridSpan w:val="3"/>
            <w:tcBorders/>
            <w:shd w:fill="auto" w:val="clear"/>
            <w:vAlign w:val="center"/>
          </w:tcPr>
          <w:p>
            <w:pPr>
              <w:pStyle w:val="TableContents"/>
              <w:spacing w:before="0" w:after="283"/>
              <w:rPr>
                <w:sz w:val="4"/>
                <w:szCs w:val="4"/>
              </w:rPr>
            </w:pPr>
            <w:r>
              <w:rPr>
                <w:sz w:val="4"/>
                <w:szCs w:val="4"/>
              </w:rPr>
            </w:r>
          </w:p>
        </w:tc>
      </w:tr>
      <w:tr>
        <w:trPr/>
        <w:tc>
          <w:tcPr>
            <w:tcW w:w="12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0" w:type="dxa"/>
            <w:gridSpan w:val="3"/>
            <w:tcBorders/>
            <w:shd w:fill="auto" w:val="clear"/>
            <w:vAlign w:val="center"/>
          </w:tcPr>
          <w:p>
            <w:pPr>
              <w:pStyle w:val="TableContents"/>
              <w:spacing w:before="0" w:after="283"/>
              <w:rPr>
                <w:sz w:val="4"/>
                <w:szCs w:val="4"/>
              </w:rPr>
            </w:pPr>
            <w:r>
              <w:rPr>
                <w:sz w:val="4"/>
                <w:szCs w:val="4"/>
              </w:rPr>
            </w:r>
          </w:p>
        </w:tc>
        <w:tc>
          <w:tcPr>
            <w:tcW w:w="8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6"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18"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9" w:type="dxa"/>
            <w:gridSpan w:val="3"/>
            <w:tcBorders/>
            <w:shd w:fill="auto" w:val="clear"/>
            <w:vAlign w:val="center"/>
          </w:tcPr>
          <w:p>
            <w:pPr>
              <w:pStyle w:val="TableContents"/>
              <w:spacing w:before="0" w:after="283"/>
              <w:rPr>
                <w:sz w:val="4"/>
                <w:szCs w:val="4"/>
              </w:rPr>
            </w:pPr>
            <w:r>
              <w:rPr>
                <w:sz w:val="4"/>
                <w:szCs w:val="4"/>
              </w:rPr>
            </w:r>
          </w:p>
        </w:tc>
        <w:tc>
          <w:tcPr>
            <w:tcW w:w="6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0" w:type="dxa"/>
            <w:gridSpan w:val="3"/>
            <w:tcBorders/>
            <w:shd w:fill="auto" w:val="clear"/>
            <w:vAlign w:val="center"/>
          </w:tcPr>
          <w:p>
            <w:pPr>
              <w:pStyle w:val="TableContents"/>
              <w:spacing w:before="0" w:after="283"/>
              <w:rPr>
                <w:sz w:val="4"/>
                <w:szCs w:val="4"/>
              </w:rPr>
            </w:pPr>
            <w:r>
              <w:rPr>
                <w:sz w:val="4"/>
                <w:szCs w:val="4"/>
              </w:rPr>
            </w:r>
          </w:p>
        </w:tc>
      </w:tr>
      <w:tr>
        <w:trPr/>
        <w:tc>
          <w:tcPr>
            <w:tcW w:w="126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at December 31, 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2,816 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44,340 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39,293 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86,449 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2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0" w:type="dxa"/>
            <w:gridSpan w:val="3"/>
            <w:tcBorders/>
            <w:shd w:fill="auto" w:val="clear"/>
            <w:vAlign w:val="center"/>
          </w:tcPr>
          <w:p>
            <w:pPr>
              <w:pStyle w:val="TableContents"/>
              <w:spacing w:before="0" w:after="283"/>
              <w:rPr>
                <w:sz w:val="4"/>
                <w:szCs w:val="4"/>
              </w:rPr>
            </w:pPr>
            <w:r>
              <w:rPr>
                <w:sz w:val="4"/>
                <w:szCs w:val="4"/>
              </w:rPr>
            </w:r>
          </w:p>
        </w:tc>
        <w:tc>
          <w:tcPr>
            <w:tcW w:w="8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6"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18"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9" w:type="dxa"/>
            <w:gridSpan w:val="3"/>
            <w:tcBorders/>
            <w:shd w:fill="auto" w:val="clear"/>
            <w:vAlign w:val="center"/>
          </w:tcPr>
          <w:p>
            <w:pPr>
              <w:pStyle w:val="TableContents"/>
              <w:spacing w:before="0" w:after="283"/>
              <w:rPr>
                <w:sz w:val="4"/>
                <w:szCs w:val="4"/>
              </w:rPr>
            </w:pPr>
            <w:r>
              <w:rPr>
                <w:sz w:val="4"/>
                <w:szCs w:val="4"/>
              </w:rPr>
            </w:r>
          </w:p>
        </w:tc>
        <w:tc>
          <w:tcPr>
            <w:tcW w:w="6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0" w:type="dxa"/>
            <w:gridSpan w:val="3"/>
            <w:tcBorders/>
            <w:shd w:fill="auto" w:val="clear"/>
            <w:vAlign w:val="center"/>
          </w:tcPr>
          <w:p>
            <w:pPr>
              <w:pStyle w:val="TableContents"/>
              <w:spacing w:before="0" w:after="283"/>
              <w:rPr>
                <w:sz w:val="4"/>
                <w:szCs w:val="4"/>
              </w:rPr>
            </w:pPr>
            <w:r>
              <w:rPr>
                <w:sz w:val="4"/>
                <w:szCs w:val="4"/>
              </w:rPr>
            </w:r>
          </w:p>
        </w:tc>
      </w:tr>
      <w:tr>
        <w:trPr/>
        <w:tc>
          <w:tcPr>
            <w:tcW w:w="12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0" w:type="dxa"/>
            <w:gridSpan w:val="3"/>
            <w:tcBorders/>
            <w:shd w:fill="auto" w:val="clear"/>
            <w:vAlign w:val="center"/>
          </w:tcPr>
          <w:p>
            <w:pPr>
              <w:pStyle w:val="TableContents"/>
              <w:spacing w:before="0" w:after="283"/>
              <w:rPr>
                <w:sz w:val="4"/>
                <w:szCs w:val="4"/>
              </w:rPr>
            </w:pPr>
            <w:r>
              <w:rPr>
                <w:sz w:val="4"/>
                <w:szCs w:val="4"/>
              </w:rPr>
            </w:r>
          </w:p>
        </w:tc>
        <w:tc>
          <w:tcPr>
            <w:tcW w:w="8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16"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18"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9" w:type="dxa"/>
            <w:gridSpan w:val="3"/>
            <w:tcBorders/>
            <w:shd w:fill="auto" w:val="clear"/>
            <w:vAlign w:val="center"/>
          </w:tcPr>
          <w:p>
            <w:pPr>
              <w:pStyle w:val="TableContents"/>
              <w:spacing w:before="0" w:after="283"/>
              <w:rPr>
                <w:sz w:val="4"/>
                <w:szCs w:val="4"/>
              </w:rPr>
            </w:pPr>
            <w:r>
              <w:rPr>
                <w:sz w:val="4"/>
                <w:szCs w:val="4"/>
              </w:rPr>
            </w:r>
          </w:p>
        </w:tc>
        <w:tc>
          <w:tcPr>
            <w:tcW w:w="6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0"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5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Intangible Assets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consist of the following:</w:t>
      </w:r>
    </w:p>
    <w:tbl>
      <w:tblPr>
        <w:tblW w:w="10539" w:type="dxa"/>
        <w:jc w:val="left"/>
        <w:tblInd w:w="0" w:type="dxa"/>
        <w:tblCellMar>
          <w:top w:w="28" w:type="dxa"/>
          <w:left w:w="28" w:type="dxa"/>
          <w:bottom w:w="28" w:type="dxa"/>
          <w:right w:w="28" w:type="dxa"/>
        </w:tblCellMar>
      </w:tblPr>
      <w:tblGrid>
        <w:gridCol w:w="468"/>
        <w:gridCol w:w="412"/>
        <w:gridCol w:w="362"/>
        <w:gridCol w:w="333"/>
        <w:gridCol w:w="333"/>
        <w:gridCol w:w="338"/>
        <w:gridCol w:w="109"/>
        <w:gridCol w:w="109"/>
        <w:gridCol w:w="109"/>
        <w:gridCol w:w="208"/>
        <w:gridCol w:w="208"/>
        <w:gridCol w:w="208"/>
        <w:gridCol w:w="208"/>
        <w:gridCol w:w="208"/>
        <w:gridCol w:w="208"/>
        <w:gridCol w:w="208"/>
        <w:gridCol w:w="208"/>
        <w:gridCol w:w="208"/>
        <w:gridCol w:w="109"/>
        <w:gridCol w:w="109"/>
        <w:gridCol w:w="109"/>
        <w:gridCol w:w="109"/>
        <w:gridCol w:w="109"/>
        <w:gridCol w:w="109"/>
        <w:gridCol w:w="558"/>
        <w:gridCol w:w="472"/>
        <w:gridCol w:w="473"/>
        <w:gridCol w:w="109"/>
        <w:gridCol w:w="109"/>
        <w:gridCol w:w="109"/>
        <w:gridCol w:w="109"/>
        <w:gridCol w:w="109"/>
        <w:gridCol w:w="109"/>
        <w:gridCol w:w="579"/>
        <w:gridCol w:w="579"/>
        <w:gridCol w:w="581"/>
        <w:gridCol w:w="109"/>
        <w:gridCol w:w="109"/>
        <w:gridCol w:w="109"/>
        <w:gridCol w:w="109"/>
        <w:gridCol w:w="109"/>
        <w:gridCol w:w="109"/>
        <w:gridCol w:w="360"/>
        <w:gridCol w:w="361"/>
        <w:gridCol w:w="169"/>
      </w:tblGrid>
      <w:tr>
        <w:trPr/>
        <w:tc>
          <w:tcPr>
            <w:tcW w:w="468"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9" w:type="dxa"/>
            <w:tcBorders/>
            <w:shd w:fill="auto" w:val="clear"/>
            <w:vAlign w:val="center"/>
          </w:tcPr>
          <w:p>
            <w:pPr>
              <w:pStyle w:val="TableContents"/>
              <w:spacing w:before="0" w:after="283"/>
              <w:rPr>
                <w:sz w:val="4"/>
                <w:szCs w:val="4"/>
              </w:rPr>
            </w:pPr>
            <w:r>
              <w:rPr>
                <w:sz w:val="4"/>
                <w:szCs w:val="4"/>
              </w:rPr>
            </w:r>
          </w:p>
        </w:tc>
        <w:tc>
          <w:tcPr>
            <w:tcW w:w="579"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r>
      <w:tr>
        <w:trPr/>
        <w:tc>
          <w:tcPr>
            <w:tcW w:w="12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2" w:type="dxa"/>
            <w:gridSpan w:val="9"/>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Estimated Useful Lives (in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67" w:type="dxa"/>
            <w:gridSpan w:val="24"/>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2020</w:t>
            </w:r>
          </w:p>
        </w:tc>
      </w:tr>
      <w:tr>
        <w:trPr/>
        <w:tc>
          <w:tcPr>
            <w:tcW w:w="12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2" w:type="dxa"/>
            <w:gridSpan w:val="9"/>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Gross Carrying 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Accumulated 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7"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w:t>
            </w:r>
          </w:p>
        </w:tc>
      </w:tr>
      <w:tr>
        <w:trPr/>
        <w:tc>
          <w:tcPr>
            <w:tcW w:w="2246"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Trademarks/trade names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62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18,451 </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(1,898)</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6"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Technical library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2"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4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5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6"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62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59,641 </w:t>
            </w:r>
          </w:p>
        </w:tc>
        <w:tc>
          <w:tcPr>
            <w:tcW w:w="4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(15,986)</w:t>
            </w:r>
          </w:p>
        </w:tc>
        <w:tc>
          <w:tcPr>
            <w:tcW w:w="5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43,655 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6"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Non-competition arrangements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2"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4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5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6"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Backlog and construction contracts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2"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5,240 </w:t>
            </w:r>
          </w:p>
        </w:tc>
        <w:tc>
          <w:tcPr>
            <w:tcW w:w="4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(2,900)</w:t>
            </w:r>
          </w:p>
        </w:tc>
        <w:tc>
          <w:tcPr>
            <w:tcW w:w="5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6"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83,772 </w:t>
            </w:r>
          </w:p>
        </w:tc>
        <w:tc>
          <w:tcPr>
            <w:tcW w:w="4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(20,949)</w:t>
            </w:r>
          </w:p>
        </w:tc>
        <w:tc>
          <w:tcPr>
            <w:tcW w:w="5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62,823 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692265" cy="146685"/>
                <wp:effectExtent l="0" t="0" r="0" b="0"/>
                <wp:wrapNone/>
                <wp:docPr id="20" name="Frame1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before="0" w:after="0"/>
        <w:rPr/>
      </w:pPr>
      <w:r>
        <w:rPr/>
      </w:r>
    </w:p>
    <w:tbl>
      <w:tblPr>
        <w:tblW w:w="10539" w:type="dxa"/>
        <w:jc w:val="left"/>
        <w:tblInd w:w="0" w:type="dxa"/>
        <w:tblCellMar>
          <w:top w:w="28" w:type="dxa"/>
          <w:left w:w="28" w:type="dxa"/>
          <w:bottom w:w="28" w:type="dxa"/>
          <w:right w:w="28" w:type="dxa"/>
        </w:tblCellMar>
      </w:tblPr>
      <w:tblGrid>
        <w:gridCol w:w="468"/>
        <w:gridCol w:w="412"/>
        <w:gridCol w:w="362"/>
        <w:gridCol w:w="333"/>
        <w:gridCol w:w="333"/>
        <w:gridCol w:w="338"/>
        <w:gridCol w:w="109"/>
        <w:gridCol w:w="109"/>
        <w:gridCol w:w="109"/>
        <w:gridCol w:w="208"/>
        <w:gridCol w:w="208"/>
        <w:gridCol w:w="208"/>
        <w:gridCol w:w="208"/>
        <w:gridCol w:w="208"/>
        <w:gridCol w:w="208"/>
        <w:gridCol w:w="208"/>
        <w:gridCol w:w="208"/>
        <w:gridCol w:w="208"/>
        <w:gridCol w:w="109"/>
        <w:gridCol w:w="109"/>
        <w:gridCol w:w="109"/>
        <w:gridCol w:w="109"/>
        <w:gridCol w:w="109"/>
        <w:gridCol w:w="109"/>
        <w:gridCol w:w="558"/>
        <w:gridCol w:w="472"/>
        <w:gridCol w:w="473"/>
        <w:gridCol w:w="109"/>
        <w:gridCol w:w="109"/>
        <w:gridCol w:w="109"/>
        <w:gridCol w:w="109"/>
        <w:gridCol w:w="109"/>
        <w:gridCol w:w="109"/>
        <w:gridCol w:w="579"/>
        <w:gridCol w:w="579"/>
        <w:gridCol w:w="581"/>
        <w:gridCol w:w="109"/>
        <w:gridCol w:w="109"/>
        <w:gridCol w:w="109"/>
        <w:gridCol w:w="109"/>
        <w:gridCol w:w="109"/>
        <w:gridCol w:w="109"/>
        <w:gridCol w:w="360"/>
        <w:gridCol w:w="361"/>
        <w:gridCol w:w="169"/>
      </w:tblGrid>
      <w:tr>
        <w:trPr/>
        <w:tc>
          <w:tcPr>
            <w:tcW w:w="468"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9" w:type="dxa"/>
            <w:tcBorders/>
            <w:shd w:fill="auto" w:val="clear"/>
            <w:vAlign w:val="center"/>
          </w:tcPr>
          <w:p>
            <w:pPr>
              <w:pStyle w:val="TableContents"/>
              <w:spacing w:before="0" w:after="283"/>
              <w:rPr>
                <w:sz w:val="4"/>
                <w:szCs w:val="4"/>
              </w:rPr>
            </w:pPr>
            <w:r>
              <w:rPr>
                <w:sz w:val="4"/>
                <w:szCs w:val="4"/>
              </w:rPr>
            </w:r>
          </w:p>
        </w:tc>
        <w:tc>
          <w:tcPr>
            <w:tcW w:w="579"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r>
      <w:tr>
        <w:trPr/>
        <w:tc>
          <w:tcPr>
            <w:tcW w:w="12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2" w:type="dxa"/>
            <w:gridSpan w:val="9"/>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Estimated Useful Lives (in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67" w:type="dxa"/>
            <w:gridSpan w:val="24"/>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2020</w:t>
            </w:r>
          </w:p>
        </w:tc>
      </w:tr>
      <w:tr>
        <w:trPr/>
        <w:tc>
          <w:tcPr>
            <w:tcW w:w="12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2" w:type="dxa"/>
            <w:gridSpan w:val="9"/>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Gross Carrying 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Accumulated 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7"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w:t>
            </w:r>
          </w:p>
        </w:tc>
      </w:tr>
      <w:tr>
        <w:trPr/>
        <w:tc>
          <w:tcPr>
            <w:tcW w:w="2246"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Trademarks/trade names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62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7,754 </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6"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Technical library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2"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4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w:t>
            </w:r>
          </w:p>
        </w:tc>
        <w:tc>
          <w:tcPr>
            <w:tcW w:w="5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6"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62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46,449 </w:t>
            </w:r>
          </w:p>
        </w:tc>
        <w:tc>
          <w:tcPr>
            <w:tcW w:w="4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(14,900)</w:t>
            </w:r>
          </w:p>
        </w:tc>
        <w:tc>
          <w:tcPr>
            <w:tcW w:w="5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31,549 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6"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Non-competition arrangements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2"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4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5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6"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Backlog and construction contracts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2" w:type="dxa"/>
            <w:gridSpan w:val="9"/>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3,383 </w:t>
            </w:r>
          </w:p>
        </w:tc>
        <w:tc>
          <w:tcPr>
            <w:tcW w:w="4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w:t>
            </w:r>
          </w:p>
        </w:tc>
        <w:tc>
          <w:tcPr>
            <w:tcW w:w="5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6"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58,026 </w:t>
            </w:r>
          </w:p>
        </w:tc>
        <w:tc>
          <w:tcPr>
            <w:tcW w:w="4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(18,669)</w:t>
            </w:r>
          </w:p>
        </w:tc>
        <w:tc>
          <w:tcPr>
            <w:tcW w:w="5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39,357 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12. COMMITMENTS AND CONTINGENCIES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Legal Matters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are a party to various claims, lawsuits and other legal proceedings that arise in the ordinary course of business. We maintain various insurance coverages to minimize financial risk associated with these proceedings. None of these proceedings, separately or in the aggregate, are expected to have a material adverse effect on our financial position, results of operations or cash flows. With respect to all such proceedings, we record reserves when it is probable that a liability has been incurred and the amount of loss can be reasonably estimated. We expense routine legal costs related to these proceedings as they are incurred. As of December 31, 2020, we did not have any material pending legal proceedings.</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Risk-Management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retain the risk for workers’ compensation, employer’s liability, automobile liability, construction defects, general liability and employee group health claims, as well as pollution coverage, resulting from uninsured deductibles per accident or occurrence which are generally subject to annual aggregate limits. Our general liability program provides coverage for bodily injury and property damage. In many cases, we insure third parties, including general contractors, as additional insureds under our insurance policies. Losses are accrued based upon our known claims incurred and an estimate of claims incurred but not reported. As a result, many of our claims are effectively self-insured. Many claims against our insurance are in the form of litigation. At December 31, 2020 and September 30, 2020, we had $6,537 and $6,254, respectively, accrued for self-insurance liabilities. We are also subject to construction defect liabilities, primarily within our Residential segment. As of December 31, 2020 and September 30, 2020, we had $38 and $36, respectively, reserved for these claims. Because the reserves are based on judgment and estimates and involve variables that are inherently uncertain, such as the outcome of litigation and an assessment of insurance coverage, there can be no assurance that the ultimate liability will not be higher or lower than such estimates or that the timing of payments will not create liquidity issues for the Company.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Some of the underwriters of our casualty insurance program require us to post letters of credit as collateral. This is common in the insurance industry. To date, we have not had a situation where an underwriter has had reasonable cause to effect payment under a letter of credit. At December 31, 2020 and September 30, 2020, $6,114 and $5,464, respectively, of our outstanding letters of credit were utilized to collateralize our insurance program.</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Surety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2020, the estimated cost to complete our bonded projects was approximately $90,149. We evaluate our bonding requirements on a regular basis, including the terms offered by our sureties. We believe the bonding capacity presently provided by our current sureties is adequate for our current operations and will be adequate for our operations for the foreseeable future. Posting letters of credit in favor of our sureties reduces the borrowing availability under our revolving credit facility.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Commitments and Contingencies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Some of our customers and vendors require us to post letters of credit, or provide intercompany guarantees, as a means of guaranteeing performance under our contracts and ensuring payment by us to subcontractors and vendors. If our customer has reasonable cause to effect payment under a letter of credit, we would be required to reimburse our creditor for the letter of credit. At each of December 31, 2020 and September 30, 2020, $200 of our outstanding letters of credit were to collateralize our vendors.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may enter into firm purchase commitments for materials, such as copper or aluminum wire, which we expect to use in the ordinary course of business. These commitments are typically for terms of less than one year and require us to buy minimum </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692265" cy="146685"/>
                <wp:effectExtent l="0" t="0" r="0" b="0"/>
                <wp:wrapNone/>
                <wp:docPr id="21" name="Frame2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quantities of materials at specific intervals at a fixed price over the term. During the quarter ended December 31, 2020, we entered into an agreement to purchase $10,467 of copper wire over the next six months in the ordinary course of business. </w:t>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13. LEASES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enter into various contractual arrangements for the right to use facilities, vehicles and equipment. The lease term generally ranges from two to ten years for facilities and three to five years for vehicles and equipment. Our lease terms may include the exercise of renewal or termination options when it is reasonably certain these options will be exercised. Our lease agreements do not contain any material residual value guarantees or restrictive covenants.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Current operating and finance liabilities of $12,414 and $535, respectively, were included in "Accounts payable and accrued expenses" in the Condensed Consolidated Balance Sheets as of December 31, 2020. Non-current finance lease liabilities and finance lease right-of-use assets were included in the "Other non-current liabilities" and "Other non-current assets", respectively, in the Condensed Consolidated Balance Sheets.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maturities of our lease liabilities as of December 31, 2020 are as follows:</w:t>
      </w:r>
    </w:p>
    <w:tbl>
      <w:tblPr>
        <w:tblW w:w="7560" w:type="dxa"/>
        <w:jc w:val="center"/>
        <w:tblInd w:w="0" w:type="dxa"/>
        <w:tblCellMar>
          <w:top w:w="28" w:type="dxa"/>
          <w:left w:w="28" w:type="dxa"/>
          <w:bottom w:w="28" w:type="dxa"/>
          <w:right w:w="28" w:type="dxa"/>
        </w:tblCellMar>
      </w:tblPr>
      <w:tblGrid>
        <w:gridCol w:w="1080"/>
        <w:gridCol w:w="949"/>
        <w:gridCol w:w="956"/>
        <w:gridCol w:w="304"/>
        <w:gridCol w:w="1039"/>
        <w:gridCol w:w="157"/>
        <w:gridCol w:w="109"/>
        <w:gridCol w:w="109"/>
        <w:gridCol w:w="109"/>
        <w:gridCol w:w="301"/>
        <w:gridCol w:w="879"/>
        <w:gridCol w:w="155"/>
        <w:gridCol w:w="109"/>
        <w:gridCol w:w="109"/>
        <w:gridCol w:w="109"/>
        <w:gridCol w:w="211"/>
        <w:gridCol w:w="721"/>
        <w:gridCol w:w="154"/>
      </w:tblGrid>
      <w:tr>
        <w:trPr/>
        <w:tc>
          <w:tcPr>
            <w:tcW w:w="1080"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87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2021</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13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10,655 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3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7,437 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3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4,461 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3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2,822 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3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4,506 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undiscounted lease payments</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39,579 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34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36,321 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38,361 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total future undiscounted cash flows related to lease agreements committed to but not yet commenced as of December 31, 2020, is $6,986.</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Lease cost recognized in our Condensed Consolidated Statements of Comprehensive Income is summarized as follows:</w:t>
      </w:r>
    </w:p>
    <w:tbl>
      <w:tblPr>
        <w:tblW w:w="4447" w:type="dxa"/>
        <w:jc w:val="center"/>
        <w:tblInd w:w="0" w:type="dxa"/>
        <w:tblCellMar>
          <w:top w:w="28" w:type="dxa"/>
          <w:left w:w="28" w:type="dxa"/>
          <w:bottom w:w="28" w:type="dxa"/>
          <w:right w:w="28" w:type="dxa"/>
        </w:tblCellMar>
      </w:tblPr>
      <w:tblGrid>
        <w:gridCol w:w="857"/>
        <w:gridCol w:w="753"/>
        <w:gridCol w:w="759"/>
        <w:gridCol w:w="409"/>
        <w:gridCol w:w="1195"/>
        <w:gridCol w:w="211"/>
        <w:gridCol w:w="109"/>
        <w:gridCol w:w="154"/>
      </w:tblGrid>
      <w:tr>
        <w:trPr/>
        <w:tc>
          <w:tcPr>
            <w:tcW w:w="857"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2020</w:t>
            </w:r>
          </w:p>
        </w:tc>
        <w:tc>
          <w:tcPr>
            <w:tcW w:w="263" w:type="dxa"/>
            <w:gridSpan w:val="2"/>
            <w:tcBorders/>
            <w:shd w:fill="auto" w:val="clear"/>
          </w:tcPr>
          <w:p>
            <w:pPr>
              <w:pStyle w:val="TableContents"/>
              <w:spacing w:before="0" w:after="283"/>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cost </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w:t>
            </w:r>
          </w:p>
        </w:tc>
        <w:tc>
          <w:tcPr>
            <w:tcW w:w="18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lease assets</w:t>
            </w:r>
          </w:p>
        </w:tc>
        <w:tc>
          <w:tcPr>
            <w:tcW w:w="16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lease liabilities</w:t>
            </w:r>
          </w:p>
        </w:tc>
        <w:tc>
          <w:tcPr>
            <w:tcW w:w="16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w:t>
            </w:r>
          </w:p>
        </w:tc>
        <w:tc>
          <w:tcPr>
            <w:tcW w:w="160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16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16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4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3,980 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Other information about lease amounts recognized in our Condensed Consolidated Financial Statements is summarized as follows:</w:t>
      </w:r>
    </w:p>
    <w:p>
      <w:pPr>
        <w:pStyle w:val="TextBody"/>
        <w:spacing w:before="0" w:after="0"/>
        <w:rPr/>
      </w:pPr>
      <w:r>
        <w:rPr/>
      </w:r>
    </w:p>
    <w:tbl>
      <w:tblPr>
        <w:tblW w:w="8272" w:type="dxa"/>
        <w:jc w:val="left"/>
        <w:tblInd w:w="0" w:type="dxa"/>
        <w:tblCellMar>
          <w:top w:w="28" w:type="dxa"/>
          <w:left w:w="28" w:type="dxa"/>
          <w:bottom w:w="28" w:type="dxa"/>
          <w:right w:w="28" w:type="dxa"/>
        </w:tblCellMar>
      </w:tblPr>
      <w:tblGrid>
        <w:gridCol w:w="2242"/>
        <w:gridCol w:w="1969"/>
        <w:gridCol w:w="1983"/>
        <w:gridCol w:w="409"/>
        <w:gridCol w:w="1195"/>
        <w:gridCol w:w="211"/>
        <w:gridCol w:w="109"/>
        <w:gridCol w:w="154"/>
      </w:tblGrid>
      <w:tr>
        <w:trPr/>
        <w:tc>
          <w:tcPr>
            <w:tcW w:w="2242" w:type="dxa"/>
            <w:tcBorders/>
            <w:shd w:fill="auto" w:val="clear"/>
            <w:vAlign w:val="center"/>
          </w:tcPr>
          <w:p>
            <w:pPr>
              <w:pStyle w:val="TableContents"/>
              <w:spacing w:before="0" w:after="283"/>
              <w:rPr>
                <w:sz w:val="4"/>
                <w:szCs w:val="4"/>
              </w:rPr>
            </w:pPr>
            <w:r>
              <w:rPr>
                <w:sz w:val="4"/>
                <w:szCs w:val="4"/>
              </w:rPr>
            </w:r>
          </w:p>
        </w:tc>
        <w:tc>
          <w:tcPr>
            <w:tcW w:w="1969" w:type="dxa"/>
            <w:tcBorders/>
            <w:shd w:fill="auto" w:val="clear"/>
            <w:vAlign w:val="center"/>
          </w:tcPr>
          <w:p>
            <w:pPr>
              <w:pStyle w:val="TableContents"/>
              <w:spacing w:before="0" w:after="283"/>
              <w:rPr>
                <w:sz w:val="4"/>
                <w:szCs w:val="4"/>
              </w:rPr>
            </w:pPr>
            <w:r>
              <w:rPr>
                <w:sz w:val="4"/>
                <w:szCs w:val="4"/>
              </w:rPr>
            </w:r>
          </w:p>
        </w:tc>
        <w:tc>
          <w:tcPr>
            <w:tcW w:w="1983"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2020</w:t>
            </w:r>
          </w:p>
        </w:tc>
        <w:tc>
          <w:tcPr>
            <w:tcW w:w="263" w:type="dxa"/>
            <w:gridSpan w:val="2"/>
            <w:tcBorders/>
            <w:shd w:fill="auto" w:val="clear"/>
          </w:tcPr>
          <w:p>
            <w:pPr>
              <w:pStyle w:val="TableContents"/>
              <w:spacing w:before="0" w:after="283"/>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used for operating leases</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used for finance leases</w:t>
            </w:r>
          </w:p>
        </w:tc>
        <w:tc>
          <w:tcPr>
            <w:tcW w:w="16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operating lease liabilities</w:t>
            </w:r>
          </w:p>
        </w:tc>
        <w:tc>
          <w:tcPr>
            <w:tcW w:w="16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7,760 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finance lease liabilities</w:t>
            </w:r>
          </w:p>
        </w:tc>
        <w:tc>
          <w:tcPr>
            <w:tcW w:w="16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564 </w:t>
            </w:r>
          </w:p>
        </w:tc>
        <w:tc>
          <w:tcPr>
            <w:tcW w:w="2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692265" cy="146685"/>
                <wp:effectExtent l="0" t="0" r="0" b="0"/>
                <wp:wrapNone/>
                <wp:docPr id="22" name="Frame2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before="0" w:after="0"/>
        <w:rPr/>
      </w:pPr>
      <w:r>
        <w:rPr/>
      </w:r>
    </w:p>
    <w:tbl>
      <w:tblPr>
        <w:tblW w:w="6509" w:type="dxa"/>
        <w:jc w:val="center"/>
        <w:tblInd w:w="0" w:type="dxa"/>
        <w:tblCellMar>
          <w:top w:w="28" w:type="dxa"/>
          <w:left w:w="28" w:type="dxa"/>
          <w:bottom w:w="28" w:type="dxa"/>
          <w:right w:w="28" w:type="dxa"/>
        </w:tblCellMar>
      </w:tblPr>
      <w:tblGrid>
        <w:gridCol w:w="1734"/>
        <w:gridCol w:w="1522"/>
        <w:gridCol w:w="1528"/>
        <w:gridCol w:w="352"/>
        <w:gridCol w:w="352"/>
        <w:gridCol w:w="1021"/>
      </w:tblGrid>
      <w:tr>
        <w:trPr/>
        <w:tc>
          <w:tcPr>
            <w:tcW w:w="1734" w:type="dxa"/>
            <w:tcBorders/>
            <w:shd w:fill="auto" w:val="clear"/>
            <w:vAlign w:val="center"/>
          </w:tcPr>
          <w:p>
            <w:pPr>
              <w:pStyle w:val="TableContents"/>
              <w:spacing w:before="0" w:after="283"/>
              <w:rPr>
                <w:sz w:val="4"/>
                <w:szCs w:val="4"/>
              </w:rPr>
            </w:pPr>
            <w:r>
              <w:rPr>
                <w:sz w:val="4"/>
                <w:szCs w:val="4"/>
              </w:rPr>
            </w:r>
          </w:p>
        </w:tc>
        <w:tc>
          <w:tcPr>
            <w:tcW w:w="1522" w:type="dxa"/>
            <w:tcBorders/>
            <w:shd w:fill="auto" w:val="clear"/>
            <w:vAlign w:val="center"/>
          </w:tcPr>
          <w:p>
            <w:pPr>
              <w:pStyle w:val="TableContents"/>
              <w:spacing w:before="0" w:after="283"/>
              <w:rPr>
                <w:sz w:val="4"/>
                <w:szCs w:val="4"/>
              </w:rPr>
            </w:pPr>
            <w:r>
              <w:rPr>
                <w:sz w:val="4"/>
                <w:szCs w:val="4"/>
              </w:rPr>
            </w:r>
          </w:p>
        </w:tc>
        <w:tc>
          <w:tcPr>
            <w:tcW w:w="1528"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r>
      <w:tr>
        <w:trPr/>
        <w:tc>
          <w:tcPr>
            <w:tcW w:w="4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 2020</w:t>
            </w:r>
          </w:p>
        </w:tc>
      </w:tr>
      <w:tr>
        <w:trPr/>
        <w:tc>
          <w:tcPr>
            <w:tcW w:w="47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 operating leases</w:t>
            </w:r>
          </w:p>
        </w:tc>
        <w:tc>
          <w:tcPr>
            <w:tcW w:w="172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years</w:t>
            </w:r>
          </w:p>
        </w:tc>
      </w:tr>
      <w:tr>
        <w:trPr/>
        <w:tc>
          <w:tcPr>
            <w:tcW w:w="47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 finance leases</w:t>
            </w:r>
          </w:p>
        </w:tc>
        <w:tc>
          <w:tcPr>
            <w:tcW w:w="172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years</w:t>
            </w:r>
          </w:p>
        </w:tc>
      </w:tr>
      <w:tr>
        <w:trPr/>
        <w:tc>
          <w:tcPr>
            <w:tcW w:w="47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 - operating leases</w:t>
            </w:r>
          </w:p>
        </w:tc>
        <w:tc>
          <w:tcPr>
            <w:tcW w:w="7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 - finance leases</w:t>
            </w:r>
          </w:p>
        </w:tc>
        <w:tc>
          <w:tcPr>
            <w:tcW w:w="7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14. BUSINESS COMBINATIONS AND DIVESTITURES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2021</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completed three acquisitions during the three months ended December 31, 2020:</w:t>
      </w:r>
    </w:p>
    <w:p>
      <w:pPr>
        <w:pStyle w:val="TextBody"/>
        <w:spacing w:before="0" w:after="0"/>
        <w:jc w:val="both"/>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Bayonet Plumbing, Heating and Air-Conditioning, LLC - On December 21, 2020, we acquired an 80% ownership interest in Bayonet, a Hudson, Florida-based provider of residential heating, ventilation and air conditioning (HVAC) and plumbing installation and maintenance services. The acquisition of Bayonet allows us to expand into the Florida market, while adding plumbing and HVAC to our service offerings. Bayonet is part of our Residential segment and continues to operate under the Bayonet name.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Wedlake Fabricating, Inc. (“Wedlake”) - On November 19, 2020 we acquired Wedlake, a Tulsa, Oklahoma-based manufacturer of custom generator enclosures, that are primarily used by data centers and large commercial and industrial facilities. Wedlake is part of our Infrastructure Solutions segment and continues to operate under the Wedlake name. The acquisition of Wedlake will expand our generator enclosures business and our geographic footprint.</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K.E.P. Electric, Inc. (“KEP”) - On November 5, 2020, we acquired KEP, a Batavia, Ohio-based electrical contractor specializing in the design and installation of electrical systems for single-family housing and multi-family developments. The acquisition of KEP, which has operations in Ohio and Kentucky, will advance the expansion of our Residential service offerings into the Midwest. KEP is part of our Residential segment and continues to operate under the KEP name. </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aggregate cash consideration for these acquisitions was $54,774, of which $5,799 was paid into escrow pending discharge of the acquired companies' indebtedness under the Paycheck Protection Program established by the Coronavirus Aid, Relief, and Economic Security (CARES) Act and implemented by the U.S. Small Business Administration. Loans made under the PPP are eligible to be forgiven if certain criteria are met. Each acquired entity completed its applications for forgiveness of the outstanding balance of their respective PPP loans prior to being acquired by us. If the PPP loans are forgiven in full, these funds will be released to the acquired entities, and under the terms of our agreement with the sellers, these funds will then be repaid to the sellers. If any of the PPP loans are not forgiven in full, funds will be paid from the escrow account to the respective lender in satisfaction of the unforgiven balance of such PPP loan. During the quarter ended December 31, 2020, one of the PPP loans was forgiven, and related escrowed funds were released. The remaining escrowed funds are included in Restricted Cash, with a corresponding payable to the sellers included in Accounts Payable and Accrued Expenses on our Condensed Consolidated Balance Sheets. In addition to the cash consideration, the purchase price also includes contingent consideration with respect to the acquisition of Bayonet of up to $4.5 million due in December 2023. Amounts to be paid are contingent on earnings achieved over a three year period, and will accrue interest on the $4.5 million at a rate of 3%, to be paid quarterly. This contingent liability was valued at $3,380 as of the date of the acquisition.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accounted for the transactions under the acquisition method of accounting, which requires recording assets and liabilities at fair value (Level 3). The preliminary purchase price allocations are subject to valuation activities that are currently underway; therefore, the allocation of purchase price is subject to change, and is expected to result in adjustments to the preliminary amounts recorded. The preliminary valuation of the assets acquired and liabilities assumed is as follows:</w:t>
      </w:r>
    </w:p>
    <w:p>
      <w:pPr>
        <w:pStyle w:val="TextBody"/>
        <w:spacing w:before="0" w:after="0"/>
        <w:rPr/>
      </w:pPr>
      <w:r>
        <w:rPr/>
      </w:r>
    </w:p>
    <w:tbl>
      <w:tblPr>
        <w:tblW w:w="3345" w:type="dxa"/>
        <w:jc w:val="left"/>
        <w:tblInd w:w="0" w:type="dxa"/>
        <w:tblCellMar>
          <w:top w:w="28" w:type="dxa"/>
          <w:left w:w="28" w:type="dxa"/>
          <w:bottom w:w="28" w:type="dxa"/>
          <w:right w:w="28" w:type="dxa"/>
        </w:tblCellMar>
      </w:tblPr>
      <w:tblGrid>
        <w:gridCol w:w="748"/>
        <w:gridCol w:w="658"/>
        <w:gridCol w:w="663"/>
        <w:gridCol w:w="109"/>
        <w:gridCol w:w="109"/>
        <w:gridCol w:w="109"/>
        <w:gridCol w:w="396"/>
        <w:gridCol w:w="399"/>
        <w:gridCol w:w="154"/>
      </w:tblGrid>
      <w:tr>
        <w:trPr/>
        <w:tc>
          <w:tcPr>
            <w:tcW w:w="748" w:type="dxa"/>
            <w:tcBorders/>
            <w:shd w:fill="auto" w:val="clear"/>
            <w:vAlign w:val="center"/>
          </w:tcPr>
          <w:p>
            <w:pPr>
              <w:pStyle w:val="TableContents"/>
              <w:spacing w:before="0" w:after="283"/>
              <w:rPr>
                <w:sz w:val="4"/>
                <w:szCs w:val="4"/>
              </w:rPr>
            </w:pPr>
            <w:r>
              <w:rPr>
                <w:sz w:val="4"/>
                <w:szCs w:val="4"/>
              </w:rPr>
            </w:r>
          </w:p>
        </w:tc>
        <w:tc>
          <w:tcPr>
            <w:tcW w:w="658"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25,776 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32,686 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9" w:type="dxa"/>
            <w:gridSpan w:val="3"/>
            <w:tcBorders/>
            <w:shd w:fill="auto" w:val="clear"/>
            <w:vAlign w:val="center"/>
          </w:tcPr>
          <w:p>
            <w:pPr>
              <w:pStyle w:val="TableContents"/>
              <w:spacing w:before="0" w:after="283"/>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54,774 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692265" cy="146685"/>
                <wp:effectExtent l="0" t="0" r="0" b="0"/>
                <wp:wrapNone/>
                <wp:docPr id="23" name="Frame2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With regard to goodwill, the balance is attributable to the workforce of the acquired businesses and other intangibles that do not qualify for separate recognition. In connection with these acquisitions, we acquired goodwill of $32,686 of which $18,081 is tax deductible.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intangible assets acquired primarily consisted of Customer Relationships and Trade Names with a total weighted-average amortization period of 9.5 years.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These acquisitions contributed $9,217 in additional revenue and $845 in operating income during the three months ended December 31, 2020.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2020</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completed two acquisitions in 2020 for total aggregate cash consideration of $28,952. We acquired both Aerial Lighting &amp; Electric, Inc. ("Aerial") and Plant Power &amp; Control Systems, LLC ("PPCS") in February 2020.</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Unaudited Pro Forma Information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unaudited supplemental pro forma results of operations for the three months ended December 31, 2020 and 2019 are calculated as if each acquisition occurred as of October 1 of the fiscal year prior to consummation.</w:t>
      </w:r>
    </w:p>
    <w:p>
      <w:pPr>
        <w:pStyle w:val="TextBody"/>
        <w:spacing w:before="0" w:after="0"/>
        <w:rPr/>
      </w:pPr>
      <w:r>
        <w:rPr/>
      </w:r>
    </w:p>
    <w:tbl>
      <w:tblPr>
        <w:tblW w:w="7719" w:type="dxa"/>
        <w:jc w:val="left"/>
        <w:tblInd w:w="0" w:type="dxa"/>
        <w:tblCellMar>
          <w:top w:w="28" w:type="dxa"/>
          <w:left w:w="28" w:type="dxa"/>
          <w:bottom w:w="28" w:type="dxa"/>
          <w:right w:w="28" w:type="dxa"/>
        </w:tblCellMar>
      </w:tblPr>
      <w:tblGrid>
        <w:gridCol w:w="1005"/>
        <w:gridCol w:w="881"/>
        <w:gridCol w:w="887"/>
        <w:gridCol w:w="330"/>
        <w:gridCol w:w="330"/>
        <w:gridCol w:w="330"/>
        <w:gridCol w:w="109"/>
        <w:gridCol w:w="109"/>
        <w:gridCol w:w="109"/>
        <w:gridCol w:w="610"/>
        <w:gridCol w:w="325"/>
        <w:gridCol w:w="325"/>
        <w:gridCol w:w="325"/>
        <w:gridCol w:w="325"/>
        <w:gridCol w:w="325"/>
        <w:gridCol w:w="610"/>
        <w:gridCol w:w="325"/>
        <w:gridCol w:w="459"/>
      </w:tblGrid>
      <w:tr>
        <w:trPr/>
        <w:tc>
          <w:tcPr>
            <w:tcW w:w="1005" w:type="dxa"/>
            <w:tcBorders/>
            <w:shd w:fill="auto" w:val="clear"/>
            <w:vAlign w:val="center"/>
          </w:tcPr>
          <w:p>
            <w:pPr>
              <w:pStyle w:val="TableContents"/>
              <w:spacing w:before="0" w:after="283"/>
              <w:rPr>
                <w:sz w:val="4"/>
                <w:szCs w:val="4"/>
              </w:rPr>
            </w:pPr>
            <w:r>
              <w:rPr>
                <w:sz w:val="4"/>
                <w:szCs w:val="4"/>
              </w:rPr>
            </w:r>
          </w:p>
        </w:tc>
        <w:tc>
          <w:tcPr>
            <w:tcW w:w="881" w:type="dxa"/>
            <w:tcBorders/>
            <w:shd w:fill="auto" w:val="clear"/>
            <w:vAlign w:val="center"/>
          </w:tcPr>
          <w:p>
            <w:pPr>
              <w:pStyle w:val="TableContents"/>
              <w:spacing w:before="0" w:after="283"/>
              <w:rPr>
                <w:sz w:val="4"/>
                <w:szCs w:val="4"/>
              </w:rPr>
            </w:pPr>
            <w:r>
              <w:rPr>
                <w:sz w:val="4"/>
                <w:szCs w:val="4"/>
              </w:rPr>
            </w:r>
          </w:p>
        </w:tc>
        <w:tc>
          <w:tcPr>
            <w:tcW w:w="887"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r>
      <w:tr>
        <w:trPr/>
        <w:tc>
          <w:tcPr>
            <w:tcW w:w="27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2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c>
      </w:tr>
      <w:tr>
        <w:trPr/>
        <w:tc>
          <w:tcPr>
            <w:tcW w:w="27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2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Three Months Ended December 31, </w:t>
            </w:r>
          </w:p>
        </w:tc>
      </w:tr>
      <w:tr>
        <w:trPr/>
        <w:tc>
          <w:tcPr>
            <w:tcW w:w="27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9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r>
      <w:tr>
        <w:trPr/>
        <w:tc>
          <w:tcPr>
            <w:tcW w:w="27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9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332,999 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316,796 </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3"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IES Holdings, Inc.</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13,023 </w:t>
            </w:r>
          </w:p>
        </w:tc>
        <w:tc>
          <w:tcPr>
            <w:tcW w:w="3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11,778 </w:t>
            </w:r>
          </w:p>
        </w:tc>
        <w:tc>
          <w:tcPr>
            <w:tcW w:w="4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3" w:type="dxa"/>
            <w:gridSpan w:val="3"/>
            <w:tcBorders/>
            <w:shd w:fill="auto" w:val="clear"/>
            <w:vAlign w:val="center"/>
          </w:tcPr>
          <w:p>
            <w:pPr>
              <w:pStyle w:val="TableContents"/>
              <w:spacing w:before="0" w:after="283"/>
              <w:rPr>
                <w:sz w:val="4"/>
                <w:szCs w:val="4"/>
              </w:rPr>
            </w:pPr>
            <w:r>
              <w:rPr>
                <w:sz w:val="4"/>
                <w:szCs w:val="4"/>
              </w:rPr>
            </w:r>
          </w:p>
        </w:tc>
        <w:tc>
          <w:tcPr>
            <w:tcW w:w="9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975" w:type="dxa"/>
            <w:gridSpan w:val="3"/>
            <w:tcBorders/>
            <w:shd w:fill="auto" w:val="clear"/>
            <w:vAlign w:val="center"/>
          </w:tcPr>
          <w:p>
            <w:pPr>
              <w:pStyle w:val="TableContents"/>
              <w:spacing w:before="0" w:after="283"/>
              <w:rPr>
                <w:sz w:val="4"/>
                <w:szCs w:val="4"/>
              </w:rPr>
            </w:pPr>
            <w:r>
              <w:rPr>
                <w:sz w:val="4"/>
                <w:szCs w:val="4"/>
              </w:rPr>
            </w:r>
          </w:p>
        </w:tc>
        <w:tc>
          <w:tcPr>
            <w:tcW w:w="1394" w:type="dxa"/>
            <w:gridSpan w:val="3"/>
            <w:tcBorders/>
            <w:shd w:fill="auto" w:val="clear"/>
            <w:vAlign w:val="center"/>
          </w:tcPr>
          <w:p>
            <w:pPr>
              <w:pStyle w:val="TableContents"/>
              <w:spacing w:before="0" w:after="283"/>
              <w:rPr>
                <w:sz w:val="4"/>
                <w:szCs w:val="4"/>
              </w:rPr>
            </w:pPr>
            <w:r>
              <w:rPr>
                <w:sz w:val="4"/>
                <w:szCs w:val="4"/>
              </w:rPr>
            </w:r>
          </w:p>
        </w:tc>
      </w:tr>
      <w:tr>
        <w:trPr/>
        <w:tc>
          <w:tcPr>
            <w:tcW w:w="2773" w:type="dxa"/>
            <w:gridSpan w:val="3"/>
            <w:tcBorders/>
            <w:shd w:fill="auto" w:val="clear"/>
            <w:vAlign w:val="center"/>
          </w:tcPr>
          <w:p>
            <w:pPr>
              <w:pStyle w:val="TableContents"/>
              <w:spacing w:before="0" w:after="283"/>
              <w:rPr>
                <w:sz w:val="4"/>
                <w:szCs w:val="4"/>
              </w:rPr>
            </w:pPr>
            <w:r>
              <w:rPr>
                <w:sz w:val="4"/>
                <w:szCs w:val="4"/>
              </w:rPr>
            </w:r>
          </w:p>
        </w:tc>
        <w:tc>
          <w:tcPr>
            <w:tcW w:w="9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2369" w:type="dxa"/>
            <w:gridSpan w:val="6"/>
            <w:tcBorders/>
            <w:shd w:fill="auto" w:val="clear"/>
          </w:tcPr>
          <w:p>
            <w:pPr>
              <w:pStyle w:val="TableContents"/>
              <w:spacing w:before="0" w:after="283"/>
              <w:rPr>
                <w:sz w:val="4"/>
                <w:szCs w:val="4"/>
              </w:rPr>
            </w:pPr>
            <w:r>
              <w:rPr>
                <w:sz w:val="4"/>
                <w:szCs w:val="4"/>
              </w:rPr>
            </w:r>
          </w:p>
        </w:tc>
      </w:tr>
      <w:tr>
        <w:trPr/>
        <w:tc>
          <w:tcPr>
            <w:tcW w:w="2773" w:type="dxa"/>
            <w:gridSpan w:val="3"/>
            <w:tcBorders/>
            <w:shd w:fill="auto" w:val="clear"/>
            <w:vAlign w:val="center"/>
          </w:tcPr>
          <w:p>
            <w:pPr>
              <w:pStyle w:val="TableContents"/>
              <w:spacing w:before="0" w:after="283"/>
              <w:rPr>
                <w:sz w:val="4"/>
                <w:szCs w:val="4"/>
              </w:rPr>
            </w:pPr>
            <w:r>
              <w:rPr>
                <w:sz w:val="4"/>
                <w:szCs w:val="4"/>
              </w:rPr>
            </w:r>
          </w:p>
        </w:tc>
        <w:tc>
          <w:tcPr>
            <w:tcW w:w="9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2369" w:type="dxa"/>
            <w:gridSpan w:val="6"/>
            <w:tcBorders/>
            <w:shd w:fill="auto" w:val="clear"/>
          </w:tcPr>
          <w:p>
            <w:pPr>
              <w:pStyle w:val="TableContents"/>
              <w:spacing w:before="0" w:after="283"/>
              <w:rPr>
                <w:sz w:val="4"/>
                <w:szCs w:val="4"/>
              </w:rPr>
            </w:pPr>
            <w:r>
              <w:rPr>
                <w:sz w:val="4"/>
                <w:szCs w:val="4"/>
              </w:rPr>
            </w:r>
          </w:p>
        </w:tc>
      </w:tr>
      <w:tr>
        <w:trPr/>
        <w:tc>
          <w:tcPr>
            <w:tcW w:w="2773" w:type="dxa"/>
            <w:gridSpan w:val="3"/>
            <w:tcBorders/>
            <w:shd w:fill="auto" w:val="clear"/>
            <w:vAlign w:val="center"/>
          </w:tcPr>
          <w:p>
            <w:pPr>
              <w:pStyle w:val="TableContents"/>
              <w:spacing w:before="0" w:after="283"/>
              <w:rPr>
                <w:sz w:val="4"/>
                <w:szCs w:val="4"/>
              </w:rPr>
            </w:pPr>
            <w:r>
              <w:rPr>
                <w:sz w:val="4"/>
                <w:szCs w:val="4"/>
              </w:rPr>
            </w:r>
          </w:p>
        </w:tc>
        <w:tc>
          <w:tcPr>
            <w:tcW w:w="9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975" w:type="dxa"/>
            <w:gridSpan w:val="3"/>
            <w:tcBorders/>
            <w:shd w:fill="auto" w:val="clear"/>
            <w:vAlign w:val="center"/>
          </w:tcPr>
          <w:p>
            <w:pPr>
              <w:pStyle w:val="TableContents"/>
              <w:spacing w:before="0" w:after="283"/>
              <w:rPr>
                <w:sz w:val="4"/>
                <w:szCs w:val="4"/>
              </w:rPr>
            </w:pPr>
            <w:r>
              <w:rPr>
                <w:sz w:val="4"/>
                <w:szCs w:val="4"/>
              </w:rPr>
            </w:r>
          </w:p>
        </w:tc>
        <w:tc>
          <w:tcPr>
            <w:tcW w:w="1394" w:type="dxa"/>
            <w:gridSpan w:val="3"/>
            <w:tcBorders/>
            <w:shd w:fill="auto" w:val="clear"/>
            <w:vAlign w:val="center"/>
          </w:tcPr>
          <w:p>
            <w:pPr>
              <w:pStyle w:val="TableContents"/>
              <w:spacing w:before="0" w:after="283"/>
              <w:rPr>
                <w:sz w:val="4"/>
                <w:szCs w:val="4"/>
              </w:rPr>
            </w:pPr>
            <w:r>
              <w:rPr>
                <w:sz w:val="4"/>
                <w:szCs w:val="4"/>
              </w:rPr>
            </w:r>
          </w:p>
        </w:tc>
      </w:tr>
      <w:tr>
        <w:trPr/>
        <w:tc>
          <w:tcPr>
            <w:tcW w:w="2773" w:type="dxa"/>
            <w:gridSpan w:val="3"/>
            <w:tcBorders/>
            <w:shd w:fill="auto" w:val="clear"/>
            <w:vAlign w:val="center"/>
          </w:tcPr>
          <w:p>
            <w:pPr>
              <w:pStyle w:val="TableContents"/>
              <w:spacing w:before="0" w:after="283"/>
              <w:rPr>
                <w:sz w:val="4"/>
                <w:szCs w:val="4"/>
              </w:rPr>
            </w:pPr>
            <w:r>
              <w:rPr>
                <w:sz w:val="4"/>
                <w:szCs w:val="4"/>
              </w:rPr>
            </w:r>
          </w:p>
        </w:tc>
        <w:tc>
          <w:tcPr>
            <w:tcW w:w="9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975" w:type="dxa"/>
            <w:gridSpan w:val="3"/>
            <w:tcBorders/>
            <w:shd w:fill="auto" w:val="clear"/>
            <w:vAlign w:val="center"/>
          </w:tcPr>
          <w:p>
            <w:pPr>
              <w:pStyle w:val="TableContents"/>
              <w:spacing w:before="0" w:after="283"/>
              <w:rPr>
                <w:sz w:val="4"/>
                <w:szCs w:val="4"/>
              </w:rPr>
            </w:pPr>
            <w:r>
              <w:rPr>
                <w:sz w:val="4"/>
                <w:szCs w:val="4"/>
              </w:rPr>
            </w:r>
          </w:p>
        </w:tc>
        <w:tc>
          <w:tcPr>
            <w:tcW w:w="1394" w:type="dxa"/>
            <w:gridSpan w:val="3"/>
            <w:tcBorders/>
            <w:shd w:fill="auto" w:val="clear"/>
            <w:vAlign w:val="center"/>
          </w:tcPr>
          <w:p>
            <w:pPr>
              <w:pStyle w:val="TableContents"/>
              <w:spacing w:before="0" w:after="283"/>
              <w:rPr>
                <w:sz w:val="4"/>
                <w:szCs w:val="4"/>
              </w:rPr>
            </w:pPr>
            <w:r>
              <w:rPr>
                <w:sz w:val="4"/>
                <w:szCs w:val="4"/>
              </w:rPr>
            </w:r>
          </w:p>
        </w:tc>
      </w:tr>
      <w:tr>
        <w:trPr/>
        <w:tc>
          <w:tcPr>
            <w:tcW w:w="2773" w:type="dxa"/>
            <w:gridSpan w:val="3"/>
            <w:tcBorders/>
            <w:shd w:fill="auto" w:val="clear"/>
            <w:vAlign w:val="center"/>
          </w:tcPr>
          <w:p>
            <w:pPr>
              <w:pStyle w:val="TableContents"/>
              <w:spacing w:before="0" w:after="283"/>
              <w:rPr>
                <w:sz w:val="4"/>
                <w:szCs w:val="4"/>
              </w:rPr>
            </w:pPr>
            <w:r>
              <w:rPr>
                <w:sz w:val="4"/>
                <w:szCs w:val="4"/>
              </w:rPr>
            </w:r>
          </w:p>
        </w:tc>
        <w:tc>
          <w:tcPr>
            <w:tcW w:w="9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0" w:type="dxa"/>
            <w:gridSpan w:val="3"/>
            <w:tcBorders/>
            <w:shd w:fill="auto" w:val="clear"/>
            <w:vAlign w:val="center"/>
          </w:tcPr>
          <w:p>
            <w:pPr>
              <w:pStyle w:val="TableContents"/>
              <w:spacing w:before="0" w:after="283"/>
              <w:rPr>
                <w:sz w:val="4"/>
                <w:szCs w:val="4"/>
              </w:rPr>
            </w:pPr>
            <w:r>
              <w:rPr>
                <w:sz w:val="4"/>
                <w:szCs w:val="4"/>
              </w:rPr>
            </w:r>
          </w:p>
        </w:tc>
        <w:tc>
          <w:tcPr>
            <w:tcW w:w="975" w:type="dxa"/>
            <w:gridSpan w:val="3"/>
            <w:tcBorders/>
            <w:shd w:fill="auto" w:val="clear"/>
            <w:vAlign w:val="center"/>
          </w:tcPr>
          <w:p>
            <w:pPr>
              <w:pStyle w:val="TableContents"/>
              <w:spacing w:before="0" w:after="283"/>
              <w:rPr>
                <w:sz w:val="4"/>
                <w:szCs w:val="4"/>
              </w:rPr>
            </w:pPr>
            <w:r>
              <w:rPr>
                <w:sz w:val="4"/>
                <w:szCs w:val="4"/>
              </w:rPr>
            </w:r>
          </w:p>
        </w:tc>
        <w:tc>
          <w:tcPr>
            <w:tcW w:w="1394" w:type="dxa"/>
            <w:gridSpan w:val="3"/>
            <w:tcBorders/>
            <w:shd w:fill="auto" w:val="clea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1260"/>
        <w:jc w:val="both"/>
        <w:rPr/>
      </w:pPr>
      <w:r>
        <w:rPr>
          <w:rFonts w:ascii="Times New Roman;sans-serif" w:hAnsi="Times New Roman;sans-serif"/>
          <w:b/>
          <w:color w:val="000000"/>
          <w:sz w:val="20"/>
        </w:rPr>
        <w:t xml:space="preserve">Item 2. </w:t>
      </w:r>
      <w:r>
        <w:rPr>
          <w:rFonts w:ascii="Times New Roman;sans-serif" w:hAnsi="Times New Roman;sans-serif"/>
          <w:b/>
          <w:i/>
          <w:color w:val="000000"/>
          <w:sz w:val="20"/>
        </w:rPr>
        <w:t>Management’s Discussion and Analysis of Financial Condition and Results of Operations</w:t>
      </w:r>
    </w:p>
    <w:p>
      <w:pPr>
        <w:pStyle w:val="TextBody"/>
        <w:spacing w:before="0" w:after="0"/>
        <w:ind w:left="0" w:right="0" w:hanging="126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The following discussion and analysis should be read in conjunction with our Consolidated Financial Statements and the notes thereto, set forth in Part II, Item 8. </w:t>
      </w:r>
      <w:r>
        <w:rPr>
          <w:color w:val="000000"/>
        </w:rPr>
        <w:t>“</w:t>
      </w:r>
      <w:r>
        <w:rPr>
          <w:rFonts w:ascii="Times New Roman;sans-serif" w:hAnsi="Times New Roman;sans-serif"/>
          <w:b w:val="false"/>
          <w:i/>
          <w:color w:val="000000"/>
          <w:sz w:val="20"/>
        </w:rPr>
        <w:t>Financial Statements and Supplementary Data”</w:t>
      </w:r>
      <w:r>
        <w:rPr>
          <w:color w:val="000000"/>
        </w:rPr>
        <w:t xml:space="preserve"> </w:t>
      </w:r>
      <w:r>
        <w:rPr>
          <w:rFonts w:ascii="Times New Roman;sans-serif" w:hAnsi="Times New Roman;sans-serif"/>
          <w:b w:val="false"/>
          <w:color w:val="000000"/>
          <w:sz w:val="20"/>
        </w:rPr>
        <w:t>as set forth in our Annual Report on Form 10-K for the year ended September 30, 2020, and the Condensed Consolidated Financial Statements and notes thereto included in Part I, Item 1 of this Quarterly Report on Form 10-Q</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0"/>
        </w:rPr>
        <w:t xml:space="preserve">The following discussion may contain forward looking statements. For additional information, see </w:t>
      </w:r>
      <w:r>
        <w:rPr>
          <w:color w:val="000000"/>
        </w:rPr>
        <w:t>“</w:t>
      </w:r>
      <w:r>
        <w:rPr>
          <w:rFonts w:ascii="Times New Roman;sans-serif" w:hAnsi="Times New Roman;sans-serif"/>
          <w:b w:val="false"/>
          <w:i/>
          <w:color w:val="000000"/>
          <w:sz w:val="20"/>
        </w:rPr>
        <w:t>Disclosure Regarding Forward Looking Statements”</w:t>
      </w:r>
      <w:r>
        <w:rPr>
          <w:color w:val="000000"/>
        </w:rPr>
        <w:t xml:space="preserve"> </w:t>
      </w:r>
      <w:r>
        <w:rPr>
          <w:rFonts w:ascii="Times New Roman;sans-serif" w:hAnsi="Times New Roman;sans-serif"/>
          <w:b w:val="false"/>
          <w:color w:val="000000"/>
          <w:sz w:val="20"/>
        </w:rPr>
        <w:t>in Part I of this Quarterly Report on Form 10-Q.</w:t>
      </w:r>
    </w:p>
    <w:p>
      <w:pPr>
        <w:pStyle w:val="TextBody"/>
        <w:spacing w:before="0" w:after="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before="0" w:after="0"/>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Executive Overview</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Please refer to Part I, Item 1.</w:t>
      </w:r>
      <w:r>
        <w:rPr>
          <w:color w:val="000000"/>
        </w:rPr>
        <w:t xml:space="preserve"> “</w:t>
      </w:r>
      <w:r>
        <w:rPr>
          <w:rFonts w:ascii="Times New Roman;sans-serif" w:hAnsi="Times New Roman;sans-serif"/>
          <w:b w:val="false"/>
          <w:i/>
          <w:color w:val="000000"/>
          <w:sz w:val="20"/>
        </w:rPr>
        <w:t xml:space="preserve">Business” </w:t>
      </w:r>
      <w:r>
        <w:rPr>
          <w:rFonts w:ascii="Times New Roman;sans-serif" w:hAnsi="Times New Roman;sans-serif"/>
          <w:b w:val="false"/>
          <w:color w:val="000000"/>
          <w:sz w:val="20"/>
        </w:rPr>
        <w:t>of our Annual Report on Form 10-K for the year ended September 30, 2020, for a discussion of the Company’s services and corporate strategy. IES Holdings, Inc., a Delaware corporation, is a holding company that owns and manages operating subsidiaries that design and install integrated electrical and technology systems and provide infrastructure products and services across a variety of end markets, including data centers, residential housing, and commercial and industrial facilities. Our operations are currently organized into four principal business segments: Communications, Residential, Infrastructure Solutions and Commercial &amp; Industrial.</w:t>
      </w:r>
    </w:p>
    <w:p>
      <w:pPr>
        <w:pStyle w:val="TextBody"/>
        <w:spacing w:before="0" w:after="0"/>
        <w:rPr/>
      </w:pPr>
      <w:r>
        <w:rPr/>
      </w:r>
    </w:p>
    <w:p>
      <w:pPr>
        <w:pStyle w:val="TextBody"/>
        <w:spacing w:lineRule="auto" w:line="276" w:before="0" w:after="0"/>
        <w:rPr>
          <w:rFonts w:ascii="Times New Roman;sans-serif" w:hAnsi="Times New Roman;sans-serif"/>
          <w:b/>
          <w:color w:val="212529"/>
          <w:sz w:val="20"/>
        </w:rPr>
      </w:pPr>
      <w:r>
        <w:rPr>
          <w:rFonts w:ascii="Times New Roman;sans-serif" w:hAnsi="Times New Roman;sans-serif"/>
          <w:b/>
          <w:color w:val="212529"/>
          <w:sz w:val="20"/>
        </w:rPr>
        <w:t>Impact of COVID-19 on Our Business</w:t>
      </w:r>
    </w:p>
    <w:p>
      <w:pPr>
        <w:pStyle w:val="TextBody"/>
        <w:spacing w:before="0" w:after="0"/>
        <w:rPr/>
      </w:pPr>
      <w:r>
        <w:rPr/>
      </w:r>
    </w:p>
    <w:p>
      <w:pPr>
        <w:pStyle w:val="TextBody"/>
        <w:spacing w:lineRule="auto" w:line="276" w:before="0" w:after="0"/>
        <w:rPr>
          <w:rFonts w:ascii="Times New Roman;sans-serif" w:hAnsi="Times New Roman;sans-serif"/>
          <w:b w:val="false"/>
          <w:color w:val="212529"/>
          <w:sz w:val="20"/>
        </w:rPr>
      </w:pPr>
      <w:r>
        <w:rPr>
          <w:rFonts w:ascii="Times New Roman;sans-serif" w:hAnsi="Times New Roman;sans-serif"/>
          <w:b w:val="false"/>
          <w:color w:val="212529"/>
          <w:sz w:val="20"/>
        </w:rPr>
        <w:t xml:space="preserve">The coronavirus disease 2019 (“COVID-19”) pandemic and related governmental responses have caused, and are likely to continue to cause, significant disruption to the economy, the operations of our customers and vendors, and the health of millions of individuals, including our employees and customers, across the markets in which we operate and beyond. As a result, COVID-19 has adversely affected, and is expected to continue to adversely affect, our business. State and local governments in most of the localities where we operate have deemed most of our business activities to be essential or critical, and therefore we are generally permitted to continue operating in those localities while “stay at home” orders are in effect during this pandemic. As a result, our primary focus has been, and continues to be, on protecting the health and safety of our employees and customers while maintaining the continuity of our operations. We have implemented operational and protective measures to protect our employees and customers, including screening for COVID-19 symptoms, providing personal protective equipment, increasing cleaning and sanitizing, and implementing physical distancing measures to the extent possible. While most of our facilities and job sites continue to operate, certain state and local </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692265" cy="146685"/>
                <wp:effectExtent l="0" t="0" r="0" b="0"/>
                <wp:wrapNone/>
                <wp:docPr id="24" name="Frame2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before="0" w:after="0"/>
        <w:rPr/>
      </w:pPr>
      <w:r>
        <w:rPr/>
      </w:r>
    </w:p>
    <w:p>
      <w:pPr>
        <w:pStyle w:val="TextBody"/>
        <w:spacing w:lineRule="auto" w:line="276" w:before="0" w:after="0"/>
        <w:rPr>
          <w:rFonts w:ascii="Times New Roman;sans-serif" w:hAnsi="Times New Roman;sans-serif"/>
          <w:b w:val="false"/>
          <w:color w:val="212529"/>
          <w:sz w:val="20"/>
        </w:rPr>
      </w:pPr>
      <w:r>
        <w:rPr>
          <w:rFonts w:ascii="Times New Roman;sans-serif" w:hAnsi="Times New Roman;sans-serif"/>
          <w:b w:val="false"/>
          <w:color w:val="212529"/>
          <w:sz w:val="20"/>
        </w:rPr>
        <w:t xml:space="preserve">governments have recently re-imposed certain orders that could cause more shutdowns. We have seen COVID-19 affect demand in some areas of our business, where construction or maintenance projects have been delayed; however, there are other areas in which we have seen an increase in demand, particularly as it relates to critical infrastructure for data centers and communications. </w:t>
      </w:r>
    </w:p>
    <w:p>
      <w:pPr>
        <w:pStyle w:val="TextBody"/>
        <w:spacing w:before="0" w:after="0"/>
        <w:rPr/>
      </w:pPr>
      <w:r>
        <w:rPr/>
      </w:r>
    </w:p>
    <w:p>
      <w:pPr>
        <w:pStyle w:val="TextBody"/>
        <w:spacing w:lineRule="auto" w:line="276" w:before="0" w:after="0"/>
        <w:rPr/>
      </w:pPr>
      <w:r>
        <w:rPr>
          <w:rFonts w:ascii="Times New Roman;sans-serif" w:hAnsi="Times New Roman;sans-serif"/>
          <w:b w:val="false"/>
          <w:color w:val="212529"/>
          <w:sz w:val="20"/>
        </w:rPr>
        <w:t xml:space="preserve">The COVID-19 pandemic and related governmental responses are constantly evolving and, therefore, continue to present potential new risks to our business. To date, the COVID-19 pandemic has had a number of adverse impacts on our results of operations, including as the result of delays in the awarding of new projects and the progress of existing projects. In addition, the pandemic has presented ongoing challenges to our operations, including the implementation of new and evolving health and safety protocols and responding to changing federal, state and local orders. Factors that we expect will continue to affect our results in the future include, but are not limited to, the potential impacts on our workforce of either illness or government orders forcing job sites to shut down and requiring employees to remain at home, a reduced demand for our services, increases in operating costs due to disruptions and personal protective equipment requirements, and limitations on the ability of our customers to pay us on a timely basis. We are continuing to monitor conditions affecting our business and will take actions as may be necessary to ensure the health and safety of our employees and to serve our customers. Please refer to Part I. Item 1A. </w:t>
      </w:r>
      <w:r>
        <w:rPr>
          <w:rFonts w:ascii="Times New Roman;sans-serif" w:hAnsi="Times New Roman;sans-serif"/>
          <w:b w:val="false"/>
          <w:i/>
          <w:color w:val="212529"/>
          <w:sz w:val="20"/>
        </w:rPr>
        <w:t>"Risk Factors</w:t>
      </w:r>
      <w:r>
        <w:rPr>
          <w:rFonts w:ascii="Times New Roman;sans-serif" w:hAnsi="Times New Roman;sans-serif"/>
          <w:b w:val="false"/>
          <w:color w:val="212529"/>
          <w:sz w:val="20"/>
        </w:rPr>
        <w:t>" of our Annual Report on Form 10-K for the year ended September 30, 2020 for further information.</w:t>
      </w:r>
    </w:p>
    <w:p>
      <w:pPr>
        <w:pStyle w:val="TextBody"/>
        <w:spacing w:before="0" w:after="0"/>
        <w:rPr/>
      </w:pPr>
      <w:r>
        <w:rPr/>
      </w:r>
    </w:p>
    <w:p>
      <w:pPr>
        <w:pStyle w:val="TextBody"/>
        <w:spacing w:before="0" w:after="0"/>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report our operating results across our four operating segments: Communications, Residential, Infrastructure Solutions, and Commercial &amp; Industrial. Expenses associated with our corporate office are classified separately. The following table presents selected historical results of operations of IES Holdings, Inc., as well as the results of acquired businesses from the dates acquired. </w:t>
      </w:r>
    </w:p>
    <w:tbl>
      <w:tblPr>
        <w:tblW w:w="10539"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372"/>
        <w:gridCol w:w="1371"/>
        <w:gridCol w:w="1376"/>
        <w:gridCol w:w="211"/>
        <w:gridCol w:w="826"/>
        <w:gridCol w:w="109"/>
        <w:gridCol w:w="109"/>
        <w:gridCol w:w="109"/>
        <w:gridCol w:w="109"/>
        <w:gridCol w:w="308"/>
        <w:gridCol w:w="308"/>
        <w:gridCol w:w="109"/>
        <w:gridCol w:w="109"/>
        <w:gridCol w:w="109"/>
        <w:gridCol w:w="109"/>
        <w:gridCol w:w="109"/>
        <w:gridCol w:w="109"/>
        <w:gridCol w:w="109"/>
        <w:gridCol w:w="211"/>
        <w:gridCol w:w="826"/>
        <w:gridCol w:w="109"/>
        <w:gridCol w:w="109"/>
        <w:gridCol w:w="109"/>
        <w:gridCol w:w="109"/>
        <w:gridCol w:w="308"/>
        <w:gridCol w:w="308"/>
        <w:gridCol w:w="109"/>
        <w:gridCol w:w="109"/>
        <w:gridCol w:w="109"/>
        <w:gridCol w:w="15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71" w:type="dxa"/>
            <w:tcBorders/>
            <w:shd w:fill="auto" w:val="clear"/>
            <w:vAlign w:val="center"/>
          </w:tcPr>
          <w:p>
            <w:pPr>
              <w:pStyle w:val="TableContents"/>
              <w:spacing w:before="0" w:after="283"/>
              <w:rPr>
                <w:sz w:val="4"/>
                <w:szCs w:val="4"/>
              </w:rPr>
            </w:pPr>
            <w:r>
              <w:rPr>
                <w:sz w:val="4"/>
                <w:szCs w:val="4"/>
              </w:rPr>
            </w:r>
          </w:p>
        </w:tc>
        <w:tc>
          <w:tcPr>
            <w:tcW w:w="137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4" w:type="dxa"/>
            <w:gridSpan w:val="27"/>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December 31,</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5" w:type="dxa"/>
            <w:gridSpan w:val="12"/>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72" w:type="dxa"/>
            <w:gridSpan w:val="12"/>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24" w:type="dxa"/>
            <w:gridSpan w:val="2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Percentage of revenues)</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314,838 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225,828 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6" w:type="dxa"/>
            <w:gridSpan w:val="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11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5" w:type="dxa"/>
            <w:gridSpan w:val="3"/>
            <w:tcBorders/>
            <w:shd w:fill="auto" w:val="clear"/>
            <w:vAlign w:val="center"/>
          </w:tcPr>
          <w:p>
            <w:pPr>
              <w:pStyle w:val="TableContents"/>
              <w:spacing w:before="0" w:after="283"/>
              <w:rPr>
                <w:sz w:val="4"/>
                <w:szCs w:val="4"/>
              </w:rPr>
            </w:pPr>
            <w:r>
              <w:rPr>
                <w:sz w:val="4"/>
                <w:szCs w:val="4"/>
              </w:rPr>
            </w:r>
          </w:p>
        </w:tc>
        <w:tc>
          <w:tcPr>
            <w:tcW w:w="374"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assets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6"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6"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6"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6"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IES Holdings, Inc.</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TextBody"/>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revenues for the three months ended December 31, 2020, were $38.8 million higher than for the three months ended December 31, 2019, an increase of 14.1%, with increases at our Communications and Residential segments driven by strong demand and the increase at our Infrastructure Solutions segment driven by the contribution of businesses acquired subsequent to the first quarter of 2020. Revenues decreased at our Commercial &amp; Industrial segment, where many of our markets remain highly competitive and have been more highly affected by COVID-19.</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Consolidated gross profit for the three months ended December 31, 2020 increased $8.5 million compared to the three months ended December 31, 2019. Our overall gross profit percentage increased to 18.6% during the three months ended December 31, 2020, as compared to 18.2% during the three months ended December 31, 2019. Gross profit as a percentage of revenue increased at our Communications and Infrastructure Solutions segments, while decreasing at our Residential and Commercial &amp; Industrial segments. See further discussion below of changes in gross margin for our individual segments.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include costs not directly associated with performing work for our customers. These costs consist primarily of compensation and benefits related to corporate, segment and branch management (including incentive-based compensation), occupancy and utilities, training, professional services, information technology costs, consulting fees, travel and certain types of depreciation and amortization. We allocate certain corporate selling, general and administrative costs across our segments as we believe this more accurately reflects the costs associated with operating each segment.</w:t>
      </w:r>
    </w:p>
    <w:p>
      <w:pPr>
        <w:pStyle w:val="TextBody"/>
        <w:spacing w:lineRule="auto" w:line="288" w:before="0" w:after="0"/>
        <w:jc w:val="both"/>
        <w:rPr>
          <w:color w:val="000000"/>
        </w:rPr>
      </w:pPr>
      <w:r>
        <w:rPr>
          <w:color w:val="000000"/>
        </w:rPr>
        <w:t> </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692265" cy="146685"/>
                <wp:effectExtent l="0" t="0" r="0" b="0"/>
                <wp:wrapNone/>
                <wp:docPr id="25" name="Frame2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before="0" w:after="0"/>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December 31, 2020, our selling, general and administrative expenses were $42.8 million, an increase of $4.9 million, or 13.0%, over the three months ended December 31, 2019, driven largely by increased personnel costs at our Communications and Residential operating segments in connection with their growth, and by expenses incurred at businesses acquired subsequent to the first quarter of fiscal 2020. Selling, general and administrative expense as a percent of revenue decreased from 13.7% for the three months ended December 31, 2019, to 13.6% for the three months ended December 31, 2020. </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Communications</w:t>
      </w:r>
    </w:p>
    <w:p>
      <w:pPr>
        <w:pStyle w:val="TextBody"/>
        <w:spacing w:before="0" w:after="0"/>
        <w:rPr/>
      </w:pPr>
      <w:r>
        <w:rPr/>
      </w:r>
    </w:p>
    <w:tbl>
      <w:tblPr>
        <w:tblW w:w="9506" w:type="dxa"/>
        <w:jc w:val="center"/>
        <w:tblInd w:w="0" w:type="dxa"/>
        <w:tblCellMar>
          <w:top w:w="28" w:type="dxa"/>
          <w:left w:w="28" w:type="dxa"/>
          <w:bottom w:w="28" w:type="dxa"/>
          <w:right w:w="28" w:type="dxa"/>
        </w:tblCellMar>
      </w:tblPr>
      <w:tblGrid>
        <w:gridCol w:w="1353"/>
        <w:gridCol w:w="1187"/>
        <w:gridCol w:w="1195"/>
        <w:gridCol w:w="109"/>
        <w:gridCol w:w="109"/>
        <w:gridCol w:w="109"/>
        <w:gridCol w:w="109"/>
        <w:gridCol w:w="109"/>
        <w:gridCol w:w="109"/>
        <w:gridCol w:w="360"/>
        <w:gridCol w:w="361"/>
        <w:gridCol w:w="109"/>
        <w:gridCol w:w="109"/>
        <w:gridCol w:w="109"/>
        <w:gridCol w:w="109"/>
        <w:gridCol w:w="308"/>
        <w:gridCol w:w="308"/>
        <w:gridCol w:w="109"/>
        <w:gridCol w:w="109"/>
        <w:gridCol w:w="109"/>
        <w:gridCol w:w="109"/>
        <w:gridCol w:w="109"/>
        <w:gridCol w:w="109"/>
        <w:gridCol w:w="109"/>
        <w:gridCol w:w="109"/>
        <w:gridCol w:w="109"/>
        <w:gridCol w:w="109"/>
        <w:gridCol w:w="360"/>
        <w:gridCol w:w="361"/>
        <w:gridCol w:w="109"/>
        <w:gridCol w:w="109"/>
        <w:gridCol w:w="109"/>
        <w:gridCol w:w="109"/>
        <w:gridCol w:w="308"/>
        <w:gridCol w:w="308"/>
        <w:gridCol w:w="109"/>
        <w:gridCol w:w="109"/>
        <w:gridCol w:w="109"/>
        <w:gridCol w:w="154"/>
      </w:tblGrid>
      <w:tr>
        <w:trPr/>
        <w:tc>
          <w:tcPr>
            <w:tcW w:w="1353" w:type="dxa"/>
            <w:tcBorders/>
            <w:shd w:fill="auto" w:val="clear"/>
            <w:vAlign w:val="center"/>
          </w:tcPr>
          <w:p>
            <w:pPr>
              <w:pStyle w:val="TableContents"/>
              <w:spacing w:before="0" w:after="283"/>
              <w:rPr>
                <w:sz w:val="4"/>
                <w:szCs w:val="4"/>
              </w:rPr>
            </w:pPr>
            <w:r>
              <w:rPr>
                <w:sz w:val="4"/>
                <w:szCs w:val="4"/>
              </w:rPr>
            </w:r>
          </w:p>
        </w:tc>
        <w:tc>
          <w:tcPr>
            <w:tcW w:w="1187"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44" w:type="dxa"/>
            <w:gridSpan w:val="3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December 31,</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6" w:type="dxa"/>
            <w:gridSpan w:val="15"/>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81" w:type="dxa"/>
            <w:gridSpan w:val="15"/>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44"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Percentage of revenues)</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TextBody"/>
        <w:spacing w:lineRule="auto" w:line="288" w:before="0" w:after="0"/>
        <w:jc w:val="both"/>
        <w:rPr/>
      </w:pPr>
      <w:r>
        <w:rPr>
          <w:rFonts w:ascii="Times New Roman;sans-serif" w:hAnsi="Times New Roman;sans-serif"/>
          <w:b w:val="false"/>
          <w:i/>
          <w:color w:val="000000"/>
          <w:sz w:val="20"/>
        </w:rPr>
        <w:t xml:space="preserve">Revenues. </w:t>
      </w:r>
      <w:r>
        <w:rPr>
          <w:rFonts w:ascii="Times New Roman;sans-serif" w:hAnsi="Times New Roman;sans-serif"/>
          <w:b w:val="false"/>
          <w:color w:val="000000"/>
          <w:sz w:val="20"/>
        </w:rPr>
        <w:t>Our Communications segment’s revenues increased by $14.1 million during the three months ended December 31, 2020, or 16.7%, compared to the three months ended December 31, 2019. The increase primarily resulted from increased demand driven by work on data centers and distribution centers.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 xml:space="preserve">Gross Profit. </w:t>
      </w:r>
      <w:r>
        <w:rPr>
          <w:rFonts w:ascii="Times New Roman;sans-serif" w:hAnsi="Times New Roman;sans-serif"/>
          <w:b w:val="false"/>
          <w:color w:val="000000"/>
          <w:sz w:val="20"/>
        </w:rPr>
        <w:t xml:space="preserve">Our Communications segment’s gross profit during the three months ended December 31, 2020 increased by $3.0 million compared to the three months ended December 31, 2019. Gross profit as a percentage of revenue increased from 18.5% to 18.8% as an increased volume of work allowed us to leverage our fixed costs and we benefited from an increase in higher margin fixed-price contracts. </w:t>
      </w:r>
    </w:p>
    <w:p>
      <w:pPr>
        <w:pStyle w:val="TextBody"/>
        <w:spacing w:before="0" w:after="0"/>
        <w:jc w:val="both"/>
        <w:rPr/>
      </w:pPr>
      <w:r>
        <w:rPr/>
      </w:r>
    </w:p>
    <w:p>
      <w:pPr>
        <w:pStyle w:val="TextBody"/>
        <w:spacing w:lineRule="auto" w:line="276" w:before="0" w:after="0"/>
        <w:jc w:val="both"/>
        <w:rPr/>
      </w:pPr>
      <w:r>
        <w:rPr>
          <w:rFonts w:ascii="Times New Roman;sans-serif" w:hAnsi="Times New Roman;sans-serif"/>
          <w:b w:val="false"/>
          <w:i/>
          <w:color w:val="000000"/>
          <w:sz w:val="20"/>
        </w:rPr>
        <w:t>Selling, General and Administrative Expenses.</w:t>
      </w:r>
      <w:r>
        <w:rPr>
          <w:color w:val="000000"/>
        </w:rPr>
        <w:t xml:space="preserve"> </w:t>
      </w:r>
      <w:r>
        <w:rPr>
          <w:rFonts w:ascii="Times New Roman;sans-serif" w:hAnsi="Times New Roman;sans-serif"/>
          <w:b w:val="false"/>
          <w:color w:val="000000"/>
          <w:sz w:val="20"/>
        </w:rPr>
        <w:t>Our Communications segment’s selling, general and administrative expenses increased by $0.8 million, or 9.0%, during the three months ended December 31, 2020, compared to the three months ended December 31, 2019. The increase is a result of higher personnel cost, particularly related to continuing investment to support the growth of the business, along with higher incentive compensation expense in connection with improved profitability and cash flows. Selling, general and administrative expenses as a percentage of revenue in the Communications segment were 9.5% during the three months ended December 31, 2020, compared to 10.2% for the three months ended December 31, 2019, as we have leveraged our fixed costs.</w:t>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Residential</w:t>
      </w:r>
    </w:p>
    <w:p>
      <w:pPr>
        <w:pStyle w:val="TextBody"/>
        <w:spacing w:before="0" w:after="0"/>
        <w:rPr/>
      </w:pPr>
      <w:r>
        <w:rPr/>
      </w:r>
    </w:p>
    <w:tbl>
      <w:tblPr>
        <w:tblW w:w="9379" w:type="dxa"/>
        <w:jc w:val="center"/>
        <w:tblInd w:w="0" w:type="dxa"/>
        <w:tblCellMar>
          <w:top w:w="28" w:type="dxa"/>
          <w:left w:w="28" w:type="dxa"/>
          <w:bottom w:w="28" w:type="dxa"/>
          <w:right w:w="28" w:type="dxa"/>
        </w:tblCellMar>
      </w:tblPr>
      <w:tblGrid>
        <w:gridCol w:w="1353"/>
        <w:gridCol w:w="1187"/>
        <w:gridCol w:w="1195"/>
        <w:gridCol w:w="109"/>
        <w:gridCol w:w="109"/>
        <w:gridCol w:w="109"/>
        <w:gridCol w:w="211"/>
        <w:gridCol w:w="826"/>
        <w:gridCol w:w="109"/>
        <w:gridCol w:w="109"/>
        <w:gridCol w:w="109"/>
        <w:gridCol w:w="109"/>
        <w:gridCol w:w="308"/>
        <w:gridCol w:w="308"/>
        <w:gridCol w:w="109"/>
        <w:gridCol w:w="109"/>
        <w:gridCol w:w="109"/>
        <w:gridCol w:w="109"/>
        <w:gridCol w:w="109"/>
        <w:gridCol w:w="109"/>
        <w:gridCol w:w="109"/>
        <w:gridCol w:w="211"/>
        <w:gridCol w:w="721"/>
        <w:gridCol w:w="109"/>
        <w:gridCol w:w="109"/>
        <w:gridCol w:w="109"/>
        <w:gridCol w:w="109"/>
        <w:gridCol w:w="308"/>
        <w:gridCol w:w="308"/>
        <w:gridCol w:w="109"/>
        <w:gridCol w:w="109"/>
        <w:gridCol w:w="109"/>
        <w:gridCol w:w="154"/>
      </w:tblGrid>
      <w:tr>
        <w:trPr/>
        <w:tc>
          <w:tcPr>
            <w:tcW w:w="1353" w:type="dxa"/>
            <w:tcBorders/>
            <w:shd w:fill="auto" w:val="clear"/>
            <w:vAlign w:val="center"/>
          </w:tcPr>
          <w:p>
            <w:pPr>
              <w:pStyle w:val="TableContents"/>
              <w:spacing w:before="0" w:after="283"/>
              <w:rPr>
                <w:sz w:val="4"/>
                <w:szCs w:val="4"/>
              </w:rPr>
            </w:pPr>
            <w:r>
              <w:rPr>
                <w:sz w:val="4"/>
                <w:szCs w:val="4"/>
              </w:rPr>
            </w:r>
          </w:p>
        </w:tc>
        <w:tc>
          <w:tcPr>
            <w:tcW w:w="1187"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7" w:type="dxa"/>
            <w:gridSpan w:val="27"/>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December 31,</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5" w:type="dxa"/>
            <w:gridSpan w:val="12"/>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65" w:type="dxa"/>
            <w:gridSpan w:val="12"/>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17" w:type="dxa"/>
            <w:gridSpan w:val="2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Percentage of revenues)</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5"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TextBody"/>
        <w:spacing w:lineRule="auto" w:line="288" w:before="0" w:after="0"/>
        <w:jc w:val="both"/>
        <w:rPr/>
      </w:pPr>
      <w:r>
        <w:rPr>
          <w:rFonts w:ascii="Times New Roman;sans-serif" w:hAnsi="Times New Roman;sans-serif"/>
          <w:b w:val="false"/>
          <w:i/>
          <w:color w:val="000000"/>
          <w:sz w:val="20"/>
        </w:rPr>
        <w:t xml:space="preserve">Revenues. </w:t>
      </w:r>
      <w:r>
        <w:rPr>
          <w:rFonts w:ascii="Times New Roman;sans-serif" w:hAnsi="Times New Roman;sans-serif"/>
          <w:b w:val="false"/>
          <w:color w:val="000000"/>
          <w:sz w:val="20"/>
        </w:rPr>
        <w:t>Our Residential segment’s revenues increased by $26.8 million, or 28.9%, during the three months ended December 31, 2020 compared to the three months ended December 31, 2019. The increase was driven by our single-family business, where revenues increased by $17.3 million for the three months ended December 31, 2020, compared to the three months ended December 31, 2019, driven by strong demand for single-family housing. Multi-family and other revenue also increased by $9.5 million. Businesses acquired subsequent to the first quarter of fiscal 2020 contributed revenue of $12.1 million for the three months ended December 31, 2020. Excluding the impact of acquired businesses, our Residential segment's revenues grew by 15.9% for the three months ended December 31, 2020 compared to the three months ended December 31, 2019.</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692265" cy="146685"/>
                <wp:effectExtent l="0" t="0" r="0" b="0"/>
                <wp:wrapNone/>
                <wp:docPr id="26" name="Frame25"/>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i/>
          <w:color w:val="000000"/>
          <w:sz w:val="20"/>
        </w:rPr>
        <w:t xml:space="preserve">Gross Profit. </w:t>
      </w:r>
      <w:r>
        <w:rPr>
          <w:rFonts w:ascii="Times New Roman;sans-serif" w:hAnsi="Times New Roman;sans-serif"/>
          <w:b w:val="false"/>
          <w:color w:val="000000"/>
          <w:sz w:val="20"/>
        </w:rPr>
        <w:t>During the three months ended December 31, 2020, our Residential segment's gross profit increased by $3.4 million, or 16.8%, compared to the three months ended December 31, 2019. The increase in gross profit was driven primarily by higher volumes, partly offset by increased commodity prices. Gross profit as a percentage of revenue decreased to 19.7% during the three months ended December 31, 2020, from 21.7% for the three months ended December 31, 2019, as a result of increased commodity prices.</w:t>
      </w:r>
    </w:p>
    <w:p>
      <w:pPr>
        <w:pStyle w:val="TextBody"/>
        <w:spacing w:lineRule="auto" w:line="288" w:before="0" w:after="0"/>
        <w:jc w:val="both"/>
        <w:rPr/>
      </w:pPr>
      <w:r>
        <w:rPr>
          <w:rFonts w:ascii="Times New Roman;sans-serif" w:hAnsi="Times New Roman;sans-serif"/>
          <w:b w:val="false"/>
          <w:i/>
          <w:color w:val="000000"/>
          <w:sz w:val="20"/>
        </w:rPr>
        <w:t>Selling, General and Administrative Expenses.</w:t>
      </w:r>
      <w:r>
        <w:rPr>
          <w:color w:val="000000"/>
        </w:rPr>
        <w:t xml:space="preserve"> </w:t>
      </w:r>
      <w:r>
        <w:rPr>
          <w:rFonts w:ascii="Times New Roman;sans-serif" w:hAnsi="Times New Roman;sans-serif"/>
          <w:b w:val="false"/>
          <w:color w:val="000000"/>
          <w:sz w:val="20"/>
        </w:rPr>
        <w:t>Our Residential segment's selling, general and administrative expenses increased by $3.6 million, or 26.3%, during the three months ended December 31, 2020, compared to the three months ended December 31, 2019, primarily as a result of selling, general and administrative expenses incurred at acquired businesses, including amortization of intangible assets. Selling, general and administrative expenses as a percentage of revenue in the Residential segment decreased to 14.5% of segment revenue during the three months ended December 31, 2020, compared to 14.8% in the three months ended December 31, 2019.</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Infrastructure Solutions</w:t>
      </w:r>
    </w:p>
    <w:p>
      <w:pPr>
        <w:pStyle w:val="TextBody"/>
        <w:spacing w:before="0" w:after="0"/>
        <w:rPr/>
      </w:pPr>
      <w:r>
        <w:rPr/>
      </w:r>
    </w:p>
    <w:tbl>
      <w:tblPr>
        <w:tblW w:w="9616" w:type="dxa"/>
        <w:jc w:val="center"/>
        <w:tblInd w:w="0" w:type="dxa"/>
        <w:tblCellMar>
          <w:top w:w="28" w:type="dxa"/>
          <w:left w:w="28" w:type="dxa"/>
          <w:bottom w:w="28" w:type="dxa"/>
          <w:right w:w="28" w:type="dxa"/>
        </w:tblCellMar>
      </w:tblPr>
      <w:tblGrid>
        <w:gridCol w:w="1353"/>
        <w:gridCol w:w="1187"/>
        <w:gridCol w:w="1195"/>
        <w:gridCol w:w="109"/>
        <w:gridCol w:w="109"/>
        <w:gridCol w:w="109"/>
        <w:gridCol w:w="114"/>
        <w:gridCol w:w="114"/>
        <w:gridCol w:w="114"/>
        <w:gridCol w:w="360"/>
        <w:gridCol w:w="361"/>
        <w:gridCol w:w="114"/>
        <w:gridCol w:w="114"/>
        <w:gridCol w:w="114"/>
        <w:gridCol w:w="114"/>
        <w:gridCol w:w="308"/>
        <w:gridCol w:w="308"/>
        <w:gridCol w:w="114"/>
        <w:gridCol w:w="114"/>
        <w:gridCol w:w="114"/>
        <w:gridCol w:w="114"/>
        <w:gridCol w:w="114"/>
        <w:gridCol w:w="114"/>
        <w:gridCol w:w="114"/>
        <w:gridCol w:w="114"/>
        <w:gridCol w:w="114"/>
        <w:gridCol w:w="114"/>
        <w:gridCol w:w="360"/>
        <w:gridCol w:w="361"/>
        <w:gridCol w:w="114"/>
        <w:gridCol w:w="114"/>
        <w:gridCol w:w="114"/>
        <w:gridCol w:w="114"/>
        <w:gridCol w:w="308"/>
        <w:gridCol w:w="308"/>
        <w:gridCol w:w="114"/>
        <w:gridCol w:w="109"/>
        <w:gridCol w:w="109"/>
        <w:gridCol w:w="154"/>
      </w:tblGrid>
      <w:tr>
        <w:trPr/>
        <w:tc>
          <w:tcPr>
            <w:tcW w:w="1353" w:type="dxa"/>
            <w:tcBorders/>
            <w:shd w:fill="auto" w:val="clear"/>
            <w:vAlign w:val="center"/>
          </w:tcPr>
          <w:p>
            <w:pPr>
              <w:pStyle w:val="TableContents"/>
              <w:spacing w:before="0" w:after="283"/>
              <w:rPr>
                <w:sz w:val="4"/>
                <w:szCs w:val="4"/>
              </w:rPr>
            </w:pPr>
            <w:r>
              <w:rPr>
                <w:sz w:val="4"/>
                <w:szCs w:val="4"/>
              </w:rPr>
            </w:r>
          </w:p>
        </w:tc>
        <w:tc>
          <w:tcPr>
            <w:tcW w:w="1187"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54" w:type="dxa"/>
            <w:gridSpan w:val="3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December 31,</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1" w:type="dxa"/>
            <w:gridSpan w:val="15"/>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621" w:type="dxa"/>
            <w:gridSpan w:val="15"/>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7"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82" w:type="dxa"/>
            <w:gridSpan w:val="30"/>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Percentage of revenues)</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34,401 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31,283 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23,464 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23,513 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5,611 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4,493 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835"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730"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835" w:type="dxa"/>
            <w:gridSpan w:val="3"/>
            <w:tcBorders/>
            <w:shd w:fill="auto" w:val="clear"/>
            <w:vAlign w:val="center"/>
          </w:tcPr>
          <w:p>
            <w:pPr>
              <w:pStyle w:val="TableContents"/>
              <w:spacing w:before="0" w:after="283"/>
              <w:rPr>
                <w:sz w:val="4"/>
                <w:szCs w:val="4"/>
              </w:rPr>
            </w:pPr>
            <w:r>
              <w:rPr>
                <w:sz w:val="4"/>
                <w:szCs w:val="4"/>
              </w:rPr>
            </w:r>
          </w:p>
        </w:tc>
        <w:tc>
          <w:tcPr>
            <w:tcW w:w="342" w:type="dxa"/>
            <w:gridSpan w:val="3"/>
            <w:tcBorders/>
            <w:shd w:fill="auto" w:val="clear"/>
            <w:vAlign w:val="center"/>
          </w:tcPr>
          <w:p>
            <w:pPr>
              <w:pStyle w:val="TableContents"/>
              <w:spacing w:before="0" w:after="283"/>
              <w:rPr>
                <w:sz w:val="4"/>
                <w:szCs w:val="4"/>
              </w:rPr>
            </w:pPr>
            <w:r>
              <w:rPr>
                <w:sz w:val="4"/>
                <w:szCs w:val="4"/>
              </w:rPr>
            </w:r>
          </w:p>
        </w:tc>
        <w:tc>
          <w:tcPr>
            <w:tcW w:w="730"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sale of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TextBody"/>
        <w:spacing w:lineRule="auto" w:line="276" w:before="0" w:after="0"/>
        <w:rPr/>
      </w:pPr>
      <w:r>
        <w:rPr>
          <w:rFonts w:ascii="Times New Roman;sans-serif" w:hAnsi="Times New Roman;sans-serif"/>
          <w:b w:val="false"/>
          <w:i/>
          <w:color w:val="000000"/>
          <w:sz w:val="20"/>
        </w:rPr>
        <w:t xml:space="preserve">Revenues. </w:t>
      </w:r>
      <w:r>
        <w:rPr>
          <w:rFonts w:ascii="Times New Roman;sans-serif" w:hAnsi="Times New Roman;sans-serif"/>
          <w:b w:val="false"/>
          <w:color w:val="000000"/>
          <w:sz w:val="20"/>
        </w:rPr>
        <w:t xml:space="preserve">Revenues in our Infrastructure Solutions segment increased $3.1 million during the three months ended December 31, 2020, an increase of 10.0% compared to the three months ended December 31, 2019. The increase in revenue was driven primarily by the contribution of businesses acquired subsequent to the first quarter of fiscal 2020; these businesses contributed revenue of $6.2 million for the three months ended December 31, 2020.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Gross Profit</w:t>
      </w:r>
      <w:r>
        <w:rPr>
          <w:rFonts w:ascii="Times New Roman;sans-serif" w:hAnsi="Times New Roman;sans-serif"/>
          <w:b w:val="false"/>
          <w:color w:val="000000"/>
          <w:sz w:val="20"/>
        </w:rPr>
        <w:t xml:space="preserve">. Our Infrastructure Solutions segment’s gross profit during the three months ended December 31, 2020 increased $3.2 million as compared to the three months ended December 31, 2019, reflecting the contribution of businesses acquired subsequent to the first quarter of fiscal 2020, improved efficiency in our custom power solutions business, and workers' compensation relief received from the State of Ohio. Gross profit as a percentage of revenue increased from 24.8% to 31.8%, as we benefited from operational efficiencies and the reduction in workers' compensation expense. </w:t>
      </w:r>
    </w:p>
    <w:p>
      <w:pPr>
        <w:pStyle w:val="TextBody"/>
        <w:spacing w:lineRule="auto" w:line="288" w:before="0" w:after="0"/>
        <w:jc w:val="both"/>
        <w:rPr/>
      </w:pPr>
      <w:r>
        <w:rPr>
          <w:rFonts w:ascii="Times New Roman;sans-serif" w:hAnsi="Times New Roman;sans-serif"/>
          <w:b w:val="false"/>
          <w:i/>
          <w:color w:val="000000"/>
          <w:sz w:val="20"/>
        </w:rPr>
        <w:t xml:space="preserve">Selling, General and Administrative Expenses. </w:t>
      </w:r>
      <w:r>
        <w:rPr>
          <w:rFonts w:ascii="Times New Roman;sans-serif" w:hAnsi="Times New Roman;sans-serif"/>
          <w:b w:val="false"/>
          <w:color w:val="000000"/>
          <w:sz w:val="20"/>
        </w:rPr>
        <w:t>Our Infrastructure Solutions segment’s selling, general and administrative expenses during the three months ended December 31, 2020 increased $1.1 million when compared to the three months ended December 31, 2019, primarily as a result of expense incurred at businesses acquired subsequent to the first quarter of fiscal 2020, including amortization of intangible assets. Selling, general and administrative expenses as a percent of revenue increased from 14.4% to 16.3%.</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Commercial &amp; Industrial</w:t>
      </w:r>
    </w:p>
    <w:p>
      <w:pPr>
        <w:pStyle w:val="TextBody"/>
        <w:spacing w:before="0" w:after="0"/>
        <w:rPr/>
      </w:pPr>
      <w:r>
        <w:rPr/>
      </w:r>
    </w:p>
    <w:tbl>
      <w:tblPr>
        <w:tblW w:w="9506" w:type="dxa"/>
        <w:jc w:val="center"/>
        <w:tblInd w:w="0" w:type="dxa"/>
        <w:tblCellMar>
          <w:top w:w="28" w:type="dxa"/>
          <w:left w:w="28" w:type="dxa"/>
          <w:bottom w:w="28" w:type="dxa"/>
          <w:right w:w="28" w:type="dxa"/>
        </w:tblCellMar>
      </w:tblPr>
      <w:tblGrid>
        <w:gridCol w:w="1353"/>
        <w:gridCol w:w="1187"/>
        <w:gridCol w:w="1195"/>
        <w:gridCol w:w="109"/>
        <w:gridCol w:w="109"/>
        <w:gridCol w:w="109"/>
        <w:gridCol w:w="109"/>
        <w:gridCol w:w="109"/>
        <w:gridCol w:w="109"/>
        <w:gridCol w:w="360"/>
        <w:gridCol w:w="361"/>
        <w:gridCol w:w="109"/>
        <w:gridCol w:w="109"/>
        <w:gridCol w:w="109"/>
        <w:gridCol w:w="109"/>
        <w:gridCol w:w="308"/>
        <w:gridCol w:w="308"/>
        <w:gridCol w:w="109"/>
        <w:gridCol w:w="109"/>
        <w:gridCol w:w="109"/>
        <w:gridCol w:w="109"/>
        <w:gridCol w:w="109"/>
        <w:gridCol w:w="109"/>
        <w:gridCol w:w="109"/>
        <w:gridCol w:w="109"/>
        <w:gridCol w:w="109"/>
        <w:gridCol w:w="109"/>
        <w:gridCol w:w="360"/>
        <w:gridCol w:w="361"/>
        <w:gridCol w:w="109"/>
        <w:gridCol w:w="109"/>
        <w:gridCol w:w="109"/>
        <w:gridCol w:w="109"/>
        <w:gridCol w:w="308"/>
        <w:gridCol w:w="308"/>
        <w:gridCol w:w="109"/>
        <w:gridCol w:w="109"/>
        <w:gridCol w:w="109"/>
        <w:gridCol w:w="154"/>
      </w:tblGrid>
      <w:tr>
        <w:trPr/>
        <w:tc>
          <w:tcPr>
            <w:tcW w:w="1353" w:type="dxa"/>
            <w:tcBorders/>
            <w:shd w:fill="auto" w:val="clear"/>
            <w:vAlign w:val="center"/>
          </w:tcPr>
          <w:p>
            <w:pPr>
              <w:pStyle w:val="TableContents"/>
              <w:spacing w:before="0" w:after="283"/>
              <w:rPr>
                <w:sz w:val="4"/>
                <w:szCs w:val="4"/>
              </w:rPr>
            </w:pPr>
            <w:r>
              <w:rPr>
                <w:sz w:val="4"/>
                <w:szCs w:val="4"/>
              </w:rPr>
            </w:r>
          </w:p>
        </w:tc>
        <w:tc>
          <w:tcPr>
            <w:tcW w:w="1187"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44" w:type="dxa"/>
            <w:gridSpan w:val="3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December 31,</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6" w:type="dxa"/>
            <w:gridSpan w:val="15"/>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81" w:type="dxa"/>
            <w:gridSpan w:val="15"/>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44"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(Dollars in thousands, Percentage of revenues)</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692265" cy="146685"/>
                <wp:effectExtent l="0" t="0" r="0" b="0"/>
                <wp:wrapNone/>
                <wp:docPr id="27" name="Frame26"/>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76" w:before="0" w:after="0"/>
        <w:rPr/>
      </w:pPr>
      <w:r>
        <w:rPr>
          <w:rFonts w:ascii="Times New Roman;sans-serif" w:hAnsi="Times New Roman;sans-serif"/>
          <w:b w:val="false"/>
          <w:i/>
          <w:color w:val="000000"/>
          <w:sz w:val="20"/>
        </w:rPr>
        <w:t xml:space="preserve">Revenues. </w:t>
      </w:r>
      <w:r>
        <w:rPr>
          <w:rFonts w:ascii="Times New Roman;sans-serif" w:hAnsi="Times New Roman;sans-serif"/>
          <w:b w:val="false"/>
          <w:color w:val="000000"/>
          <w:sz w:val="20"/>
        </w:rPr>
        <w:t>Revenues in our Commercial &amp; Industrial segment decreased $5.2 million, or 7.6%, during the three months ended December 31, 2020, compared to the three months ended December 31, 2019. Our Commercial &amp; Industrial segment continues to be affected by the ongoing COVID-19 pandemic, which resulted in delays in awarding new projects and decreased demand for new construction in certain sectors we serve. This market remains highly competitive.</w:t>
      </w:r>
    </w:p>
    <w:p>
      <w:pPr>
        <w:pStyle w:val="TextBody"/>
        <w:spacing w:lineRule="auto" w:line="288" w:before="0" w:after="0"/>
        <w:jc w:val="both"/>
        <w:rPr/>
      </w:pPr>
      <w:r>
        <w:rPr>
          <w:rFonts w:ascii="Times New Roman;sans-serif" w:hAnsi="Times New Roman;sans-serif"/>
          <w:b w:val="false"/>
          <w:i/>
          <w:color w:val="000000"/>
          <w:sz w:val="20"/>
        </w:rPr>
        <w:t>Gross Profit</w:t>
      </w:r>
      <w:r>
        <w:rPr>
          <w:rFonts w:ascii="Times New Roman;sans-serif" w:hAnsi="Times New Roman;sans-serif"/>
          <w:b w:val="false"/>
          <w:color w:val="000000"/>
          <w:sz w:val="20"/>
        </w:rPr>
        <w:t xml:space="preserve">. Our Commercial &amp; Industrial segment’s gross profit during the three months ended December 31, 2020, decreased by $1.1 million, as compared to the three months ended December 31, 2019.While we have adjusted our cost structure in response to a highly competitive market and a decrease in demand, we have continued to experience inefficiencies on certain projects.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i/>
          <w:color w:val="000000"/>
          <w:sz w:val="20"/>
        </w:rPr>
        <w:t>Selling, General and Administrative Expenses.</w:t>
      </w:r>
      <w:r>
        <w:rPr>
          <w:color w:val="000000"/>
        </w:rPr>
        <w:t xml:space="preserve"> </w:t>
      </w:r>
      <w:r>
        <w:rPr>
          <w:rFonts w:ascii="Times New Roman;sans-serif" w:hAnsi="Times New Roman;sans-serif"/>
          <w:b w:val="false"/>
          <w:color w:val="000000"/>
          <w:sz w:val="20"/>
        </w:rPr>
        <w:t xml:space="preserve">Our Commercial &amp; Industrial segment’s selling, general and administrative expenses during the three months ended December 31, 2020 decreased $0.9 million, or 11.8%, compared to the three months ended December 31, 2019. As demand in the segment has decreased, we continue to focus on controlling costs. </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INTEREST AND OTHER EXPENSE, NET</w:t>
      </w:r>
    </w:p>
    <w:p>
      <w:pPr>
        <w:pStyle w:val="TextBody"/>
        <w:spacing w:before="0" w:after="0"/>
        <w:rPr/>
      </w:pPr>
      <w:r>
        <w:rPr/>
      </w:r>
    </w:p>
    <w:tbl>
      <w:tblPr>
        <w:tblW w:w="6618" w:type="dxa"/>
        <w:jc w:val="center"/>
        <w:tblInd w:w="0" w:type="dxa"/>
        <w:tblCellMar>
          <w:top w:w="28" w:type="dxa"/>
          <w:left w:w="28" w:type="dxa"/>
          <w:bottom w:w="28" w:type="dxa"/>
          <w:right w:w="28" w:type="dxa"/>
        </w:tblCellMar>
      </w:tblPr>
      <w:tblGrid>
        <w:gridCol w:w="1108"/>
        <w:gridCol w:w="971"/>
        <w:gridCol w:w="980"/>
        <w:gridCol w:w="109"/>
        <w:gridCol w:w="109"/>
        <w:gridCol w:w="109"/>
        <w:gridCol w:w="195"/>
        <w:gridCol w:w="195"/>
        <w:gridCol w:w="195"/>
        <w:gridCol w:w="269"/>
        <w:gridCol w:w="271"/>
        <w:gridCol w:w="195"/>
        <w:gridCol w:w="195"/>
        <w:gridCol w:w="195"/>
        <w:gridCol w:w="195"/>
        <w:gridCol w:w="195"/>
        <w:gridCol w:w="195"/>
        <w:gridCol w:w="195"/>
        <w:gridCol w:w="233"/>
        <w:gridCol w:w="233"/>
        <w:gridCol w:w="276"/>
      </w:tblGrid>
      <w:tr>
        <w:trPr/>
        <w:tc>
          <w:tcPr>
            <w:tcW w:w="1108" w:type="dxa"/>
            <w:tcBorders/>
            <w:shd w:fill="auto" w:val="clear"/>
            <w:vAlign w:val="center"/>
          </w:tcPr>
          <w:p>
            <w:pPr>
              <w:pStyle w:val="TableContents"/>
              <w:spacing w:before="0" w:after="283"/>
              <w:rPr>
                <w:sz w:val="4"/>
                <w:szCs w:val="4"/>
              </w:rPr>
            </w:pPr>
            <w:r>
              <w:rPr>
                <w:sz w:val="4"/>
                <w:szCs w:val="4"/>
              </w:rPr>
            </w:r>
          </w:p>
        </w:tc>
        <w:tc>
          <w:tcPr>
            <w:tcW w:w="971"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r>
      <w:tr>
        <w:trPr/>
        <w:tc>
          <w:tcPr>
            <w:tcW w:w="30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2"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Three Months Ended December 31,</w:t>
            </w:r>
          </w:p>
        </w:tc>
      </w:tr>
      <w:tr>
        <w:trPr/>
        <w:tc>
          <w:tcPr>
            <w:tcW w:w="30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58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6"/>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r>
      <w:tr>
        <w:trPr/>
        <w:tc>
          <w:tcPr>
            <w:tcW w:w="30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2"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r>
      <w:tr>
        <w:trPr/>
        <w:tc>
          <w:tcPr>
            <w:tcW w:w="3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financing charges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and other expense,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December 31, 2020, we incurred interest expense of $0.2 million primarily comprised of interest expense from our revolving credit facility with Wells Fargo Bank, N.A. (“Wells Fargo”) and fees on an average letter of credit balance of $6.2 million under our revolving credit facility and an average unused line of credit balance of $90.5 million. This compares to interest expense of $0.2 million for the three months ended December 31, 2019, primarily comprised of interest expense from our revolving credit facility and fees on an average letter of credit balance of $7.0 million under our revolving credit facility and an average unused line of credit balance of $93.0 million.</w:t>
      </w:r>
    </w:p>
    <w:p>
      <w:pPr>
        <w:pStyle w:val="TextBody"/>
        <w:spacing w:before="0" w:after="0"/>
        <w:rPr/>
      </w:pPr>
      <w:r>
        <w:rPr/>
      </w:r>
    </w:p>
    <w:p>
      <w:pPr>
        <w:pStyle w:val="TextBody"/>
        <w:spacing w:before="0" w:after="0"/>
        <w:jc w:val="center"/>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PROVISION FOR INCOME TAXES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recorded income tax expense of $3.6 million for the three months ended December 31, 2020, compared to $3.5 million for the three months ended December 31, 2019. </w:t>
      </w:r>
    </w:p>
    <w:p>
      <w:pPr>
        <w:pStyle w:val="TextBody"/>
        <w:spacing w:before="0" w:after="0"/>
        <w:jc w:val="both"/>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Management’s discussion and analysis of financial condition and results of operations is based on our Condensed Consolidated Financial Statements included in this report on Form 10-Q, which have been prepared in accordance with U.S. generally accepted accounting principles ("GAAP"). The preparation of our Condensed Consolidated Financial Statements requires us to make estimates and assumptions that affect the reported amounts of assets and liabilities, disclosures of contingent assets and liabilities known to exist as of the date of the Condensed Consolidated Financial Statements, and the reported amounts of revenues and expenses recognized during the periods presented. We review all significant estimates affecting our Condensed Consolidated Financial Statements on a recurring basis and record the effect of any necessary adjustments prior to their publication. Judgments and estimates are based on our beliefs and assumptions derived from information available at the time such judgments and estimates are made. Uncertainties with respect to such estimates and assumptions are inherent in the preparation of financial statements. There can be no assurance that actual results will not differ from those estimates. </w:t>
      </w:r>
    </w:p>
    <w:p>
      <w:pPr>
        <w:pStyle w:val="TextBody"/>
        <w:spacing w:before="0" w:after="0"/>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REMAINING PERFORMANCE OBLIGATIONS AND BACKLOG</w:t>
      </w:r>
    </w:p>
    <w:p>
      <w:pPr>
        <w:pStyle w:val="TextBody"/>
        <w:spacing w:before="0" w:after="0"/>
        <w:jc w:val="center"/>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Remaining performance obligations represent the unrecognized revenue value of our contract commitments. While backlog is not a defined term under GAAP, it is a common measurement used in our industry, and we believe it improves our ability to forecast future results and identify operating trends that may not otherwise be apparent. Backlog is a measure of revenue that we expect to recognize from work that has yet to be performed on uncompleted contracts and from work that has been contracted but has not started, </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692265" cy="146685"/>
                <wp:effectExtent l="0" t="0" r="0" b="0"/>
                <wp:wrapNone/>
                <wp:docPr id="28" name="Frame27"/>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exclusive of short-term projects. While all of our backlog is supported by documentation from customers, backlog is not a guarantee of future revenues, as contractual commitments may change and our performance may vary. Not all of our work is performed under contracts included in backlog; for example, most of the apparatus repair work that is completed by our Infrastructure Solutions segment is performed under master service agreements on an as-needed basis. Additionally, electrical installation services for single-family housing at our Residential segment are completed on a short-term basis and are therefore excluded from backlog. The table below summarizes our remaining performance obligations and backlog:</w:t>
      </w:r>
    </w:p>
    <w:p>
      <w:pPr>
        <w:pStyle w:val="TextBody"/>
        <w:spacing w:before="0" w:after="0"/>
        <w:rPr/>
      </w:pPr>
      <w:r>
        <w:rPr/>
      </w:r>
    </w:p>
    <w:tbl>
      <w:tblPr>
        <w:tblW w:w="10539" w:type="dxa"/>
        <w:jc w:val="center"/>
        <w:tblInd w:w="0" w:type="dxa"/>
        <w:tblCellMar>
          <w:top w:w="28" w:type="dxa"/>
          <w:left w:w="28" w:type="dxa"/>
          <w:bottom w:w="28" w:type="dxa"/>
          <w:right w:w="28" w:type="dxa"/>
        </w:tblCellMar>
      </w:tblPr>
      <w:tblGrid>
        <w:gridCol w:w="1236"/>
        <w:gridCol w:w="1084"/>
        <w:gridCol w:w="1090"/>
        <w:gridCol w:w="136"/>
        <w:gridCol w:w="136"/>
        <w:gridCol w:w="136"/>
        <w:gridCol w:w="223"/>
        <w:gridCol w:w="223"/>
        <w:gridCol w:w="223"/>
        <w:gridCol w:w="291"/>
        <w:gridCol w:w="291"/>
        <w:gridCol w:w="229"/>
        <w:gridCol w:w="136"/>
        <w:gridCol w:w="136"/>
        <w:gridCol w:w="136"/>
        <w:gridCol w:w="232"/>
        <w:gridCol w:w="232"/>
        <w:gridCol w:w="232"/>
        <w:gridCol w:w="291"/>
        <w:gridCol w:w="291"/>
        <w:gridCol w:w="234"/>
        <w:gridCol w:w="136"/>
        <w:gridCol w:w="136"/>
        <w:gridCol w:w="136"/>
        <w:gridCol w:w="150"/>
        <w:gridCol w:w="150"/>
        <w:gridCol w:w="150"/>
        <w:gridCol w:w="291"/>
        <w:gridCol w:w="291"/>
        <w:gridCol w:w="150"/>
        <w:gridCol w:w="136"/>
        <w:gridCol w:w="136"/>
        <w:gridCol w:w="136"/>
        <w:gridCol w:w="164"/>
        <w:gridCol w:w="164"/>
        <w:gridCol w:w="164"/>
        <w:gridCol w:w="291"/>
        <w:gridCol w:w="291"/>
        <w:gridCol w:w="249"/>
      </w:tblGrid>
      <w:tr>
        <w:trPr/>
        <w:tc>
          <w:tcPr>
            <w:tcW w:w="1236" w:type="dxa"/>
            <w:tcBorders/>
            <w:shd w:fill="auto" w:val="clear"/>
            <w:vAlign w:val="center"/>
          </w:tcPr>
          <w:p>
            <w:pPr>
              <w:pStyle w:val="TableContents"/>
              <w:spacing w:before="0" w:after="283"/>
              <w:rPr>
                <w:sz w:val="4"/>
                <w:szCs w:val="4"/>
              </w:rPr>
            </w:pPr>
            <w:r>
              <w:rPr>
                <w:sz w:val="4"/>
                <w:szCs w:val="4"/>
              </w:rPr>
            </w:r>
          </w:p>
        </w:tc>
        <w:tc>
          <w:tcPr>
            <w:tcW w:w="1084" w:type="dxa"/>
            <w:tcBorders/>
            <w:shd w:fill="auto" w:val="clear"/>
            <w:vAlign w:val="center"/>
          </w:tcPr>
          <w:p>
            <w:pPr>
              <w:pStyle w:val="TableContents"/>
              <w:spacing w:before="0" w:after="283"/>
              <w:rPr>
                <w:sz w:val="4"/>
                <w:szCs w:val="4"/>
              </w:rPr>
            </w:pPr>
            <w:r>
              <w:rPr>
                <w:sz w:val="4"/>
                <w:szCs w:val="4"/>
              </w:rPr>
            </w:r>
          </w:p>
        </w:tc>
        <w:tc>
          <w:tcPr>
            <w:tcW w:w="1090"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r>
      <w:tr>
        <w:trPr/>
        <w:tc>
          <w:tcPr>
            <w:tcW w:w="3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31,</w:t>
            </w:r>
          </w:p>
        </w:tc>
        <w:tc>
          <w:tcPr>
            <w:tcW w:w="4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2"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w:t>
            </w:r>
          </w:p>
        </w:tc>
        <w:tc>
          <w:tcPr>
            <w:tcW w:w="4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30,</w:t>
            </w:r>
          </w:p>
        </w:tc>
        <w:tc>
          <w:tcPr>
            <w:tcW w:w="4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w:t>
            </w:r>
          </w:p>
        </w:tc>
      </w:tr>
      <w:tr>
        <w:trPr/>
        <w:tc>
          <w:tcPr>
            <w:tcW w:w="34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0"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4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2"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4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4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r>
      <w:tr>
        <w:trPr/>
        <w:tc>
          <w:tcPr>
            <w:tcW w:w="34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Remaining performance obligations</w:t>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Agreements without an enforceable obligation</w:t>
            </w:r>
            <w:r>
              <w:rPr>
                <w:color w:val="000000"/>
              </w:rPr>
              <w:t xml:space="preserve"> </w:t>
            </w:r>
            <w:r>
              <w:rPr>
                <w:rFonts w:ascii="Times New Roman;sans-serif" w:hAnsi="Times New Roman;sans-serif"/>
                <w:b w:val="false"/>
                <w:color w:val="000000"/>
                <w:sz w:val="13"/>
              </w:rPr>
              <w:t>(1)</w:t>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2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Backlog</w:t>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632 </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0539" w:type="dxa"/>
            <w:gridSpan w:val="3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 Our backlog contains signed agreements and letters of intent, which we do not have a legal right to enforce prior to work starting. These arrangements are excluded from remaining performance obligations until work begins.</w:t>
            </w:r>
          </w:p>
        </w:tc>
      </w:tr>
      <w:tr>
        <w:trPr/>
        <w:tc>
          <w:tcPr>
            <w:tcW w:w="3410"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669" w:type="dxa"/>
            <w:gridSpan w:val="3"/>
            <w:tcBorders/>
            <w:shd w:fill="auto" w:val="clear"/>
            <w:vAlign w:val="center"/>
          </w:tcPr>
          <w:p>
            <w:pPr>
              <w:pStyle w:val="TableContents"/>
              <w:spacing w:before="0" w:after="283"/>
              <w:rPr>
                <w:sz w:val="4"/>
                <w:szCs w:val="4"/>
              </w:rPr>
            </w:pPr>
            <w:r>
              <w:rPr>
                <w:sz w:val="4"/>
                <w:szCs w:val="4"/>
              </w:rPr>
            </w:r>
          </w:p>
        </w:tc>
        <w:tc>
          <w:tcPr>
            <w:tcW w:w="811"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696" w:type="dxa"/>
            <w:gridSpan w:val="3"/>
            <w:tcBorders/>
            <w:shd w:fill="auto" w:val="clear"/>
            <w:vAlign w:val="center"/>
          </w:tcPr>
          <w:p>
            <w:pPr>
              <w:pStyle w:val="TableContents"/>
              <w:spacing w:before="0" w:after="283"/>
              <w:rPr>
                <w:sz w:val="4"/>
                <w:szCs w:val="4"/>
              </w:rPr>
            </w:pPr>
            <w:r>
              <w:rPr>
                <w:sz w:val="4"/>
                <w:szCs w:val="4"/>
              </w:rPr>
            </w:r>
          </w:p>
        </w:tc>
        <w:tc>
          <w:tcPr>
            <w:tcW w:w="816"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450" w:type="dxa"/>
            <w:gridSpan w:val="3"/>
            <w:tcBorders/>
            <w:shd w:fill="auto" w:val="clear"/>
            <w:vAlign w:val="center"/>
          </w:tcPr>
          <w:p>
            <w:pPr>
              <w:pStyle w:val="TableContents"/>
              <w:spacing w:before="0" w:after="283"/>
              <w:rPr>
                <w:sz w:val="4"/>
                <w:szCs w:val="4"/>
              </w:rPr>
            </w:pPr>
            <w:r>
              <w:rPr>
                <w:sz w:val="4"/>
                <w:szCs w:val="4"/>
              </w:rPr>
            </w:r>
          </w:p>
        </w:tc>
        <w:tc>
          <w:tcPr>
            <w:tcW w:w="732" w:type="dxa"/>
            <w:gridSpan w:val="3"/>
            <w:tcBorders/>
            <w:shd w:fill="auto" w:val="clear"/>
            <w:vAlign w:val="center"/>
          </w:tcPr>
          <w:p>
            <w:pPr>
              <w:pStyle w:val="TableContents"/>
              <w:spacing w:before="0" w:after="283"/>
              <w:rPr>
                <w:sz w:val="4"/>
                <w:szCs w:val="4"/>
              </w:rPr>
            </w:pPr>
            <w:r>
              <w:rPr>
                <w:sz w:val="4"/>
                <w:szCs w:val="4"/>
              </w:rPr>
            </w:r>
          </w:p>
        </w:tc>
        <w:tc>
          <w:tcPr>
            <w:tcW w:w="408" w:type="dxa"/>
            <w:gridSpan w:val="3"/>
            <w:tcBorders/>
            <w:shd w:fill="auto" w:val="clear"/>
            <w:vAlign w:val="center"/>
          </w:tcPr>
          <w:p>
            <w:pPr>
              <w:pStyle w:val="TableContents"/>
              <w:spacing w:before="0" w:after="283"/>
              <w:rPr>
                <w:sz w:val="4"/>
                <w:szCs w:val="4"/>
              </w:rPr>
            </w:pPr>
            <w:r>
              <w:rPr>
                <w:sz w:val="4"/>
                <w:szCs w:val="4"/>
              </w:rPr>
            </w:r>
          </w:p>
        </w:tc>
        <w:tc>
          <w:tcPr>
            <w:tcW w:w="492"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WORKING CAPITAL</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December 31, 2020, working capital exclusive of cash and restricted cash increased by $2.4 million from September 30, 2020, reflecting a $8.9 million increase in current assets excluding cash and a $6.6 million increase in current liabilities during the period.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December 31, 2020, our current assets exclusive of cash and restricted cash increased to $326.8 million, as compared to $317.9 million as of September 30, 2020, primarily as a result of inventory acquired in business combinations. A seasonal decrease in accounts receivable was largely offset by the addition of accounts receivable at acquired businesses. Days sales outstanding remained flat at 61 for both December 31, 2020 and September 30, 2020. While the rate of collections may vary, our typically secured position, resulting from our ability in general to secure liens against our customers’ overdue receivables, offers some protection that collection will occur eventually to the extent that our security retains value.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December 31, 2020, our total current liabilities increased by $6.6 million to $249.0 million, compared to $242.4 million as of September 30, 2020, primarily related to an increase in accounts payable and accrued liabilities. A seasonal decrease in accounts payable and accrued liabilities was largely offset by current liabilities at acquired businesses.</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Surety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the bonding capacity provided by our sureties is adequate for our current operations and will be adequate for our operations for the foreseeable future. As of December 31, 2020, the estimated cost to complete our bonded projects was approximately $90.1 million.</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The Revolving Credit Facility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a $100 million revolving credit facility pursuant to a credit agreement with Wells Fargo that matures on September 30, 2024 (as amended, the "Amended Credit Agreement").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Amended Credit Agreement contains customary affirmative, negative and financial covenants as well as events of default.</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2020, we were in compliance with the financial covenants under the Amended Credit Agreement, requiring that we maintain:</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a Fixed Charge Coverage Ratio (as defined in the Amended Credit Agreement), measured quarterly on a trailing four-quarter basis at the end of each quarter, of at least 1.1 to 1.0; and</w:t>
      </w:r>
    </w:p>
    <w:p>
      <w:pPr>
        <w:pStyle w:val="TextBody"/>
        <w:spacing w:lineRule="auto" w:line="288" w:before="240" w:after="283"/>
        <w:ind w:left="0" w:right="0" w:hanging="360"/>
        <w:jc w:val="both"/>
        <w:rPr/>
      </w:pPr>
      <w:r>
        <w:rPr>
          <w:color w:val="000000"/>
        </w:rPr>
        <w:t>•</w:t>
      </w:r>
      <w:r>
        <w:rPr>
          <w:rFonts w:ascii="Times New Roman;sans-serif" w:hAnsi="Times New Roman;sans-serif"/>
          <w:b w:val="false"/>
          <w:color w:val="000000"/>
          <w:sz w:val="20"/>
        </w:rPr>
        <w:t>minimum Liquidity (as defined in the Amended Credit Agreement) of at least 20% of the Maximum Revolver Amount (as defined in the Amended Credit Agreement), or $20 million; with, for purposes of this covenant, at least 50% of our Liquidity comprised of Excess Availability (as defined in the Amended Credit Agreement).</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692265" cy="146685"/>
                <wp:effectExtent l="0" t="0" r="0" b="0"/>
                <wp:wrapNone/>
                <wp:docPr id="29" name="Frame28"/>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2020, our Liquidity was $105.9 million, our Excess Availability was $78.7 million (or greater than 50% of minimum Liquidity), and our Fixed Charge Coverage Ratio was 9.2:1.0.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in the future our Liquidity falls below $20 million (or Excess Availability falls below 50% of our minimum Liquidity), our Fixed Charge Coverage Ratio is less than 1.1:1.0, or if we otherwise fail to perform or otherwise comply with certain of our covenants or other agreements under the Amended Credit Agreement, it would result in an event of default under the Amended Credit Agreement, which could result in some or all of our then-outstanding indebtedness becoming immediately due and payable.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2020, we had $6.3 million in outstanding letters of credit with Wells Fargo and outstanding borrowings of $14.3 under our revolving credit facility.</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cash flow from operations is not only influenced by cyclicality, demand for our services, operating margins and the type of services we provide, but can also be influenced by working capital needs such as the timing of our receivable collections. Working capital needs are generally lower during our fiscal first and second quarters due to the seasonality that we experience in many regions of the country; however a seasonal decline in working capital may be offset by needs associated with higher growth or acquisitions.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Operating activities provided net cash of $20.3 million during the three months ended December 31, 2020, as compared to $11.0 million of net cash provided in the three months ended December 31, 2019. The increase in operating cash flow resulted from an increase in earnings offset by an increase in working capital to support the growth of our business.</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was $55.9 million for the three months ended December 31, 2020, compared to $1.3 million for the three months ended December 31, 2019. We used $54.8 million to complete three acquisitions during the three months ended December 31, 2020. We used cash of $1.2 million for capital expenditures in the three months ended December 31, 2020. For the three months ended December 31, 2019, we used $1.4 million of cash for the purchase of fixed assets.</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for the three months ended December 31, 2020 was $14.2 million, compared to a use of $1.3 million for the three months ended December 31, 2019. For the three months ended December 31, 2020, we borrowed $25.1 million and repaid $10.1 million on our revolving credit facility. Net cash used by financing activities also included $0.7 million used to repurchase our shares to satisfy statutory withholding requirements upon the vesting of employee stock compensation. For the three months ended December 31, 2019, we borrowed and repaid $104.2 million on our revolving credit facility. Additionally, we used $0.9 million for market repurchases under our stock repurchase plan as well as to repurchase our shares to satisfy statutory withholding requirements upon the vesting of employee stock compensation.</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Stock Repurchase Program</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2015, our Board authorized a stock repurchase program for the purchase from time to time of up to 1.5 million shares of the Company’s common stock, and on May 2, 2019, our Board authorized the repurchase from time to time of up to an additional 1.0 million shares of the Company's common stock under the stock repurchase program. Share purchases are made for cash in open market transactions at prevailing market prices or in privately negotiated transactions or otherwise. The timing and amount of purchases under the program are determined based upon prevailing market conditions, our liquidity requirements, contractual restrictions and other factors. All or part of the repurchases may be implemented under a Rule 10b5-1 trading plan, which allows repurchases under pre-set terms at times when the Company might otherwise be prevented from purchasing under insider trading laws or because of self-imposed blackout periods. The program does not require the Company to purchase any specific number of shares and may be modified, suspended or reinstated at any time at the Company’s discretion and without notice. We repurchased no shares pursuant to this program during the three months ended December 31, 2020. </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692265" cy="146685"/>
                <wp:effectExtent l="0" t="0" r="0" b="0"/>
                <wp:wrapNone/>
                <wp:docPr id="30" name="Frame29"/>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OFF-BALANCE SHEET ARRANGEMENTS AND CONTRACTUAL OBLIGATIONS</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rPr>
        <w:t xml:space="preserve">From time to time, we may enter into firm purchase commitments for materials, such as copper or aluminum wire, which we expect to use in the ordinary course of business. These commitments are typically for terms of less than one year and require us to buy minimum quantities of materials at specific intervals at a fixed price over the term. During the quarter ended December 31, 2020, we entered into an agreement to purchase $10,467 of copper wire over the next six months in the ordinary course of business. </w:t>
      </w:r>
      <w:r>
        <w:rPr>
          <w:rFonts w:ascii="Times New Roman;sans-serif" w:hAnsi="Times New Roman;sans-serif"/>
          <w:b w:val="false"/>
          <w:color w:val="000000"/>
          <w:sz w:val="20"/>
          <w:highlight w:val="white"/>
        </w:rPr>
        <w:t>There have been no other material changes in our contractual obligations and commitments from those disclosed in our Annual Report on Form 10-K for the fiscal year ended September 30, 2020.</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692265" cy="146685"/>
                <wp:effectExtent l="0" t="0" r="0" b="0"/>
                <wp:wrapNone/>
                <wp:docPr id="31" name="Frame3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before="0" w:after="0"/>
        <w:rPr/>
      </w:pPr>
      <w:r>
        <w:rPr/>
      </w:r>
    </w:p>
    <w:p>
      <w:pPr>
        <w:pStyle w:val="TextBody"/>
        <w:spacing w:lineRule="auto" w:line="288" w:before="0" w:after="0"/>
        <w:jc w:val="both"/>
        <w:rPr/>
      </w:pPr>
      <w:r>
        <w:rPr>
          <w:rFonts w:ascii="Times New Roman;sans-serif" w:hAnsi="Times New Roman;sans-serif"/>
          <w:b/>
          <w:color w:val="000000"/>
          <w:sz w:val="20"/>
        </w:rPr>
        <w:t xml:space="preserve">Item 3. </w:t>
      </w:r>
      <w:r>
        <w:rPr>
          <w:rFonts w:ascii="Times New Roman;sans-serif" w:hAnsi="Times New Roman;sans-serif"/>
          <w:b/>
          <w:i/>
          <w:color w:val="000000"/>
          <w:sz w:val="20"/>
        </w:rPr>
        <w:t>Quantitative and Qualitative Disclosures About Market Risk</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Management is actively involved in monitoring exposure to market risk and continues to develop and utilize appropriate risk management techniques. Our exposure to significant market risks includes fluctuations in labor costs and commodity prices for copper, aluminum, steel and fuel. Commodity price risks may have an impact on our results of operations due to the fixed price nature of many of our contracts. We are also exposed to interest rate risk with respect to our outstanding borrowings under our revolving credit facility. For additional information see</w:t>
      </w:r>
      <w:r>
        <w:rPr>
          <w:color w:val="000000"/>
        </w:rPr>
        <w:t xml:space="preserve"> “</w:t>
      </w:r>
      <w:r>
        <w:rPr>
          <w:rFonts w:ascii="Times New Roman;sans-serif" w:hAnsi="Times New Roman;sans-serif"/>
          <w:b w:val="false"/>
          <w:i/>
          <w:color w:val="000000"/>
          <w:sz w:val="20"/>
        </w:rPr>
        <w:t>Disclosure Regarding Forward-Looking Statements”</w:t>
      </w:r>
      <w:r>
        <w:rPr>
          <w:color w:val="000000"/>
        </w:rPr>
        <w:t xml:space="preserve"> </w:t>
      </w:r>
      <w:r>
        <w:rPr>
          <w:rFonts w:ascii="Times New Roman;sans-serif" w:hAnsi="Times New Roman;sans-serif"/>
          <w:b w:val="false"/>
          <w:color w:val="000000"/>
          <w:sz w:val="20"/>
        </w:rPr>
        <w:t>in Part I of this Quarterly Report on Form 10-Q and our risk factors in Part I, Item 1A. “</w:t>
      </w:r>
      <w:r>
        <w:rPr>
          <w:rFonts w:ascii="Times New Roman;sans-serif" w:hAnsi="Times New Roman;sans-serif"/>
          <w:b w:val="false"/>
          <w:i/>
          <w:color w:val="000000"/>
          <w:sz w:val="20"/>
        </w:rPr>
        <w:t xml:space="preserve">Risk Factors” </w:t>
      </w:r>
      <w:r>
        <w:rPr>
          <w:rFonts w:ascii="Times New Roman;sans-serif" w:hAnsi="Times New Roman;sans-serif"/>
          <w:b w:val="false"/>
          <w:color w:val="000000"/>
          <w:sz w:val="20"/>
        </w:rPr>
        <w:t>in our Annual Report on Form 10-K for the fiscal year ended September 30, 2020.</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Commodity Risk</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exposure to significant market risks includes fluctuations in commodity prices for copper, aluminum, steel and fuel. Commodity price risks may have an impact on our results of operations due to the fixed nature of many of our contracts. Over the long-term, we expect to be able to pass along a portion of these costs to our customers, as market conditions in the construction industry will allow.</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interest rate risk on floating interest rate borrowings under our revolving credit facility. If LIBOR or its replacement benchmark were to increase, our interest payment obligations on any then-outstanding borrowings would increase, having a negative effect on our cash flow and financial condition. In July 2017, the Financial conduct Authority (the regulatory authority over LIBOR) stated that it would phase out LIBOR as a benchmark after 2021 to allow for an orderly transition to an alternative reference rate. Our Amended Credit Agreement provides for a mechanism to amend the facility to reflect the establishment of an alternative rate of interest upon the occurrence of certain events related to the phase-out of LIBOR. However, we have not yet pursued any technical amendment or other contractual alternative to address this matter and are currently evaluating the impact of the potential replacement of the LIBOR interest rate. We currently do not maintain any hedging contracts that would limit our exposure to variable rates of interest when we have outstanding borrowings. Floating rate debt, where the interest rate fluctuates periodically, exposes us to short-term changes in market interest rates.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of the long-term debt outstanding under our revolving credit facility is structured on floating rate terms. A one percentage point increase in the interest rate on our long-term debt outstanding under the credit facility as of December 31, 2020 would cause a $0.2 million pre-tax annual increase in interest expense. </w:t>
      </w:r>
    </w:p>
    <w:p>
      <w:pPr>
        <w:pStyle w:val="TextBody"/>
        <w:spacing w:before="0" w:after="0"/>
        <w:jc w:val="both"/>
        <w:rPr/>
      </w:pPr>
      <w:r>
        <w:rPr/>
      </w:r>
    </w:p>
    <w:p>
      <w:pPr>
        <w:pStyle w:val="TextBody"/>
        <w:spacing w:before="0" w:after="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pPr>
      <w:r>
        <w:rPr>
          <w:rFonts w:ascii="Times New Roman;sans-serif" w:hAnsi="Times New Roman;sans-serif"/>
          <w:b/>
          <w:color w:val="000000"/>
          <w:sz w:val="20"/>
        </w:rPr>
        <w:t>Item 4.</w:t>
      </w:r>
      <w:r>
        <w:rPr>
          <w:color w:val="000000"/>
        </w:rPr>
        <w:t xml:space="preserve"> </w:t>
      </w:r>
      <w:r>
        <w:rPr>
          <w:rFonts w:ascii="Times New Roman;sans-serif" w:hAnsi="Times New Roman;sans-serif"/>
          <w:b/>
          <w:i/>
          <w:color w:val="000000"/>
          <w:sz w:val="20"/>
        </w:rPr>
        <w:t>Controls and Procedures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There have not been any changes in the Company’s internal control over financial reporting (as such term is defined in Rules 13a-15 and 15d-15 under the Securities Exchange Act of 1934, as amended (the “Exchange Act”)) during the fiscal quarter to which this report relates that have materially affected, or are reasonably likely to materially affect, the Company’s internal control over financial reporting.</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Disclosure Controls and Procedures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Rules 13a-15 and 15d-15 of the Exchange Act, we carried out an evaluation, under the supervision and with the participation of management, including our Chief Executive Officer and our Chief Financial Officer, of the effectiveness of our disclosure controls and procedures as of the end of the period covered by this report. Based on that evaluation, our Chief Executive Officer and Chief Financial Officer concluded that our disclosure controls and procedures were effective as of December 31, 2020, to provide reasonable assurance that information required to be disclosed in our reports filed or submitted under the Exchange Act is recorded, processed, summarized and reported within the time periods specified in the Securities and Exchange Commission’s rules and forms. Our disclosure controls and procedures include controls and procedures designed to ensure that information required to be disclosed in reports filed or submitted under the Exchange Act is accumulated and communicated to our management, including our Chief Executive Officer and Chief Financial Officer, as appropriate, to allow timely decisions regarding required disclosure.</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692265" cy="146685"/>
                <wp:effectExtent l="0" t="0" r="0" b="0"/>
                <wp:wrapNone/>
                <wp:docPr id="32" name="Frame31"/>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before="0" w:after="0"/>
        <w:rPr/>
      </w:pPr>
      <w:r>
        <w:rPr/>
      </w:r>
    </w:p>
    <w:p>
      <w:pPr>
        <w:pStyle w:val="TextBody"/>
        <w:spacing w:lineRule="auto" w:line="288" w:before="0" w:after="0"/>
        <w:jc w:val="both"/>
        <w:rPr/>
      </w:pPr>
      <w:r>
        <w:rPr>
          <w:rFonts w:ascii="Times New Roman;sans-serif" w:hAnsi="Times New Roman;sans-serif"/>
          <w:b/>
          <w:color w:val="000000"/>
          <w:sz w:val="20"/>
        </w:rPr>
        <w:t xml:space="preserve">Item 1. </w:t>
      </w:r>
      <w:r>
        <w:rPr>
          <w:rFonts w:ascii="Times New Roman;sans-serif" w:hAnsi="Times New Roman;sans-serif"/>
          <w:b/>
          <w:i/>
          <w:color w:val="000000"/>
          <w:sz w:val="20"/>
        </w:rPr>
        <w:t>Legal Proceedings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For information regarding legal proceedings, see Note 12</w:t>
      </w:r>
      <w:r>
        <w:rPr>
          <w:rFonts w:ascii="Times New Roman;sans-serif" w:hAnsi="Times New Roman;sans-serif"/>
          <w:b w:val="false"/>
          <w:color w:val="000000"/>
          <w:sz w:val="24"/>
        </w:rPr>
        <w:t>, “</w:t>
      </w:r>
      <w:r>
        <w:rPr>
          <w:rFonts w:ascii="Times New Roman;sans-serif" w:hAnsi="Times New Roman;sans-serif"/>
          <w:b w:val="false"/>
          <w:color w:val="000000"/>
          <w:sz w:val="20"/>
        </w:rPr>
        <w:t>Commitments and Contingencies</w:t>
      </w:r>
      <w:r>
        <w:rPr>
          <w:color w:val="000000"/>
        </w:rPr>
        <w:t xml:space="preserve"> – </w:t>
      </w:r>
      <w:r>
        <w:rPr>
          <w:rFonts w:ascii="Times New Roman;sans-serif" w:hAnsi="Times New Roman;sans-serif"/>
          <w:b w:val="false"/>
          <w:color w:val="000000"/>
          <w:sz w:val="20"/>
        </w:rPr>
        <w:t>Legal Matters” in the Notes to our Condensed Consolidated Financial Statements set forth in Part I, Item 1 of this Quarterly Report on Form 10-Q, which is incorporated herein by reference.</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Times New Roman;sans-serif" w:hAnsi="Times New Roman;sans-serif"/>
          <w:b/>
          <w:color w:val="000000"/>
          <w:sz w:val="20"/>
        </w:rPr>
        <w:t xml:space="preserve">Item 1A. </w:t>
      </w:r>
      <w:r>
        <w:rPr>
          <w:rFonts w:ascii="Times New Roman;sans-serif" w:hAnsi="Times New Roman;sans-serif"/>
          <w:b/>
          <w:i/>
          <w:color w:val="000000"/>
          <w:sz w:val="20"/>
        </w:rPr>
        <w:t>Risk Factors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There have been no material changes to the risk factors disclosed under Item 1A.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in our Annual Report on Form 10-K for the fiscal year ended September 30, 2020.</w:t>
      </w:r>
    </w:p>
    <w:p>
      <w:pPr>
        <w:pStyle w:val="TextBody"/>
        <w:spacing w:before="0" w:after="0"/>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Times New Roman;sans-serif" w:hAnsi="Times New Roman;sans-serif"/>
          <w:b/>
          <w:color w:val="000000"/>
          <w:sz w:val="20"/>
        </w:rPr>
        <w:t xml:space="preserve">Item 2. </w:t>
      </w:r>
      <w:r>
        <w:rPr>
          <w:rFonts w:ascii="Times New Roman;sans-serif" w:hAnsi="Times New Roman;sans-serif"/>
          <w:b/>
          <w:i/>
          <w:color w:val="000000"/>
          <w:sz w:val="20"/>
        </w:rPr>
        <w:t>Unregistered Sales of Equity Securities and Use of Proceeds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information with respect to purchases of common stock of the Company made during the three months ended December 31, 2020: </w:t>
      </w:r>
    </w:p>
    <w:p>
      <w:pPr>
        <w:pStyle w:val="TextBody"/>
        <w:spacing w:before="0" w:after="0"/>
        <w:jc w:val="both"/>
        <w:rPr/>
      </w:pPr>
      <w:r>
        <w:rPr/>
      </w:r>
    </w:p>
    <w:tbl>
      <w:tblPr>
        <w:tblW w:w="10539" w:type="dxa"/>
        <w:jc w:val="left"/>
        <w:tblInd w:w="0" w:type="dxa"/>
        <w:tblCellMar>
          <w:top w:w="28" w:type="dxa"/>
          <w:left w:w="28" w:type="dxa"/>
          <w:bottom w:w="28" w:type="dxa"/>
          <w:right w:w="28" w:type="dxa"/>
        </w:tblCellMar>
      </w:tblPr>
      <w:tblGrid>
        <w:gridCol w:w="722"/>
        <w:gridCol w:w="513"/>
        <w:gridCol w:w="520"/>
        <w:gridCol w:w="510"/>
        <w:gridCol w:w="510"/>
        <w:gridCol w:w="512"/>
        <w:gridCol w:w="413"/>
        <w:gridCol w:w="413"/>
        <w:gridCol w:w="414"/>
        <w:gridCol w:w="807"/>
        <w:gridCol w:w="807"/>
        <w:gridCol w:w="810"/>
        <w:gridCol w:w="1048"/>
        <w:gridCol w:w="1048"/>
        <w:gridCol w:w="1492"/>
      </w:tblGrid>
      <w:tr>
        <w:trPr/>
        <w:tc>
          <w:tcPr>
            <w:tcW w:w="722"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c>
          <w:tcPr>
            <w:tcW w:w="1048" w:type="dxa"/>
            <w:tcBorders/>
            <w:shd w:fill="auto" w:val="clear"/>
            <w:vAlign w:val="center"/>
          </w:tcPr>
          <w:p>
            <w:pPr>
              <w:pStyle w:val="TableContents"/>
              <w:spacing w:before="0" w:after="283"/>
              <w:rPr>
                <w:sz w:val="4"/>
                <w:szCs w:val="4"/>
              </w:rPr>
            </w:pPr>
            <w:r>
              <w:rPr>
                <w:sz w:val="4"/>
                <w:szCs w:val="4"/>
              </w:rPr>
            </w:r>
          </w:p>
        </w:tc>
        <w:tc>
          <w:tcPr>
            <w:tcW w:w="1048" w:type="dxa"/>
            <w:tcBorders/>
            <w:shd w:fill="auto" w:val="clear"/>
            <w:vAlign w:val="center"/>
          </w:tcPr>
          <w:p>
            <w:pPr>
              <w:pStyle w:val="TableContents"/>
              <w:spacing w:before="0" w:after="283"/>
              <w:rPr>
                <w:sz w:val="4"/>
                <w:szCs w:val="4"/>
              </w:rPr>
            </w:pPr>
            <w:r>
              <w:rPr>
                <w:sz w:val="4"/>
                <w:szCs w:val="4"/>
              </w:rPr>
            </w:r>
          </w:p>
        </w:tc>
        <w:tc>
          <w:tcPr>
            <w:tcW w:w="1492" w:type="dxa"/>
            <w:tcBorders/>
            <w:shd w:fill="auto" w:val="clear"/>
            <w:vAlign w:val="center"/>
          </w:tcPr>
          <w:p>
            <w:pPr>
              <w:pStyle w:val="TableContents"/>
              <w:spacing w:before="0" w:after="283"/>
              <w:rPr>
                <w:sz w:val="4"/>
                <w:szCs w:val="4"/>
              </w:rPr>
            </w:pPr>
            <w:r>
              <w:rPr>
                <w:sz w:val="4"/>
                <w:szCs w:val="4"/>
              </w:rPr>
            </w:r>
          </w:p>
        </w:tc>
      </w:tr>
      <w:tr>
        <w:trPr/>
        <w:tc>
          <w:tcPr>
            <w:tcW w:w="17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3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 xml:space="preserve">Total Number of Shares Purchased </w:t>
            </w:r>
            <w:r>
              <w:rPr>
                <w:rFonts w:ascii="Times New Roman;sans-serif" w:hAnsi="Times New Roman;sans-serif"/>
                <w:b w:val="false"/>
                <w:color w:val="000000"/>
                <w:sz w:val="13"/>
              </w:rPr>
              <w:t>(1)</w:t>
            </w:r>
          </w:p>
        </w:tc>
        <w:tc>
          <w:tcPr>
            <w:tcW w:w="12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Average Price Paid Per Share</w:t>
            </w:r>
          </w:p>
        </w:tc>
        <w:tc>
          <w:tcPr>
            <w:tcW w:w="24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Total Number of Shares Purchased as Part of a Publicly Announced Plan </w:t>
            </w:r>
          </w:p>
        </w:tc>
        <w:tc>
          <w:tcPr>
            <w:tcW w:w="358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 xml:space="preserve">Maximum Number of Shares That May Yet Be Purchased Under the Publicly Announced Plan as of December 31, 2020 </w:t>
            </w:r>
            <w:r>
              <w:rPr>
                <w:rFonts w:ascii="Times New Roman;sans-serif" w:hAnsi="Times New Roman;sans-serif"/>
                <w:b w:val="false"/>
                <w:color w:val="000000"/>
                <w:sz w:val="13"/>
              </w:rPr>
              <w:t>(2)</w:t>
            </w:r>
          </w:p>
        </w:tc>
      </w:tr>
      <w:tr>
        <w:trPr/>
        <w:tc>
          <w:tcPr>
            <w:tcW w:w="17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1, 2020 – October 31, 2020</w:t>
            </w:r>
          </w:p>
        </w:tc>
        <w:tc>
          <w:tcPr>
            <w:tcW w:w="153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w:t>
            </w:r>
          </w:p>
        </w:tc>
        <w:tc>
          <w:tcPr>
            <w:tcW w:w="124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37.93</w:t>
            </w:r>
          </w:p>
        </w:tc>
        <w:tc>
          <w:tcPr>
            <w:tcW w:w="242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58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993,825</w:t>
            </w:r>
          </w:p>
        </w:tc>
      </w:tr>
      <w:tr>
        <w:trPr/>
        <w:tc>
          <w:tcPr>
            <w:tcW w:w="17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 2020 – November 30, 2020</w:t>
            </w:r>
          </w:p>
        </w:tc>
        <w:tc>
          <w:tcPr>
            <w:tcW w:w="153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124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242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58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993,825</w:t>
            </w:r>
          </w:p>
        </w:tc>
      </w:tr>
      <w:tr>
        <w:trPr/>
        <w:tc>
          <w:tcPr>
            <w:tcW w:w="17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1, 2020 – December 31, 2020</w:t>
            </w:r>
          </w:p>
        </w:tc>
        <w:tc>
          <w:tcPr>
            <w:tcW w:w="153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15,303</w:t>
            </w:r>
          </w:p>
        </w:tc>
        <w:tc>
          <w:tcPr>
            <w:tcW w:w="124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41.53</w:t>
            </w:r>
          </w:p>
        </w:tc>
        <w:tc>
          <w:tcPr>
            <w:tcW w:w="242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58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993,825</w:t>
            </w:r>
          </w:p>
        </w:tc>
      </w:tr>
      <w:tr>
        <w:trPr/>
        <w:tc>
          <w:tcPr>
            <w:tcW w:w="17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53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16,882</w:t>
            </w:r>
          </w:p>
        </w:tc>
        <w:tc>
          <w:tcPr>
            <w:tcW w:w="124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41.19</w:t>
            </w:r>
          </w:p>
        </w:tc>
        <w:tc>
          <w:tcPr>
            <w:tcW w:w="242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58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993,825</w:t>
            </w:r>
          </w:p>
        </w:tc>
      </w:tr>
      <w:tr>
        <w:trPr/>
        <w:tc>
          <w:tcPr>
            <w:tcW w:w="1755" w:type="dxa"/>
            <w:gridSpan w:val="3"/>
            <w:tcBorders/>
            <w:shd w:fill="auto" w:val="clear"/>
            <w:vAlign w:val="center"/>
          </w:tcPr>
          <w:p>
            <w:pPr>
              <w:pStyle w:val="TableContents"/>
              <w:spacing w:before="0" w:after="283"/>
              <w:rPr>
                <w:sz w:val="4"/>
                <w:szCs w:val="4"/>
              </w:rPr>
            </w:pPr>
            <w:r>
              <w:rPr>
                <w:sz w:val="4"/>
                <w:szCs w:val="4"/>
              </w:rPr>
            </w:r>
          </w:p>
        </w:tc>
        <w:tc>
          <w:tcPr>
            <w:tcW w:w="1532" w:type="dxa"/>
            <w:gridSpan w:val="3"/>
            <w:tcBorders/>
            <w:shd w:fill="auto" w:val="clear"/>
            <w:vAlign w:val="center"/>
          </w:tcPr>
          <w:p>
            <w:pPr>
              <w:pStyle w:val="TableContents"/>
              <w:spacing w:before="0" w:after="283"/>
              <w:rPr>
                <w:sz w:val="4"/>
                <w:szCs w:val="4"/>
              </w:rPr>
            </w:pPr>
            <w:r>
              <w:rPr>
                <w:sz w:val="4"/>
                <w:szCs w:val="4"/>
              </w:rPr>
            </w:r>
          </w:p>
        </w:tc>
        <w:tc>
          <w:tcPr>
            <w:tcW w:w="1240" w:type="dxa"/>
            <w:gridSpan w:val="3"/>
            <w:tcBorders/>
            <w:shd w:fill="auto" w:val="clear"/>
            <w:vAlign w:val="center"/>
          </w:tcPr>
          <w:p>
            <w:pPr>
              <w:pStyle w:val="TableContents"/>
              <w:spacing w:before="0" w:after="283"/>
              <w:rPr>
                <w:sz w:val="4"/>
                <w:szCs w:val="4"/>
              </w:rPr>
            </w:pPr>
            <w:r>
              <w:rPr>
                <w:sz w:val="4"/>
                <w:szCs w:val="4"/>
              </w:rPr>
            </w:r>
          </w:p>
        </w:tc>
        <w:tc>
          <w:tcPr>
            <w:tcW w:w="2424" w:type="dxa"/>
            <w:gridSpan w:val="3"/>
            <w:tcBorders/>
            <w:shd w:fill="auto" w:val="clear"/>
            <w:vAlign w:val="center"/>
          </w:tcPr>
          <w:p>
            <w:pPr>
              <w:pStyle w:val="TableContents"/>
              <w:spacing w:before="0" w:after="283"/>
              <w:rPr>
                <w:sz w:val="4"/>
                <w:szCs w:val="4"/>
              </w:rPr>
            </w:pPr>
            <w:r>
              <w:rPr>
                <w:sz w:val="4"/>
                <w:szCs w:val="4"/>
              </w:rPr>
            </w:r>
          </w:p>
        </w:tc>
        <w:tc>
          <w:tcPr>
            <w:tcW w:w="3588"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331" w:before="0" w:after="0"/>
        <w:ind w:left="0" w:right="0" w:hanging="360"/>
        <w:rPr/>
      </w:pPr>
      <w:r>
        <w:rPr>
          <w:rFonts w:ascii="Times New Roman;sans-serif" w:hAnsi="Times New Roman;sans-serif"/>
          <w:b w:val="false"/>
          <w:color w:val="000000"/>
          <w:sz w:val="16"/>
        </w:rPr>
        <w:t>(1)</w:t>
      </w:r>
      <w:r>
        <w:rPr>
          <w:color w:val="000000"/>
        </w:rPr>
        <w:t>    </w:t>
      </w:r>
      <w:r>
        <w:rPr>
          <w:rFonts w:ascii="Times New Roman;sans-serif" w:hAnsi="Times New Roman;sans-serif"/>
          <w:b w:val="false"/>
          <w:color w:val="000000"/>
          <w:sz w:val="16"/>
        </w:rPr>
        <w:t xml:space="preserve">The total number of shares purchased includes shares purchased pursuant to the plan described in footnote (2) below. </w:t>
      </w:r>
    </w:p>
    <w:p>
      <w:pPr>
        <w:pStyle w:val="TextBody"/>
        <w:spacing w:lineRule="auto" w:line="288" w:before="0" w:after="0"/>
        <w:ind w:left="0" w:right="0" w:hanging="360"/>
        <w:rPr/>
      </w:pPr>
      <w:r>
        <w:rPr>
          <w:rFonts w:ascii="Times New Roman;sans-serif" w:hAnsi="Times New Roman;sans-serif"/>
          <w:b w:val="false"/>
          <w:color w:val="000000"/>
          <w:sz w:val="16"/>
        </w:rPr>
        <w:t>(2)</w:t>
      </w:r>
      <w:r>
        <w:rPr>
          <w:color w:val="000000"/>
        </w:rPr>
        <w:t>    </w:t>
      </w:r>
      <w:r>
        <w:rPr>
          <w:rFonts w:ascii="Times New Roman;sans-serif" w:hAnsi="Times New Roman;sans-serif"/>
          <w:b w:val="false"/>
          <w:color w:val="000000"/>
          <w:sz w:val="16"/>
        </w:rPr>
        <w:t>In 2015, our Board authorized a stock repurchase program for the purchase of up to 1.5 million shares of the Company’s common stock from time to time, and on May 2, 2019, authorized the repurchase from time to time of up to an additional 1.0 million shares of the Company’s common stock under the stock repurchase program.</w:t>
      </w:r>
    </w:p>
    <w:p>
      <w:pPr>
        <w:pStyle w:val="TextBody"/>
        <w:spacing w:before="0" w:after="0"/>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Times New Roman;sans-serif" w:hAnsi="Times New Roman;sans-serif"/>
          <w:b/>
          <w:color w:val="000000"/>
          <w:sz w:val="20"/>
        </w:rPr>
        <w:t xml:space="preserve">Item 3. </w:t>
      </w:r>
      <w:r>
        <w:rPr>
          <w:rFonts w:ascii="Times New Roman;sans-serif" w:hAnsi="Times New Roman;sans-serif"/>
          <w:b/>
          <w:i/>
          <w:color w:val="000000"/>
          <w:sz w:val="20"/>
        </w:rPr>
        <w:t>Defaults Upon Senior Securities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Times New Roman;sans-serif" w:hAnsi="Times New Roman;sans-serif"/>
          <w:b/>
          <w:color w:val="000000"/>
          <w:sz w:val="20"/>
        </w:rPr>
        <w:t xml:space="preserve">Item 4. </w:t>
      </w:r>
      <w:r>
        <w:rPr>
          <w:rFonts w:ascii="Times New Roman;sans-serif" w:hAnsi="Times New Roman;sans-serif"/>
          <w:b/>
          <w:i/>
          <w:color w:val="000000"/>
          <w:sz w:val="20"/>
        </w:rPr>
        <w:t>Mine Safety Disclosures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Times New Roman;sans-serif" w:hAnsi="Times New Roman;sans-serif"/>
          <w:b/>
          <w:color w:val="000000"/>
          <w:sz w:val="20"/>
        </w:rPr>
        <w:t xml:space="preserve">Item 5. </w:t>
      </w:r>
      <w:r>
        <w:rPr>
          <w:rFonts w:ascii="Times New Roman;sans-serif" w:hAnsi="Times New Roman;sans-serif"/>
          <w:b/>
          <w:i/>
          <w:color w:val="000000"/>
          <w:sz w:val="20"/>
        </w:rPr>
        <w:t>Other Information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692265" cy="146685"/>
                <wp:effectExtent l="0" t="0" r="0" b="0"/>
                <wp:wrapNone/>
                <wp:docPr id="33" name="Frame32"/>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before="0" w:after="0"/>
        <w:rPr/>
      </w:pPr>
      <w:r>
        <w:rPr/>
      </w:r>
    </w:p>
    <w:p>
      <w:pPr>
        <w:pStyle w:val="TextBody"/>
        <w:spacing w:lineRule="auto" w:line="288" w:before="0" w:after="0"/>
        <w:rPr/>
      </w:pPr>
      <w:r>
        <w:rPr>
          <w:rFonts w:ascii="Times New Roman;sans-serif" w:hAnsi="Times New Roman;sans-serif"/>
          <w:b/>
          <w:color w:val="000000"/>
          <w:sz w:val="20"/>
        </w:rPr>
        <w:t xml:space="preserve">Item 6. </w:t>
      </w:r>
      <w:r>
        <w:rPr>
          <w:rFonts w:ascii="Times New Roman;sans-serif" w:hAnsi="Times New Roman;sans-serif"/>
          <w:b/>
          <w:i/>
          <w:color w:val="000000"/>
          <w:sz w:val="20"/>
        </w:rPr>
        <w:t>Exhibits</w:t>
      </w:r>
    </w:p>
    <w:tbl>
      <w:tblPr>
        <w:tblW w:w="10539" w:type="dxa"/>
        <w:jc w:val="left"/>
        <w:tblInd w:w="0" w:type="dxa"/>
        <w:tblCellMar>
          <w:top w:w="28" w:type="dxa"/>
          <w:left w:w="28" w:type="dxa"/>
          <w:bottom w:w="28" w:type="dxa"/>
          <w:right w:w="28" w:type="dxa"/>
        </w:tblCellMar>
      </w:tblPr>
      <w:tblGrid>
        <w:gridCol w:w="266"/>
        <w:gridCol w:w="234"/>
        <w:gridCol w:w="235"/>
        <w:gridCol w:w="2876"/>
        <w:gridCol w:w="2854"/>
        <w:gridCol w:w="4074"/>
      </w:tblGrid>
      <w:tr>
        <w:trPr/>
        <w:tc>
          <w:tcPr>
            <w:tcW w:w="266"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876" w:type="dxa"/>
            <w:tcBorders/>
            <w:shd w:fill="auto" w:val="clear"/>
            <w:vAlign w:val="center"/>
          </w:tcPr>
          <w:p>
            <w:pPr>
              <w:pStyle w:val="TableContents"/>
              <w:spacing w:before="0" w:after="283"/>
              <w:rPr>
                <w:sz w:val="4"/>
                <w:szCs w:val="4"/>
              </w:rPr>
            </w:pPr>
            <w:r>
              <w:rPr>
                <w:sz w:val="4"/>
                <w:szCs w:val="4"/>
              </w:rPr>
            </w:r>
          </w:p>
        </w:tc>
        <w:tc>
          <w:tcPr>
            <w:tcW w:w="2854" w:type="dxa"/>
            <w:tcBorders/>
            <w:shd w:fill="auto" w:val="clear"/>
            <w:vAlign w:val="center"/>
          </w:tcPr>
          <w:p>
            <w:pPr>
              <w:pStyle w:val="TableContents"/>
              <w:spacing w:before="0" w:after="283"/>
              <w:rPr>
                <w:sz w:val="4"/>
                <w:szCs w:val="4"/>
              </w:rPr>
            </w:pPr>
            <w:r>
              <w:rPr>
                <w:sz w:val="4"/>
                <w:szCs w:val="4"/>
              </w:rPr>
            </w:r>
          </w:p>
        </w:tc>
        <w:tc>
          <w:tcPr>
            <w:tcW w:w="4074" w:type="dxa"/>
            <w:tcBorders/>
            <w:shd w:fill="auto" w:val="clear"/>
            <w:vAlign w:val="center"/>
          </w:tcPr>
          <w:p>
            <w:pPr>
              <w:pStyle w:val="TableContents"/>
              <w:spacing w:before="0" w:after="283"/>
              <w:rPr>
                <w:sz w:val="4"/>
                <w:szCs w:val="4"/>
              </w:rPr>
            </w:pPr>
            <w:r>
              <w:rPr>
                <w:sz w:val="4"/>
                <w:szCs w:val="4"/>
              </w:rPr>
            </w:r>
          </w:p>
        </w:tc>
      </w:tr>
      <w:tr>
        <w:trPr/>
        <w:tc>
          <w:tcPr>
            <w:tcW w:w="73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Exhibit</w:t>
            </w:r>
            <w:r>
              <w:rPr>
                <w:color w:val="000000"/>
              </w:rPr>
              <w:t xml:space="preserve"> </w:t>
            </w:r>
          </w:p>
          <w:p>
            <w:pPr>
              <w:pStyle w:val="TableContents"/>
              <w:spacing w:lineRule="auto" w:line="240" w:before="0" w:after="0"/>
              <w:jc w:val="center"/>
              <w:rPr>
                <w:rFonts w:ascii="Times New Roman;sans-serif" w:hAnsi="Times New Roman;sans-serif"/>
                <w:b/>
                <w:color w:val="000000"/>
                <w:sz w:val="18"/>
                <w:u w:val="single"/>
              </w:rPr>
            </w:pPr>
            <w:r>
              <w:rPr>
                <w:rFonts w:ascii="Times New Roman;sans-serif" w:hAnsi="Times New Roman;sans-serif"/>
                <w:b/>
                <w:color w:val="000000"/>
                <w:sz w:val="18"/>
                <w:u w:val="single"/>
              </w:rPr>
              <w:t>No.</w:t>
            </w:r>
          </w:p>
        </w:tc>
        <w:tc>
          <w:tcPr>
            <w:tcW w:w="98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Description</w:t>
            </w:r>
          </w:p>
        </w:tc>
      </w:tr>
      <w:tr>
        <w:trPr/>
        <w:tc>
          <w:tcPr>
            <w:tcW w:w="73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9804" w:type="dxa"/>
            <w:gridSpan w:val="3"/>
            <w:tcBorders/>
            <w:shd w:fill="CCEEFF" w:val="clear"/>
            <w:tcMar>
              <w:top w:w="0" w:type="dxa"/>
              <w:left w:w="0" w:type="dxa"/>
              <w:bottom w:w="0" w:type="dxa"/>
              <w:right w:w="0" w:type="dxa"/>
            </w:tcMar>
            <w:vAlign w:val="center"/>
          </w:tcPr>
          <w:p>
            <w:pPr>
              <w:pStyle w:val="TableContents"/>
              <w:spacing w:lineRule="auto" w:line="288" w:before="0" w:after="0"/>
              <w:jc w:val="both"/>
              <w:rPr/>
            </w:pPr>
            <w:hyperlink r:id="rId3">
              <w:r>
                <w:rPr>
                  <w:rStyle w:val="InternetLink"/>
                  <w:rFonts w:ascii="Times New Roman;sans-serif" w:hAnsi="Times New Roman;sans-serif"/>
                  <w:b w:val="false"/>
                  <w:color w:val="0000FF"/>
                  <w:sz w:val="20"/>
                  <w:u w:val="single"/>
                </w:rPr>
                <w:t xml:space="preserve">Second Amended and Restated Certificate of Incorporation of IES Holdings, Inc., as amended by the Certificate of Amendment thereto, effective May 24, 2016 (composite). (Incorporated by reference to Exhibit 3.1 to the Company’s Quarterly Report on Form 10-Q filed on August 8, 2016) </w:t>
              </w:r>
            </w:hyperlink>
          </w:p>
        </w:tc>
      </w:tr>
      <w:tr>
        <w:trPr/>
        <w:tc>
          <w:tcPr>
            <w:tcW w:w="73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9804" w:type="dxa"/>
            <w:gridSpan w:val="3"/>
            <w:tcBorders/>
            <w:shd w:fill="FFFFFF" w:val="clear"/>
            <w:tcMar>
              <w:top w:w="0" w:type="dxa"/>
              <w:left w:w="0" w:type="dxa"/>
              <w:bottom w:w="0" w:type="dxa"/>
              <w:right w:w="0" w:type="dxa"/>
            </w:tcMar>
            <w:vAlign w:val="center"/>
          </w:tcPr>
          <w:p>
            <w:pPr>
              <w:pStyle w:val="TableContents"/>
              <w:spacing w:lineRule="auto" w:line="288" w:before="0" w:after="0"/>
              <w:jc w:val="both"/>
              <w:rPr/>
            </w:pPr>
            <w:hyperlink r:id="rId4">
              <w:r>
                <w:rPr>
                  <w:rStyle w:val="InternetLink"/>
                  <w:rFonts w:ascii="Times New Roman;sans-serif" w:hAnsi="Times New Roman;sans-serif"/>
                  <w:b w:val="false"/>
                  <w:color w:val="0000FF"/>
                  <w:sz w:val="20"/>
                  <w:u w:val="single"/>
                </w:rPr>
                <w:t>Certificate of Designation of Series A Junior Participating Preferred Stock (Incorporated by reference to Exhibit 3.1 to the Company’s Current Report on Form 8-K filed on January 28, 2013)</w:t>
              </w:r>
            </w:hyperlink>
          </w:p>
        </w:tc>
      </w:tr>
      <w:tr>
        <w:trPr/>
        <w:tc>
          <w:tcPr>
            <w:tcW w:w="73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9804" w:type="dxa"/>
            <w:gridSpan w:val="3"/>
            <w:tcBorders/>
            <w:shd w:fill="CCEEFF" w:val="clear"/>
            <w:tcMar>
              <w:top w:w="0" w:type="dxa"/>
              <w:left w:w="0" w:type="dxa"/>
              <w:bottom w:w="0" w:type="dxa"/>
              <w:right w:w="0" w:type="dxa"/>
            </w:tcMar>
            <w:vAlign w:val="center"/>
          </w:tcPr>
          <w:p>
            <w:pPr>
              <w:pStyle w:val="TableContents"/>
              <w:spacing w:lineRule="auto" w:line="288" w:before="0" w:after="0"/>
              <w:jc w:val="both"/>
              <w:rPr/>
            </w:pPr>
            <w:hyperlink r:id="rId5">
              <w:r>
                <w:rPr>
                  <w:rStyle w:val="InternetLink"/>
                  <w:rFonts w:ascii="Times New Roman;sans-serif" w:hAnsi="Times New Roman;sans-serif"/>
                  <w:b w:val="false"/>
                  <w:color w:val="0000FF"/>
                  <w:sz w:val="20"/>
                  <w:u w:val="single"/>
                </w:rPr>
                <w:t>Amended and Restated Bylaws of IES Holdings, Inc., effective November 6, 2019 (Incorporated by reference to Exhibit 3.1 to the Company's Current Report on Form 8-K filed on November 8, 2019)</w:t>
              </w:r>
            </w:hyperlink>
          </w:p>
        </w:tc>
      </w:tr>
      <w:tr>
        <w:trPr/>
        <w:tc>
          <w:tcPr>
            <w:tcW w:w="73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9804" w:type="dxa"/>
            <w:gridSpan w:val="3"/>
            <w:tcBorders/>
            <w:shd w:fill="FFFFFF" w:val="clear"/>
            <w:tcMar>
              <w:top w:w="0" w:type="dxa"/>
              <w:left w:w="0" w:type="dxa"/>
              <w:bottom w:w="0" w:type="dxa"/>
              <w:right w:w="0" w:type="dxa"/>
            </w:tcMar>
            <w:vAlign w:val="center"/>
          </w:tcPr>
          <w:p>
            <w:pPr>
              <w:pStyle w:val="TableContents"/>
              <w:spacing w:lineRule="auto" w:line="288" w:before="0" w:after="0"/>
              <w:jc w:val="both"/>
              <w:rPr/>
            </w:pPr>
            <w:hyperlink r:id="rId6">
              <w:r>
                <w:rPr>
                  <w:rStyle w:val="InternetLink"/>
                  <w:rFonts w:ascii="Times New Roman;sans-serif" w:hAnsi="Times New Roman;sans-serif"/>
                  <w:b w:val="false"/>
                  <w:color w:val="0000FF"/>
                  <w:sz w:val="20"/>
                  <w:u w:val="single"/>
                </w:rPr>
                <w:t>Specimen common stock certificate. (Incorporated by reference to Exhibit 4.1 to the Company’s Annual Report on Form 10-K filed on December 9, 2016)</w:t>
              </w:r>
            </w:hyperlink>
          </w:p>
        </w:tc>
      </w:tr>
      <w:tr>
        <w:trPr/>
        <w:tc>
          <w:tcPr>
            <w:tcW w:w="73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9804" w:type="dxa"/>
            <w:gridSpan w:val="3"/>
            <w:tcBorders/>
            <w:shd w:fill="CCEEFF" w:val="clear"/>
            <w:tcMar>
              <w:top w:w="0" w:type="dxa"/>
              <w:left w:w="0" w:type="dxa"/>
              <w:bottom w:w="0" w:type="dxa"/>
              <w:right w:w="0" w:type="dxa"/>
            </w:tcMar>
            <w:vAlign w:val="center"/>
          </w:tcPr>
          <w:p>
            <w:pPr>
              <w:pStyle w:val="TableContents"/>
              <w:spacing w:lineRule="auto" w:line="288" w:before="0" w:after="0"/>
              <w:jc w:val="both"/>
              <w:rPr/>
            </w:pPr>
            <w:hyperlink r:id="rId7">
              <w:r>
                <w:rPr>
                  <w:rStyle w:val="InternetLink"/>
                  <w:rFonts w:ascii="Times New Roman;sans-serif" w:hAnsi="Times New Roman;sans-serif"/>
                  <w:b w:val="false"/>
                  <w:color w:val="0000FF"/>
                  <w:sz w:val="20"/>
                  <w:u w:val="single"/>
                </w:rPr>
                <w:t>Tax Benefit Protection Plan Agreement by and between IES Holdings, Inc. and American Stock Transfer &amp; Trust Company, LLC, as Rights Agent, dated as of November 8, 2016, including the form of Rights Certificate and Summary of Stockholder Rights Plan attached thereto as Exhibits A and B, respectively. (Incorporated by reference to Exhibit 4.1 to the Company’s Current Report on Form 8-K filed on November 9, 2016)</w:t>
              </w:r>
            </w:hyperlink>
          </w:p>
        </w:tc>
      </w:tr>
      <w:tr>
        <w:trPr/>
        <w:tc>
          <w:tcPr>
            <w:tcW w:w="73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 —</w:t>
            </w:r>
          </w:p>
        </w:tc>
        <w:tc>
          <w:tcPr>
            <w:tcW w:w="980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q12021ex311.htm">
              <w:r>
                <w:rPr>
                  <w:rStyle w:val="InternetLink"/>
                  <w:rFonts w:ascii="Times New Roman;sans-serif" w:hAnsi="Times New Roman;sans-serif"/>
                  <w:b w:val="false"/>
                  <w:color w:val="0000FF"/>
                  <w:sz w:val="20"/>
                  <w:u w:val="single"/>
                </w:rPr>
                <w:t>Rule 13a-14(a)/15d-14(a) Certification of Jeffrey L. Gendell, Chief Executive Officer</w:t>
              </w:r>
            </w:hyperlink>
            <w:r>
              <w:rPr>
                <w:color w:val="000000"/>
              </w:rPr>
              <w:t xml:space="preserve"> </w:t>
            </w:r>
            <w:r>
              <w:rPr>
                <w:rFonts w:ascii="Times New Roman;sans-serif" w:hAnsi="Times New Roman;sans-serif"/>
                <w:b w:val="false"/>
                <w:color w:val="000000"/>
                <w:sz w:val="13"/>
              </w:rPr>
              <w:t>(1)</w:t>
            </w:r>
          </w:p>
        </w:tc>
      </w:tr>
      <w:tr>
        <w:trPr/>
        <w:tc>
          <w:tcPr>
            <w:tcW w:w="73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 —</w:t>
            </w:r>
          </w:p>
        </w:tc>
        <w:tc>
          <w:tcPr>
            <w:tcW w:w="980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q12021ex312.htm">
              <w:r>
                <w:rPr>
                  <w:rStyle w:val="InternetLink"/>
                  <w:rFonts w:ascii="Times New Roman;sans-serif" w:hAnsi="Times New Roman;sans-serif"/>
                  <w:b w:val="false"/>
                  <w:color w:val="0000FF"/>
                  <w:sz w:val="20"/>
                  <w:u w:val="single"/>
                </w:rPr>
                <w:t xml:space="preserve">Rule 13a-14(a)/15d-14(a) Certification of Tracy A. McLauchlin, Senior Vice President, Chief Financial Officer and Treasurer </w:t>
              </w:r>
            </w:hyperlink>
            <w:r>
              <w:rPr>
                <w:rFonts w:ascii="Times New Roman;sans-serif" w:hAnsi="Times New Roman;sans-serif"/>
                <w:b w:val="false"/>
                <w:color w:val="000000"/>
                <w:sz w:val="13"/>
              </w:rPr>
              <w:t>(1)</w:t>
            </w:r>
          </w:p>
        </w:tc>
      </w:tr>
      <w:tr>
        <w:trPr/>
        <w:tc>
          <w:tcPr>
            <w:tcW w:w="73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 —</w:t>
            </w:r>
          </w:p>
        </w:tc>
        <w:tc>
          <w:tcPr>
            <w:tcW w:w="980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q12021ex321.htm">
              <w:r>
                <w:rPr>
                  <w:rStyle w:val="InternetLink"/>
                  <w:rFonts w:ascii="Times New Roman;sans-serif" w:hAnsi="Times New Roman;sans-serif"/>
                  <w:b w:val="false"/>
                  <w:color w:val="0000FF"/>
                  <w:sz w:val="20"/>
                  <w:u w:val="single"/>
                </w:rPr>
                <w:t>Section 1350 Certification of Jeffrey L. Gendell, Chief Executive Officer</w:t>
              </w:r>
            </w:hyperlink>
            <w:r>
              <w:rPr>
                <w:color w:val="000000"/>
              </w:rPr>
              <w:t xml:space="preserve"> </w:t>
            </w:r>
            <w:r>
              <w:rPr>
                <w:rFonts w:ascii="Times New Roman;sans-serif" w:hAnsi="Times New Roman;sans-serif"/>
                <w:b w:val="false"/>
                <w:color w:val="000000"/>
                <w:sz w:val="13"/>
              </w:rPr>
              <w:t>(2)</w:t>
            </w:r>
          </w:p>
        </w:tc>
      </w:tr>
      <w:tr>
        <w:trPr/>
        <w:tc>
          <w:tcPr>
            <w:tcW w:w="73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 —</w:t>
            </w:r>
          </w:p>
        </w:tc>
        <w:tc>
          <w:tcPr>
            <w:tcW w:w="980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q12021ex322.htm">
              <w:r>
                <w:rPr>
                  <w:rStyle w:val="InternetLink"/>
                  <w:rFonts w:ascii="Times New Roman;sans-serif" w:hAnsi="Times New Roman;sans-serif"/>
                  <w:b w:val="false"/>
                  <w:color w:val="0000FF"/>
                  <w:sz w:val="20"/>
                  <w:u w:val="single"/>
                </w:rPr>
                <w:t>Section 1350 Certification of Tracy A. McLauchlin, Senior Vice President, Chief Financial Officer and Treasurer</w:t>
              </w:r>
            </w:hyperlink>
            <w:r>
              <w:rPr>
                <w:color w:val="000000"/>
              </w:rPr>
              <w:t xml:space="preserve"> </w:t>
            </w:r>
            <w:r>
              <w:rPr>
                <w:rFonts w:ascii="Times New Roman;sans-serif" w:hAnsi="Times New Roman;sans-serif"/>
                <w:b w:val="false"/>
                <w:color w:val="000000"/>
                <w:sz w:val="13"/>
              </w:rPr>
              <w:t>(2)</w:t>
            </w:r>
          </w:p>
        </w:tc>
      </w:tr>
      <w:tr>
        <w:trPr/>
        <w:tc>
          <w:tcPr>
            <w:tcW w:w="73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9804" w:type="dxa"/>
            <w:gridSpan w:val="3"/>
            <w:tcBorders/>
            <w:shd w:fill="FFFFFF" w:val="clear"/>
            <w:tcMar>
              <w:top w:w="0" w:type="dxa"/>
              <w:left w:w="0" w:type="dxa"/>
              <w:bottom w:w="0" w:type="dxa"/>
              <w:right w:w="0" w:type="dxa"/>
            </w:tcMar>
            <w:vAlign w:val="center"/>
          </w:tcPr>
          <w:p>
            <w:pPr>
              <w:pStyle w:val="TableContents"/>
              <w:spacing w:lineRule="auto" w:line="288" w:before="0" w:after="0"/>
              <w:jc w:val="both"/>
              <w:rPr/>
            </w:pPr>
            <w:r>
              <w:rPr>
                <w:rFonts w:ascii="Times New Roman;sans-serif" w:hAnsi="Times New Roman;sans-serif"/>
                <w:b w:val="false"/>
                <w:color w:val="000000"/>
                <w:sz w:val="20"/>
              </w:rPr>
              <w:t xml:space="preserve">Inline XBRL Instance Document - the instance document does not appear in the Interactive Data File because its XBRL tags are embedded within the Inline XBRL document </w:t>
            </w:r>
            <w:r>
              <w:rPr>
                <w:rFonts w:ascii="Times New Roman;sans-serif" w:hAnsi="Times New Roman;sans-serif"/>
                <w:b w:val="false"/>
                <w:color w:val="000000"/>
                <w:sz w:val="13"/>
              </w:rPr>
              <w:t>(1)</w:t>
            </w:r>
          </w:p>
        </w:tc>
      </w:tr>
      <w:tr>
        <w:trPr/>
        <w:tc>
          <w:tcPr>
            <w:tcW w:w="73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9804"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 xml:space="preserve">XBRL Schema Document </w:t>
            </w:r>
            <w:r>
              <w:rPr>
                <w:rFonts w:ascii="Times New Roman;sans-serif" w:hAnsi="Times New Roman;sans-serif"/>
                <w:b w:val="false"/>
                <w:color w:val="000000"/>
                <w:sz w:val="13"/>
              </w:rPr>
              <w:t>(1)</w:t>
            </w:r>
          </w:p>
        </w:tc>
      </w:tr>
      <w:tr>
        <w:trPr/>
        <w:tc>
          <w:tcPr>
            <w:tcW w:w="73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9804"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 xml:space="preserve">XBRL Label Linkbase Document </w:t>
            </w:r>
            <w:r>
              <w:rPr>
                <w:rFonts w:ascii="Times New Roman;sans-serif" w:hAnsi="Times New Roman;sans-serif"/>
                <w:b w:val="false"/>
                <w:color w:val="000000"/>
                <w:sz w:val="13"/>
              </w:rPr>
              <w:t>(1)</w:t>
            </w:r>
          </w:p>
        </w:tc>
      </w:tr>
      <w:tr>
        <w:trPr/>
        <w:tc>
          <w:tcPr>
            <w:tcW w:w="73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9804"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 xml:space="preserve">XBRL Presentation Linkbase Document </w:t>
            </w:r>
            <w:r>
              <w:rPr>
                <w:rFonts w:ascii="Times New Roman;sans-serif" w:hAnsi="Times New Roman;sans-serif"/>
                <w:b w:val="false"/>
                <w:color w:val="000000"/>
                <w:sz w:val="13"/>
              </w:rPr>
              <w:t>(1)</w:t>
            </w:r>
          </w:p>
        </w:tc>
      </w:tr>
      <w:tr>
        <w:trPr/>
        <w:tc>
          <w:tcPr>
            <w:tcW w:w="73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9804"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 xml:space="preserve">XBRL Definition Linkbase Document </w:t>
            </w:r>
            <w:r>
              <w:rPr>
                <w:rFonts w:ascii="Times New Roman;sans-serif" w:hAnsi="Times New Roman;sans-serif"/>
                <w:b w:val="false"/>
                <w:color w:val="000000"/>
                <w:sz w:val="13"/>
              </w:rPr>
              <w:t>(1)</w:t>
            </w:r>
          </w:p>
        </w:tc>
      </w:tr>
      <w:tr>
        <w:trPr/>
        <w:tc>
          <w:tcPr>
            <w:tcW w:w="73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9804"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r>
              <w:rPr>
                <w:rFonts w:ascii="Times New Roman;sans-serif" w:hAnsi="Times New Roman;sans-serif"/>
                <w:b w:val="false"/>
                <w:color w:val="000000"/>
                <w:sz w:val="20"/>
              </w:rPr>
              <w:t xml:space="preserve">XBRL Calculation Linkbase Document </w:t>
            </w:r>
            <w:r>
              <w:rPr>
                <w:rFonts w:ascii="Times New Roman;sans-serif" w:hAnsi="Times New Roman;sans-serif"/>
                <w:b w:val="false"/>
                <w:color w:val="000000"/>
                <w:sz w:val="13"/>
              </w:rPr>
              <w:t>(1)</w:t>
            </w:r>
          </w:p>
        </w:tc>
      </w:tr>
      <w:tr>
        <w:trPr/>
        <w:tc>
          <w:tcPr>
            <w:tcW w:w="73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8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interactive data file does not appear in the Interactive Data File because its XBRL tags are embedded within the Inline XBRL document</w:t>
            </w:r>
          </w:p>
        </w:tc>
      </w:tr>
      <w:tr>
        <w:trPr/>
        <w:tc>
          <w:tcPr>
            <w:tcW w:w="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73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r>
      <w:tr>
        <w:trPr/>
        <w:tc>
          <w:tcPr>
            <w:tcW w:w="73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 contract or compensatory plan or arrangement.</w:t>
            </w:r>
          </w:p>
        </w:tc>
      </w:tr>
    </w:tbl>
    <w:p>
      <w:pPr>
        <w:pStyle w:val="TextBody"/>
        <w:spacing w:before="0" w:after="0"/>
        <w:rPr/>
      </w:pPr>
      <w:r>
        <w:rPr/>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692265" cy="146685"/>
                <wp:effectExtent l="0" t="0" r="0" b="0"/>
                <wp:wrapNone/>
                <wp:docPr id="34" name="Frame33"/>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 on February 5, 2021.</w:t>
      </w:r>
    </w:p>
    <w:p>
      <w:pPr>
        <w:pStyle w:val="TextBody"/>
        <w:spacing w:before="0" w:after="0"/>
        <w:rPr/>
      </w:pPr>
      <w:r>
        <w:rPr/>
      </w:r>
    </w:p>
    <w:p>
      <w:pPr>
        <w:pStyle w:val="TextBody"/>
        <w:spacing w:before="0" w:after="0"/>
        <w:rPr/>
      </w:pPr>
      <w:r>
        <w:rPr/>
      </w:r>
    </w:p>
    <w:tbl>
      <w:tblPr>
        <w:tblW w:w="6263" w:type="dxa"/>
        <w:jc w:val="left"/>
        <w:tblInd w:w="0" w:type="dxa"/>
        <w:tblCellMar>
          <w:top w:w="28" w:type="dxa"/>
          <w:left w:w="28" w:type="dxa"/>
          <w:bottom w:w="28" w:type="dxa"/>
          <w:right w:w="28" w:type="dxa"/>
        </w:tblCellMar>
      </w:tblPr>
      <w:tblGrid>
        <w:gridCol w:w="124"/>
        <w:gridCol w:w="109"/>
        <w:gridCol w:w="109"/>
        <w:gridCol w:w="314"/>
        <w:gridCol w:w="314"/>
        <w:gridCol w:w="314"/>
        <w:gridCol w:w="1444"/>
        <w:gridCol w:w="1444"/>
        <w:gridCol w:w="209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1444" w:type="dxa"/>
            <w:tcBorders/>
            <w:shd w:fill="auto" w:val="clear"/>
            <w:vAlign w:val="center"/>
          </w:tcPr>
          <w:p>
            <w:pPr>
              <w:pStyle w:val="TableContents"/>
              <w:spacing w:before="0" w:after="283"/>
              <w:rPr>
                <w:sz w:val="4"/>
                <w:szCs w:val="4"/>
              </w:rPr>
            </w:pPr>
            <w:r>
              <w:rPr>
                <w:sz w:val="4"/>
                <w:szCs w:val="4"/>
              </w:rPr>
            </w:r>
          </w:p>
        </w:tc>
        <w:tc>
          <w:tcPr>
            <w:tcW w:w="1444" w:type="dxa"/>
            <w:tcBorders/>
            <w:shd w:fill="auto" w:val="clear"/>
            <w:vAlign w:val="center"/>
          </w:tcPr>
          <w:p>
            <w:pPr>
              <w:pStyle w:val="TableContents"/>
              <w:spacing w:before="0" w:after="283"/>
              <w:rPr>
                <w:sz w:val="4"/>
                <w:szCs w:val="4"/>
              </w:rPr>
            </w:pPr>
            <w:r>
              <w:rPr>
                <w:sz w:val="4"/>
                <w:szCs w:val="4"/>
              </w:rPr>
            </w:r>
          </w:p>
        </w:tc>
        <w:tc>
          <w:tcPr>
            <w:tcW w:w="209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1"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IES HOLDINGS, INC.</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9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TRACY A. MCLAUCHLIN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Tracy A. McLauchlin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Senior Vice President, Chief Financial Officer and Treasurer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and Authorized Signatory)</w:t>
            </w:r>
          </w:p>
        </w:tc>
      </w:tr>
    </w:tbl>
    <w:p>
      <w:pPr>
        <w:pStyle w:val="TextBody"/>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692265" cy="146685"/>
                <wp:effectExtent l="0" t="0" r="0" b="0"/>
                <wp:wrapNone/>
                <wp:docPr id="35" name="Frame34"/>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before="0" w:after="0"/>
        <w:rPr/>
      </w:pPr>
      <w:r>
        <w:rPr/>
      </w:r>
    </w:p>
    <w:p>
      <w:pPr>
        <w:pStyle w:val="TextBody"/>
        <w:spacing w:lineRule="auto" w:line="288" w:before="22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Jeffrey L. Gendell, certify that:</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1. I have reviewed this Quarterly Report on Form 10-Q of IES Holdings, Inc.;</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February 5, 2021 </w:t>
      </w:r>
    </w:p>
    <w:tbl>
      <w:tblPr>
        <w:tblW w:w="4871" w:type="dxa"/>
        <w:jc w:val="left"/>
        <w:tblInd w:w="0" w:type="dxa"/>
        <w:tblCellMar>
          <w:top w:w="28" w:type="dxa"/>
          <w:left w:w="28" w:type="dxa"/>
          <w:bottom w:w="28" w:type="dxa"/>
          <w:right w:w="28" w:type="dxa"/>
        </w:tblCellMar>
      </w:tblPr>
      <w:tblGrid>
        <w:gridCol w:w="124"/>
        <w:gridCol w:w="109"/>
        <w:gridCol w:w="109"/>
        <w:gridCol w:w="1325"/>
        <w:gridCol w:w="1325"/>
        <w:gridCol w:w="187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25" w:type="dxa"/>
            <w:tcBorders/>
            <w:shd w:fill="auto" w:val="clear"/>
            <w:vAlign w:val="center"/>
          </w:tcPr>
          <w:p>
            <w:pPr>
              <w:pStyle w:val="TableContents"/>
              <w:spacing w:before="0" w:after="283"/>
              <w:rPr>
                <w:sz w:val="4"/>
                <w:szCs w:val="4"/>
              </w:rPr>
            </w:pPr>
            <w:r>
              <w:rPr>
                <w:sz w:val="4"/>
                <w:szCs w:val="4"/>
              </w:rPr>
            </w:r>
          </w:p>
        </w:tc>
        <w:tc>
          <w:tcPr>
            <w:tcW w:w="1325" w:type="dxa"/>
            <w:tcBorders/>
            <w:shd w:fill="auto" w:val="clear"/>
            <w:vAlign w:val="center"/>
          </w:tcPr>
          <w:p>
            <w:pPr>
              <w:pStyle w:val="TableContents"/>
              <w:spacing w:before="0" w:after="283"/>
              <w:rPr>
                <w:sz w:val="4"/>
                <w:szCs w:val="4"/>
              </w:rPr>
            </w:pPr>
            <w:r>
              <w:rPr>
                <w:sz w:val="4"/>
                <w:szCs w:val="4"/>
              </w:rPr>
            </w:r>
          </w:p>
        </w:tc>
        <w:tc>
          <w:tcPr>
            <w:tcW w:w="187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r>
              <w:rPr>
                <w:rFonts w:ascii="Times New Roman;sans-serif" w:hAnsi="Times New Roman;sans-serif"/>
                <w:b w:val="false"/>
                <w:color w:val="000000"/>
                <w:sz w:val="20"/>
              </w:rPr>
              <w:t>/s/  </w:t>
            </w:r>
            <w:r>
              <w:rPr>
                <w:rFonts w:ascii="Times New Roman;sans-serif" w:hAnsi="Times New Roman;sans-serif"/>
                <w:b w:val="false"/>
                <w:color w:val="000000"/>
                <w:sz w:val="18"/>
              </w:rPr>
              <w:t>JEFFREY L. GENDELL</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Jeffrey L. Gendell</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as Principal Executive Officer</w:t>
            </w:r>
          </w:p>
          <w:p>
            <w:pPr>
              <w:pStyle w:val="TableContents"/>
              <w:spacing w:lineRule="auto" w:line="288" w:before="0" w:after="0"/>
              <w:jc w:val="center"/>
              <w:rPr>
                <w:color w:val="000000"/>
              </w:rPr>
            </w:pPr>
            <w:r>
              <w:rPr>
                <w:color w:val="000000"/>
              </w:rPr>
              <w:t> </w:t>
            </w:r>
          </w:p>
        </w:tc>
      </w:tr>
    </w:tbl>
    <w:p>
      <w:pPr>
        <w:pStyle w:val="TextBody"/>
        <w:spacing w:before="0" w:after="0"/>
        <w:rPr/>
      </w:pPr>
      <w:r>
        <w:rPr/>
      </w:r>
    </w:p>
    <w:p>
      <w:pPr>
        <w:pStyle w:val="TextBody"/>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692265" cy="175260"/>
                <wp:effectExtent l="0" t="0" r="0" b="0"/>
                <wp:wrapNone/>
                <wp:docPr id="36" name="Frame35"/>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6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Tracy A. McLauchlin, certify that:</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1. I have reviewed this Quarterly Report on Form 10-Q of IES Holdings, Inc.;</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140" w:after="283"/>
        <w:jc w:val="both"/>
        <w:rPr>
          <w:color w:val="000000"/>
        </w:rPr>
      </w:pPr>
      <w:r>
        <w:rPr>
          <w:color w:val="000000"/>
        </w:rPr>
        <w:t>     </w:t>
      </w: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February 5, 2021 </w:t>
      </w:r>
    </w:p>
    <w:tbl>
      <w:tblPr>
        <w:tblW w:w="5322" w:type="dxa"/>
        <w:jc w:val="left"/>
        <w:tblInd w:w="0" w:type="dxa"/>
        <w:tblCellMar>
          <w:top w:w="28" w:type="dxa"/>
          <w:left w:w="28" w:type="dxa"/>
          <w:bottom w:w="28" w:type="dxa"/>
          <w:right w:w="28" w:type="dxa"/>
        </w:tblCellMar>
      </w:tblPr>
      <w:tblGrid>
        <w:gridCol w:w="124"/>
        <w:gridCol w:w="109"/>
        <w:gridCol w:w="109"/>
        <w:gridCol w:w="1458"/>
        <w:gridCol w:w="1458"/>
        <w:gridCol w:w="206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8" w:type="dxa"/>
            <w:tcBorders/>
            <w:shd w:fill="auto" w:val="clear"/>
            <w:vAlign w:val="center"/>
          </w:tcPr>
          <w:p>
            <w:pPr>
              <w:pStyle w:val="TableContents"/>
              <w:spacing w:before="0" w:after="283"/>
              <w:rPr>
                <w:sz w:val="4"/>
                <w:szCs w:val="4"/>
              </w:rPr>
            </w:pPr>
            <w:r>
              <w:rPr>
                <w:sz w:val="4"/>
                <w:szCs w:val="4"/>
              </w:rPr>
            </w:r>
          </w:p>
        </w:tc>
        <w:tc>
          <w:tcPr>
            <w:tcW w:w="1458" w:type="dxa"/>
            <w:tcBorders/>
            <w:shd w:fill="auto" w:val="clear"/>
            <w:vAlign w:val="center"/>
          </w:tcPr>
          <w:p>
            <w:pPr>
              <w:pStyle w:val="TableContents"/>
              <w:spacing w:before="0" w:after="283"/>
              <w:rPr>
                <w:sz w:val="4"/>
                <w:szCs w:val="4"/>
              </w:rPr>
            </w:pPr>
            <w:r>
              <w:rPr>
                <w:sz w:val="4"/>
                <w:szCs w:val="4"/>
              </w:rPr>
            </w:r>
          </w:p>
        </w:tc>
        <w:tc>
          <w:tcPr>
            <w:tcW w:w="206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TRACY A. MCLAUCHLIN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Tracy A. McLauchlin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0"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Senior Vice President, Chief Financial Officer and Treasurer</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Principal Financial Officer</w:t>
            </w:r>
          </w:p>
          <w:p>
            <w:pPr>
              <w:pStyle w:val="TableContents"/>
              <w:spacing w:lineRule="auto" w:line="288" w:before="0" w:after="0"/>
              <w:jc w:val="center"/>
              <w:rPr>
                <w:color w:val="000000"/>
              </w:rPr>
            </w:pPr>
            <w:r>
              <w:rPr>
                <w:color w:val="000000"/>
              </w:rPr>
              <w:t> </w:t>
            </w:r>
          </w:p>
        </w:tc>
      </w:tr>
    </w:tbl>
    <w:p>
      <w:pPr>
        <w:pStyle w:val="TextBody"/>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692265" cy="175260"/>
                <wp:effectExtent l="0" t="0" r="0" b="0"/>
                <wp:wrapNone/>
                <wp:docPr id="37" name="Frame36"/>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2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lineRule="auto" w:line="288" w:before="22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spacing w:lineRule="auto" w:line="288" w:before="20" w:after="283"/>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this Quarterly Report of IES Holdings, Inc. (the “Company”) on Form 10-Q for the period ending December 31, 2020 (the “Report”), I, Jeffrey L. Gendell, Chief Executive Officer of the Company, certify, pursuant to 18 U.S.C. § 1350, as adopted pursuant to § 906 of the Sarbanes-Oxley Act of 2002, that:</w:t>
      </w:r>
    </w:p>
    <w:p>
      <w:pPr>
        <w:pStyle w:val="TextBody"/>
        <w:spacing w:before="140" w:after="283"/>
        <w:jc w:val="both"/>
        <w:rPr/>
      </w:pPr>
      <w:r>
        <w:rPr/>
      </w:r>
    </w:p>
    <w:p>
      <w:pPr>
        <w:pStyle w:val="TextBody"/>
        <w:spacing w:lineRule="auto" w:line="288" w:before="1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spacing w:lineRule="auto" w:line="288" w:before="1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spacing w:before="140" w:after="283"/>
        <w:jc w:val="both"/>
        <w:rPr/>
      </w:pPr>
      <w:r>
        <w:rPr/>
      </w:r>
    </w:p>
    <w:p>
      <w:pPr>
        <w:pStyle w:val="TextBody"/>
        <w:spacing w:before="0" w:after="0"/>
        <w:ind w:left="0" w:right="0" w:firstLine="720"/>
        <w:jc w:val="both"/>
        <w:rPr/>
      </w:pPr>
      <w:r>
        <w:rPr/>
      </w:r>
    </w:p>
    <w:tbl>
      <w:tblPr>
        <w:tblW w:w="6967" w:type="dxa"/>
        <w:jc w:val="left"/>
        <w:tblInd w:w="0" w:type="dxa"/>
        <w:tblCellMar>
          <w:top w:w="28" w:type="dxa"/>
          <w:left w:w="28" w:type="dxa"/>
          <w:bottom w:w="28" w:type="dxa"/>
          <w:right w:w="28" w:type="dxa"/>
        </w:tblCellMar>
      </w:tblPr>
      <w:tblGrid>
        <w:gridCol w:w="246"/>
        <w:gridCol w:w="216"/>
        <w:gridCol w:w="216"/>
        <w:gridCol w:w="216"/>
        <w:gridCol w:w="216"/>
        <w:gridCol w:w="216"/>
        <w:gridCol w:w="216"/>
        <w:gridCol w:w="216"/>
        <w:gridCol w:w="216"/>
        <w:gridCol w:w="134"/>
        <w:gridCol w:w="134"/>
        <w:gridCol w:w="136"/>
        <w:gridCol w:w="1342"/>
        <w:gridCol w:w="1342"/>
        <w:gridCol w:w="1905"/>
      </w:tblGrid>
      <w:tr>
        <w:trPr/>
        <w:tc>
          <w:tcPr>
            <w:tcW w:w="24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42" w:type="dxa"/>
            <w:tcBorders/>
            <w:shd w:fill="auto" w:val="clear"/>
            <w:vAlign w:val="center"/>
          </w:tcPr>
          <w:p>
            <w:pPr>
              <w:pStyle w:val="TableContents"/>
              <w:spacing w:before="0" w:after="283"/>
              <w:rPr>
                <w:sz w:val="4"/>
                <w:szCs w:val="4"/>
              </w:rPr>
            </w:pPr>
            <w:r>
              <w:rPr>
                <w:sz w:val="4"/>
                <w:szCs w:val="4"/>
              </w:rPr>
            </w:r>
          </w:p>
        </w:tc>
        <w:tc>
          <w:tcPr>
            <w:tcW w:w="1342" w:type="dxa"/>
            <w:tcBorders/>
            <w:shd w:fill="auto" w:val="clear"/>
            <w:vAlign w:val="center"/>
          </w:tcPr>
          <w:p>
            <w:pPr>
              <w:pStyle w:val="TableContents"/>
              <w:spacing w:before="0" w:after="283"/>
              <w:rPr>
                <w:sz w:val="4"/>
                <w:szCs w:val="4"/>
              </w:rPr>
            </w:pPr>
            <w:r>
              <w:rPr>
                <w:sz w:val="4"/>
                <w:szCs w:val="4"/>
              </w:rPr>
            </w:r>
          </w:p>
        </w:tc>
        <w:tc>
          <w:tcPr>
            <w:tcW w:w="1905" w:type="dxa"/>
            <w:tcBorders/>
            <w:shd w:fill="auto" w:val="clear"/>
            <w:vAlign w:val="center"/>
          </w:tcPr>
          <w:p>
            <w:pPr>
              <w:pStyle w:val="TableContents"/>
              <w:spacing w:before="0" w:after="283"/>
              <w:rPr>
                <w:sz w:val="4"/>
                <w:szCs w:val="4"/>
              </w:rPr>
            </w:pPr>
            <w:r>
              <w:rPr>
                <w:sz w:val="4"/>
                <w:szCs w:val="4"/>
              </w:rPr>
            </w:r>
          </w:p>
        </w:tc>
      </w:tr>
      <w:tr>
        <w:trPr/>
        <w:tc>
          <w:tcPr>
            <w:tcW w:w="1974"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5, 2021</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5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JEFFREY L. GENDELL</w:t>
            </w:r>
          </w:p>
        </w:tc>
      </w:tr>
      <w:tr>
        <w:trPr/>
        <w:tc>
          <w:tcPr>
            <w:tcW w:w="1974"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Jeffrey L. Gendell</w:t>
            </w:r>
          </w:p>
        </w:tc>
      </w:tr>
      <w:tr>
        <w:trPr/>
        <w:tc>
          <w:tcPr>
            <w:tcW w:w="1974"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8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color w:val="000000"/>
              </w:rPr>
            </w:pPr>
            <w:r>
              <w:rPr>
                <w:color w:val="000000"/>
              </w:rPr>
              <w:t> </w:t>
            </w:r>
            <w:r>
              <w:rPr>
                <w:rFonts w:ascii="Times New Roman;sans-serif" w:hAnsi="Times New Roman;sans-serif"/>
                <w:b w:val="false"/>
                <w:color w:val="000000"/>
                <w:sz w:val="20"/>
              </w:rPr>
              <w:t>Chief Executive Officer as Principal Executive Officer</w:t>
            </w:r>
          </w:p>
          <w:p>
            <w:pPr>
              <w:pStyle w:val="TableContents"/>
              <w:spacing w:before="0" w:after="0"/>
              <w:jc w:val="center"/>
              <w:rPr/>
            </w:pPr>
            <w:r>
              <w:rPr/>
            </w:r>
          </w:p>
        </w:tc>
      </w:tr>
      <w:tr>
        <w:trPr/>
        <w:tc>
          <w:tcPr>
            <w:tcW w:w="678" w:type="dxa"/>
            <w:gridSpan w:val="3"/>
            <w:tcBorders/>
            <w:shd w:fill="auto" w:val="clear"/>
            <w:vAlign w:val="center"/>
          </w:tcPr>
          <w:p>
            <w:pPr>
              <w:pStyle w:val="TableContents"/>
              <w:spacing w:before="0" w:after="283"/>
              <w:rPr>
                <w:sz w:val="4"/>
                <w:szCs w:val="4"/>
              </w:rPr>
            </w:pPr>
            <w:r>
              <w:rPr>
                <w:sz w:val="4"/>
                <w:szCs w:val="4"/>
              </w:rPr>
            </w:r>
          </w:p>
        </w:tc>
        <w:tc>
          <w:tcPr>
            <w:tcW w:w="648" w:type="dxa"/>
            <w:gridSpan w:val="3"/>
            <w:tcBorders/>
            <w:shd w:fill="auto" w:val="clear"/>
            <w:vAlign w:val="center"/>
          </w:tcPr>
          <w:p>
            <w:pPr>
              <w:pStyle w:val="TableContents"/>
              <w:spacing w:before="0" w:after="283"/>
              <w:rPr>
                <w:sz w:val="4"/>
                <w:szCs w:val="4"/>
              </w:rPr>
            </w:pPr>
            <w:r>
              <w:rPr>
                <w:sz w:val="4"/>
                <w:szCs w:val="4"/>
              </w:rPr>
            </w:r>
          </w:p>
        </w:tc>
        <w:tc>
          <w:tcPr>
            <w:tcW w:w="648" w:type="dxa"/>
            <w:gridSpan w:val="3"/>
            <w:tcBorders/>
            <w:shd w:fill="auto" w:val="clear"/>
            <w:vAlign w:val="center"/>
          </w:tcPr>
          <w:p>
            <w:pPr>
              <w:pStyle w:val="TableContents"/>
              <w:spacing w:before="0" w:after="283"/>
              <w:rPr>
                <w:sz w:val="4"/>
                <w:szCs w:val="4"/>
              </w:rPr>
            </w:pPr>
            <w:r>
              <w:rPr>
                <w:sz w:val="4"/>
                <w:szCs w:val="4"/>
              </w:rPr>
            </w:r>
          </w:p>
        </w:tc>
        <w:tc>
          <w:tcPr>
            <w:tcW w:w="404" w:type="dxa"/>
            <w:gridSpan w:val="3"/>
            <w:tcBorders/>
            <w:shd w:fill="auto" w:val="clear"/>
            <w:vAlign w:val="center"/>
          </w:tcPr>
          <w:p>
            <w:pPr>
              <w:pStyle w:val="TableContents"/>
              <w:spacing w:before="0" w:after="283"/>
              <w:rPr>
                <w:sz w:val="4"/>
                <w:szCs w:val="4"/>
              </w:rPr>
            </w:pPr>
            <w:r>
              <w:rPr>
                <w:sz w:val="4"/>
                <w:szCs w:val="4"/>
              </w:rPr>
            </w:r>
          </w:p>
        </w:tc>
        <w:tc>
          <w:tcPr>
            <w:tcW w:w="458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692265" cy="175260"/>
                <wp:effectExtent l="0" t="0" r="0" b="0"/>
                <wp:wrapNone/>
                <wp:docPr id="38" name="Frame37"/>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20" w:after="283"/>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spacing w:lineRule="auto" w:line="288" w:before="22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this Quarterly Report of IES Holdings, Inc. (the “Company”) on Form 10-Q for the period ending December 31, 2020 (the “Report”), I, Tracy A. McLauchlin, Senior Vice President, Chief Financial Officer and Treasurer of the Company, certify, pursuant to 18 U.S.C. § 1350, as adopted pursuant to § 906 of the Sarbanes-Oxley Act of 2002, that:</w:t>
      </w:r>
    </w:p>
    <w:p>
      <w:pPr>
        <w:pStyle w:val="TextBody"/>
        <w:spacing w:before="140" w:after="283"/>
        <w:jc w:val="both"/>
        <w:rPr/>
      </w:pPr>
      <w:r>
        <w:rPr/>
      </w:r>
    </w:p>
    <w:p>
      <w:pPr>
        <w:pStyle w:val="TextBody"/>
        <w:spacing w:lineRule="auto" w:line="288" w:before="1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spacing w:lineRule="auto" w:line="288" w:before="1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spacing w:before="0" w:after="0"/>
        <w:ind w:left="0" w:right="0" w:firstLine="720"/>
        <w:jc w:val="both"/>
        <w:rPr/>
      </w:pPr>
      <w:r>
        <w:rPr/>
      </w:r>
    </w:p>
    <w:tbl>
      <w:tblPr>
        <w:tblW w:w="7362" w:type="dxa"/>
        <w:jc w:val="left"/>
        <w:tblInd w:w="0" w:type="dxa"/>
        <w:tblCellMar>
          <w:top w:w="28" w:type="dxa"/>
          <w:left w:w="28" w:type="dxa"/>
          <w:bottom w:w="28" w:type="dxa"/>
          <w:right w:w="28" w:type="dxa"/>
        </w:tblCellMar>
      </w:tblPr>
      <w:tblGrid>
        <w:gridCol w:w="185"/>
        <w:gridCol w:w="163"/>
        <w:gridCol w:w="163"/>
        <w:gridCol w:w="163"/>
        <w:gridCol w:w="163"/>
        <w:gridCol w:w="163"/>
        <w:gridCol w:w="163"/>
        <w:gridCol w:w="163"/>
        <w:gridCol w:w="163"/>
        <w:gridCol w:w="163"/>
        <w:gridCol w:w="163"/>
        <w:gridCol w:w="163"/>
        <w:gridCol w:w="134"/>
        <w:gridCol w:w="134"/>
        <w:gridCol w:w="136"/>
        <w:gridCol w:w="774"/>
        <w:gridCol w:w="774"/>
        <w:gridCol w:w="774"/>
        <w:gridCol w:w="774"/>
        <w:gridCol w:w="774"/>
        <w:gridCol w:w="1110"/>
      </w:tblGrid>
      <w:tr>
        <w:trPr/>
        <w:tc>
          <w:tcPr>
            <w:tcW w:w="185"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r>
      <w:tr>
        <w:trPr/>
        <w:tc>
          <w:tcPr>
            <w:tcW w:w="1978" w:type="dxa"/>
            <w:gridSpan w:val="12"/>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5, 2021</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980" w:type="dxa"/>
            <w:gridSpan w:val="6"/>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TRACY A. MCLAUCHLIN</w:t>
            </w:r>
          </w:p>
        </w:tc>
      </w:tr>
      <w:tr>
        <w:trPr/>
        <w:tc>
          <w:tcPr>
            <w:tcW w:w="1978" w:type="dxa"/>
            <w:gridSpan w:val="12"/>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0"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Tracy A. McLauchlin</w:t>
            </w:r>
          </w:p>
        </w:tc>
      </w:tr>
      <w:tr>
        <w:trPr/>
        <w:tc>
          <w:tcPr>
            <w:tcW w:w="1978" w:type="dxa"/>
            <w:gridSpan w:val="12"/>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80" w:type="dxa"/>
            <w:gridSpan w:val="6"/>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Senior Vice President, Chief Financial Officer and Treasurer</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Principal Financial Officer</w:t>
            </w:r>
          </w:p>
        </w:tc>
      </w:tr>
      <w:tr>
        <w:trPr/>
        <w:tc>
          <w:tcPr>
            <w:tcW w:w="511" w:type="dxa"/>
            <w:gridSpan w:val="3"/>
            <w:tcBorders/>
            <w:shd w:fill="auto" w:val="clear"/>
            <w:vAlign w:val="center"/>
          </w:tcPr>
          <w:p>
            <w:pPr>
              <w:pStyle w:val="TableContents"/>
              <w:spacing w:before="0" w:after="283"/>
              <w:rPr>
                <w:sz w:val="4"/>
                <w:szCs w:val="4"/>
              </w:rPr>
            </w:pPr>
            <w:r>
              <w:rPr>
                <w:sz w:val="4"/>
                <w:szCs w:val="4"/>
              </w:rPr>
            </w:r>
          </w:p>
        </w:tc>
        <w:tc>
          <w:tcPr>
            <w:tcW w:w="489" w:type="dxa"/>
            <w:gridSpan w:val="3"/>
            <w:tcBorders/>
            <w:shd w:fill="auto" w:val="clear"/>
            <w:vAlign w:val="center"/>
          </w:tcPr>
          <w:p>
            <w:pPr>
              <w:pStyle w:val="TableContents"/>
              <w:spacing w:before="0" w:after="283"/>
              <w:rPr>
                <w:sz w:val="4"/>
                <w:szCs w:val="4"/>
              </w:rPr>
            </w:pPr>
            <w:r>
              <w:rPr>
                <w:sz w:val="4"/>
                <w:szCs w:val="4"/>
              </w:rPr>
            </w:r>
          </w:p>
        </w:tc>
        <w:tc>
          <w:tcPr>
            <w:tcW w:w="489" w:type="dxa"/>
            <w:gridSpan w:val="3"/>
            <w:tcBorders/>
            <w:shd w:fill="auto" w:val="clear"/>
            <w:vAlign w:val="center"/>
          </w:tcPr>
          <w:p>
            <w:pPr>
              <w:pStyle w:val="TableContents"/>
              <w:spacing w:before="0" w:after="283"/>
              <w:rPr>
                <w:sz w:val="4"/>
                <w:szCs w:val="4"/>
              </w:rPr>
            </w:pPr>
            <w:r>
              <w:rPr>
                <w:sz w:val="4"/>
                <w:szCs w:val="4"/>
              </w:rPr>
            </w:r>
          </w:p>
        </w:tc>
        <w:tc>
          <w:tcPr>
            <w:tcW w:w="489" w:type="dxa"/>
            <w:gridSpan w:val="3"/>
            <w:tcBorders/>
            <w:shd w:fill="auto" w:val="clear"/>
            <w:vAlign w:val="center"/>
          </w:tcPr>
          <w:p>
            <w:pPr>
              <w:pStyle w:val="TableContents"/>
              <w:spacing w:before="0" w:after="283"/>
              <w:rPr>
                <w:sz w:val="4"/>
                <w:szCs w:val="4"/>
              </w:rPr>
            </w:pPr>
            <w:r>
              <w:rPr>
                <w:sz w:val="4"/>
                <w:szCs w:val="4"/>
              </w:rPr>
            </w:r>
          </w:p>
        </w:tc>
        <w:tc>
          <w:tcPr>
            <w:tcW w:w="404" w:type="dxa"/>
            <w:gridSpan w:val="3"/>
            <w:tcBorders/>
            <w:shd w:fill="auto" w:val="clear"/>
            <w:vAlign w:val="center"/>
          </w:tcPr>
          <w:p>
            <w:pPr>
              <w:pStyle w:val="TableContents"/>
              <w:spacing w:before="0" w:after="283"/>
              <w:rPr>
                <w:sz w:val="4"/>
                <w:szCs w:val="4"/>
              </w:rPr>
            </w:pPr>
            <w:r>
              <w:rPr>
                <w:sz w:val="4"/>
                <w:szCs w:val="4"/>
              </w:rPr>
            </w:r>
          </w:p>
        </w:tc>
        <w:tc>
          <w:tcPr>
            <w:tcW w:w="2322" w:type="dxa"/>
            <w:gridSpan w:val="3"/>
            <w:tcBorders/>
            <w:shd w:fill="auto" w:val="clear"/>
            <w:vAlign w:val="center"/>
          </w:tcPr>
          <w:p>
            <w:pPr>
              <w:pStyle w:val="TableContents"/>
              <w:spacing w:before="0" w:after="283"/>
              <w:rPr>
                <w:sz w:val="4"/>
                <w:szCs w:val="4"/>
              </w:rPr>
            </w:pPr>
            <w:r>
              <w:rPr>
                <w:sz w:val="4"/>
                <w:szCs w:val="4"/>
              </w:rPr>
            </w:r>
          </w:p>
        </w:tc>
        <w:tc>
          <w:tcPr>
            <w:tcW w:w="2658"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692265" cy="175260"/>
                <wp:effectExtent l="0" t="0" r="0" b="0"/>
                <wp:wrapNone/>
                <wp:docPr id="39" name="Frame38"/>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2240" w:h="15840"/>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hyperlink" Target="http://www.sec.gov/Archives/edgar/data/1048268/000119312516674386/d211495dex31.htm" TargetMode="External"/><Relationship Id="rId4" Type="http://schemas.openxmlformats.org/officeDocument/2006/relationships/hyperlink" Target="http://www.sec.gov/Archives/edgar/data/1048268/000119312513026383/d474722dex31.htm" TargetMode="External"/><Relationship Id="rId5" Type="http://schemas.openxmlformats.org/officeDocument/2006/relationships/hyperlink" Target="https://www.sec.gov/Archives/edgar/data/1048268/000119312519287851/d823445d8k.htm" TargetMode="External"/><Relationship Id="rId6" Type="http://schemas.openxmlformats.org/officeDocument/2006/relationships/hyperlink" Target="http://www.sec.gov/Archives/edgar/data/1048268/000119312516789187/d310826dex41.htm" TargetMode="External"/><Relationship Id="rId7" Type="http://schemas.openxmlformats.org/officeDocument/2006/relationships/hyperlink" Target="http://www.sec.gov/Archives/edgar/data/1048268/000119312516763155/d487615dex41.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17601</Words>
  <CharactersWithSpaces>114461</CharactersWithSpaces>
  <Paragraphs>2023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