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514" w:type="dxa"/>
        <w:jc w:val="center"/>
        <w:tblInd w:w="0" w:type="dxa"/>
        <w:tblLayout w:type="fixed"/>
        <w:tblCellMar>
          <w:top w:w="28" w:type="dxa"/>
          <w:left w:w="28" w:type="dxa"/>
          <w:bottom w:w="28" w:type="dxa"/>
          <w:right w:w="28" w:type="dxa"/>
        </w:tblCellMar>
      </w:tblPr>
      <w:tblGrid>
        <w:gridCol w:w="315"/>
        <w:gridCol w:w="277"/>
        <w:gridCol w:w="278"/>
        <w:gridCol w:w="188"/>
        <w:gridCol w:w="188"/>
        <w:gridCol w:w="26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20" w:after="283"/>
              <w:jc w:val="right"/>
              <w:rPr>
                <w:rFonts w:ascii="Times New Roman;serif" w:hAnsi="Times New Roman;serif"/>
                <w:b/>
                <w:color w:val="000000"/>
                <w:sz w:val="22"/>
              </w:rPr>
            </w:pPr>
            <w:r>
              <w:rPr>
                <w:rFonts w:ascii="Times New Roman;serif" w:hAnsi="Times New Roman;serif"/>
                <w:b/>
                <w:color w:val="000000"/>
                <w:sz w:val="22"/>
              </w:rPr>
              <w:t xml:space="preserve">FORM </w:t>
            </w:r>
          </w:p>
        </w:tc>
        <w:tc>
          <w:tcPr>
            <w:tcW w:w="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20" w:after="283"/>
              <w:jc w:val="left"/>
              <w:rPr>
                <w:rFonts w:ascii="Times New Roman;serif" w:hAnsi="Times New Roman;serif"/>
                <w:b/>
                <w:color w:val="000000"/>
                <w:sz w:val="22"/>
              </w:rPr>
            </w:pPr>
            <w:r>
              <w:rPr>
                <w:rFonts w:ascii="Times New Roman;serif" w:hAnsi="Times New Roman;serif"/>
                <w:b/>
                <w:color w:val="000000"/>
                <w:sz w:val="22"/>
              </w:rPr>
              <w:t>10-Q</w:t>
            </w:r>
          </w:p>
        </w:tc>
      </w:tr>
    </w:tbl>
    <w:tbl>
      <w:tblPr>
        <w:tblW w:w="10205" w:type="dxa"/>
        <w:jc w:val="center"/>
        <w:tblInd w:w="0" w:type="dxa"/>
        <w:tblLayout w:type="fixed"/>
        <w:tblCellMar>
          <w:top w:w="28" w:type="dxa"/>
          <w:left w:w="28" w:type="dxa"/>
          <w:bottom w:w="28" w:type="dxa"/>
          <w:right w:w="28" w:type="dxa"/>
        </w:tblCellMar>
      </w:tblPr>
      <w:tblGrid>
        <w:gridCol w:w="127"/>
        <w:gridCol w:w="112"/>
        <w:gridCol w:w="112"/>
        <w:gridCol w:w="1533"/>
        <w:gridCol w:w="1533"/>
        <w:gridCol w:w="1533"/>
        <w:gridCol w:w="1533"/>
        <w:gridCol w:w="1533"/>
        <w:gridCol w:w="2189"/>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4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For the quarterly period ended</w:t>
            </w:r>
          </w:p>
        </w:tc>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22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tc>
      </w:tr>
    </w:tbl>
    <w:tbl>
      <w:tblPr>
        <w:tblW w:w="2984" w:type="dxa"/>
        <w:jc w:val="center"/>
        <w:tblInd w:w="0" w:type="dxa"/>
        <w:tblLayout w:type="fixed"/>
        <w:tblCellMar>
          <w:top w:w="28" w:type="dxa"/>
          <w:left w:w="28" w:type="dxa"/>
          <w:bottom w:w="28" w:type="dxa"/>
          <w:right w:w="28" w:type="dxa"/>
        </w:tblCellMar>
      </w:tblPr>
      <w:tblGrid>
        <w:gridCol w:w="743"/>
        <w:gridCol w:w="654"/>
        <w:gridCol w:w="658"/>
        <w:gridCol w:w="272"/>
        <w:gridCol w:w="272"/>
        <w:gridCol w:w="385"/>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20" w:after="283"/>
              <w:jc w:val="right"/>
              <w:rPr>
                <w:rFonts w:ascii="Times New Roman;serif" w:hAnsi="Times New Roman;serif"/>
                <w:b/>
                <w:color w:val="000000"/>
                <w:sz w:val="18"/>
              </w:rPr>
            </w:pPr>
            <w:r>
              <w:rPr>
                <w:rFonts w:ascii="Times New Roman;serif" w:hAnsi="Times New Roman;serif"/>
                <w:b/>
                <w:color w:val="000000"/>
                <w:sz w:val="18"/>
              </w:rPr>
              <w:t xml:space="preserve">Commission file number </w:t>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20" w:after="283"/>
              <w:jc w:val="left"/>
              <w:rPr>
                <w:rFonts w:ascii="Times New Roman;serif" w:hAnsi="Times New Roman;serif"/>
                <w:b/>
                <w:color w:val="000000"/>
                <w:sz w:val="18"/>
              </w:rPr>
            </w:pPr>
            <w:r>
              <w:rPr>
                <w:rFonts w:ascii="Times New Roman;serif" w:hAnsi="Times New Roman;serif"/>
                <w:b/>
                <w:color w:val="000000"/>
                <w:sz w:val="18"/>
              </w:rPr>
              <w:t>001-13783</w:t>
            </w:r>
          </w:p>
        </w:tc>
      </w:tr>
    </w:tbl>
    <w:p>
      <w:pPr>
        <w:pStyle w:val="TextBody"/>
        <w:bidi w:val="0"/>
        <w:spacing w:before="60" w:after="283"/>
        <w:jc w:val="center"/>
        <w:rPr/>
      </w:pPr>
      <w:r>
        <w:rPr/>
        <w:drawing>
          <wp:inline distT="0" distB="0" distL="0" distR="0">
            <wp:extent cx="1238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IES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220" w:after="283"/>
              <w:jc w:val="center"/>
              <w:rPr/>
            </w:pPr>
            <w:r>
              <w:rPr/>
            </w:r>
          </w:p>
          <w:p>
            <w:pPr>
              <w:pStyle w:val="TableContents"/>
              <w:bidi w:val="0"/>
              <w:spacing w:before="220" w:after="283"/>
              <w:jc w:val="center"/>
              <w:rPr/>
            </w:pPr>
            <w:r>
              <w:rPr/>
            </w:r>
          </w:p>
          <w:p>
            <w:pPr>
              <w:pStyle w:val="TableContents"/>
              <w:bidi w:val="0"/>
              <w:spacing w:before="0" w:after="0"/>
              <w:jc w:val="center"/>
              <w:rPr/>
            </w:pPr>
            <w:r>
              <w:rPr/>
            </w:r>
          </w:p>
        </w:tc>
      </w:tr>
    </w:tbl>
    <w:tbl>
      <w:tblPr>
        <w:tblW w:w="3855" w:type="dxa"/>
        <w:jc w:val="center"/>
        <w:tblInd w:w="0" w:type="dxa"/>
        <w:tblLayout w:type="fixed"/>
        <w:tblCellMar>
          <w:top w:w="28" w:type="dxa"/>
          <w:left w:w="28" w:type="dxa"/>
          <w:bottom w:w="28" w:type="dxa"/>
          <w:right w:w="28" w:type="dxa"/>
        </w:tblCellMar>
      </w:tblPr>
      <w:tblGrid>
        <w:gridCol w:w="854"/>
        <w:gridCol w:w="754"/>
        <w:gridCol w:w="762"/>
        <w:gridCol w:w="434"/>
        <w:gridCol w:w="434"/>
        <w:gridCol w:w="617"/>
      </w:tblGrid>
      <w:tr>
        <w:trPr/>
        <w:tc>
          <w:tcPr>
            <w:tcW w:w="8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76-0542208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13131 Dairy Ashford Rd., Suite 500, Sugar Land, Texas 77478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pPr>
      <w:r>
        <w:rPr>
          <w:rFonts w:ascii="Times New Roman;serif" w:hAnsi="Times New Roman;serif"/>
          <w:b/>
          <w:color w:val="000000"/>
          <w:sz w:val="18"/>
        </w:rPr>
        <w:t>Registrant’s telephone number, including area code:</w:t>
      </w:r>
      <w:r>
        <w:rPr>
          <w:color w:val="000000"/>
        </w:rPr>
        <w:t xml:space="preserve"> </w:t>
      </w:r>
      <w:r>
        <w:rPr>
          <w:rFonts w:ascii="Times New Roman;serif" w:hAnsi="Times New Roman;serif"/>
          <w:b/>
          <w:color w:val="000000"/>
          <w:sz w:val="18"/>
        </w:rPr>
        <w:t xml:space="preserve">(713) 860-1500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141" w:type="dxa"/>
        <w:jc w:val="center"/>
        <w:tblInd w:w="0" w:type="dxa"/>
        <w:tblLayout w:type="fixed"/>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IESC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220" w:after="283"/>
              <w:jc w:val="center"/>
              <w:rPr/>
            </w:pPr>
            <w:r>
              <w:rPr/>
            </w:r>
          </w:p>
        </w:tc>
      </w:tr>
    </w:tbl>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July 31, 2025, there were 19,854,463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26"/>
        <w:gridCol w:w="287"/>
        <w:gridCol w:w="287"/>
        <w:gridCol w:w="365"/>
        <w:gridCol w:w="321"/>
        <w:gridCol w:w="321"/>
        <w:gridCol w:w="2574"/>
        <w:gridCol w:w="2521"/>
        <w:gridCol w:w="2627"/>
        <w:gridCol w:w="167"/>
        <w:gridCol w:w="167"/>
        <w:gridCol w:w="24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29"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64f6bef389d490989ad8e46ec3c22ba_10">
              <w:r>
                <w:rPr>
                  <w:rStyle w:val="InternetLink"/>
                  <w:rFonts w:ascii="Times New Roman;serif" w:hAnsi="Times New Roman;serif"/>
                  <w:b w:val="false"/>
                  <w:color w:val="0000FF"/>
                  <w:sz w:val="20"/>
                  <w:u w:val="single"/>
                </w:rPr>
                <w:t>PART I. FINANCIAL INFORMATION</w:t>
              </w:r>
            </w:hyperlink>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3">
              <w:r>
                <w:rPr>
                  <w:rStyle w:val="InternetLink"/>
                  <w:rFonts w:ascii="Times New Roman;serif" w:hAnsi="Times New Roman;serif"/>
                  <w:b w:val="false"/>
                  <w:color w:val="0000FF"/>
                  <w:sz w:val="20"/>
                  <w:u w:val="single"/>
                </w:rPr>
                <w:t>Item 1. Financial Statements</w:t>
              </w:r>
            </w:hyperlink>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6">
              <w:r>
                <w:rPr>
                  <w:rStyle w:val="InternetLink"/>
                  <w:rFonts w:ascii="Times New Roman;serif" w:hAnsi="Times New Roman;serif"/>
                  <w:b w:val="false"/>
                  <w:color w:val="000080"/>
                  <w:sz w:val="20"/>
                  <w:u w:val="single"/>
                </w:rPr>
                <w:t xml:space="preserve">Condensed Consolidated Balance Sheets as of </w:t>
              </w:r>
            </w:hyperlink>
            <w:hyperlink w:anchor="ia64f6bef389d490989ad8e46ec3c22ba_16">
              <w:r>
                <w:rPr>
                  <w:rStyle w:val="InternetLink"/>
                  <w:rFonts w:ascii="Times New Roman;serif" w:hAnsi="Times New Roman;serif"/>
                  <w:b w:val="false"/>
                  <w:color w:val="000080"/>
                  <w:sz w:val="20"/>
                  <w:u w:val="single"/>
                </w:rPr>
                <w:t>June 30</w:t>
              </w:r>
            </w:hyperlink>
            <w:hyperlink w:anchor="ia64f6bef389d490989ad8e46ec3c22ba_16">
              <w:r>
                <w:rPr>
                  <w:rStyle w:val="InternetLink"/>
                  <w:rFonts w:ascii="Times New Roman;serif" w:hAnsi="Times New Roman;serif"/>
                  <w:b w:val="false"/>
                  <w:color w:val="000080"/>
                  <w:sz w:val="20"/>
                  <w:u w:val="single"/>
                </w:rPr>
                <w:t>, 2025 and September 30, 2024</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6">
              <w:r>
                <w:rPr>
                  <w:rStyle w:val="InternetLink"/>
                  <w:rFonts w:ascii="Times New Roman;serif" w:hAnsi="Times New Roman;serif"/>
                  <w:b w:val="false"/>
                  <w:strike w:val="false"/>
                  <w:dstrike w:val="false"/>
                  <w:color w:val="0000FF"/>
                  <w:sz w:val="20"/>
                  <w:u w:val="none"/>
                  <w:effect w:val="none"/>
                </w:rPr>
                <w:t>5</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9">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a64f6bef389d490989ad8e46ec3c22ba_19">
              <w:r>
                <w:rPr>
                  <w:rStyle w:val="InternetLink"/>
                  <w:rFonts w:ascii="Times New Roman;serif" w:hAnsi="Times New Roman;serif"/>
                  <w:b w:val="false"/>
                  <w:color w:val="000080"/>
                  <w:sz w:val="20"/>
                  <w:u w:val="single"/>
                </w:rPr>
                <w:t>Nine</w:t>
              </w:r>
            </w:hyperlink>
            <w:hyperlink w:anchor="ia64f6bef389d490989ad8e46ec3c22ba_19">
              <w:r>
                <w:rPr>
                  <w:rStyle w:val="InternetLink"/>
                  <w:rFonts w:ascii="Times New Roman;serif" w:hAnsi="Times New Roman;serif"/>
                  <w:b w:val="false"/>
                  <w:color w:val="000080"/>
                  <w:sz w:val="20"/>
                  <w:u w:val="single"/>
                </w:rPr>
                <w:t xml:space="preserve"> Months Ended </w:t>
              </w:r>
            </w:hyperlink>
            <w:hyperlink w:anchor="ia64f6bef389d490989ad8e46ec3c22ba_19">
              <w:r>
                <w:rPr>
                  <w:rStyle w:val="InternetLink"/>
                  <w:rFonts w:ascii="Times New Roman;serif" w:hAnsi="Times New Roman;serif"/>
                  <w:b w:val="false"/>
                  <w:color w:val="000080"/>
                  <w:sz w:val="20"/>
                  <w:u w:val="single"/>
                </w:rPr>
                <w:t>June 30</w:t>
              </w:r>
            </w:hyperlink>
            <w:hyperlink w:anchor="ia64f6bef389d490989ad8e46ec3c22ba_19">
              <w:r>
                <w:rPr>
                  <w:rStyle w:val="InternetLink"/>
                  <w:rFonts w:ascii="Times New Roman;serif" w:hAnsi="Times New Roman;serif"/>
                  <w:b w:val="false"/>
                  <w:color w:val="000080"/>
                  <w:sz w:val="20"/>
                  <w:u w:val="single"/>
                </w:rPr>
                <w:t>, 2025 and 2024</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9">
              <w:r>
                <w:rPr>
                  <w:rStyle w:val="InternetLink"/>
                  <w:rFonts w:ascii="Times New Roman;serif" w:hAnsi="Times New Roman;serif"/>
                  <w:b w:val="false"/>
                  <w:strike w:val="false"/>
                  <w:dstrike w:val="false"/>
                  <w:color w:val="0000FF"/>
                  <w:sz w:val="20"/>
                  <w:u w:val="none"/>
                  <w:effect w:val="none"/>
                </w:rPr>
                <w:t>6</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a64f6bef389d490989ad8e46ec3c22ba_19">
              <w:r>
                <w:rPr>
                  <w:rStyle w:val="InternetLink"/>
                  <w:rFonts w:ascii="Times New Roman;serif" w:hAnsi="Times New Roman;serif"/>
                  <w:b w:val="false"/>
                  <w:color w:val="000080"/>
                  <w:sz w:val="20"/>
                  <w:u w:val="single"/>
                </w:rPr>
                <w:t xml:space="preserve">Three and </w:t>
              </w:r>
            </w:hyperlink>
            <w:hyperlink w:anchor="ia64f6bef389d490989ad8e46ec3c22ba_19">
              <w:r>
                <w:rPr>
                  <w:rStyle w:val="InternetLink"/>
                  <w:rFonts w:ascii="Times New Roman;serif" w:hAnsi="Times New Roman;serif"/>
                  <w:b w:val="false"/>
                  <w:color w:val="000080"/>
                  <w:sz w:val="20"/>
                  <w:u w:val="single"/>
                </w:rPr>
                <w:t>Nine</w:t>
              </w:r>
            </w:hyperlink>
            <w:hyperlink w:anchor="ia64f6bef389d490989ad8e46ec3c22ba_19">
              <w:r>
                <w:rPr>
                  <w:rStyle w:val="InternetLink"/>
                  <w:rFonts w:ascii="Times New Roman;serif" w:hAnsi="Times New Roman;serif"/>
                  <w:b w:val="false"/>
                  <w:color w:val="000080"/>
                  <w:sz w:val="20"/>
                  <w:u w:val="single"/>
                </w:rPr>
                <w:t xml:space="preserve"> Months Ended </w:t>
              </w:r>
            </w:hyperlink>
            <w:hyperlink w:anchor="ia64f6bef389d490989ad8e46ec3c22ba_19">
              <w:r>
                <w:rPr>
                  <w:rStyle w:val="InternetLink"/>
                  <w:rFonts w:ascii="Times New Roman;serif" w:hAnsi="Times New Roman;serif"/>
                  <w:b w:val="false"/>
                  <w:color w:val="000080"/>
                  <w:sz w:val="20"/>
                  <w:u w:val="single"/>
                </w:rPr>
                <w:t>June 30</w:t>
              </w:r>
            </w:hyperlink>
            <w:hyperlink w:anchor="ia64f6bef389d490989ad8e46ec3c22ba_19">
              <w:r>
                <w:rPr>
                  <w:rStyle w:val="InternetLink"/>
                  <w:rFonts w:ascii="Times New Roman;serif" w:hAnsi="Times New Roman;serif"/>
                  <w:b w:val="false"/>
                  <w:color w:val="000080"/>
                  <w:sz w:val="20"/>
                  <w:u w:val="single"/>
                </w:rPr>
                <w:t>, 2025 and 2024</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28">
              <w:r>
                <w:rPr>
                  <w:rStyle w:val="InternetLink"/>
                  <w:rFonts w:ascii="Times New Roman;serif" w:hAnsi="Times New Roman;serif"/>
                  <w:b w:val="false"/>
                  <w:strike w:val="false"/>
                  <w:dstrike w:val="false"/>
                  <w:color w:val="0000FF"/>
                  <w:sz w:val="20"/>
                  <w:u w:val="none"/>
                  <w:effect w:val="none"/>
                </w:rPr>
                <w:t>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4f6bef389d490989ad8e46ec3c22ba_31">
              <w:r>
                <w:rPr>
                  <w:rStyle w:val="InternetLink"/>
                  <w:rFonts w:ascii="Times New Roman;serif" w:hAnsi="Times New Roman;serif"/>
                  <w:b w:val="false"/>
                  <w:color w:val="000080"/>
                  <w:sz w:val="20"/>
                  <w:u w:val="single"/>
                </w:rPr>
                <w:t xml:space="preserve">Condensed Consolidated Statements of Cash Flows for the </w:t>
              </w:r>
            </w:hyperlink>
            <w:hyperlink w:anchor="ia64f6bef389d490989ad8e46ec3c22ba_31">
              <w:r>
                <w:rPr>
                  <w:rStyle w:val="InternetLink"/>
                  <w:rFonts w:ascii="Times New Roman;serif" w:hAnsi="Times New Roman;serif"/>
                  <w:b w:val="false"/>
                  <w:color w:val="000080"/>
                  <w:sz w:val="20"/>
                  <w:u w:val="single"/>
                </w:rPr>
                <w:t>Nine</w:t>
              </w:r>
            </w:hyperlink>
            <w:hyperlink w:anchor="ia64f6bef389d490989ad8e46ec3c22ba_31">
              <w:r>
                <w:rPr>
                  <w:rStyle w:val="InternetLink"/>
                  <w:rFonts w:ascii="Times New Roman;serif" w:hAnsi="Times New Roman;serif"/>
                  <w:b w:val="false"/>
                  <w:color w:val="000080"/>
                  <w:sz w:val="20"/>
                  <w:u w:val="single"/>
                </w:rPr>
                <w:t xml:space="preserve"> Months Ended </w:t>
              </w:r>
            </w:hyperlink>
            <w:hyperlink w:anchor="ia64f6bef389d490989ad8e46ec3c22ba_31">
              <w:r>
                <w:rPr>
                  <w:rStyle w:val="InternetLink"/>
                  <w:rFonts w:ascii="Times New Roman;serif" w:hAnsi="Times New Roman;serif"/>
                  <w:b w:val="false"/>
                  <w:color w:val="000080"/>
                  <w:sz w:val="20"/>
                  <w:u w:val="single"/>
                </w:rPr>
                <w:t xml:space="preserve">June 30, </w:t>
              </w:r>
            </w:hyperlink>
            <w:hyperlink w:anchor="ia64f6bef389d490989ad8e46ec3c22ba_31">
              <w:r>
                <w:rPr>
                  <w:rStyle w:val="InternetLink"/>
                  <w:rFonts w:ascii="Times New Roman;serif" w:hAnsi="Times New Roman;serif"/>
                  <w:b w:val="false"/>
                  <w:color w:val="000080"/>
                  <w:sz w:val="20"/>
                  <w:u w:val="single"/>
                </w:rPr>
                <w:t>2025 and 2024</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31">
              <w:r>
                <w:rPr>
                  <w:rStyle w:val="InternetLink"/>
                  <w:rFonts w:ascii="Times New Roman;serif" w:hAnsi="Times New Roman;serif"/>
                  <w:b w:val="false"/>
                  <w:strike w:val="false"/>
                  <w:dstrike w:val="false"/>
                  <w:color w:val="0000FF"/>
                  <w:sz w:val="20"/>
                  <w:u w:val="none"/>
                  <w:effect w:val="none"/>
                </w:rPr>
                <w:t>9</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34">
              <w:r>
                <w:rPr>
                  <w:rStyle w:val="InternetLink"/>
                  <w:rFonts w:ascii="Times New Roman;serif" w:hAnsi="Times New Roman;serif"/>
                  <w:b w:val="false"/>
                  <w:color w:val="0000FF"/>
                  <w:sz w:val="20"/>
                  <w:u w:val="single"/>
                </w:rPr>
                <w:t>Notes to Condensed Consolidated Financial Statements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34">
              <w:r>
                <w:rPr>
                  <w:rStyle w:val="InternetLink"/>
                  <w:rFonts w:ascii="Times New Roman;serif" w:hAnsi="Times New Roman;serif"/>
                  <w:b w:val="false"/>
                  <w:strike w:val="false"/>
                  <w:dstrike w:val="false"/>
                  <w:color w:val="0000FF"/>
                  <w:sz w:val="20"/>
                  <w:u w:val="none"/>
                  <w:effect w:val="none"/>
                </w:rPr>
                <w:t>10</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91">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91">
              <w:r>
                <w:rPr>
                  <w:rStyle w:val="InternetLink"/>
                  <w:rFonts w:ascii="Times New Roman;serif" w:hAnsi="Times New Roman;serif"/>
                  <w:b w:val="false"/>
                  <w:strike w:val="false"/>
                  <w:dstrike w:val="false"/>
                  <w:color w:val="0000FF"/>
                  <w:sz w:val="20"/>
                  <w:u w:val="none"/>
                  <w:effect w:val="none"/>
                </w:rPr>
                <w:t>24</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51">
              <w:r>
                <w:rPr>
                  <w:rStyle w:val="InternetLink"/>
                  <w:rFonts w:ascii="Times New Roman;serif" w:hAnsi="Times New Roman;serif"/>
                  <w:b w:val="false"/>
                  <w:color w:val="0000FF"/>
                  <w:sz w:val="20"/>
                  <w:u w:val="single"/>
                </w:rPr>
                <w:t>Item 3. Quantitative and Qualitative Disclosures About Market Risk</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51">
              <w:r>
                <w:rPr>
                  <w:rStyle w:val="InternetLink"/>
                  <w:rFonts w:ascii="Times New Roman;serif" w:hAnsi="Times New Roman;serif"/>
                  <w:b w:val="false"/>
                  <w:strike w:val="false"/>
                  <w:dstrike w:val="false"/>
                  <w:color w:val="0000FF"/>
                  <w:sz w:val="20"/>
                  <w:u w:val="none"/>
                  <w:effect w:val="none"/>
                </w:rPr>
                <w:t>35</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54">
              <w:r>
                <w:rPr>
                  <w:rStyle w:val="InternetLink"/>
                  <w:rFonts w:ascii="Times New Roman;serif" w:hAnsi="Times New Roman;serif"/>
                  <w:b w:val="false"/>
                  <w:color w:val="0000FF"/>
                  <w:sz w:val="20"/>
                  <w:u w:val="single"/>
                </w:rPr>
                <w:t>Item 4. Controls and Procedures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54">
              <w:r>
                <w:rPr>
                  <w:rStyle w:val="InternetLink"/>
                  <w:rFonts w:ascii="Times New Roman;serif" w:hAnsi="Times New Roman;serif"/>
                  <w:b w:val="false"/>
                  <w:strike w:val="false"/>
                  <w:dstrike w:val="false"/>
                  <w:color w:val="0000FF"/>
                  <w:sz w:val="20"/>
                  <w:u w:val="none"/>
                  <w:effect w:val="none"/>
                </w:rPr>
                <w:t>35</w:t>
              </w:r>
            </w:hyperlink>
          </w:p>
        </w:tc>
      </w:tr>
      <w:tr>
        <w:trPr/>
        <w:tc>
          <w:tcPr>
            <w:tcW w:w="9629"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a64f6bef389d490989ad8e46ec3c22ba_157">
              <w:r>
                <w:rPr>
                  <w:rStyle w:val="InternetLink"/>
                  <w:rFonts w:ascii="Times New Roman;serif" w:hAnsi="Times New Roman;serif"/>
                  <w:b w:val="false"/>
                  <w:color w:val="0000FF"/>
                  <w:sz w:val="20"/>
                  <w:u w:val="single"/>
                </w:rPr>
                <w:t>PART II. OTHER INFORMATION</w:t>
              </w:r>
            </w:hyperlink>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60">
              <w:r>
                <w:rPr>
                  <w:rStyle w:val="InternetLink"/>
                  <w:rFonts w:ascii="Times New Roman;serif" w:hAnsi="Times New Roman;serif"/>
                  <w:b w:val="false"/>
                  <w:color w:val="0000FF"/>
                  <w:sz w:val="20"/>
                  <w:u w:val="single"/>
                </w:rPr>
                <w:t>Item 1. Legal Proceedings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60">
              <w:r>
                <w:rPr>
                  <w:rStyle w:val="InternetLink"/>
                  <w:rFonts w:ascii="Times New Roman;serif" w:hAnsi="Times New Roman;serif"/>
                  <w:b w:val="false"/>
                  <w:strike w:val="false"/>
                  <w:dstrike w:val="false"/>
                  <w:color w:val="0000FF"/>
                  <w:sz w:val="20"/>
                  <w:u w:val="none"/>
                  <w:effect w:val="non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63">
              <w:r>
                <w:rPr>
                  <w:rStyle w:val="InternetLink"/>
                  <w:rFonts w:ascii="Times New Roman;serif" w:hAnsi="Times New Roman;serif"/>
                  <w:b w:val="false"/>
                  <w:color w:val="0000FF"/>
                  <w:sz w:val="20"/>
                  <w:u w:val="single"/>
                </w:rPr>
                <w:t>Item 1A. Risk Factors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63">
              <w:r>
                <w:rPr>
                  <w:rStyle w:val="InternetLink"/>
                  <w:rFonts w:ascii="Times New Roman;serif" w:hAnsi="Times New Roman;serif"/>
                  <w:b w:val="false"/>
                  <w:strike w:val="false"/>
                  <w:dstrike w:val="false"/>
                  <w:color w:val="0000FF"/>
                  <w:sz w:val="20"/>
                  <w:u w:val="none"/>
                  <w:effect w:val="non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66">
              <w:r>
                <w:rPr>
                  <w:rStyle w:val="InternetLink"/>
                  <w:rFonts w:ascii="Times New Roman;serif" w:hAnsi="Times New Roman;serif"/>
                  <w:b w:val="false"/>
                  <w:color w:val="0000FF"/>
                  <w:sz w:val="20"/>
                  <w:u w:val="single"/>
                </w:rPr>
                <w:t>Item 2. Unregistered Sales of Equity Securities and Use of Proceeds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66">
              <w:r>
                <w:rPr>
                  <w:rStyle w:val="InternetLink"/>
                  <w:rFonts w:ascii="Times New Roman;serif" w:hAnsi="Times New Roman;serif"/>
                  <w:b w:val="false"/>
                  <w:strike w:val="false"/>
                  <w:dstrike w:val="false"/>
                  <w:color w:val="0000FF"/>
                  <w:sz w:val="20"/>
                  <w:u w:val="none"/>
                  <w:effect w:val="non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69">
              <w:r>
                <w:rPr>
                  <w:rStyle w:val="InternetLink"/>
                  <w:rFonts w:ascii="Times New Roman;serif" w:hAnsi="Times New Roman;serif"/>
                  <w:b w:val="false"/>
                  <w:color w:val="0000FF"/>
                  <w:sz w:val="20"/>
                  <w:u w:val="single"/>
                </w:rPr>
                <w:t>Item 3. Defaults Upon Senior Securities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69">
              <w:r>
                <w:rPr>
                  <w:rStyle w:val="InternetLink"/>
                  <w:rFonts w:ascii="Times New Roman;serif" w:hAnsi="Times New Roman;serif"/>
                  <w:b w:val="false"/>
                  <w:strike w:val="false"/>
                  <w:dstrike w:val="false"/>
                  <w:color w:val="0000FF"/>
                  <w:sz w:val="20"/>
                  <w:u w:val="none"/>
                  <w:effect w:val="non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72">
              <w:r>
                <w:rPr>
                  <w:rStyle w:val="InternetLink"/>
                  <w:rFonts w:ascii="Times New Roman;serif" w:hAnsi="Times New Roman;serif"/>
                  <w:b w:val="false"/>
                  <w:color w:val="0000FF"/>
                  <w:sz w:val="20"/>
                  <w:u w:val="single"/>
                </w:rPr>
                <w:t>Item 4. Mine Safety Disclosures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72">
              <w:r>
                <w:rPr>
                  <w:rStyle w:val="InternetLink"/>
                  <w:rFonts w:ascii="Times New Roman;serif" w:hAnsi="Times New Roman;serif"/>
                  <w:b w:val="false"/>
                  <w:strike w:val="false"/>
                  <w:dstrike w:val="false"/>
                  <w:color w:val="0000FF"/>
                  <w:sz w:val="20"/>
                  <w:u w:val="none"/>
                  <w:effect w:val="non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75">
              <w:r>
                <w:rPr>
                  <w:rStyle w:val="InternetLink"/>
                  <w:rFonts w:ascii="Times New Roman;serif" w:hAnsi="Times New Roman;serif"/>
                  <w:b w:val="false"/>
                  <w:color w:val="0000FF"/>
                  <w:sz w:val="20"/>
                  <w:u w:val="single"/>
                </w:rPr>
                <w:t>Item 5. Other Information</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75">
              <w:r>
                <w:rPr>
                  <w:rStyle w:val="InternetLink"/>
                  <w:rFonts w:ascii="Times New Roman;serif" w:hAnsi="Times New Roman;serif"/>
                  <w:b w:val="false"/>
                  <w:strike w:val="false"/>
                  <w:dstrike w:val="false"/>
                  <w:color w:val="0000FF"/>
                  <w:sz w:val="20"/>
                  <w:u w:val="none"/>
                  <w:effect w:val="none"/>
                </w:rPr>
                <w:t>37</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78">
              <w:r>
                <w:rPr>
                  <w:rStyle w:val="InternetLink"/>
                  <w:rFonts w:ascii="Times New Roman;serif" w:hAnsi="Times New Roman;serif"/>
                  <w:b w:val="false"/>
                  <w:color w:val="0000FF"/>
                  <w:sz w:val="20"/>
                  <w:u w:val="single"/>
                </w:rPr>
                <w:t>Item 6. Exhibits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78">
              <w:r>
                <w:rPr>
                  <w:rStyle w:val="InternetLink"/>
                  <w:rFonts w:ascii="Times New Roman;serif" w:hAnsi="Times New Roman;serif"/>
                  <w:b w:val="false"/>
                  <w:strike w:val="false"/>
                  <w:dstrike w:val="false"/>
                  <w:color w:val="0000FF"/>
                  <w:sz w:val="20"/>
                  <w:u w:val="none"/>
                  <w:effect w:val="none"/>
                </w:rPr>
                <w:t>38</w:t>
              </w:r>
            </w:hyperlink>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64f6bef389d490989ad8e46ec3c22ba_181">
              <w:r>
                <w:rPr>
                  <w:rStyle w:val="InternetLink"/>
                  <w:rFonts w:ascii="Times New Roman;serif" w:hAnsi="Times New Roman;serif"/>
                  <w:b w:val="false"/>
                  <w:color w:val="0000FF"/>
                  <w:sz w:val="20"/>
                  <w:u w:val="single"/>
                </w:rPr>
                <w:t>Signatures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4f6bef389d490989ad8e46ec3c22ba_181">
              <w:r>
                <w:rPr>
                  <w:rStyle w:val="InternetLink"/>
                  <w:rFonts w:ascii="Times New Roman;serif" w:hAnsi="Times New Roman;serif"/>
                  <w:b w:val="false"/>
                  <w:strike w:val="false"/>
                  <w:dstrike w:val="false"/>
                  <w:color w:val="0000FF"/>
                  <w:sz w:val="20"/>
                  <w:u w:val="none"/>
                  <w:effect w:val="none"/>
                </w:rPr>
                <w:t>39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the words “IES”, the “Company”, the “Registrant”, “we”, “our”, “ours” and “us” refer to IES Holdings, Inc. and, except as otherwise specified herein, to our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bidi w:val="0"/>
        <w:spacing w:before="0" w:after="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 general reduction in the demand for our products or services;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changes in general economic conditions, including supply chain constraints, high rates of inflation, tariffs, changes in consumer sentiment, elevated interest rates, and market disruptions resulting from a number of factors, including geo-political events such as the Ukraine-Russia war, the conflict in the Middle East, and trade tensions between the U.S. and China;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our ability to enter into, and the terms of, future contracts;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small number of customers from whom we derive a meaningful portion of our revenues;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third parties, including subcontractors and suppliers, to complete our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challenges integrating new businesses into the Company or new types of work, products or processes into our segments;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backlog that may not be realized or may not result in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failure to adequately recover on contract change orders or claims against customers;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closures or sales of our facilities resulting in significant future charges, including potential warranty losses or other unexpected liabilities, or a significant disruption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an increased cost of surety bonds affecting margins on work and the potential for our surety providers to refuse bonding or require collateral at their discretion;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seasonality, adverse weather conditions, and climate change;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fluctuations in operating activity due to factors such as cyclicality, downturns in levels of construction or the housing market, and differing regional economic conditions;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difficulties in managing our billings and collections;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accidents resulting from the physical hazards associated with our work and the potential for accidents;</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current insurance coverage may not be adequate or that we may not be able to obtain policies at acceptable rates;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effect of litigation, claims and contingencies, including warranty losses, damages or other latent defect claims in excess of our existing reserves and accruals;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interruptions to our information systems and cybersecurity or data breaches;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expenditures to conduct environmental remediation activities required by certain environmental laws and regulations;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loss of key personnel, ineffective transition of new management, or general labor constraints;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limitations on our ability to access capital markets and generate cash from operations to fund our working capital needs and capital expenditures, to complete acquisitions, and for debt service;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on our effective tax rate or cash paid for taxes from changes in tax positions we have taken or changes in tax laws;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difficulty in fulfilling the covenant terms of our revolving credit facility, which could result in a default and acceleration of any indebtedness under such revolving credit facility;</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certain estimates and assumptions that may differ from actual results in the preparation of our financial statements;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uncertainties inherent in the use of percentage-of-completion accounting, which could result in the reduction or elimination of previously recorded revenues and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recognition of potential goodwill, long-lived assets and other investment impairments;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potential for substantial sales of our common stock, which could adversely affect our stock price;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increasing scrutiny and changing expectations from investors and customers, or new or changing regulations, with respect to environmental, social and governance practices;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cost or effort required for our shareholders to bring certain claims or actions against us, as a result of our designation of the Court of Chancery of the State of Delaware as the sole and exclusive forum for certain types of actions and proceedings;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internal controls over financial reporting and our disclosure controls and procedures may not prevent all possible errors that could occur;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understand that the foregoing, as well as other risk factors discussed in this document, including those listed in Part I, Item 1A of our Annual Report on Form 10-K for the fiscal year ended September 30, 2024,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tbl>
      <w:tblPr>
        <w:tblW w:w="10205" w:type="dxa"/>
        <w:jc w:val="center"/>
        <w:tblInd w:w="0" w:type="dxa"/>
        <w:tblLayout w:type="fixed"/>
        <w:tblCellMar>
          <w:top w:w="28" w:type="dxa"/>
          <w:left w:w="28" w:type="dxa"/>
          <w:bottom w:w="28" w:type="dxa"/>
          <w:right w:w="28" w:type="dxa"/>
        </w:tblCellMar>
      </w:tblPr>
      <w:tblGrid>
        <w:gridCol w:w="164"/>
        <w:gridCol w:w="143"/>
        <w:gridCol w:w="143"/>
        <w:gridCol w:w="143"/>
        <w:gridCol w:w="143"/>
        <w:gridCol w:w="143"/>
        <w:gridCol w:w="360"/>
        <w:gridCol w:w="360"/>
        <w:gridCol w:w="360"/>
        <w:gridCol w:w="1602"/>
        <w:gridCol w:w="1573"/>
        <w:gridCol w:w="1554"/>
        <w:gridCol w:w="109"/>
        <w:gridCol w:w="109"/>
        <w:gridCol w:w="109"/>
        <w:gridCol w:w="211"/>
        <w:gridCol w:w="976"/>
        <w:gridCol w:w="109"/>
        <w:gridCol w:w="109"/>
        <w:gridCol w:w="109"/>
        <w:gridCol w:w="109"/>
        <w:gridCol w:w="211"/>
        <w:gridCol w:w="976"/>
        <w:gridCol w:w="109"/>
        <w:gridCol w:w="109"/>
        <w:gridCol w:w="162"/>
      </w:tblGrid>
      <w:tr>
        <w:trPr/>
        <w:tc>
          <w:tcPr>
            <w:tcW w:w="1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net of allowance of $2,209 and $1,818,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100,000,000 shares authorized; 22,049,529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19,854,416 and 19,971,670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2,195,113 and 2,077,859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06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50"/>
        <w:gridCol w:w="650"/>
        <w:gridCol w:w="650"/>
        <w:gridCol w:w="742"/>
        <w:gridCol w:w="742"/>
        <w:gridCol w:w="742"/>
        <w:gridCol w:w="742"/>
        <w:gridCol w:w="742"/>
        <w:gridCol w:w="742"/>
        <w:gridCol w:w="109"/>
        <w:gridCol w:w="109"/>
        <w:gridCol w:w="109"/>
        <w:gridCol w:w="211"/>
        <w:gridCol w:w="826"/>
        <w:gridCol w:w="109"/>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2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20,224,102</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20,496,870</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24"/>
        <w:gridCol w:w="467"/>
        <w:gridCol w:w="467"/>
        <w:gridCol w:w="569"/>
        <w:gridCol w:w="533"/>
        <w:gridCol w:w="520"/>
        <w:gridCol w:w="509"/>
        <w:gridCol w:w="509"/>
        <w:gridCol w:w="509"/>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20,216,981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20,462,856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tbl>
      <w:tblPr>
        <w:tblW w:w="11876" w:type="dxa"/>
        <w:jc w:val="center"/>
        <w:tblInd w:w="0" w:type="dxa"/>
        <w:tblLayout w:type="fixed"/>
        <w:tblCellMar>
          <w:top w:w="28" w:type="dxa"/>
          <w:left w:w="28" w:type="dxa"/>
          <w:bottom w:w="28" w:type="dxa"/>
          <w:right w:w="28" w:type="dxa"/>
        </w:tblCellMar>
      </w:tblPr>
      <w:tblGrid>
        <w:gridCol w:w="175"/>
        <w:gridCol w:w="154"/>
        <w:gridCol w:w="154"/>
        <w:gridCol w:w="584"/>
        <w:gridCol w:w="344"/>
        <w:gridCol w:w="213"/>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2025</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(2,161,213)</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(122,372)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204,278 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(2,195,113)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(127,700)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781,441 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786" w:type="dxa"/>
        <w:jc w:val="center"/>
        <w:tblInd w:w="0" w:type="dxa"/>
        <w:tblLayout w:type="fixed"/>
        <w:tblCellMar>
          <w:top w:w="28" w:type="dxa"/>
          <w:left w:w="28" w:type="dxa"/>
          <w:bottom w:w="28" w:type="dxa"/>
          <w:right w:w="28" w:type="dxa"/>
        </w:tblCellMar>
      </w:tblPr>
      <w:tblGrid>
        <w:gridCol w:w="175"/>
        <w:gridCol w:w="154"/>
        <w:gridCol w:w="154"/>
        <w:gridCol w:w="584"/>
        <w:gridCol w:w="344"/>
        <w:gridCol w:w="213"/>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(1,806,071)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534,806 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IES Holdings, Inc.'s ownership interest in consolidated subsidiaries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(1,963,576)</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203,139 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435,693 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567,522 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876" w:type="dxa"/>
        <w:jc w:val="center"/>
        <w:tblInd w:w="0" w:type="dxa"/>
        <w:tblLayout w:type="fixed"/>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4"/>
        <w:gridCol w:w="377"/>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 2025</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(2,077,859)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(212,006)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(41,593)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(2,195,113)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(127,700)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208,594 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781,441 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786" w:type="dxa"/>
        <w:jc w:val="center"/>
        <w:tblInd w:w="0" w:type="dxa"/>
        <w:tblLayout w:type="fixed"/>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(1,855,311)</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203,431 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295,784 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(191,445)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 exercised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IES Holdings, Inc's ownership interest in consolidated subsidiaries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(1,963,576)</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(71,530)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203,139 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435,693 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567,522 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26"/>
        <w:gridCol w:w="286"/>
        <w:gridCol w:w="286"/>
        <w:gridCol w:w="769"/>
        <w:gridCol w:w="603"/>
        <w:gridCol w:w="598"/>
        <w:gridCol w:w="1409"/>
        <w:gridCol w:w="964"/>
        <w:gridCol w:w="993"/>
        <w:gridCol w:w="109"/>
        <w:gridCol w:w="109"/>
        <w:gridCol w:w="109"/>
        <w:gridCol w:w="135"/>
        <w:gridCol w:w="135"/>
        <w:gridCol w:w="135"/>
        <w:gridCol w:w="433"/>
        <w:gridCol w:w="435"/>
        <w:gridCol w:w="135"/>
        <w:gridCol w:w="135"/>
        <w:gridCol w:w="135"/>
        <w:gridCol w:w="135"/>
        <w:gridCol w:w="135"/>
        <w:gridCol w:w="135"/>
        <w:gridCol w:w="135"/>
        <w:gridCol w:w="508"/>
        <w:gridCol w:w="510"/>
        <w:gridCol w:w="135"/>
        <w:gridCol w:w="109"/>
        <w:gridCol w:w="164"/>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and other non-cash tax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(80,266)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154,095 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141,621 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conjunction with business combinations,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(114,099)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2,089,870 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(2,089,870)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(76,097)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44,897 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98" w:type="dxa"/>
            <w:gridSpan w:val="3"/>
            <w:tcBorders/>
            <w:vAlign w:val="center"/>
          </w:tcPr>
          <w:p>
            <w:pPr>
              <w:pStyle w:val="TableContents"/>
              <w:bidi w:val="0"/>
              <w:spacing w:before="0" w:after="283"/>
              <w:jc w:val="left"/>
              <w:rPr>
                <w:sz w:val="4"/>
                <w:szCs w:val="4"/>
              </w:rPr>
            </w:pPr>
            <w:r>
              <w:rPr>
                <w:sz w:val="4"/>
                <w:szCs w:val="4"/>
              </w:rPr>
            </w:r>
          </w:p>
        </w:tc>
        <w:tc>
          <w:tcPr>
            <w:tcW w:w="1970" w:type="dxa"/>
            <w:gridSpan w:val="3"/>
            <w:tcBorders/>
            <w:vAlign w:val="center"/>
          </w:tcPr>
          <w:p>
            <w:pPr>
              <w:pStyle w:val="TableContents"/>
              <w:bidi w:val="0"/>
              <w:spacing w:before="0" w:after="283"/>
              <w:jc w:val="left"/>
              <w:rPr>
                <w:sz w:val="4"/>
                <w:szCs w:val="4"/>
              </w:rPr>
            </w:pPr>
            <w:r>
              <w:rPr>
                <w:sz w:val="4"/>
                <w:szCs w:val="4"/>
              </w:rPr>
            </w:r>
          </w:p>
        </w:tc>
        <w:tc>
          <w:tcPr>
            <w:tcW w:w="3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Amounts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 AND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Communications</w:t>
      </w:r>
      <w:r>
        <w:rPr>
          <w:color w:val="000000"/>
        </w:rPr>
        <w:t xml:space="preserve"> – </w:t>
      </w:r>
      <w:r>
        <w:rPr>
          <w:rFonts w:ascii="Times New Roman;serif" w:hAnsi="Times New Roman;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Residential</w:t>
      </w:r>
      <w:r>
        <w:rPr>
          <w:color w:val="000000"/>
        </w:rPr>
        <w:t xml:space="preserve"> – </w:t>
      </w:r>
      <w:r>
        <w:rPr>
          <w:rFonts w:ascii="Times New Roman;serif" w:hAnsi="Times New Roman;serif"/>
          <w:b w:val="false"/>
          <w:color w:val="000000"/>
          <w:sz w:val="20"/>
        </w:rPr>
        <w:t xml:space="preserve">Regional provider of electrical installation services for single-family housing and multi-family apartment complexes, as well as heating, ventilation and air conditioning (HVAC) and plumbing installation services in certain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Infrastructure Solutions</w:t>
      </w:r>
      <w:r>
        <w:rPr>
          <w:color w:val="000000"/>
        </w:rPr>
        <w:t xml:space="preserve"> – </w:t>
      </w:r>
      <w:r>
        <w:rPr>
          <w:rFonts w:ascii="Times New Roman;serif" w:hAnsi="Times New Roman;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Commercial &amp; Industrial</w:t>
      </w:r>
      <w:r>
        <w:rPr>
          <w:color w:val="000000"/>
        </w:rPr>
        <w:t xml:space="preserve"> – </w:t>
      </w:r>
      <w:r>
        <w:rPr>
          <w:rFonts w:ascii="Times New Roman;serif" w:hAnsi="Times New Roman;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words “IES”, the “Company”, “we”, “our”, and “us” refer to IES Holdings, Inc. and, except as otherwise specified herein, to our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Financial Statement Preparation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2024.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(“Act”), a comprehensive legislative package that includes significant changes to federal tax policy. The Act, among other corporate provisions, includes the permanent extension of 100% bonus depreciation and the repeal of mandatory capitalization of domestic research and experimental expenditures. The Company is currently assessing the impact the Act will have on our overall financial results, financial position,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investments using the equity method of accounting if the investment gives us the ability to exercise significant influence over an investee but does not grant us control. Significant influence generally exists when an investor owns 20% or more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voting stock of an incorporated investee or a more than 3% to 5% interest in an unincorporated investee. Under the equity method of accounting, the carrying amount of an investment is initially recorded at cost basis and is subsequently adjusted for our proportionate share of earnings or losses, additional investments in the entity, and distributions. Our proportionate share of earnings or losses is recorded in earnings on our Condensed Consolidated Statements of Comprehensive Income.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acquisitions of Edmonson Electric, LLC (“Edmonson Electric”) and Bayonet Plumbing, Heating &amp; Air-Conditioning, LLC (“Bayonet”) in fiscal 2021, and NEXT Electric, LLC in fiscal 2017, we acquired an 80 percent interest in each of the entities, with the remaining 20 percent interest in each such entity being retained by the respective third-party seller. The interests retained by those third-party sellers are identified on our Condensed Consolidated Balance Sheets as “Noncontrolling interest,” classified outside of permanent equity. On June 28, 2024, we acquired the remaining 20 percent noncontrolling interest in Bayonet for $32,000.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each entity’s operating agreement, after five years from the date of the acquisition, we may elect to purchase, or the third-party seller may require us to purchase, part or all of the remaining 20 percent interest in the applicable entity. In each case, the purchase price is variable, based on a multiple of earnings as defined in the applicable operating agreement. Therefore, each noncontrolling interest is carried at the greater of the balance determined under Accounting Standards Codification (“ASC”) 810 and the redemption amounts assuming the noncontrolling interest was redeemable at the balance sheet date. If all of the noncontrolling interests remaining outstanding at June 30, 2025 had been redeemable at that date, the aggregate redemption amount would have been $40,977.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activity in redeemable noncontrolling interest for the nine months ended June 30, 2025 and 2024 is summarized in the table below. </w:t>
      </w:r>
    </w:p>
    <w:tbl>
      <w:tblPr>
        <w:tblW w:w="10205" w:type="dxa"/>
        <w:jc w:val="center"/>
        <w:tblInd w:w="0" w:type="dxa"/>
        <w:tblLayout w:type="fixed"/>
        <w:tblCellMar>
          <w:top w:w="28" w:type="dxa"/>
          <w:left w:w="28" w:type="dxa"/>
          <w:bottom w:w="28" w:type="dxa"/>
          <w:right w:w="28" w:type="dxa"/>
        </w:tblCellMar>
      </w:tblPr>
      <w:tblGrid>
        <w:gridCol w:w="2825"/>
        <w:gridCol w:w="2437"/>
        <w:gridCol w:w="2445"/>
        <w:gridCol w:w="214"/>
        <w:gridCol w:w="734"/>
        <w:gridCol w:w="110"/>
        <w:gridCol w:w="110"/>
        <w:gridCol w:w="110"/>
        <w:gridCol w:w="110"/>
        <w:gridCol w:w="214"/>
        <w:gridCol w:w="734"/>
        <w:gridCol w:w="162"/>
      </w:tblGrid>
      <w:tr>
        <w:trPr/>
        <w:tc>
          <w:tcPr>
            <w:tcW w:w="2825"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7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record noncontrolling interests at redemption value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record noncontrolling interests at value of consideration paid to acquire ownership interest</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ownership interest from noncontrolling interests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2025, we acquired the remaining 20 percent noncontrolling interest in Edmonson Electric for $40,000.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Accounting Standards Recently Adopted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October 2021, the Financial Accounting Standards Board (“FASB”) issued Accounting Standard Update No. 2021-08, Business Combinations (Topic 805): Accounting for Contract Assets and Contract Liabilities from Contracts with Customers (“ASU 2021-08”). This standard amends the existing guidance under ASC 805 to add contract assets and contract liabilities to the list of exceptions to the recognition and measurement principles that apply to business combinations. Under this standard, the acquirer of a business is expected to recognize and measure acquired contract assets and contract liabilities as if the acquirer entered into the original contract on the same date with the same terms in accordance with ASC 606 rather than at fair value on the date of acquisition. This update is effective for fiscal years beginning after December 15, 2022 and for interim periods within that year. We adopted this standard on October 1, 2023 using the prospective method. ASU 2021-08 impacts how we account for business combinations completed after its adoption.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and Disclosure Rules Not Yet Adopted</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2023, the FASB issued Accounting Standard Update No. 2023-07, Segment Reporting (Topic 280): Improvements to Reportable Segment Disclosures (“ASU 2023-07”). This standard requires disclosure of significant segment expenses, other segment items, and additional information about the chief operating decision maker (“CODM”). This update is effective for fiscal years beginning after December 15, 2023, and interim periods within fiscal years beginning after December 15, 2024. Early adoption is permitted, and retrospective application is required. We are evaluating the impact this update will have on our annual disclosures; however, it will not impact our financial condition, results of operations, or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 Update No. 2024-03, Income Statement—Reporting Comprehensive Income—Expense Disaggregation Disclosures (Subtopic 220-40): Disaggregation of Income Statement Expenses (“ASU 2024-03”). This standard requires additional disclosures of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annual disclosures; however, it will not impact our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CONTROLLING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Tontine Associates, L.L.C. (“Tontine Associates”), together with its affiliates (collectively, “Tontine”), is the Company’s controlling stockholder, owning approximately 55 percent of the Company’s outstanding common stock based on a Form 4 filed by Tontine with the SEC on June 13, 2025 and the Company's shares outstanding as of July 31, 2025. Accordingly, Tontine has the ability to exercise significant control over our affairs, including the election of directors and most actions requiring the approval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Should Tontine sell or otherwise dispose of all or a significant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Jeffrey L. Gendell was appointed as Chief Executive Officer of the Company effective October 1, 2020, having served as the Company's Interim Chief Executive Officer since July 31, 2020. Mr. Gendell also serves as Chairman of the Board of Directors, a position he has held since November 2016. Effective July 1, 2025, Mr. Gendell transitioned from Chief Executive Officer to Executive Chairman.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sublease agreement with Tontine Associates for corporate office space in Greenwich, Connecticut. On August 1, 2024, the Company entered into an amendment of the sublease agreement, which was set to terminate on August 31, 2024, to extend the term of the agreement through September 30, 2025 effective September 1, 2024, while maintaining monthly payments due in the amount of approximately $9. Payments by the Company are at a rate consistent with that paid by Tontine Associates to its landlord.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 contract’s transaction price is allocated to each distinct performance obligation and recognized as revenue when, or as, the performance obligation is satisfied. Given the nature of the Company's services, our contracts with customers have historically been comprised of a single performance obligation.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arrangements where we recognize revenue over time, we generally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 Certain divisions in the Residential and Infrastructure Solutions segments recognize revenue under the right to invoice practical expedient because the duration of their contracts is short. We recognize revenue on such contracts when amounts are billable to the customer, generally when the project is complete.</w:t>
      </w:r>
    </w:p>
    <w:p>
      <w:pPr>
        <w:pStyle w:val="TextBody"/>
        <w:bidi w:val="0"/>
        <w:spacing w:lineRule="auto" w:line="288" w:before="0" w:after="0"/>
        <w:ind w:left="0" w:right="0" w:firstLine="720"/>
        <w:jc w:val="left"/>
        <w:rPr>
          <w:color w:val="FF0000"/>
        </w:rPr>
      </w:pPr>
      <w:r>
        <w:rPr>
          <w:color w:val="FF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revenue for the three and nine months ended June 30, 2025 and 2024 was derived from the following activities. Certain prior period amounts have been reclassified to conform with the current period presentation, where applicable. See details in the following tables:</w:t>
      </w:r>
    </w:p>
    <w:tbl>
      <w:tblPr>
        <w:tblW w:w="10205" w:type="dxa"/>
        <w:jc w:val="center"/>
        <w:tblInd w:w="0" w:type="dxa"/>
        <w:tblLayout w:type="fixed"/>
        <w:tblCellMar>
          <w:top w:w="28" w:type="dxa"/>
          <w:left w:w="28" w:type="dxa"/>
          <w:bottom w:w="28" w:type="dxa"/>
          <w:right w:w="28" w:type="dxa"/>
        </w:tblCellMar>
      </w:tblPr>
      <w:tblGrid>
        <w:gridCol w:w="979"/>
        <w:gridCol w:w="862"/>
        <w:gridCol w:w="864"/>
        <w:gridCol w:w="109"/>
        <w:gridCol w:w="109"/>
        <w:gridCol w:w="109"/>
        <w:gridCol w:w="211"/>
        <w:gridCol w:w="826"/>
        <w:gridCol w:w="109"/>
        <w:gridCol w:w="109"/>
        <w:gridCol w:w="109"/>
        <w:gridCol w:w="109"/>
        <w:gridCol w:w="211"/>
        <w:gridCol w:w="826"/>
        <w:gridCol w:w="109"/>
        <w:gridCol w:w="109"/>
        <w:gridCol w:w="109"/>
        <w:gridCol w:w="109"/>
        <w:gridCol w:w="109"/>
        <w:gridCol w:w="109"/>
        <w:gridCol w:w="186"/>
        <w:gridCol w:w="186"/>
        <w:gridCol w:w="361"/>
        <w:gridCol w:w="1418"/>
        <w:gridCol w:w="186"/>
        <w:gridCol w:w="109"/>
        <w:gridCol w:w="109"/>
        <w:gridCol w:w="109"/>
        <w:gridCol w:w="211"/>
        <w:gridCol w:w="976"/>
        <w:gridCol w:w="158"/>
      </w:tblGrid>
      <w:tr>
        <w:trPr/>
        <w:tc>
          <w:tcPr>
            <w:tcW w:w="97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c>
          <w:tcPr>
            <w:tcW w:w="1672" w:type="dxa"/>
            <w:gridSpan w:val="6"/>
            <w:tcBorders/>
          </w:tcPr>
          <w:p>
            <w:pPr>
              <w:pStyle w:val="TableContents"/>
              <w:bidi w:val="0"/>
              <w:spacing w:before="0" w:after="283"/>
              <w:jc w:val="left"/>
              <w:rPr>
                <w:sz w:val="4"/>
                <w:szCs w:val="4"/>
              </w:rPr>
            </w:pPr>
            <w:r>
              <w:rPr>
                <w:sz w:val="4"/>
                <w:szCs w:val="4"/>
              </w:rPr>
            </w:r>
          </w:p>
        </w:tc>
      </w:tr>
      <w:tr>
        <w:trPr/>
        <w:tc>
          <w:tcPr>
            <w:tcW w:w="2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805,189 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Electrical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Plumbing &amp; HVAC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1,032,764 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 Engineered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240,699 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2,108,592 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7"/>
        <w:gridCol w:w="515"/>
        <w:gridCol w:w="519"/>
        <w:gridCol w:w="109"/>
        <w:gridCol w:w="109"/>
        <w:gridCol w:w="109"/>
        <w:gridCol w:w="276"/>
        <w:gridCol w:w="1081"/>
        <w:gridCol w:w="144"/>
        <w:gridCol w:w="109"/>
        <w:gridCol w:w="109"/>
        <w:gridCol w:w="109"/>
        <w:gridCol w:w="211"/>
        <w:gridCol w:w="826"/>
        <w:gridCol w:w="109"/>
        <w:gridCol w:w="109"/>
        <w:gridCol w:w="109"/>
        <w:gridCol w:w="109"/>
        <w:gridCol w:w="283"/>
        <w:gridCol w:w="1112"/>
        <w:gridCol w:w="148"/>
        <w:gridCol w:w="109"/>
        <w:gridCol w:w="109"/>
        <w:gridCol w:w="109"/>
        <w:gridCol w:w="288"/>
        <w:gridCol w:w="1129"/>
        <w:gridCol w:w="148"/>
        <w:gridCol w:w="109"/>
        <w:gridCol w:w="109"/>
        <w:gridCol w:w="109"/>
        <w:gridCol w:w="211"/>
        <w:gridCol w:w="826"/>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211,644 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118,930 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779,467 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2024</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131,536 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75,540 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768,415 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87"/>
        <w:gridCol w:w="515"/>
        <w:gridCol w:w="519"/>
        <w:gridCol w:w="109"/>
        <w:gridCol w:w="109"/>
        <w:gridCol w:w="109"/>
        <w:gridCol w:w="276"/>
        <w:gridCol w:w="1081"/>
        <w:gridCol w:w="144"/>
        <w:gridCol w:w="109"/>
        <w:gridCol w:w="109"/>
        <w:gridCol w:w="109"/>
        <w:gridCol w:w="211"/>
        <w:gridCol w:w="976"/>
        <w:gridCol w:w="109"/>
        <w:gridCol w:w="109"/>
        <w:gridCol w:w="109"/>
        <w:gridCol w:w="109"/>
        <w:gridCol w:w="258"/>
        <w:gridCol w:w="1012"/>
        <w:gridCol w:w="135"/>
        <w:gridCol w:w="109"/>
        <w:gridCol w:w="109"/>
        <w:gridCol w:w="109"/>
        <w:gridCol w:w="258"/>
        <w:gridCol w:w="1012"/>
        <w:gridCol w:w="133"/>
        <w:gridCol w:w="109"/>
        <w:gridCol w:w="109"/>
        <w:gridCol w:w="109"/>
        <w:gridCol w:w="211"/>
        <w:gridCol w:w="976"/>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580,389 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325,607 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2,177,445 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805,189 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 2024</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397,903 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227,561 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232,422 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1,890,650 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receivable include amounts that we have billed or have an unconditional right to bill our customers. As of June 30, 2025, Accounts receivable included $13,639 of unbilled receivables for which we have an unconditional right to bill.</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and 2024, we recognized revenue of $145,991 and $96,889 related to our contract liabilities at September 30, 2024 and 2023,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Remaining Performance Obligations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June 30, 2025, we had remaining performance obligations of $1,295,207. The Company expects to recognize revenue on approximately $940,247 of the remaining performance obligations over the next 12 months, with the remainder recognized thereafter.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30, 2025, net revenue recognized from our performance obligations satisfied in previous periods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Prior to January 21, 2025, we were a party to the Third Amended and Restated Credit and Security Agreement (the “Third Credit Agreement”), which provided for a maximum borrowing amount of $150,000 under our revolving credit facility. Borrowings were limited by a borrowing base determined based on available collateral. The Third Credit Agreement, which was scheduled to mature on September 30, 2026, contained customary affirmative, negative and financial covenants.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Fourth Amended and Restated Credit and Security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January 21, 2025 we entered into the Fourth Amended and Restated Credit Agreement (the “Amended Credit Agreement”). Pursuant to the Amended Credit Agreement, our revolver amount increased from $150,000 to $300,000, and the maturity date was extended from September 30, 2026, to January 21, 2030. In addition, the limitation on borrowings based on available collateral was eliminated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June 30, 2025,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2025, we had $20,000 in borrowings under our revolving credit facility, and we had no outstanding borrowings under our revolving credit facility at September 30, 2024. At June 30, 2025, we had $5,545 in outstanding letters of credit and our total availability under the revolving credit facility was $274,455.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center"/>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for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5. PER SHARE INFORMATION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components of basic and diluted earnings per share for the three and nine months ended June 30, 2025 and 2024:</w:t>
      </w:r>
    </w:p>
    <w:tbl>
      <w:tblPr>
        <w:tblW w:w="10205" w:type="dxa"/>
        <w:jc w:val="center"/>
        <w:tblInd w:w="0" w:type="dxa"/>
        <w:tblLayout w:type="fixed"/>
        <w:tblCellMar>
          <w:top w:w="28" w:type="dxa"/>
          <w:left w:w="28" w:type="dxa"/>
          <w:bottom w:w="28" w:type="dxa"/>
          <w:right w:w="28" w:type="dxa"/>
        </w:tblCellMar>
      </w:tblPr>
      <w:tblGrid>
        <w:gridCol w:w="1564"/>
        <w:gridCol w:w="1251"/>
        <w:gridCol w:w="1263"/>
        <w:gridCol w:w="109"/>
        <w:gridCol w:w="109"/>
        <w:gridCol w:w="109"/>
        <w:gridCol w:w="244"/>
        <w:gridCol w:w="837"/>
        <w:gridCol w:w="111"/>
        <w:gridCol w:w="111"/>
        <w:gridCol w:w="111"/>
        <w:gridCol w:w="111"/>
        <w:gridCol w:w="244"/>
        <w:gridCol w:w="837"/>
        <w:gridCol w:w="111"/>
        <w:gridCol w:w="109"/>
        <w:gridCol w:w="109"/>
        <w:gridCol w:w="109"/>
        <w:gridCol w:w="219"/>
        <w:gridCol w:w="862"/>
        <w:gridCol w:w="109"/>
        <w:gridCol w:w="109"/>
        <w:gridCol w:w="109"/>
        <w:gridCol w:w="109"/>
        <w:gridCol w:w="219"/>
        <w:gridCol w:w="862"/>
        <w:gridCol w:w="158"/>
      </w:tblGrid>
      <w:tr>
        <w:trPr/>
        <w:tc>
          <w:tcPr>
            <w:tcW w:w="15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19,856,289 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20,224,102 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20,216,981 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and non-vested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20,104,257 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20,496,870 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20,462,856 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excluded from the computation of diluted earnings per share as the effect of their inclusion would have been anti-dilutive:</w:t>
            </w:r>
          </w:p>
        </w:tc>
      </w:tr>
      <w:tr>
        <w:trPr/>
        <w:tc>
          <w:tcPr>
            <w:tcW w:w="4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phantom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6" w:type="dxa"/>
            <w:gridSpan w:val="6"/>
            <w:tcBorders/>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r>
        <w:trPr/>
        <w:tc>
          <w:tcPr>
            <w:tcW w:w="4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June 30, 2024, the average price of our common shares exceeded the exercise price of all of our outstanding stock options. As a result, all of our outstanding stock options were included in the computation of diluted earnings per share. We had no remaining outstanding unvested stock options during the three and nine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OPERATING SEGMENTS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manage and measure performance of our business in four distinct operating segments: Communications, Residential, Infrastructure Solutions, and Commercial &amp; Industrial. These segments are reflective of how the Company's CODM reviews operating results for the purpose of allocating resources and assessing performance. The Company’s CODM is its Chief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between segments, if any, are eliminated in consolidation. Our corporate office provides general and administrative services, as well as support services, to each of our four operating segments. Management allocates certain shared costs among segments for selling, general and administrative expenses and depreciation expense.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information for the three and nine months ended June 30, 2025 and 2024 is as follows:</w:t>
      </w:r>
    </w:p>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299,213 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890,158 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226,089 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650,561 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127,334 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49"/>
        <w:gridCol w:w="219"/>
        <w:gridCol w:w="219"/>
        <w:gridCol w:w="451"/>
        <w:gridCol w:w="451"/>
        <w:gridCol w:w="229"/>
        <w:gridCol w:w="245"/>
        <w:gridCol w:w="923"/>
        <w:gridCol w:w="138"/>
        <w:gridCol w:w="109"/>
        <w:gridCol w:w="109"/>
        <w:gridCol w:w="109"/>
        <w:gridCol w:w="196"/>
        <w:gridCol w:w="736"/>
        <w:gridCol w:w="109"/>
        <w:gridCol w:w="109"/>
        <w:gridCol w:w="109"/>
        <w:gridCol w:w="109"/>
        <w:gridCol w:w="209"/>
        <w:gridCol w:w="788"/>
        <w:gridCol w:w="118"/>
        <w:gridCol w:w="109"/>
        <w:gridCol w:w="109"/>
        <w:gridCol w:w="109"/>
        <w:gridCol w:w="210"/>
        <w:gridCol w:w="694"/>
        <w:gridCol w:w="118"/>
        <w:gridCol w:w="109"/>
        <w:gridCol w:w="109"/>
        <w:gridCol w:w="109"/>
        <w:gridCol w:w="196"/>
        <w:gridCol w:w="736"/>
        <w:gridCol w:w="109"/>
        <w:gridCol w:w="109"/>
        <w:gridCol w:w="109"/>
        <w:gridCol w:w="109"/>
        <w:gridCol w:w="196"/>
        <w:gridCol w:w="871"/>
        <w:gridCol w:w="160"/>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2024</w:t>
            </w:r>
          </w:p>
        </w:tc>
      </w:tr>
      <w:tr>
        <w:trPr/>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768,415 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155,184 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74,860 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573,634 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194,781 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90,176 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1,155,336 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38"/>
        <w:gridCol w:w="210"/>
        <w:gridCol w:w="210"/>
        <w:gridCol w:w="427"/>
        <w:gridCol w:w="427"/>
        <w:gridCol w:w="194"/>
        <w:gridCol w:w="245"/>
        <w:gridCol w:w="923"/>
        <w:gridCol w:w="138"/>
        <w:gridCol w:w="109"/>
        <w:gridCol w:w="109"/>
        <w:gridCol w:w="109"/>
        <w:gridCol w:w="196"/>
        <w:gridCol w:w="736"/>
        <w:gridCol w:w="109"/>
        <w:gridCol w:w="109"/>
        <w:gridCol w:w="109"/>
        <w:gridCol w:w="109"/>
        <w:gridCol w:w="203"/>
        <w:gridCol w:w="765"/>
        <w:gridCol w:w="114"/>
        <w:gridCol w:w="109"/>
        <w:gridCol w:w="109"/>
        <w:gridCol w:w="109"/>
        <w:gridCol w:w="199"/>
        <w:gridCol w:w="749"/>
        <w:gridCol w:w="111"/>
        <w:gridCol w:w="109"/>
        <w:gridCol w:w="109"/>
        <w:gridCol w:w="109"/>
        <w:gridCol w:w="196"/>
        <w:gridCol w:w="736"/>
        <w:gridCol w:w="109"/>
        <w:gridCol w:w="109"/>
        <w:gridCol w:w="109"/>
        <w:gridCol w:w="109"/>
        <w:gridCol w:w="196"/>
        <w:gridCol w:w="871"/>
        <w:gridCol w:w="109"/>
        <w:gridCol w:w="15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355,233 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329,268 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620,211 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184,978 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64,971 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7"/>
        <w:gridCol w:w="208"/>
        <w:gridCol w:w="208"/>
        <w:gridCol w:w="424"/>
        <w:gridCol w:w="424"/>
        <w:gridCol w:w="189"/>
        <w:gridCol w:w="245"/>
        <w:gridCol w:w="923"/>
        <w:gridCol w:w="138"/>
        <w:gridCol w:w="109"/>
        <w:gridCol w:w="109"/>
        <w:gridCol w:w="109"/>
        <w:gridCol w:w="196"/>
        <w:gridCol w:w="871"/>
        <w:gridCol w:w="109"/>
        <w:gridCol w:w="109"/>
        <w:gridCol w:w="109"/>
        <w:gridCol w:w="109"/>
        <w:gridCol w:w="202"/>
        <w:gridCol w:w="761"/>
        <w:gridCol w:w="114"/>
        <w:gridCol w:w="109"/>
        <w:gridCol w:w="109"/>
        <w:gridCol w:w="109"/>
        <w:gridCol w:w="198"/>
        <w:gridCol w:w="746"/>
        <w:gridCol w:w="110"/>
        <w:gridCol w:w="109"/>
        <w:gridCol w:w="109"/>
        <w:gridCol w:w="109"/>
        <w:gridCol w:w="196"/>
        <w:gridCol w:w="736"/>
        <w:gridCol w:w="109"/>
        <w:gridCol w:w="109"/>
        <w:gridCol w:w="109"/>
        <w:gridCol w:w="109"/>
        <w:gridCol w:w="196"/>
        <w:gridCol w:w="871"/>
        <w:gridCol w:w="159"/>
      </w:tblGrid>
      <w:tr>
        <w:trPr/>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Nine Months Ended June 30, 2024</w:t>
            </w:r>
          </w:p>
        </w:tc>
      </w:tr>
      <w:tr>
        <w:trPr/>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6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556,554 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2,108,592 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1,598,394 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112,329 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72,592 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510,198 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285,816 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64,345 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225,880 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1,155,336 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2006 Equity Incentive Plan, as amended and restated (the “Equity Incentive Plan”), provides for grants of phantom stock units, performance awards and stock options as well as grants of stock, including restricted stock. The Equity Incentive Plan was amended and restated effective February 20, 2025 following approval by stockholders at the Company's 2025 Annual Meeting of Stockholders to, among other things, authorize the issuance of an additional 750,000 shares under the Equity Incentive Plan and extend its term to February 19, 2035. As of June 30, 2025, approximately 3.75 million shares of common stock were authorized for issuance under the Equity Incentive Plan, of which approximately 1,265,795 shares were available for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31, 2024, our Board authorized a stock repurchase program for the purchase from time to time of up to $200,000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33,900 and 173,262 shares of our common stock during the three and nine months ended June 30, 2025 in open market transactions at an average price of $157.16 and $174.25 per share, respectively. We repurchased 157,505 shares of our common stock during the three and nine months ended June 30, 2024 in open market transactions at an average price of $132.92.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we issued 94,752 shares of common stock from treasury stock to employees and repurchased 38,744 shares of common stock from our employees to satisfy statutory tax withholding requirements upon the vesting of certain phantom stock units under the 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2024, we issued 82,180 shares of common stock from treasury stock to employees and repurchased 33,940 shares of common stock from our employees to satisfy statutory tax withholding requirements upon the vesting of certain phantom stock units under the Equity Incentive Plan. During the nine months ended June 30, 2024, we issued 1,000 unrestricted shares to satisfy the exercise of certain outstanding option awards under the 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Phantom Stock Units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Director phantom stock units (“Director PSUs”) are granted to the members of the Board of Directors as part of their overall compensation.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Employee Phantom Stock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Employee PSU activity for the nine months ended June 30, 2025 is provided in the table below:</w:t>
      </w:r>
    </w:p>
    <w:tbl>
      <w:tblPr>
        <w:tblW w:w="3725" w:type="dxa"/>
        <w:jc w:val="center"/>
        <w:tblInd w:w="0" w:type="dxa"/>
        <w:tblLayout w:type="fixed"/>
        <w:tblCellMar>
          <w:top w:w="28" w:type="dxa"/>
          <w:left w:w="28" w:type="dxa"/>
          <w:bottom w:w="28" w:type="dxa"/>
          <w:right w:w="28" w:type="dxa"/>
        </w:tblCellMar>
      </w:tblPr>
      <w:tblGrid>
        <w:gridCol w:w="993"/>
        <w:gridCol w:w="875"/>
        <w:gridCol w:w="877"/>
        <w:gridCol w:w="413"/>
        <w:gridCol w:w="413"/>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June 30,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compensation expense related to our stock awards recognized during the three and nine months ended June 30, 2025 and 2024 is provided in the table below:</w:t>
      </w:r>
    </w:p>
    <w:tbl>
      <w:tblPr>
        <w:tblW w:w="6767" w:type="dxa"/>
        <w:jc w:val="center"/>
        <w:tblInd w:w="0" w:type="dxa"/>
        <w:tblLayout w:type="fixed"/>
        <w:tblCellMar>
          <w:top w:w="28" w:type="dxa"/>
          <w:left w:w="28" w:type="dxa"/>
          <w:bottom w:w="28" w:type="dxa"/>
          <w:right w:w="28" w:type="dxa"/>
        </w:tblCellMar>
      </w:tblPr>
      <w:tblGrid>
        <w:gridCol w:w="511"/>
        <w:gridCol w:w="448"/>
        <w:gridCol w:w="451"/>
        <w:gridCol w:w="243"/>
        <w:gridCol w:w="710"/>
        <w:gridCol w:w="125"/>
        <w:gridCol w:w="125"/>
        <w:gridCol w:w="125"/>
        <w:gridCol w:w="125"/>
        <w:gridCol w:w="243"/>
        <w:gridCol w:w="710"/>
        <w:gridCol w:w="125"/>
        <w:gridCol w:w="109"/>
        <w:gridCol w:w="109"/>
        <w:gridCol w:w="109"/>
        <w:gridCol w:w="235"/>
        <w:gridCol w:w="687"/>
        <w:gridCol w:w="121"/>
        <w:gridCol w:w="121"/>
        <w:gridCol w:w="121"/>
        <w:gridCol w:w="121"/>
        <w:gridCol w:w="235"/>
        <w:gridCol w:w="687"/>
        <w:gridCol w:w="171"/>
      </w:tblGrid>
      <w:tr>
        <w:trPr/>
        <w:tc>
          <w:tcPr>
            <w:tcW w:w="5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PSUs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PSUs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 in Marketable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 in marketable equity and debt securities classified as trading securities, which were included in “Marketable securities” in our Condensed Consolidated Balance Sheets, are measured at fair value on a recurring basis and classified within Level 1 of the fair value hierarchy, because we use quoted prices of identical assets in active markets. For more information, refer to Note 9, “Fair Value Measurements.” The balance of our marketable securities was as follows:</w:t>
      </w:r>
    </w:p>
    <w:tbl>
      <w:tblPr>
        <w:tblW w:w="5771" w:type="dxa"/>
        <w:jc w:val="center"/>
        <w:tblInd w:w="0" w:type="dxa"/>
        <w:tblLayout w:type="fixed"/>
        <w:tblCellMar>
          <w:top w:w="28" w:type="dxa"/>
          <w:left w:w="28" w:type="dxa"/>
          <w:bottom w:w="28" w:type="dxa"/>
          <w:right w:w="28" w:type="dxa"/>
        </w:tblCellMar>
      </w:tblPr>
      <w:tblGrid>
        <w:gridCol w:w="881"/>
        <w:gridCol w:w="772"/>
        <w:gridCol w:w="777"/>
        <w:gridCol w:w="252"/>
        <w:gridCol w:w="862"/>
        <w:gridCol w:w="130"/>
        <w:gridCol w:w="109"/>
        <w:gridCol w:w="109"/>
        <w:gridCol w:w="109"/>
        <w:gridCol w:w="344"/>
        <w:gridCol w:w="1175"/>
        <w:gridCol w:w="251"/>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debt securities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to measure our investments in marketable equity and debt securities at fair value were included in “Other (income) expense, net” on our Condensed Consolidated Statements of Comprehensive Income. Our unrealized net gains (losses), which are calculated as total net gains (losses) recognized during the period less net gains (losses) recognized on securities sold during the period, were as follows:</w:t>
      </w:r>
    </w:p>
    <w:tbl>
      <w:tblPr>
        <w:tblW w:w="9829" w:type="dxa"/>
        <w:jc w:val="center"/>
        <w:tblInd w:w="0" w:type="dxa"/>
        <w:tblLayout w:type="fixed"/>
        <w:tblCellMar>
          <w:top w:w="28" w:type="dxa"/>
          <w:left w:w="28" w:type="dxa"/>
          <w:bottom w:w="28" w:type="dxa"/>
          <w:right w:w="28" w:type="dxa"/>
        </w:tblCellMar>
      </w:tblPr>
      <w:tblGrid>
        <w:gridCol w:w="1620"/>
        <w:gridCol w:w="1423"/>
        <w:gridCol w:w="1427"/>
        <w:gridCol w:w="227"/>
        <w:gridCol w:w="746"/>
        <w:gridCol w:w="117"/>
        <w:gridCol w:w="117"/>
        <w:gridCol w:w="117"/>
        <w:gridCol w:w="117"/>
        <w:gridCol w:w="227"/>
        <w:gridCol w:w="746"/>
        <w:gridCol w:w="117"/>
        <w:gridCol w:w="109"/>
        <w:gridCol w:w="109"/>
        <w:gridCol w:w="109"/>
        <w:gridCol w:w="228"/>
        <w:gridCol w:w="665"/>
        <w:gridCol w:w="117"/>
        <w:gridCol w:w="117"/>
        <w:gridCol w:w="117"/>
        <w:gridCol w:w="117"/>
        <w:gridCol w:w="228"/>
        <w:gridCol w:w="746"/>
        <w:gridCol w:w="166"/>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equity securities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marketable debt securities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 (loss) on trading securities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2, 2024, we paid $44,900 to acquire a 12.5% membership interest in Jett Texas Company LLC (“Jett”), an investment company, as part of the financing of Jett's investment in the CB&amp;I storage solutions business, a designer and builder of storage facilities, tanks and terminals for energy and industrial markets, formerly owned by McDermott International, Ltd. Our investment, which was included in “Investments” on our Condensed Consolidated Balance Sheets, is measured using the equity method of accounting, wherein the carrying value of our investment is initially recorded at cost basis and subsequently adjusted for our proportionate share of earnings or losses, additional investments, and distributions. We recorded no earnings or loss on our investment in Jett in the three and nine months ended June 30, 2025 and the carrying value of our investment in Jett was $44,900 at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 Accounting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restricted cash, accounts receivable, accounts payable, and contract assets and liabilities approximate fair values due to their short-term nature. The carrying value of borrowings under our revolving credit facility approximates fair value as its effective interest rate is variable and approximates market rates.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June 30, 2025 and September 30, 2024, financial assets and liabilities measured at fair value on a recurring basis were limited to investments in marketable equity and debt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(liabilities) measured at fair value on a recurring basis as of June 30, 2025 and September 30, 2024, are summarized in the following tables by the type of inputs applicable to the fair value measurements:</w:t>
      </w:r>
    </w:p>
    <w:tbl>
      <w:tblPr>
        <w:tblW w:w="10205" w:type="dxa"/>
        <w:jc w:val="center"/>
        <w:tblInd w:w="0" w:type="dxa"/>
        <w:tblLayout w:type="fixed"/>
        <w:tblCellMar>
          <w:top w:w="28" w:type="dxa"/>
          <w:left w:w="28" w:type="dxa"/>
          <w:bottom w:w="28" w:type="dxa"/>
          <w:right w:w="28" w:type="dxa"/>
        </w:tblCellMar>
      </w:tblPr>
      <w:tblGrid>
        <w:gridCol w:w="906"/>
        <w:gridCol w:w="747"/>
        <w:gridCol w:w="752"/>
        <w:gridCol w:w="109"/>
        <w:gridCol w:w="109"/>
        <w:gridCol w:w="109"/>
        <w:gridCol w:w="109"/>
        <w:gridCol w:w="109"/>
        <w:gridCol w:w="109"/>
        <w:gridCol w:w="474"/>
        <w:gridCol w:w="405"/>
        <w:gridCol w:w="392"/>
        <w:gridCol w:w="109"/>
        <w:gridCol w:w="109"/>
        <w:gridCol w:w="109"/>
        <w:gridCol w:w="109"/>
        <w:gridCol w:w="109"/>
        <w:gridCol w:w="109"/>
        <w:gridCol w:w="614"/>
        <w:gridCol w:w="538"/>
        <w:gridCol w:w="541"/>
        <w:gridCol w:w="109"/>
        <w:gridCol w:w="109"/>
        <w:gridCol w:w="109"/>
        <w:gridCol w:w="109"/>
        <w:gridCol w:w="109"/>
        <w:gridCol w:w="109"/>
        <w:gridCol w:w="839"/>
        <w:gridCol w:w="839"/>
        <w:gridCol w:w="1196"/>
      </w:tblGrid>
      <w:tr>
        <w:trPr/>
        <w:tc>
          <w:tcPr>
            <w:tcW w:w="90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 (Level 3)</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66,815 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62,463 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66,947 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w:t>
            </w:r>
          </w:p>
        </w:tc>
        <w:tc>
          <w:tcPr>
            <w:tcW w:w="1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6"/>
        <w:gridCol w:w="747"/>
        <w:gridCol w:w="752"/>
        <w:gridCol w:w="109"/>
        <w:gridCol w:w="109"/>
        <w:gridCol w:w="109"/>
        <w:gridCol w:w="109"/>
        <w:gridCol w:w="109"/>
        <w:gridCol w:w="109"/>
        <w:gridCol w:w="474"/>
        <w:gridCol w:w="405"/>
        <w:gridCol w:w="392"/>
        <w:gridCol w:w="109"/>
        <w:gridCol w:w="109"/>
        <w:gridCol w:w="109"/>
        <w:gridCol w:w="109"/>
        <w:gridCol w:w="109"/>
        <w:gridCol w:w="109"/>
        <w:gridCol w:w="614"/>
        <w:gridCol w:w="538"/>
        <w:gridCol w:w="541"/>
        <w:gridCol w:w="109"/>
        <w:gridCol w:w="109"/>
        <w:gridCol w:w="109"/>
        <w:gridCol w:w="109"/>
        <w:gridCol w:w="109"/>
        <w:gridCol w:w="109"/>
        <w:gridCol w:w="839"/>
        <w:gridCol w:w="839"/>
        <w:gridCol w:w="1196"/>
      </w:tblGrid>
      <w:tr>
        <w:trPr/>
        <w:tc>
          <w:tcPr>
            <w:tcW w:w="90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2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 (Level 3)</w:t>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4" w:type="dxa"/>
            <w:gridSpan w:val="3"/>
            <w:tcBorders/>
            <w:vAlign w:val="center"/>
          </w:tcPr>
          <w:p>
            <w:pPr>
              <w:pStyle w:val="TableContents"/>
              <w:bidi w:val="0"/>
              <w:spacing w:before="0" w:after="283"/>
              <w:jc w:val="left"/>
              <w:rPr>
                <w:sz w:val="4"/>
                <w:szCs w:val="4"/>
              </w:rPr>
            </w:pPr>
            <w:r>
              <w:rPr>
                <w:sz w:val="4"/>
                <w:szCs w:val="4"/>
              </w:rPr>
            </w:r>
          </w:p>
        </w:tc>
      </w:tr>
      <w:tr>
        <w:trPr/>
        <w:tc>
          <w:tcPr>
            <w:tcW w:w="2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1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31,669 </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35,137 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1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 2024, we entered into a contingent consideration arrangement under which we are obligated to pay up to $5,000 upon achievement of certain future earnings targets in connection with the acquisition of Greiner Industries, Inc. (“Greiner”) valued at $2,790 on the acquisition date. The fair value of this liability, which was included in “Other non-current liabilities” in our Condensed Consolidated Balance Sheets, is measured on a recurring basis classified within Level 3 of the fair value hierarchy. Net adjustments to its fair value were included in “Contingent consideration” in our Condensed Consolidated Statements of Comprehensive Income.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change in fair value of liabilities measured using significant unobservable inputs (Level 3).</w:t>
      </w:r>
    </w:p>
    <w:tbl>
      <w:tblPr>
        <w:tblW w:w="9105" w:type="dxa"/>
        <w:jc w:val="center"/>
        <w:tblInd w:w="0" w:type="dxa"/>
        <w:tblLayout w:type="fixed"/>
        <w:tblCellMar>
          <w:top w:w="28" w:type="dxa"/>
          <w:left w:w="28" w:type="dxa"/>
          <w:bottom w:w="28" w:type="dxa"/>
          <w:right w:w="28" w:type="dxa"/>
        </w:tblCellMar>
      </w:tblPr>
      <w:tblGrid>
        <w:gridCol w:w="2072"/>
        <w:gridCol w:w="1826"/>
        <w:gridCol w:w="1832"/>
        <w:gridCol w:w="109"/>
        <w:gridCol w:w="109"/>
        <w:gridCol w:w="109"/>
        <w:gridCol w:w="640"/>
        <w:gridCol w:w="1919"/>
        <w:gridCol w:w="335"/>
        <w:gridCol w:w="154"/>
      </w:tblGrid>
      <w:tr>
        <w:trPr/>
        <w:tc>
          <w:tcPr>
            <w:tcW w:w="207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adjustments to fair value included in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(4,484)</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INVENTORY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components:</w:t>
      </w:r>
    </w:p>
    <w:tbl>
      <w:tblPr>
        <w:tblW w:w="4971" w:type="dxa"/>
        <w:jc w:val="center"/>
        <w:tblInd w:w="0" w:type="dxa"/>
        <w:tblLayout w:type="fixed"/>
        <w:tblCellMar>
          <w:top w:w="28" w:type="dxa"/>
          <w:left w:w="28" w:type="dxa"/>
          <w:bottom w:w="28" w:type="dxa"/>
          <w:right w:w="28" w:type="dxa"/>
        </w:tblCellMar>
      </w:tblPr>
      <w:tblGrid>
        <w:gridCol w:w="291"/>
        <w:gridCol w:w="255"/>
        <w:gridCol w:w="255"/>
        <w:gridCol w:w="255"/>
        <w:gridCol w:w="255"/>
        <w:gridCol w:w="262"/>
        <w:gridCol w:w="130"/>
        <w:gridCol w:w="130"/>
        <w:gridCol w:w="130"/>
        <w:gridCol w:w="412"/>
        <w:gridCol w:w="414"/>
        <w:gridCol w:w="130"/>
        <w:gridCol w:w="109"/>
        <w:gridCol w:w="109"/>
        <w:gridCol w:w="109"/>
        <w:gridCol w:w="202"/>
        <w:gridCol w:w="202"/>
        <w:gridCol w:w="202"/>
        <w:gridCol w:w="412"/>
        <w:gridCol w:w="414"/>
        <w:gridCol w:w="293"/>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108,775 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101,728 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GOODWILL AND 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summarizes changes in the carrying value of goodwill by segment during the nine months ended June 30, 2025:</w:t>
      </w:r>
    </w:p>
    <w:tbl>
      <w:tblPr>
        <w:tblW w:w="10205" w:type="dxa"/>
        <w:jc w:val="center"/>
        <w:tblInd w:w="0" w:type="dxa"/>
        <w:tblLayout w:type="fixed"/>
        <w:tblCellMar>
          <w:top w:w="28" w:type="dxa"/>
          <w:left w:w="28" w:type="dxa"/>
          <w:bottom w:w="28" w:type="dxa"/>
          <w:right w:w="28" w:type="dxa"/>
        </w:tblCellMar>
      </w:tblPr>
      <w:tblGrid>
        <w:gridCol w:w="734"/>
        <w:gridCol w:w="558"/>
        <w:gridCol w:w="559"/>
        <w:gridCol w:w="109"/>
        <w:gridCol w:w="109"/>
        <w:gridCol w:w="109"/>
        <w:gridCol w:w="338"/>
        <w:gridCol w:w="987"/>
        <w:gridCol w:w="176"/>
        <w:gridCol w:w="109"/>
        <w:gridCol w:w="109"/>
        <w:gridCol w:w="109"/>
        <w:gridCol w:w="211"/>
        <w:gridCol w:w="721"/>
        <w:gridCol w:w="109"/>
        <w:gridCol w:w="109"/>
        <w:gridCol w:w="109"/>
        <w:gridCol w:w="109"/>
        <w:gridCol w:w="312"/>
        <w:gridCol w:w="1071"/>
        <w:gridCol w:w="162"/>
        <w:gridCol w:w="109"/>
        <w:gridCol w:w="109"/>
        <w:gridCol w:w="109"/>
        <w:gridCol w:w="447"/>
        <w:gridCol w:w="861"/>
        <w:gridCol w:w="233"/>
        <w:gridCol w:w="109"/>
        <w:gridCol w:w="109"/>
        <w:gridCol w:w="109"/>
        <w:gridCol w:w="211"/>
        <w:gridCol w:w="721"/>
        <w:gridCol w:w="159"/>
      </w:tblGrid>
      <w:tr>
        <w:trPr/>
        <w:tc>
          <w:tcPr>
            <w:tcW w:w="7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93,960 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1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On January 31, 2025, the Company acquired all of the equity interests of Arrow Engine Company for a purchase price of $22,406. As of the date of this report, the fair value of the total consideration for this transaction and the amount of goodwill acquired are pending our final valuation of the net deferred tax liability acquired.</w:t>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378"/>
        <w:gridCol w:w="309"/>
        <w:gridCol w:w="309"/>
        <w:gridCol w:w="309"/>
        <w:gridCol w:w="309"/>
        <w:gridCol w:w="314"/>
        <w:gridCol w:w="109"/>
        <w:gridCol w:w="109"/>
        <w:gridCol w:w="109"/>
        <w:gridCol w:w="192"/>
        <w:gridCol w:w="192"/>
        <w:gridCol w:w="192"/>
        <w:gridCol w:w="192"/>
        <w:gridCol w:w="192"/>
        <w:gridCol w:w="192"/>
        <w:gridCol w:w="192"/>
        <w:gridCol w:w="192"/>
        <w:gridCol w:w="192"/>
        <w:gridCol w:w="109"/>
        <w:gridCol w:w="109"/>
        <w:gridCol w:w="109"/>
        <w:gridCol w:w="109"/>
        <w:gridCol w:w="109"/>
        <w:gridCol w:w="109"/>
        <w:gridCol w:w="278"/>
        <w:gridCol w:w="1089"/>
        <w:gridCol w:w="143"/>
        <w:gridCol w:w="109"/>
        <w:gridCol w:w="109"/>
        <w:gridCol w:w="109"/>
        <w:gridCol w:w="109"/>
        <w:gridCol w:w="109"/>
        <w:gridCol w:w="109"/>
        <w:gridCol w:w="328"/>
        <w:gridCol w:w="1151"/>
        <w:gridCol w:w="172"/>
        <w:gridCol w:w="109"/>
        <w:gridCol w:w="109"/>
        <w:gridCol w:w="109"/>
        <w:gridCol w:w="109"/>
        <w:gridCol w:w="109"/>
        <w:gridCol w:w="109"/>
        <w:gridCol w:w="211"/>
        <w:gridCol w:w="721"/>
        <w:gridCol w:w="167"/>
      </w:tblGrid>
      <w:tr>
        <w:trPr/>
        <w:tc>
          <w:tcPr>
            <w:tcW w:w="3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r>
      <w:tr>
        <w:trPr/>
        <w:tc>
          <w:tcPr>
            <w:tcW w:w="19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753" w:type="dxa"/>
            <w:gridSpan w:val="9"/>
            <w:tcBorders/>
          </w:tcPr>
          <w:p>
            <w:pPr>
              <w:pStyle w:val="TableContents"/>
              <w:bidi w:val="0"/>
              <w:spacing w:before="0" w:after="283"/>
              <w:jc w:val="left"/>
              <w:rPr>
                <w:sz w:val="4"/>
                <w:szCs w:val="4"/>
              </w:rPr>
            </w:pPr>
            <w:r>
              <w:rPr>
                <w:sz w:val="4"/>
                <w:szCs w:val="4"/>
              </w:rPr>
            </w:r>
          </w:p>
        </w:tc>
      </w:tr>
      <w:tr>
        <w:trPr/>
        <w:tc>
          <w:tcPr>
            <w:tcW w:w="19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111,017 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(72,140)</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38,877 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8"/>
        <w:gridCol w:w="309"/>
        <w:gridCol w:w="309"/>
        <w:gridCol w:w="309"/>
        <w:gridCol w:w="309"/>
        <w:gridCol w:w="314"/>
        <w:gridCol w:w="109"/>
        <w:gridCol w:w="109"/>
        <w:gridCol w:w="109"/>
        <w:gridCol w:w="192"/>
        <w:gridCol w:w="192"/>
        <w:gridCol w:w="192"/>
        <w:gridCol w:w="192"/>
        <w:gridCol w:w="192"/>
        <w:gridCol w:w="192"/>
        <w:gridCol w:w="192"/>
        <w:gridCol w:w="192"/>
        <w:gridCol w:w="192"/>
        <w:gridCol w:w="109"/>
        <w:gridCol w:w="109"/>
        <w:gridCol w:w="109"/>
        <w:gridCol w:w="109"/>
        <w:gridCol w:w="109"/>
        <w:gridCol w:w="109"/>
        <w:gridCol w:w="278"/>
        <w:gridCol w:w="1089"/>
        <w:gridCol w:w="143"/>
        <w:gridCol w:w="109"/>
        <w:gridCol w:w="109"/>
        <w:gridCol w:w="109"/>
        <w:gridCol w:w="109"/>
        <w:gridCol w:w="109"/>
        <w:gridCol w:w="109"/>
        <w:gridCol w:w="328"/>
        <w:gridCol w:w="1151"/>
        <w:gridCol w:w="172"/>
        <w:gridCol w:w="109"/>
        <w:gridCol w:w="109"/>
        <w:gridCol w:w="109"/>
        <w:gridCol w:w="109"/>
        <w:gridCol w:w="109"/>
        <w:gridCol w:w="109"/>
        <w:gridCol w:w="211"/>
        <w:gridCol w:w="721"/>
        <w:gridCol w:w="167"/>
      </w:tblGrid>
      <w:tr>
        <w:trPr/>
        <w:tc>
          <w:tcPr>
            <w:tcW w:w="3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1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1753" w:type="dxa"/>
            <w:gridSpan w:val="9"/>
            <w:tcBorders/>
          </w:tcPr>
          <w:p>
            <w:pPr>
              <w:pStyle w:val="TableContents"/>
              <w:bidi w:val="0"/>
              <w:spacing w:before="0" w:after="283"/>
              <w:jc w:val="left"/>
              <w:rPr>
                <w:sz w:val="4"/>
                <w:szCs w:val="4"/>
              </w:rPr>
            </w:pPr>
            <w:r>
              <w:rPr>
                <w:sz w:val="4"/>
                <w:szCs w:val="4"/>
              </w:rPr>
            </w:r>
          </w:p>
        </w:tc>
      </w:tr>
      <w:tr>
        <w:trPr/>
        <w:tc>
          <w:tcPr>
            <w:tcW w:w="19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107,767 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45,890 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June 30, 2025 and September 30, 2024, we had $11,435 and $11,158,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June 30, 2025 and September 30, 2024, $5,545 and $4,756, respectively, of our outstanding letters of credit was utilized to collateralize our insurance program.</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2025, the estimated cost to complete our bonded projects was approximately $142,193.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2025, we did not have any such firm commitments to purchase materials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13. SUPPLEMENTAL CASH FLOW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provides a reconciliation of the components of cash, cash equivalents and restricted cash to the amounts reported on our Condensed Consolidated Balance Sheets as of June 30, 2025 and September 30, 2024, which sum to the amounts shown in our Condensed Consolidated Statements of Cash Flows for the nine months ended June 30, 2025.</w:t>
      </w:r>
    </w:p>
    <w:p>
      <w:pPr>
        <w:pStyle w:val="TextBody"/>
        <w:bidi w:val="0"/>
        <w:spacing w:before="0" w:after="0"/>
        <w:jc w:val="left"/>
        <w:rPr/>
      </w:pPr>
      <w:r>
        <w:rPr/>
      </w:r>
    </w:p>
    <w:tbl>
      <w:tblPr>
        <w:tblW w:w="7175" w:type="dxa"/>
        <w:jc w:val="center"/>
        <w:tblInd w:w="0" w:type="dxa"/>
        <w:tblLayout w:type="fixed"/>
        <w:tblCellMar>
          <w:top w:w="28" w:type="dxa"/>
          <w:left w:w="28" w:type="dxa"/>
          <w:bottom w:w="28" w:type="dxa"/>
          <w:right w:w="28" w:type="dxa"/>
        </w:tblCellMar>
      </w:tblPr>
      <w:tblGrid>
        <w:gridCol w:w="124"/>
        <w:gridCol w:w="109"/>
        <w:gridCol w:w="109"/>
        <w:gridCol w:w="1016"/>
        <w:gridCol w:w="1016"/>
        <w:gridCol w:w="1019"/>
        <w:gridCol w:w="147"/>
        <w:gridCol w:w="147"/>
        <w:gridCol w:w="147"/>
        <w:gridCol w:w="229"/>
        <w:gridCol w:w="898"/>
        <w:gridCol w:w="118"/>
        <w:gridCol w:w="109"/>
        <w:gridCol w:w="109"/>
        <w:gridCol w:w="109"/>
        <w:gridCol w:w="313"/>
        <w:gridCol w:w="1228"/>
        <w:gridCol w:w="2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108,448 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cash and noncash activities in the nine months ended June 30, 2025 and 2024 were as follows:</w:t>
      </w:r>
    </w:p>
    <w:tbl>
      <w:tblPr>
        <w:tblW w:w="10205" w:type="dxa"/>
        <w:jc w:val="center"/>
        <w:tblInd w:w="0" w:type="dxa"/>
        <w:tblLayout w:type="fixed"/>
        <w:tblCellMar>
          <w:top w:w="28" w:type="dxa"/>
          <w:left w:w="28" w:type="dxa"/>
          <w:bottom w:w="28" w:type="dxa"/>
          <w:right w:w="28" w:type="dxa"/>
        </w:tblCellMar>
      </w:tblPr>
      <w:tblGrid>
        <w:gridCol w:w="576"/>
        <w:gridCol w:w="475"/>
        <w:gridCol w:w="454"/>
        <w:gridCol w:w="914"/>
        <w:gridCol w:w="848"/>
        <w:gridCol w:w="848"/>
        <w:gridCol w:w="848"/>
        <w:gridCol w:w="848"/>
        <w:gridCol w:w="848"/>
        <w:gridCol w:w="343"/>
        <w:gridCol w:w="343"/>
        <w:gridCol w:w="361"/>
        <w:gridCol w:w="214"/>
        <w:gridCol w:w="732"/>
        <w:gridCol w:w="110"/>
        <w:gridCol w:w="110"/>
        <w:gridCol w:w="110"/>
        <w:gridCol w:w="110"/>
        <w:gridCol w:w="214"/>
        <w:gridCol w:w="732"/>
        <w:gridCol w:w="167"/>
      </w:tblGrid>
      <w:tr>
        <w:trPr/>
        <w:tc>
          <w:tcPr>
            <w:tcW w:w="57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770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ACTIVITIES: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tcPr>
          <w:p>
            <w:pPr>
              <w:pStyle w:val="TableContents"/>
              <w:bidi w:val="0"/>
              <w:spacing w:before="0" w:after="283"/>
              <w:jc w:val="left"/>
              <w:rPr>
                <w:sz w:val="4"/>
                <w:szCs w:val="4"/>
              </w:rPr>
            </w:pPr>
            <w:r>
              <w:rPr>
                <w:sz w:val="4"/>
                <w:szCs w:val="4"/>
              </w:rPr>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tcPr>
          <w:p>
            <w:pPr>
              <w:pStyle w:val="TableContents"/>
              <w:bidi w:val="0"/>
              <w:spacing w:before="0" w:after="283"/>
              <w:jc w:val="left"/>
              <w:rPr>
                <w:sz w:val="4"/>
                <w:szCs w:val="4"/>
              </w:rPr>
            </w:pPr>
            <w:r>
              <w:rPr>
                <w:sz w:val="4"/>
                <w:szCs w:val="4"/>
              </w:rPr>
            </w:r>
          </w:p>
        </w:tc>
      </w:tr>
      <w:tr>
        <w:trPr/>
        <w:tc>
          <w:tcPr>
            <w:tcW w:w="1505"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c>
          <w:tcPr>
            <w:tcW w:w="2544"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tcPr>
          <w:p>
            <w:pPr>
              <w:pStyle w:val="TableContents"/>
              <w:bidi w:val="0"/>
              <w:spacing w:before="0" w:after="283"/>
              <w:jc w:val="left"/>
              <w:rPr>
                <w:sz w:val="4"/>
                <w:szCs w:val="4"/>
              </w:rPr>
            </w:pPr>
            <w:r>
              <w:rPr>
                <w:sz w:val="4"/>
                <w:szCs w:val="4"/>
              </w:rPr>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 of Remaining Ownership Interest in Edmonson Electric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July 1, 2025, we acquired the remaining 20 percent noncontrolling interest in Edmonson Electric for $40,000.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ind w:left="0" w:right="0" w:hanging="126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discussion and analysis should be read in conjunction with our Consolidated Financial Statements and the notes thereto, set forth in Part II, Item 8. </w:t>
      </w:r>
      <w:r>
        <w:rPr>
          <w:color w:val="000000"/>
        </w:rPr>
        <w:t>“</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as set forth in our Annual Report on Form 10-K for the fiscal year ended September 30, 2024, and the Condensed Consolidated Financial Statements and notes thereto included in Part I, Item 1 of this Quarterly Report on Form 10-Q. The following discussion may contain forward looking statements. For additional information, see </w:t>
      </w:r>
      <w:r>
        <w:rPr>
          <w:color w:val="000000"/>
        </w:rPr>
        <w:t>“</w:t>
      </w:r>
      <w:r>
        <w:rPr>
          <w:rFonts w:ascii="Times New Roman;serif" w:hAnsi="Times New Roman;serif"/>
          <w:b w:val="false"/>
          <w:i/>
          <w:color w:val="000000"/>
          <w:sz w:val="20"/>
        </w:rPr>
        <w:t>Disclosure Regarding Forward Looking Statements”</w:t>
      </w:r>
      <w:r>
        <w:rPr>
          <w:color w:val="000000"/>
        </w:rPr>
        <w:t xml:space="preserve"> </w:t>
      </w:r>
      <w:r>
        <w:rPr>
          <w:rFonts w:ascii="Times New Roman;serif" w:hAnsi="Times New Roman;serif"/>
          <w:b w:val="false"/>
          <w:color w:val="000000"/>
          <w:sz w:val="20"/>
        </w:rPr>
        <w:t>in Part I of this Quarterly Report on Form 10-Q.</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Please refer to Part I, Item 1.</w:t>
      </w:r>
      <w:r>
        <w:rPr>
          <w:color w:val="000000"/>
        </w:rPr>
        <w:t xml:space="preserve"> “</w:t>
      </w:r>
      <w:r>
        <w:rPr>
          <w:rFonts w:ascii="Times New Roman;serif" w:hAnsi="Times New Roman;serif"/>
          <w:b w:val="false"/>
          <w:i/>
          <w:color w:val="000000"/>
          <w:sz w:val="20"/>
        </w:rPr>
        <w:t xml:space="preserve">Business” </w:t>
      </w:r>
      <w:r>
        <w:rPr>
          <w:rFonts w:ascii="Times New Roman;serif" w:hAnsi="Times New Roman;serif"/>
          <w:b w:val="false"/>
          <w:color w:val="000000"/>
          <w:sz w:val="20"/>
        </w:rPr>
        <w:t>of our Annual Report on Form 10-K for the fiscal year ended September 30, 2024,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Current Market and Operating Conditions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Throughout the first nine months of fiscal 2025, our business has benefited from strong demand continuing across many of our key end markets. However, our business segments each have their own unique set of factors influencing demand for our services. Housing affordability challenges from elevated mortgage rates and inflation, as well as the impact of overall economic uncertainty on consumer confidence, have persisted throughout the spring and into the summer, which is typically an active time for home sales. In response to this, many large home builders have increased their offerings of customer incentives as they focus on maintaining volume through fluctuations in consumer demand. These incentives have put pressure on our revenues and gross margins in our single-family business. Current tariff policy could exacerbate these housing affordability and consumer confidence issues, which could further impact our single-family business. In the multi-family residential business, higher borrowing costs for project owners during fiscal 2024 resulted in a reduction in backlog entering fiscal 2025, which in turn drove a reduction in multi-family residential revenues for fiscal 2025 to date. Backlog across our business segments as a whole remains high, reflecting strong demand in key end markets. Demand with respect to data centers, a key end market served by our Communications, Infrastructure Solutions, and Commercial &amp; Industrial segments, remains particularly strong. However, availability of labor and capacity could constrain the rate at which we are able to grow our business in this end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0"/>
        <w:gridCol w:w="150"/>
        <w:gridCol w:w="150"/>
        <w:gridCol w:w="1227"/>
        <w:gridCol w:w="1217"/>
        <w:gridCol w:w="121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366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three months ended June 30, 2025, were $121.7 million higher than for the three months ended June 30, 2024, an increase of 15.8%, with increases at our Communications, Infrastructure Solutions and Commercial &amp; Industrial segments and a decrease at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for the three months ended June 30, 2025 increased $44.8 million compared to the three months ended June 30, 2024. Our overall gross profit percentage was 26.9% during the three months ended June 30, 2025, as compared to 25.3% during the three months ended June 30, 2024. Gross profit as a percentage of revenue increased at our Communications, Residential and Infrastructure Solutions segments and decreased at our Commercial &amp; Industrial segment. See further discussion below of changes in gross margin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our selling, general and administrative expenses were $127.3 million, an increase of $22.6 million, or 21.6%, over the three months ended June 30, 2024, driven by increased personnel costs across our operating segments to support their growth and increased incentive compensation in connection with higher earnings than in the prior fiscal year. As a percentage of revenue, selling, general and administrative expenses increased from 13.6% for the three months ended June 30, 2024 to 14.3% for the three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178"/>
        <w:gridCol w:w="1164"/>
        <w:gridCol w:w="1144"/>
        <w:gridCol w:w="211"/>
        <w:gridCol w:w="976"/>
        <w:gridCol w:w="109"/>
        <w:gridCol w:w="109"/>
        <w:gridCol w:w="109"/>
        <w:gridCol w:w="109"/>
        <w:gridCol w:w="308"/>
        <w:gridCol w:w="308"/>
        <w:gridCol w:w="109"/>
        <w:gridCol w:w="109"/>
        <w:gridCol w:w="109"/>
        <w:gridCol w:w="109"/>
        <w:gridCol w:w="109"/>
        <w:gridCol w:w="109"/>
        <w:gridCol w:w="109"/>
        <w:gridCol w:w="211"/>
        <w:gridCol w:w="976"/>
        <w:gridCol w:w="109"/>
        <w:gridCol w:w="109"/>
        <w:gridCol w:w="109"/>
        <w:gridCol w:w="109"/>
        <w:gridCol w:w="308"/>
        <w:gridCol w:w="308"/>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nine months ended June 30, 2025, were $365.1 million higher than for the nine months ended June 30, 2024, an increase of 17.3%, with increases at our Communications, Infrastructure Solutions and Commercial &amp; Industrial segments and a decrease at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for the nine months ended June 30, 2025 increased $116.3 million compared to the nine months ended June 30, 2024. Our overall gross profit percentage increased to 25.3% during the nine months ended June 30, 2025, as compared to 24.2% during the nine months ended June 30, 2024. Gross profit as a percentage of revenue increased at our Communications and Infrastructure Solutions segments and decreased at our Residential and Commercial &amp; Industrial segments. See further discussion below of changes in gross margin for our individual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our selling, general and administrative expenses were $346.4 million, an increase of $60.6 million, or 21.2%, over the nine months ended June 30, 2024, driven primarily by increased personnel costs across our operating segments to support their growth and increased incentive compensation in connection with higher earnings than in the prior fiscal year. Selling, general and administrative expenses as a percentage of revenue increased from 13.6% for the nine months ended June 30, 2024 to 14.0% for the nine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Communications</w:t>
      </w:r>
    </w:p>
    <w:tbl>
      <w:tblPr>
        <w:tblW w:w="971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109"/>
        <w:gridCol w:w="109"/>
        <w:gridCol w:w="109"/>
        <w:gridCol w:w="413"/>
        <w:gridCol w:w="413"/>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Communications segment’s revenues increased by $106.9 million during the three months ended June 30, 2025, or 55.6%, compared to the three months ended June 30, 2024. The increase primarily resulted from an increase in demand, particularly in the data center market.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Communications segment’s gross profit during the three months ended June 30, 2025 increased by $36.0 million, or 97.0%, compared to the three months ended June 30, 2024. Gross profit as a percentage of revenue was 24.4% in the three months ended June 30, 2025 compared to 19.3% in the three months ended June 30, 2024. The increase in gross profit and gross margin primarily reflects strong demand as discussed above and successful project execution.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Communications segment’s selling, general and administrative expenses increased by $9.3 million, or 57.6%, during the three months ended June 30, 2025 compared to the three months ended June 30, 2024. The increase primarily reflects higher personnel cost to support business growth and higher incentive compensation as a result of higher earnings. Selling, general and administrative expenses as a percentage of revenue was 8.5% during the three months ended June 30, 2025, compared to 8.4% during the three months ended June 30, 2024 as the increase in selling, general and administrative expenses was generally consistent with the Communications segment's revenue growth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2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14"/>
        <w:gridCol w:w="114"/>
        <w:gridCol w:w="114"/>
        <w:gridCol w:w="413"/>
        <w:gridCol w:w="413"/>
        <w:gridCol w:w="114"/>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184,978 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Communications segment's revenues increased by $248.6 million, or 44.7%, during the nine months ended June 30, 2025, compared to the nine months ended June 30, 2024. The increase primarily resulted from an increase in demand, particularly in the data center market.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Communications segment’s gross profit during the nine months ended June 30, 2025 increased by $72.6 million, or 64.7%, as compared to the nine months ended June 30, 2024. Gross profit as a percentage of revenue increased from 20.2% to 23.0%. The increase in gross profit and gross margin primarily reflects strong demand as discussed above and successful project execution.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Communications segment’s selling, general and administrative expenses increased by $21.1 million, or 43.9%, during the nine months ended June 30, 2025, compared to the nine months ended June 30, 2024. The increase primarily reflects higher personnel cost to support business growth and higher incentive compensation as a result of higher earnings. Selling, general and administrative expenses as a percentage of revenue was 8.6% during the nine months ended both June 30, 2025 and 2024 as the increase in selling, general and administrative expenses was generally consistent with the Communications segment's revenue growth during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Residential</w:t>
      </w:r>
    </w:p>
    <w:tbl>
      <w:tblPr>
        <w:tblW w:w="9484"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Residential segment’s revenues decreased by $31.5 million, or 8.3%, during the three months ended June 30, 2025 compared to the three months ended June 30, 2024. Our single-family electrical revenues decreased by $23.9 million and our single-family plumbing and HVAC revenues decreased by $3.2 million compared to the prior year period, with expansion of the plumbing and HVAC trades into new markets partly offsetting the impact of slowing demand. Consumer demand in the single-family housing market was impacted by concerns over housing affordability and general economic conditions, leading to a decline in construction volumes and pressure on pricing during the period. Our multi-family revenues also decreased by $4.4 million, or 4.8%, driven by a reduction in backlog from fiscal years 2023 and 2024 due to the impact of continued elevated interest rates on demand.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During the three months ended June 30, 2025, our Residential segment's gross profit decreased by $8.0 million, or 7.6%, compared to the three months ended June 30, 2024, driven primarily by lower volume as discussed above. Gross profit as a percentage of revenue increased to 28.1% during the three months ended June 30, 2025, compared to 27.9% for the three months ended June 30, 2024 as reduced material costs and improved project execution in our multi-family business resulting from improved procurement and other processes offset the impact of lower volume.</w:t>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Residential segment's selling, general and administrative expenses increased by $2.3 million, or 3.7%, during the three months ended June 30, 2025, compared to the three months ended June 30, 2024. The increase was primarily driven by higher personnel and other administrative costs to support the future growth of our business. Selling, general and administrative expenses as a percentage of revenue in the Residential segment increased to 18.5% during the three months ended June 30, 2025, compared to 16.3% in the three months ended June 30, 2024. The increase as a percentage of revenue was primarily driven by the decrease in revenues as discussed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34"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97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Residential segment's revenues decreased by $48.8 million, or 4.7%, during the nine months ended June 30, 2025, compared to the nine months ended June 30, 2024. The decrease in revenues was primarily driven by a decrease of $39.2 million, or 7.3%, in our single-family electrical business revenues compared to the prior year period as consumer demand in the single-family housing market was impacted by concerns over housing affordability and general economic conditions, leading to a decline in construction volumes and pressure on pricing during the period.</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During the nine months ended June 30, 2025, our Residential segment's gross profit decreased by $13.3 million, or 4.9%, compared to the nine months ended June 30, 2024. The decrease in gross profit reflects the decline in volume as discussed above and reduced pricing to our customers, partially offset by reduced material costs and improved project execution in our multi-family business. Gross profit as a percentage of revenue was 26.0% during the nine months ended June 30, 2025, compared to 26.1% during the nine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Residential segment's selling, general and administrative expenses increased by $8.1 million, or 4.8%, during the nine months ended June 30, 2025, compared to the nine months ended June 30, 2024. The increase was primarily driven by higher personnel and other administrative costs to support the future growth of our business. Selling, general and administrative expenses as a percentage of revenue increased to 17.9% during the nine months ended June 30, 2025, compared to 16.3% during the nine months ended June 30, 2024. The increase as a percentage of revenue was primarily driven by the decrease in revenues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Infrastructure Solutions</w:t>
      </w:r>
    </w:p>
    <w:tbl>
      <w:tblPr>
        <w:tblW w:w="9273"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Infrastructure Solutions segment increased by $27.5 million during the three months ended June 30, 2025, an increase of 26.9% compared to the three months ended June 30, 2024, driven primarily by continued strong demand in our custom engineered solutions manufacturing businesses, including generator enclosures for data center customers, as well as expansion of our field services offerings. Arrow Engine Company (“Arrow”), which was acquired on January 31, 2025, contributed $5.3 million in revenues in the three months ended June 30, 2025.</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Infrastructure Solutions segment’s gross profit during the three months ended June 30, 2025 increased $15.5 million, or 50.6%, compared to the three months ended June 30, 2024, and gross profit as a percentage of revenue increased from 30.0% to 35.6%. The improvement in gross profit and gross margin was primarily driven by higher volumes, improved pricing, operating efficiencies at our facilities, and the impact of investments to increase capacity we have made over the last several years.</w:t>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Infrastructure Solutions segment’s selling, general and administrative expenses during the three months ended June 30, 2025 increased by $2.2 million, or 20.5%, compared to the three months ended June 30, 2024, primarily as a result of increased employee compensation cost to support growth in the business, higher incentive compensation as a result of higher earnings, and $0.8 million of expense incurred at Arrow. Selling, general and administrative expenses as a percentage of revenue decreased from 10.7% for the three months ended June 30, 2024 to 10.1% for the three months ended June 30, 2025 as we benefited from the scale of our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1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109"/>
        <w:gridCol w:w="109"/>
        <w:gridCol w:w="109"/>
        <w:gridCol w:w="413"/>
        <w:gridCol w:w="413"/>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Infrastructure Solutions segment increased by $114.5 million, or 47.6%, during the nine months ended June 30, 2025 compared to the nine months ended June 30, 2024. The increase in revenue was driven primarily by continued strong demand in our custom engineered solutions manufacturing businesses, including generator enclosures for data center customers, as well as expansion of our field services offerings. Greiner Industries, Inc. (“Greiner”), which was acquired on April 1, 2024, and Arrow contributed $47.3 million in revenue in the nine months ended June 30, 2025, compared to $15.3 million in revenue at Greiner in the nine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xml:space="preserve">. Our Infrastructure Solutions segment’s gross profit during the nine months ended June 30, 2025 increased by $47.8 million, or 65.9%, compared to the nine months ended June 30, 2024, and gross profit as a percentage of revenue increased to 33.9% for the nine months ended June 30, 2025 compared to 30.2% for the nine months ended June 30, 2024. The improvement in gross profit and gross margin was primarily driven by higher volumes, improved pricing, operating efficiencies at our facilities, and the impact of investments to increase capacity we have made over the last several years.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Infrastructure Solutions segment’s selling, general and administrative expenses during the nine months ended June 30, 2025 increased by $11.1 million, or 42.9%, compared to the nine months ended June 30, 2024, primarily as a result of $6.4 million of expense incurred at Greiner and Arrow in the nine months ended June 30, 2025 compared to $0.9 million incurred at Greiner in the nine months ended June 30, 2024, increased employee compensation cost to support growth in the business and higher incentive compensation as a result of higher earnings. Selling, general and administrative expenses as a percentage of revenue decreased from 10.7% for the nine months ended June 30, 2024 to 10.4% for the nine months ended June 30, 2025 as we benefited from the scale of our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Commercial &amp; Industrial</w:t>
      </w:r>
    </w:p>
    <w:tbl>
      <w:tblPr>
        <w:tblW w:w="9168"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211"/>
        <w:gridCol w:w="721"/>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3"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Commercial &amp; Industrial segment increased by $18.9 million, or 19.5%, during the three months ended June 30, 2025, compared to the three months ended June 30, 2024. The increase was primarily driven by increased activity in the education and healthcare end markets, continued strong demand and successful execution of backlog, particularly in the data center end market, and expansion of one of our operations in the Midwest market.</w:t>
      </w:r>
    </w:p>
    <w:p>
      <w:pPr>
        <w:pStyle w:val="TextBody"/>
        <w:bidi w:val="0"/>
        <w:spacing w:lineRule="auto" w:line="288" w:before="0" w:after="18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three months ended June 30, 2025 increased by $1.3 million, or 6.0%, compared to the three months ended June 30, 2024. Gross profit as a percentage of revenue decreased from 22.5% for the quarter ended June 30, 2024 to 19.9% for the quarter ended June 30, 2025. While we benefited from improved volumes, project execution and bid margins in the quarter ended June 30, 2025, gross profit as a percentage of revenue for the quarter ended June 30, 2024 reflected a strong contribution from a large data center project where we completed additions to the original scope of work at favorable margins.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Our Commercial &amp; Industrial segment’s selling, general and administrative expenses during the three months ended June 30, 2025 increased by $1.3 million, or 15.3%, compared to the three months ended June 30, 2024 primarily as a result of increased employee compensation cost, including higher incentive compensation as a result of successful project execution. Selling, general and administrative expenses as a percentage of revenue decreased from 9.0% for the three months ended June 30, 2024 to 8.7% for the three months ended June 30, 2025 as we benefited from the scale of our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2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14"/>
        <w:gridCol w:w="114"/>
        <w:gridCol w:w="114"/>
        <w:gridCol w:w="413"/>
        <w:gridCol w:w="413"/>
        <w:gridCol w:w="114"/>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 xml:space="preserve">Revenues in our Commercial &amp; Industrial segment increased by $50.7 million, or 18.2%, during the nine months ended June 30, 2025, compared to the nine months ended June 30, 2024. The increase was primarily driven by continued strong demand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successful execution of backlog, particularly in the data center end market, increased activities in the education and healthcare end markets, and expansion of one of our operations in the Midwest market.</w:t>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nine months ended June 30, 2025 increased by $9.1 million, or 16.3%, compared to the nine months ended June 30, 2024. Gross profit as a percentage of revenue was 20.1% for the nine months ended June 30, 2024 compared to 19.7% for the nine months ended June 30, 2025. While we benefited from improved volumes, project execution and bid margins in the nine months ended June 30, 2025, gross profit as a percentage of revenue for the nine months ended June 30, 2024 reflected a strong contribution from a large data center project where we completed additions to the original scope of work at favorable margins.</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 xml:space="preserve">Our Commercial &amp; Industrial segment’s selling, general and administrative expenses during the nine months ended June 30, 2025 increased by $4.9 million, or 20.1%, compared to the nine months ended June 30, 2024 primarily as a result of increased employee compensation cost, including higher incentive compensation as a result of successful project execution. Selling, general and administrative expenses as a percentage of revenue was 8.7% for the nine months ended June 30, 2024 compared to 8.9% for the nine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AND OTHER EXPENSE, NET</w:t>
      </w:r>
    </w:p>
    <w:tbl>
      <w:tblPr>
        <w:tblW w:w="6598" w:type="dxa"/>
        <w:jc w:val="center"/>
        <w:tblInd w:w="0" w:type="dxa"/>
        <w:tblLayout w:type="fixed"/>
        <w:tblCellMar>
          <w:top w:w="28" w:type="dxa"/>
          <w:left w:w="28" w:type="dxa"/>
          <w:bottom w:w="28" w:type="dxa"/>
          <w:right w:w="28" w:type="dxa"/>
        </w:tblCellMar>
      </w:tblPr>
      <w:tblGrid>
        <w:gridCol w:w="1108"/>
        <w:gridCol w:w="971"/>
        <w:gridCol w:w="980"/>
        <w:gridCol w:w="109"/>
        <w:gridCol w:w="109"/>
        <w:gridCol w:w="109"/>
        <w:gridCol w:w="167"/>
        <w:gridCol w:w="167"/>
        <w:gridCol w:w="167"/>
        <w:gridCol w:w="307"/>
        <w:gridCol w:w="309"/>
        <w:gridCol w:w="167"/>
        <w:gridCol w:w="167"/>
        <w:gridCol w:w="167"/>
        <w:gridCol w:w="167"/>
        <w:gridCol w:w="167"/>
        <w:gridCol w:w="167"/>
        <w:gridCol w:w="167"/>
        <w:gridCol w:w="344"/>
        <w:gridCol w:w="346"/>
        <w:gridCol w:w="236"/>
      </w:tblGrid>
      <w:tr>
        <w:trPr/>
        <w:tc>
          <w:tcPr>
            <w:tcW w:w="110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incurred interest expense of $0.5 million primarily comprised of interest on our finance lease agreements and fees on an average letter of credit balance of $5.5 million under our revolving credit facility and an average unused line of credit balance of $292.2 million. This compares to interest expense of $0.4 million for the three months ended June 30, 2024, primarily comprised of interest on our finance lease agreements and fees on an average letter of credit balance of $5.6 million under our revolving credit facility and an average unused line of credit balance of $142.9 million.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increase in total other expense, net for the three months ended June 30, 2025, compared to the three months ended June 30, 2024 is primarily the result of unrealized losses on investments in trading securities of $3.8 million in the three months ended June 30, 2025 compared to unrealized losses of $1.6 million on investments in trading securities in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380" w:type="dxa"/>
        <w:jc w:val="left"/>
        <w:tblInd w:w="0" w:type="dxa"/>
        <w:tblLayout w:type="fixed"/>
        <w:tblCellMar>
          <w:top w:w="28" w:type="dxa"/>
          <w:left w:w="28" w:type="dxa"/>
          <w:bottom w:w="28" w:type="dxa"/>
          <w:right w:w="28" w:type="dxa"/>
        </w:tblCellMar>
      </w:tblPr>
      <w:tblGrid>
        <w:gridCol w:w="1385"/>
        <w:gridCol w:w="1214"/>
        <w:gridCol w:w="1225"/>
        <w:gridCol w:w="109"/>
        <w:gridCol w:w="109"/>
        <w:gridCol w:w="109"/>
        <w:gridCol w:w="162"/>
        <w:gridCol w:w="162"/>
        <w:gridCol w:w="162"/>
        <w:gridCol w:w="344"/>
        <w:gridCol w:w="346"/>
        <w:gridCol w:w="162"/>
        <w:gridCol w:w="162"/>
        <w:gridCol w:w="162"/>
        <w:gridCol w:w="162"/>
        <w:gridCol w:w="162"/>
        <w:gridCol w:w="162"/>
        <w:gridCol w:w="162"/>
        <w:gridCol w:w="344"/>
        <w:gridCol w:w="346"/>
        <w:gridCol w:w="229"/>
      </w:tblGrid>
      <w:tr>
        <w:trPr/>
        <w:tc>
          <w:tcPr>
            <w:tcW w:w="13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we incurred interest expense of $1.3 million primarily comprised of interest on our finance lease agreements and fees on an average letter of credit balance of $5.5 million under our revolving credit facility and an average unused line of credit balance of $233.3 million. This compares to interest expense of $1.2 million for the nine months ended June 30, 2024, primarily comprised of interest on our finance lease agreements and fees on an average letter of credit balance of $5.5 million under our revolving credit facility and an average unused line of credit balance of $142.7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change in total other (income) expense, net for the nine months ended June 30, 2025, compared with June 30, 2024 is primarily the result of unrealized gains on investments in trading securities of $4.1 million in the nine months ended June 30, 2025 compared to unrealized losses on investments in trading securities of $3.3 million in the nine months ended June 30, 2024, partially offset by a decrease in interest income from $3.3 million in the nine months ended June 30, 2024 to $2.1 million in the nine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$29.5 million for the three months ended June 30, 2025, compared to $22.6 million for the three months ended June 30, 2024, driven primarily by increased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$75.5 million for the nine months ended June 30, 2025, compared to $57.3 million for the nine months ended June 30, 2024, driven primarily by increased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2024. Some of the more significant estimates include revenue recognition, business combinations, and income taxes.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accounting policies as disclosed in our Annual Report on Form 10-K for the fiscal year ended September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PERFORMANCE OBLIGATIONS AND BACKLOG</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plumbing and HVAC installation services for single-family housing at our Residential segment are completed on a short-term basis and are therefore excluded from backlog. The table below summarizes our remaining performance obligations and backlog (in thousands):</w:t>
      </w:r>
    </w:p>
    <w:tbl>
      <w:tblPr>
        <w:tblW w:w="10205" w:type="dxa"/>
        <w:jc w:val="center"/>
        <w:tblInd w:w="0" w:type="dxa"/>
        <w:tblLayout w:type="fixed"/>
        <w:tblCellMar>
          <w:top w:w="28" w:type="dxa"/>
          <w:left w:w="28" w:type="dxa"/>
          <w:bottom w:w="28" w:type="dxa"/>
          <w:right w:w="28" w:type="dxa"/>
        </w:tblCellMar>
      </w:tblPr>
      <w:tblGrid>
        <w:gridCol w:w="755"/>
        <w:gridCol w:w="662"/>
        <w:gridCol w:w="666"/>
        <w:gridCol w:w="116"/>
        <w:gridCol w:w="116"/>
        <w:gridCol w:w="116"/>
        <w:gridCol w:w="122"/>
        <w:gridCol w:w="122"/>
        <w:gridCol w:w="122"/>
        <w:gridCol w:w="523"/>
        <w:gridCol w:w="523"/>
        <w:gridCol w:w="122"/>
        <w:gridCol w:w="116"/>
        <w:gridCol w:w="116"/>
        <w:gridCol w:w="116"/>
        <w:gridCol w:w="130"/>
        <w:gridCol w:w="130"/>
        <w:gridCol w:w="130"/>
        <w:gridCol w:w="523"/>
        <w:gridCol w:w="523"/>
        <w:gridCol w:w="130"/>
        <w:gridCol w:w="116"/>
        <w:gridCol w:w="116"/>
        <w:gridCol w:w="116"/>
        <w:gridCol w:w="177"/>
        <w:gridCol w:w="177"/>
        <w:gridCol w:w="177"/>
        <w:gridCol w:w="523"/>
        <w:gridCol w:w="523"/>
        <w:gridCol w:w="182"/>
        <w:gridCol w:w="116"/>
        <w:gridCol w:w="116"/>
        <w:gridCol w:w="116"/>
        <w:gridCol w:w="180"/>
        <w:gridCol w:w="180"/>
        <w:gridCol w:w="180"/>
        <w:gridCol w:w="523"/>
        <w:gridCol w:w="523"/>
        <w:gridCol w:w="285"/>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2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1,295,207 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1,214,828 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1,175,695 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Agreements without an enforceable obligation</w:t>
            </w:r>
            <w:r>
              <w:rPr>
                <w:color w:val="000000"/>
              </w:rPr>
              <w:t xml:space="preserve"> </w:t>
            </w:r>
            <w:r>
              <w:rPr>
                <w:rFonts w:ascii="Times New Roman;serif" w:hAnsi="Times New Roman;serif"/>
                <w:b w:val="false"/>
                <w:color w:val="000000"/>
                <w:sz w:val="13"/>
              </w:rPr>
              <w:t>(1)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771,593 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610,459 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2,066,800 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1,812,709 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1,753,992 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1,786,154 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 Our backlog contains signed agreements and letters of intent, which we do not have a legal right to enforce prior to work starting. These arrangements are excluded from remaining performance obligations until work begins.</w:t>
            </w:r>
          </w:p>
        </w:tc>
      </w:tr>
      <w:tr>
        <w:trPr/>
        <w:tc>
          <w:tcPr>
            <w:tcW w:w="208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working capital exclusive of cash, cash equivalents and restricted cash increased by $109.6 million from September 30, 2024, reflecting a $133.6 million increase in current assets excluding cash partially offset by a $24.0 million increase in current liabilities during the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June 30, 2025, our current assets exclusive of cash, cash equivalents and restricted cash increased to $904.5 million, as compared to $770.9 million as of September 30, 2024. The increase was primarily driven by a $74.4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 including retainage due to higher overall volume of sales and the timing of customer billings and project execution at the end of the period. Marketable securities also increased by $31.8 million as a portion of our excess cash was invested in trading securities. In addition, costs and estimated earnings in excess of billings increased by $14.6 million, driven by the timing of contract billings, and inventory increased by $7.0 million primarily due to the acquisition of Arrow during the nine months ended June 30,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our total current liabilities increased by $24.0 million to $546.6 million, compared to $522.6 million as of September 30, 2024, primarily driven by a $28.2 million increase in accounts payable and accrued expenses as our volume of sales increased.</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 bonding capacity provided by our sureties is adequate for our current operations and will be adequate for our operations for the foreseeable future. As of June 30, 2025, the estimated cost to complete our bonded projects was approximately $142.2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Revolving Credit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21, 2025 we entered into the Fourth Amended and Restated Credit Agreement (the “Amended Credit Agreement”). Pursuant to the Amended Credit Agreement, our maximum revolver amount increased from $150 million to $300 million, and the maturity date was extended from September 30, 2026 to January 21, 2030. In addition, the limitation on borrowings based on available collateral under the previous credit agreement was eliminated under the Amended Credit Agreement.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June 30, 2025,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center"/>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for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if in the future our Consolidated Total Leverage Ratio is greater than 3.00:1.00, or our Consolidated Interest Coverage Ratio is less than 3.00:1.00,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we had $5.5 million in outstanding letters of credit and $20.0 million of outstanding borrowings under our revolving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and elevated commodity prices.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$154.1 million during the nine months ended June 30, 2025, as compared to $141.6 million in the nine months ended June 30, 2024. The increase in operating cash flow resulted from increased earnings in the nine months ended June 30, 2025, partially offset by an increase in cash used in working capital, including $26.9 million of investments, net of sales, in marketable securities securities, during the nine months ended June 30, 2025 as compared with the nine months ended June 30,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$114.1 million for the nine months ended June 30, 2025, compared to $96.4 million used in investing activities in the nine months ended June 30, 2024. During the nine months ended June 30, 2025, we paid $44.9 million to acquire a membership interest in Jett Texas Company LLC (“Jett”), an investment company, as part of the financing of Jett's investment in the CB&amp;I storage solutions business formerly owned by McDermott International, Ltd. We also made capital expenditures of $47.3 million as we continued to purchase new assets instead of entering into new lease agreements at our Communications segment and made other capital expenditures to support the growth of our business. Additionally, we paid $22.6 million in conjunction with business combinations, primarily related to the acquisition of Arrow in January 2025. During the nine months ended June 30, 2024, we completed the acquisition of Greiner for $67.7 million and used $30.9 million for capital expenditures to support the growth of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for the nine months ended June 30, 2025 was $32.4 million, compared to $76.1 million for the nine months ended June 30, 2024. Net cash used in financing activities for the nine months ended June 30, 2025 included $41.6 million used to repurchase our common stock, including repurchases to satisfy statutory withholding requirements upon the vesting of employee stock compensation, and $7.5 million in distributions to noncontrolling interests under operating agreements in connection with certain acquisitions. Net cash used in financing activities for the nine months ended June 30, 2024 included $31.2 million paid to acquire the noncontrolling interest in Bayonet, $24.3 million used to repurchase our common stock, including repurchases to satisfy statutory withholding requirements upon the vesting of employee stock compensation, $13.5 million in distributions to noncontrolling interests under operating agreements in connection with certain acquisitions, and $4.1 million to settle our contingent consideration liability related to prior year acquisitions.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2024, our Board authorized a stock repurchase program for the purchase from time to time of up to $200.0 million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173,262 shares pursuant to our repurchase programs during the nine months ended June 30,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June 30, 2025, we did not have any such firm commitments to purchase materials outstanding. In connection with expected growth in our business, we are planning to expand capacity in certain areas. In the second quarter of fiscal 2025 we updated our capital expenditure expectations for the current fiscal year to a range of $70 million to $80 million, compared to $45.2 million for the year ended September 30, 2024. There have been no other material changes in our material cash requirements from those disclosed in our Annual Report on Form 10-K for the fiscal year ended September 30, 2024. We expect that cash and cash equivalents, cash flow from operations and availability under our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credit facility will be sufficient to satisfy cash requirements during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any debt obligations we may incur our revolving credit facility. For additional information see</w:t>
      </w:r>
      <w:r>
        <w:rPr>
          <w:color w:val="000000"/>
        </w:rPr>
        <w:t xml:space="preserve"> “</w:t>
      </w:r>
      <w:r>
        <w:rPr>
          <w:rFonts w:ascii="Times New Roman;serif" w:hAnsi="Times New Roman;serif"/>
          <w:b w:val="false"/>
          <w:i/>
          <w:color w:val="000000"/>
          <w:sz w:val="20"/>
        </w:rPr>
        <w:t>Disclosure Regarding Forward-Looking Statements”</w:t>
      </w:r>
      <w:r>
        <w:rPr>
          <w:color w:val="000000"/>
        </w:rPr>
        <w:t xml:space="preserve"> </w:t>
      </w:r>
      <w:r>
        <w:rPr>
          <w:rFonts w:ascii="Times New Roman;serif" w:hAnsi="Times New Roman;serif"/>
          <w:b w:val="false"/>
          <w:color w:val="000000"/>
          <w:sz w:val="20"/>
        </w:rPr>
        <w:t>in Part I of this Quarterly Report on Form 10-Q and our risk factors in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our Annual Report on Form 10-K for the fiscal year ended September 30, 2024.</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exposure to significant market risks includes fluctuations in commodity prices for, among other things, copper, aluminum, steel, electrical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We are exposed to market price volatility for our investments in marketable securities which</w:t>
      </w:r>
      <w:r>
        <w:rPr>
          <w:color w:val="000000"/>
        </w:rPr>
        <w:t xml:space="preserve"> </w:t>
      </w:r>
      <w:r>
        <w:rPr>
          <w:rFonts w:ascii="Times New Roman;serif" w:hAnsi="Times New Roman;serif"/>
          <w:b w:val="false"/>
          <w:color w:val="000000"/>
          <w:sz w:val="20"/>
        </w:rPr>
        <w:t>are carried at fair value measured using market prices, with gains and losses included in “Other expense, net” on our Condensed Consolidated Statements of Comprehensive Income. Changes in the market value of these investments could create volatility in our reported earnings from period to period, and a decline in value of our investments could have an adverse impact on our reported earnings. Changes in market value of these investments measured at fair value resulted in an unrealized gain of $4.1 million in the nine months ended June 30, 2025. As of June 30, 2025, we had investments in marketable securities with a fair value of $66.8 million, and a 10% increase or decrease in the market value of these investments would cause a $6.7 million increase or decrease, respectively, to the carrying value of our investments in marketable securities and our pre-tax income. The hypothetical 10% increase or decrease does not represent the maximum extent to which the fair value of our investments could be affected by changes in market conditions. Our investments could decline in value by a far greater amount as a result of volatility in the equity markets and the concentrated nature of our investment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Floating rate debt, where the interest rate fluctuates periodically, exposes us to short-term changes in market interest rates. Any long-term debt that may be outstanding from time to time under our revolving credit facility is structured on floating rate terms. We currently do not maintain any hedging contracts that would limit our exposure to variable rates of interest when we have outstanding borrowings under our revolving credit facility. Under the Amended Credit Agreement, we have the option to use SOFR as the benchmark for establishing the interest rate charged on our borrowings. If we choose to use SOFR to establish the interest rate on our borrowings and SOFR were to increase, our interest payment obligations on any then-outstanding borrowings would increase, having a negative effect on our cash flow and financial condition. A one percentage point increase in the interest rate on our long-term debt outstanding under the credit facility as of June 30, 2025 would cause a $0.2 million pre-tax annual increase in 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 In the fiscal year ended September 30, 2024, we began planning and preparing for our phased implementation of a new enterprise resource planning (“ERP”) system, which will replace and upgrade many of our existing financial systems and processes. The ERP system is designed to accurately maintain our financial records and provide timely information to management to be used in operating the business. The first phase was implemented in the quarter ended December 31, 2024 and the Company has continued working toward the next phase of the implementation throughout the second and third quarters of fiscal 2025. Upon the first phase implementation, the Company updated its internal controls as appropriate. As the implementation activities take place, we will continue to monitor the impact of the implementation on our financial reporting business processes and evaluate each quarter whether there are changes that affect our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June 30, 2025, to provide reasonable assurance that information required to be disclosed in our reports filed or submitted under the Exchange Act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There have been no material changes to the risk factors disclosed under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fiscal year ended September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433"/>
        <w:gridCol w:w="382"/>
        <w:gridCol w:w="386"/>
        <w:gridCol w:w="579"/>
        <w:gridCol w:w="506"/>
        <w:gridCol w:w="507"/>
        <w:gridCol w:w="287"/>
        <w:gridCol w:w="981"/>
        <w:gridCol w:w="148"/>
        <w:gridCol w:w="809"/>
        <w:gridCol w:w="794"/>
        <w:gridCol w:w="796"/>
        <w:gridCol w:w="109"/>
        <w:gridCol w:w="1359"/>
        <w:gridCol w:w="1124"/>
        <w:gridCol w:w="1005"/>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w:t>
            </w:r>
            <w:r>
              <w:rPr>
                <w:color w:val="000000"/>
              </w:rPr>
              <w:t xml:space="preserve"> </w:t>
            </w:r>
            <w:r>
              <w:rPr>
                <w:rFonts w:ascii="Times New Roman;serif" w:hAnsi="Times New Roman;serif"/>
                <w:b w:val="false"/>
                <w:color w:val="000000"/>
                <w:sz w:val="13"/>
              </w:rPr>
              <w:t>(1)</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Shares Purchased as Part of a Publicly Announced Plan </w:t>
            </w:r>
          </w:p>
        </w:tc>
        <w:tc>
          <w:tcPr>
            <w:tcW w:w="109" w:type="dxa"/>
            <w:tcBorders/>
            <w:vAlign w:val="center"/>
          </w:tcPr>
          <w:p>
            <w:pPr>
              <w:pStyle w:val="TableContents"/>
              <w:bidi w:val="0"/>
              <w:spacing w:before="0" w:after="283"/>
              <w:jc w:val="left"/>
              <w:rPr>
                <w:sz w:val="4"/>
                <w:szCs w:val="4"/>
              </w:rPr>
            </w:pPr>
            <w:r>
              <w:rPr>
                <w:sz w:val="4"/>
                <w:szCs w:val="4"/>
              </w:rPr>
            </w:r>
          </w:p>
        </w:tc>
        <w:tc>
          <w:tcPr>
            <w:tcW w:w="34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Maximum Dollar Value of Shares That May Yet Be Purchased Under the Publicly Announced Plan </w:t>
            </w:r>
            <w:r>
              <w:rPr>
                <w:rFonts w:ascii="Times New Roman;serif" w:hAnsi="Times New Roman;serif"/>
                <w:b w:val="false"/>
                <w:color w:val="000000"/>
                <w:sz w:val="13"/>
              </w:rPr>
              <w:t>(2)</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 – April 30, 2025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 – May 31, 2025</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2025 – June 30, 2025</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33,900 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w:t>
            </w:r>
          </w:p>
        </w:tc>
      </w:tr>
    </w:tbl>
    <w:p>
      <w:pPr>
        <w:pStyle w:val="TextBody"/>
        <w:bidi w:val="0"/>
        <w:spacing w:lineRule="auto" w:line="331" w:before="0" w:after="0"/>
        <w:ind w:left="0" w:right="0" w:hanging="45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The total number of shares purchased includes shares purchased pursuant to the program described in footnote (2) below.</w:t>
      </w:r>
    </w:p>
    <w:p>
      <w:pPr>
        <w:pStyle w:val="TextBody"/>
        <w:bidi w:val="0"/>
        <w:spacing w:lineRule="auto" w:line="288" w:before="0" w:after="0"/>
        <w:ind w:left="0" w:right="0" w:hanging="45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On July 31, 2024, the Board authorized a new stock repurchase program for the purchase of up to $200 million of the Company’s common stock from time to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June 30, 2025, none of the Company's directors or officers adopted, modified or terminated a “Rule 10b5-1 trading arrangement” or a “non-Rule 10b5-1 trading arrangement” as each term is defined under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73"/>
        <w:gridCol w:w="240"/>
        <w:gridCol w:w="241"/>
        <w:gridCol w:w="2757"/>
        <w:gridCol w:w="2757"/>
        <w:gridCol w:w="3937"/>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3937"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Exhibit</w:t>
            </w:r>
            <w:r>
              <w:rPr>
                <w:color w:val="000000"/>
              </w:rPr>
              <w:t xml:space="preserve"> </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on August 8, 2016).</w:t>
              </w:r>
            </w:hyperlink>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Amended and Restated Bylaws of IES Holdings, Inc., effective April 28, 2021. (Incorporated by reference to Exhibit 3.3 to the Company's Quarterly Report on Form 10-Q filed on April 30, 2021).</w:t>
              </w:r>
            </w:hyperlink>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Specimen common stock certificate. (Incorporated by reference to Exhibit 4.1 to the Company’s Annual Report on Form 10-K filed on December 9, 2016).</w:t>
              </w:r>
            </w:hyperlink>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9451"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vAlign w:val="center"/>
          </w:tcPr>
          <w:p>
            <w:pPr>
              <w:pStyle w:val="TableContents"/>
              <w:bidi w:val="0"/>
              <w:spacing w:before="0" w:after="283"/>
              <w:jc w:val="left"/>
              <w:rPr>
                <w:sz w:val="4"/>
                <w:szCs w:val="4"/>
              </w:rPr>
            </w:pPr>
            <w:r>
              <w:rPr>
                <w:sz w:val="4"/>
                <w:szCs w:val="4"/>
              </w:rPr>
            </w:r>
          </w:p>
        </w:tc>
        <w:tc>
          <w:tcPr>
            <w:tcW w:w="9451" w:type="dxa"/>
            <w:gridSpan w:val="3"/>
            <w:tcBorders/>
            <w:vAlign w:val="center"/>
          </w:tcPr>
          <w:p>
            <w:pPr>
              <w:pStyle w:val="TableContents"/>
              <w:bidi w:val="0"/>
              <w:spacing w:before="0" w:after="283"/>
              <w:jc w:val="left"/>
              <w:rPr>
                <w:sz w:val="4"/>
                <w:szCs w:val="4"/>
              </w:rPr>
            </w:pPr>
            <w:r>
              <w:rPr>
                <w:sz w:val="4"/>
                <w:szCs w:val="4"/>
              </w:rPr>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5ex311-june.htm">
              <w:r>
                <w:rPr>
                  <w:rStyle w:val="InternetLink"/>
                  <w:rFonts w:ascii="Times New Roman;serif" w:hAnsi="Times New Roman;serif"/>
                  <w:b w:val="false"/>
                  <w:color w:val="000080"/>
                  <w:sz w:val="20"/>
                  <w:u w:val="single"/>
                </w:rPr>
                <w:t xml:space="preserve">Rule 13a-14(a)/15d-14(a) Certification of </w:t>
              </w:r>
            </w:hyperlink>
            <w:hyperlink w:anchor="q32025ex311-june.htm">
              <w:r>
                <w:rPr>
                  <w:rStyle w:val="InternetLink"/>
                  <w:rFonts w:ascii="Times New Roman;serif" w:hAnsi="Times New Roman;serif"/>
                  <w:b w:val="false"/>
                  <w:color w:val="000080"/>
                  <w:sz w:val="20"/>
                  <w:u w:val="single"/>
                </w:rPr>
                <w:t>Matthew J. Simmes</w:t>
              </w:r>
            </w:hyperlink>
            <w:hyperlink w:anchor="q32025ex311-june.htm">
              <w:r>
                <w:rPr>
                  <w:rStyle w:val="InternetLink"/>
                  <w:rFonts w:ascii="Times New Roman;serif" w:hAnsi="Times New Roman;serif"/>
                  <w:b w:val="false"/>
                  <w:color w:val="000080"/>
                  <w:sz w:val="20"/>
                  <w:u w:val="single"/>
                </w:rPr>
                <w:t xml:space="preserve">, </w:t>
              </w:r>
            </w:hyperlink>
            <w:hyperlink w:anchor="q32025ex311-june.htm">
              <w:r>
                <w:rPr>
                  <w:rStyle w:val="InternetLink"/>
                  <w:rFonts w:ascii="Times New Roman;serif" w:hAnsi="Times New Roman;serif"/>
                  <w:b w:val="false"/>
                  <w:color w:val="000080"/>
                  <w:sz w:val="20"/>
                  <w:u w:val="single"/>
                </w:rPr>
                <w:t xml:space="preserve">President and </w:t>
              </w:r>
            </w:hyperlink>
            <w:hyperlink w:anchor="q32025ex311-june.htm">
              <w:r>
                <w:rPr>
                  <w:rStyle w:val="InternetLink"/>
                  <w:rFonts w:ascii="Times New Roman;serif" w:hAnsi="Times New Roman;serif"/>
                  <w:b w:val="false"/>
                  <w:color w:val="000080"/>
                  <w:sz w:val="20"/>
                  <w:u w:val="single"/>
                </w:rPr>
                <w:t>Chief Executive Officer</w:t>
              </w:r>
            </w:hyperlink>
            <w:r>
              <w:rPr>
                <w:color w:val="000000"/>
              </w:rPr>
              <w:t xml:space="preserve">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5ex312-june.htm">
              <w:r>
                <w:rPr>
                  <w:rStyle w:val="InternetLink"/>
                  <w:rFonts w:ascii="Times New Roman;serif" w:hAnsi="Times New Roman;serif"/>
                  <w:b w:val="false"/>
                  <w:color w:val="0000FF"/>
                  <w:sz w:val="20"/>
                  <w:u w:val="single"/>
                </w:rPr>
                <w:t xml:space="preserve">Rule 13a-14(a)/15d-14(a) Certification of Tracy A. McLauchlin, Senior Vice President, Chief Financial Officer and Treasurer </w:t>
              </w:r>
            </w:hyperlink>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025ex321-june.htm">
              <w:r>
                <w:rPr>
                  <w:rStyle w:val="InternetLink"/>
                  <w:rFonts w:ascii="Times New Roman;serif" w:hAnsi="Times New Roman;serif"/>
                  <w:b w:val="false"/>
                  <w:color w:val="000080"/>
                  <w:sz w:val="20"/>
                  <w:u w:val="single"/>
                </w:rPr>
                <w:t xml:space="preserve">Section 1350 Certification of </w:t>
              </w:r>
            </w:hyperlink>
            <w:hyperlink w:anchor="q32025ex321-june.htm">
              <w:r>
                <w:rPr>
                  <w:rStyle w:val="InternetLink"/>
                  <w:rFonts w:ascii="Times New Roman;serif" w:hAnsi="Times New Roman;serif"/>
                  <w:b w:val="false"/>
                  <w:color w:val="000080"/>
                  <w:sz w:val="20"/>
                  <w:u w:val="single"/>
                </w:rPr>
                <w:t>Matthew J. Simmes</w:t>
              </w:r>
            </w:hyperlink>
            <w:hyperlink w:anchor="q32025ex321-june.htm">
              <w:r>
                <w:rPr>
                  <w:rStyle w:val="InternetLink"/>
                  <w:rFonts w:ascii="Times New Roman;serif" w:hAnsi="Times New Roman;serif"/>
                  <w:b w:val="false"/>
                  <w:color w:val="000080"/>
                  <w:sz w:val="20"/>
                  <w:u w:val="single"/>
                </w:rPr>
                <w:t xml:space="preserve">, </w:t>
              </w:r>
            </w:hyperlink>
            <w:hyperlink w:anchor="q32025ex321-june.htm">
              <w:r>
                <w:rPr>
                  <w:rStyle w:val="InternetLink"/>
                  <w:rFonts w:ascii="Times New Roman;serif" w:hAnsi="Times New Roman;serif"/>
                  <w:b w:val="false"/>
                  <w:color w:val="000080"/>
                  <w:sz w:val="20"/>
                  <w:u w:val="single"/>
                </w:rPr>
                <w:t xml:space="preserve">President and </w:t>
              </w:r>
            </w:hyperlink>
            <w:hyperlink w:anchor="q32025ex321-june.htm">
              <w:r>
                <w:rPr>
                  <w:rStyle w:val="InternetLink"/>
                  <w:rFonts w:ascii="Times New Roman;serif" w:hAnsi="Times New Roman;serif"/>
                  <w:b w:val="false"/>
                  <w:color w:val="000080"/>
                  <w:sz w:val="20"/>
                  <w:u w:val="single"/>
                </w:rPr>
                <w:t>Chief Executive Officer</w:t>
              </w:r>
            </w:hyperlink>
            <w:r>
              <w:rPr>
                <w:color w:val="000000"/>
              </w:rPr>
              <w:t xml:space="preserve"> </w:t>
            </w:r>
            <w:r>
              <w:rPr>
                <w:rFonts w:ascii="Times New Roman;serif" w:hAnsi="Times New Roman;serif"/>
                <w:b w:val="false"/>
                <w:color w:val="000000"/>
                <w:sz w:val="13"/>
              </w:rPr>
              <w:t>(2)</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025ex322-june.htm">
              <w:r>
                <w:rPr>
                  <w:rStyle w:val="InternetLink"/>
                  <w:rFonts w:ascii="Times New Roman;serif" w:hAnsi="Times New Roman;serif"/>
                  <w:b w:val="false"/>
                  <w:color w:val="0000FF"/>
                  <w:sz w:val="20"/>
                  <w:u w:val="single"/>
                </w:rPr>
                <w:t>Section 1350 Certification of Tracy A. McLauchlin, Senior Vice President, Chief Financial Officer and Treasurer</w:t>
              </w:r>
            </w:hyperlink>
            <w:r>
              <w:rPr>
                <w:color w:val="000000"/>
              </w:rPr>
              <w:t xml:space="preserve"> </w:t>
            </w:r>
            <w:r>
              <w:rPr>
                <w:rFonts w:ascii="Times New Roman;serif" w:hAnsi="Times New Roman;serif"/>
                <w:b w:val="false"/>
                <w:color w:val="000000"/>
                <w:sz w:val="13"/>
              </w:rPr>
              <w:t>(2)</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Schema Document </w:t>
            </w:r>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Label Linkbase Document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Presentation Linkbase Document </w:t>
            </w:r>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Definition Linkbase Document </w:t>
            </w:r>
            <w:r>
              <w:rPr>
                <w:rFonts w:ascii="Times New Roman;serif" w:hAnsi="Times New Roman;serif"/>
                <w:b w:val="false"/>
                <w:color w:val="000000"/>
                <w:sz w:val="13"/>
              </w:rPr>
              <w:t>(1)</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94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Calculation Linkbase Document </w:t>
            </w:r>
            <w:r>
              <w:rPr>
                <w:rFonts w:ascii="Times New Roman;serif" w:hAnsi="Times New Roman;serif"/>
                <w:b w:val="false"/>
                <w:color w:val="000000"/>
                <w:sz w:val="13"/>
              </w:rPr>
              <w:t>(1)</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exhibits not otherwise designated are incorporated by reference to a prior filing with the SEC as indicated.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August 1, 2025.</w:t>
      </w:r>
    </w:p>
    <w:p>
      <w:pPr>
        <w:pStyle w:val="TextBody"/>
        <w:bidi w:val="0"/>
        <w:spacing w:before="0" w:after="0"/>
        <w:jc w:val="left"/>
        <w:rPr/>
      </w:pPr>
      <w:r>
        <w:rPr/>
      </w:r>
    </w:p>
    <w:tbl>
      <w:tblPr>
        <w:tblW w:w="6263" w:type="dxa"/>
        <w:jc w:val="left"/>
        <w:tblInd w:w="0" w:type="dxa"/>
        <w:tblLayout w:type="fixed"/>
        <w:tblCellMar>
          <w:top w:w="28" w:type="dxa"/>
          <w:left w:w="28" w:type="dxa"/>
          <w:bottom w:w="28" w:type="dxa"/>
          <w:right w:w="28" w:type="dxa"/>
        </w:tblCellMar>
      </w:tblPr>
      <w:tblGrid>
        <w:gridCol w:w="124"/>
        <w:gridCol w:w="109"/>
        <w:gridCol w:w="109"/>
        <w:gridCol w:w="314"/>
        <w:gridCol w:w="314"/>
        <w:gridCol w:w="314"/>
        <w:gridCol w:w="1444"/>
        <w:gridCol w:w="1444"/>
        <w:gridCol w:w="2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Matthew J. Simmes,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Quarterly Report on Form 10-Q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August 1, 2025</w:t>
      </w:r>
    </w:p>
    <w:p>
      <w:pPr>
        <w:pStyle w:val="TextBody"/>
        <w:bidi w:val="0"/>
        <w:spacing w:lineRule="auto" w:line="288" w:before="140" w:after="283"/>
        <w:jc w:val="left"/>
        <w:rPr>
          <w:color w:val="000000"/>
        </w:rPr>
      </w:pPr>
      <w:r>
        <w:rPr>
          <w:color w:val="000000"/>
        </w:rPr>
        <w:t> </w:t>
      </w:r>
    </w:p>
    <w:tbl>
      <w:tblPr>
        <w:tblW w:w="6012" w:type="dxa"/>
        <w:jc w:val="left"/>
        <w:tblInd w:w="0" w:type="dxa"/>
        <w:tblLayout w:type="fixed"/>
        <w:tblCellMar>
          <w:top w:w="28" w:type="dxa"/>
          <w:left w:w="28" w:type="dxa"/>
          <w:bottom w:w="28" w:type="dxa"/>
          <w:right w:w="28" w:type="dxa"/>
        </w:tblCellMar>
      </w:tblPr>
      <w:tblGrid>
        <w:gridCol w:w="124"/>
        <w:gridCol w:w="109"/>
        <w:gridCol w:w="109"/>
        <w:gridCol w:w="1658"/>
        <w:gridCol w:w="1658"/>
        <w:gridCol w:w="23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lineRule="auto" w:line="288" w:before="0" w:after="0"/>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Tracy A. McLauchlin,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Quarterly Report on Form 10-Q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August 1, 2025</w:t>
      </w:r>
    </w:p>
    <w:tbl>
      <w:tblPr>
        <w:tblW w:w="5322" w:type="dxa"/>
        <w:jc w:val="left"/>
        <w:tblInd w:w="0" w:type="dxa"/>
        <w:tblLayout w:type="fixed"/>
        <w:tblCellMar>
          <w:top w:w="28" w:type="dxa"/>
          <w:left w:w="28" w:type="dxa"/>
          <w:bottom w:w="28" w:type="dxa"/>
          <w:right w:w="28" w:type="dxa"/>
        </w:tblCellMar>
      </w:tblPr>
      <w:tblGrid>
        <w:gridCol w:w="124"/>
        <w:gridCol w:w="109"/>
        <w:gridCol w:w="109"/>
        <w:gridCol w:w="1458"/>
        <w:gridCol w:w="1458"/>
        <w:gridCol w:w="20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p>
            <w:pPr>
              <w:pStyle w:val="TableContents"/>
              <w:bidi w:val="0"/>
              <w:spacing w:lineRule="auto" w:line="288" w:before="0" w:after="0"/>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IES Holdings, Inc. (the “Company”) on Form 10-Q for the period ending June 30, 2025 (the “Report”), I, Matthew J. Simmes, Chief Executive Officer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7918"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134"/>
        <w:gridCol w:w="134"/>
        <w:gridCol w:w="136"/>
        <w:gridCol w:w="1660"/>
        <w:gridCol w:w="1660"/>
        <w:gridCol w:w="2349"/>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before="0" w:after="0"/>
              <w:jc w:val="center"/>
              <w:rPr/>
            </w:pPr>
            <w:r>
              <w:rPr/>
            </w:r>
          </w:p>
        </w:tc>
      </w:tr>
      <w:tr>
        <w:trPr/>
        <w:tc>
          <w:tcPr>
            <w:tcW w:w="633"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6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IES Holdings, Inc. (the “Company”) on Form 10-Q for the period ending June 30, 2025 (the “Report”), I, Tracy A. McLauchlin, Senior Vice President, Chief Financial Officer and Treasurer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7229" w:type="dxa"/>
        <w:jc w:val="left"/>
        <w:tblInd w:w="0" w:type="dxa"/>
        <w:tblLayout w:type="fixed"/>
        <w:tblCellMar>
          <w:top w:w="28" w:type="dxa"/>
          <w:left w:w="28" w:type="dxa"/>
          <w:bottom w:w="28" w:type="dxa"/>
          <w:right w:w="28" w:type="dxa"/>
        </w:tblCellMar>
      </w:tblPr>
      <w:tblGrid>
        <w:gridCol w:w="173"/>
        <w:gridCol w:w="152"/>
        <w:gridCol w:w="152"/>
        <w:gridCol w:w="152"/>
        <w:gridCol w:w="152"/>
        <w:gridCol w:w="152"/>
        <w:gridCol w:w="152"/>
        <w:gridCol w:w="152"/>
        <w:gridCol w:w="152"/>
        <w:gridCol w:w="152"/>
        <w:gridCol w:w="152"/>
        <w:gridCol w:w="152"/>
        <w:gridCol w:w="134"/>
        <w:gridCol w:w="134"/>
        <w:gridCol w:w="136"/>
        <w:gridCol w:w="774"/>
        <w:gridCol w:w="774"/>
        <w:gridCol w:w="774"/>
        <w:gridCol w:w="774"/>
        <w:gridCol w:w="774"/>
        <w:gridCol w:w="111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4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18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184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and Treasurer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tc>
      </w:tr>
      <w:tr>
        <w:trPr/>
        <w:tc>
          <w:tcPr>
            <w:tcW w:w="47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2322" w:type="dxa"/>
            <w:gridSpan w:val="3"/>
            <w:tcBorders/>
            <w:vAlign w:val="center"/>
          </w:tcPr>
          <w:p>
            <w:pPr>
              <w:pStyle w:val="TableContents"/>
              <w:bidi w:val="0"/>
              <w:spacing w:before="0" w:after="283"/>
              <w:jc w:val="left"/>
              <w:rPr>
                <w:sz w:val="4"/>
                <w:szCs w:val="4"/>
              </w:rPr>
            </w:pPr>
            <w:r>
              <w:rPr>
                <w:sz w:val="4"/>
                <w:szCs w:val="4"/>
              </w:rPr>
            </w:r>
          </w:p>
        </w:tc>
        <w:tc>
          <w:tcPr>
            <w:tcW w:w="26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8268/000119312516674386/d211495dex31.htm" TargetMode="External"/><Relationship Id="rId4" Type="http://schemas.openxmlformats.org/officeDocument/2006/relationships/hyperlink" Target="https://www.sec.gov/Archives/edgar/data/1048268/000104826821000065/amendedandrestatedbylawsof.htm" TargetMode="External"/><Relationship Id="rId5" Type="http://schemas.openxmlformats.org/officeDocument/2006/relationships/hyperlink" Target="https://www.sec.gov/Archives/edgar/data/1048268/000119312516789187/d310826d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21073</Words>
  <Characters>116668</Characters>
  <CharactersWithSpaces>136280</CharactersWithSpaces>
  <Paragraphs>3018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