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514" w:type="dxa"/>
        <w:jc w:val="center"/>
        <w:tblInd w:w="0" w:type="dxa"/>
        <w:tblCellMar>
          <w:top w:w="28" w:type="dxa"/>
          <w:left w:w="28" w:type="dxa"/>
          <w:bottom w:w="28" w:type="dxa"/>
          <w:right w:w="28" w:type="dxa"/>
        </w:tblCellMar>
      </w:tblPr>
      <w:tblGrid>
        <w:gridCol w:w="315"/>
        <w:gridCol w:w="277"/>
        <w:gridCol w:w="278"/>
        <w:gridCol w:w="188"/>
        <w:gridCol w:w="188"/>
        <w:gridCol w:w="268"/>
      </w:tblGrid>
      <w:tr>
        <w:trPr/>
        <w:tc>
          <w:tcPr>
            <w:tcW w:w="3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220" w:after="283"/>
              <w:jc w:val="right"/>
              <w:rPr>
                <w:rFonts w:ascii="Times New Roman;sans-serif" w:hAnsi="Times New Roman;sans-serif"/>
                <w:b/>
                <w:color w:val="000000"/>
                <w:sz w:val="22"/>
              </w:rPr>
            </w:pPr>
            <w:r>
              <w:rPr>
                <w:rFonts w:ascii="Times New Roman;sans-serif" w:hAnsi="Times New Roman;sans-serif"/>
                <w:b/>
                <w:color w:val="000000"/>
                <w:sz w:val="22"/>
              </w:rPr>
              <w:t xml:space="preserve">FORM </w:t>
            </w:r>
          </w:p>
        </w:tc>
        <w:tc>
          <w:tcPr>
            <w:tcW w:w="6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220" w:after="283"/>
              <w:jc w:val="left"/>
              <w:rPr>
                <w:rFonts w:ascii="Times New Roman;sans-serif" w:hAnsi="Times New Roman;sans-serif"/>
                <w:b/>
                <w:color w:val="000000"/>
                <w:sz w:val="22"/>
              </w:rPr>
            </w:pPr>
            <w:r>
              <w:rPr>
                <w:rFonts w:ascii="Times New Roman;sans-serif" w:hAnsi="Times New Roman;sans-serif"/>
                <w:b/>
                <w:color w:val="000000"/>
                <w:sz w:val="22"/>
              </w:rPr>
              <w:t>10-Q</w:t>
            </w:r>
          </w:p>
        </w:tc>
      </w:tr>
    </w:tbl>
    <w:p>
      <w:pPr>
        <w:pStyle w:val="TextBody"/>
        <w:spacing w:before="0" w:after="0"/>
        <w:jc w:val="center"/>
        <w:rPr/>
      </w:pPr>
      <w:r>
        <w:rPr/>
      </w:r>
    </w:p>
    <w:tbl>
      <w:tblPr>
        <w:tblW w:w="10356" w:type="dxa"/>
        <w:jc w:val="center"/>
        <w:tblInd w:w="0" w:type="dxa"/>
        <w:tblCellMar>
          <w:top w:w="28" w:type="dxa"/>
          <w:left w:w="28" w:type="dxa"/>
          <w:bottom w:w="28" w:type="dxa"/>
          <w:right w:w="28" w:type="dxa"/>
        </w:tblCellMar>
      </w:tblPr>
      <w:tblGrid>
        <w:gridCol w:w="128"/>
        <w:gridCol w:w="113"/>
        <w:gridCol w:w="113"/>
        <w:gridCol w:w="1557"/>
        <w:gridCol w:w="1557"/>
        <w:gridCol w:w="1557"/>
        <w:gridCol w:w="1557"/>
        <w:gridCol w:w="1557"/>
        <w:gridCol w:w="2217"/>
      </w:tblGrid>
      <w:tr>
        <w:trPr/>
        <w:tc>
          <w:tcPr>
            <w:tcW w:w="12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r>
      <w:tr>
        <w:trPr/>
        <w:tc>
          <w:tcPr>
            <w:tcW w:w="10356"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c>
      </w:tr>
      <w:tr>
        <w:trPr/>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0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5025"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quarterly period ended</w:t>
            </w:r>
          </w:p>
        </w:tc>
        <w:tc>
          <w:tcPr>
            <w:tcW w:w="53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2021</w:t>
            </w:r>
          </w:p>
        </w:tc>
      </w:tr>
      <w:tr>
        <w:trPr/>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0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10356" w:type="dxa"/>
            <w:gridSpan w:val="9"/>
            <w:tcBorders/>
            <w:shd w:fill="auto" w:val="clear"/>
            <w:tcMar>
              <w:top w:w="0" w:type="dxa"/>
              <w:left w:w="0" w:type="dxa"/>
              <w:bottom w:w="0" w:type="dxa"/>
              <w:right w:w="0" w:type="dxa"/>
            </w:tcMar>
            <w:vAlign w:val="center"/>
          </w:tcPr>
          <w:p>
            <w:pPr>
              <w:pStyle w:val="TableContents"/>
              <w:spacing w:lineRule="auto" w:line="240" w:before="22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before="0" w:after="0"/>
        <w:jc w:val="center"/>
        <w:rPr/>
      </w:pPr>
      <w:r>
        <w:rPr/>
      </w:r>
    </w:p>
    <w:tbl>
      <w:tblPr>
        <w:tblW w:w="2984" w:type="dxa"/>
        <w:jc w:val="center"/>
        <w:tblInd w:w="0" w:type="dxa"/>
        <w:tblCellMar>
          <w:top w:w="28" w:type="dxa"/>
          <w:left w:w="28" w:type="dxa"/>
          <w:bottom w:w="28" w:type="dxa"/>
          <w:right w:w="28" w:type="dxa"/>
        </w:tblCellMar>
      </w:tblPr>
      <w:tblGrid>
        <w:gridCol w:w="743"/>
        <w:gridCol w:w="654"/>
        <w:gridCol w:w="658"/>
        <w:gridCol w:w="272"/>
        <w:gridCol w:w="272"/>
        <w:gridCol w:w="385"/>
      </w:tblGrid>
      <w:tr>
        <w:trPr/>
        <w:tc>
          <w:tcPr>
            <w:tcW w:w="7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220" w:after="283"/>
              <w:jc w:val="right"/>
              <w:rPr>
                <w:rFonts w:ascii="Times New Roman;sans-serif" w:hAnsi="Times New Roman;sans-serif"/>
                <w:b/>
                <w:color w:val="000000"/>
                <w:sz w:val="18"/>
              </w:rPr>
            </w:pPr>
            <w:r>
              <w:rPr>
                <w:rFonts w:ascii="Times New Roman;sans-serif" w:hAnsi="Times New Roman;sans-serif"/>
                <w:b/>
                <w:color w:val="000000"/>
                <w:sz w:val="18"/>
              </w:rPr>
              <w:t xml:space="preserve">Commission file number </w:t>
            </w:r>
          </w:p>
        </w:tc>
        <w:tc>
          <w:tcPr>
            <w:tcW w:w="9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220" w:after="283"/>
              <w:jc w:val="left"/>
              <w:rPr>
                <w:rFonts w:ascii="Times New Roman;sans-serif" w:hAnsi="Times New Roman;sans-serif"/>
                <w:b/>
                <w:color w:val="000000"/>
                <w:sz w:val="18"/>
              </w:rPr>
            </w:pPr>
            <w:r>
              <w:rPr>
                <w:rFonts w:ascii="Times New Roman;sans-serif" w:hAnsi="Times New Roman;sans-serif"/>
                <w:b/>
                <w:color w:val="000000"/>
                <w:sz w:val="18"/>
              </w:rPr>
              <w:t>001-13783</w:t>
            </w:r>
          </w:p>
        </w:tc>
      </w:tr>
    </w:tbl>
    <w:p>
      <w:pPr>
        <w:pStyle w:val="TextBody"/>
        <w:spacing w:before="60" w:after="283"/>
        <w:jc w:val="center"/>
        <w:rPr/>
      </w:pPr>
      <w:r>
        <w:rPr/>
        <w:drawing>
          <wp:inline distT="0" distB="63500" distL="0" distR="0">
            <wp:extent cx="16192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6667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IES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220" w:after="283"/>
              <w:jc w:val="center"/>
              <w:rPr/>
            </w:pPr>
            <w:r>
              <w:rPr/>
            </w:r>
          </w:p>
          <w:p>
            <w:pPr>
              <w:pStyle w:val="TableContents"/>
              <w:spacing w:before="220" w:after="283"/>
              <w:jc w:val="center"/>
              <w:rPr/>
            </w:pPr>
            <w:r>
              <w:rPr/>
            </w:r>
          </w:p>
          <w:p>
            <w:pPr>
              <w:pStyle w:val="TableContents"/>
              <w:spacing w:before="0" w:after="0"/>
              <w:jc w:val="center"/>
              <w:rPr/>
            </w:pPr>
            <w:r>
              <w:rPr/>
            </w:r>
          </w:p>
        </w:tc>
      </w:tr>
    </w:tbl>
    <w:p>
      <w:pPr>
        <w:pStyle w:val="TextBody"/>
        <w:spacing w:before="0" w:after="0"/>
        <w:jc w:val="center"/>
        <w:rPr/>
      </w:pPr>
      <w:r>
        <w:rPr/>
      </w:r>
    </w:p>
    <w:tbl>
      <w:tblPr>
        <w:tblW w:w="3855" w:type="dxa"/>
        <w:jc w:val="center"/>
        <w:tblInd w:w="0" w:type="dxa"/>
        <w:tblCellMar>
          <w:top w:w="28" w:type="dxa"/>
          <w:left w:w="28" w:type="dxa"/>
          <w:bottom w:w="28" w:type="dxa"/>
          <w:right w:w="28" w:type="dxa"/>
        </w:tblCellMar>
      </w:tblPr>
      <w:tblGrid>
        <w:gridCol w:w="854"/>
        <w:gridCol w:w="754"/>
        <w:gridCol w:w="762"/>
        <w:gridCol w:w="434"/>
        <w:gridCol w:w="434"/>
        <w:gridCol w:w="617"/>
      </w:tblGrid>
      <w:tr>
        <w:trPr/>
        <w:tc>
          <w:tcPr>
            <w:tcW w:w="8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76-0542208</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5433 Westheimer Road, Suite 500, Houston, Texas 77056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60" w:after="283"/>
        <w:jc w:val="center"/>
        <w:rPr/>
      </w:pPr>
      <w:r>
        <w:rPr>
          <w:rFonts w:ascii="Times New Roman;sans-serif" w:hAnsi="Times New Roman;sans-serif"/>
          <w:b/>
          <w:color w:val="000000"/>
          <w:sz w:val="18"/>
        </w:rPr>
        <w:t>Registrant’s telephone number, including area code:</w:t>
      </w:r>
      <w:r>
        <w:rPr>
          <w:color w:val="000000"/>
        </w:rPr>
        <w:t xml:space="preserve"> </w:t>
      </w:r>
      <w:r>
        <w:rPr>
          <w:rFonts w:ascii="Times New Roman;sans-serif" w:hAnsi="Times New Roman;sans-serif"/>
          <w:b/>
          <w:color w:val="000000"/>
          <w:sz w:val="18"/>
        </w:rPr>
        <w:t xml:space="preserve">(713) 860-1500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141" w:type="dxa"/>
        <w:jc w:val="center"/>
        <w:tblInd w:w="0" w:type="dxa"/>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Rights to Purchase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220" w:after="283"/>
              <w:jc w:val="center"/>
              <w:rPr/>
            </w:pPr>
            <w:r>
              <w:rPr/>
            </w:r>
          </w:p>
        </w:tc>
      </w:tr>
    </w:tbl>
    <w:p>
      <w:pPr>
        <w:pStyle w:val="TextBody"/>
        <w:spacing w:lineRule="auto" w:line="288" w:before="0" w:after="12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ans-serif" w:hAnsi="Times New Roman;sans-serif"/>
          <w:b w:val="false"/>
          <w:color w:val="000000"/>
          <w:sz w:val="18"/>
        </w:rPr>
        <w:t>No</w:t>
      </w:r>
      <w:r>
        <w:rPr>
          <w:color w:val="000000"/>
        </w:rPr>
        <w:t xml:space="preserve"> ☐</w:t>
      </w:r>
    </w:p>
    <w:p>
      <w:pPr>
        <w:pStyle w:val="TextBody"/>
        <w:spacing w:lineRule="auto" w:line="288" w:before="0" w:after="12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ans-serif" w:hAnsi="Times New Roman;sans-serif"/>
          <w:b w:val="false"/>
          <w:color w:val="000000"/>
          <w:sz w:val="18"/>
        </w:rPr>
        <w:t>No</w:t>
      </w:r>
      <w:r>
        <w:rPr>
          <w:color w:val="000000"/>
        </w:rPr>
        <w:t xml:space="preserve">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0" w:after="120"/>
        <w:jc w:val="both"/>
        <w:rPr/>
      </w:pPr>
      <w:r>
        <w:rPr>
          <w:rFonts w:ascii="Times New Roman;sans-serif" w:hAnsi="Times New Roman;sans-serif"/>
          <w:b w:val="false"/>
          <w:color w:val="000000"/>
          <w:sz w:val="18"/>
        </w:rPr>
        <w:t>Indicate by check mark whether the registrant is a shell company (as defined in Rule 12b-2 of the Exchange Act). Yes</w:t>
      </w:r>
      <w:r>
        <w:rPr>
          <w:color w:val="000000"/>
        </w:rPr>
        <w:t xml:space="preserve"> ☐ </w:t>
      </w:r>
      <w:r>
        <w:rPr>
          <w:rFonts w:ascii="Times New Roman;sans-serif" w:hAnsi="Times New Roman;sans-serif"/>
          <w:b w:val="false"/>
          <w:color w:val="000000"/>
          <w:sz w:val="18"/>
        </w:rPr>
        <w:t>No</w:t>
      </w:r>
      <w:r>
        <w:rPr>
          <w:color w:val="000000"/>
        </w:rPr>
        <w:t xml:space="preserve">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On April 28, 2021, there were 20,840,382 shares of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46685"/>
                <wp:effectExtent l="0" t="0" r="0" b="0"/>
                <wp:wrapNone/>
                <wp:docPr id="2" name="Frame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539" w:type="dxa"/>
        <w:jc w:val="center"/>
        <w:tblInd w:w="0" w:type="dxa"/>
        <w:tblCellMar>
          <w:top w:w="28" w:type="dxa"/>
          <w:left w:w="28" w:type="dxa"/>
          <w:bottom w:w="28" w:type="dxa"/>
          <w:right w:w="28" w:type="dxa"/>
        </w:tblCellMar>
      </w:tblPr>
      <w:tblGrid>
        <w:gridCol w:w="334"/>
        <w:gridCol w:w="293"/>
        <w:gridCol w:w="293"/>
        <w:gridCol w:w="368"/>
        <w:gridCol w:w="329"/>
        <w:gridCol w:w="329"/>
        <w:gridCol w:w="2668"/>
        <w:gridCol w:w="2620"/>
        <w:gridCol w:w="2730"/>
        <w:gridCol w:w="167"/>
        <w:gridCol w:w="167"/>
        <w:gridCol w:w="241"/>
      </w:tblGrid>
      <w:tr>
        <w:trPr/>
        <w:tc>
          <w:tcPr>
            <w:tcW w:w="33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2620" w:type="dxa"/>
            <w:tcBorders/>
            <w:shd w:fill="auto" w:val="clear"/>
            <w:vAlign w:val="center"/>
          </w:tcPr>
          <w:p>
            <w:pPr>
              <w:pStyle w:val="TableContents"/>
              <w:spacing w:before="0" w:after="283"/>
              <w:rPr>
                <w:sz w:val="4"/>
                <w:szCs w:val="4"/>
              </w:rPr>
            </w:pPr>
            <w:r>
              <w:rPr>
                <w:sz w:val="4"/>
                <w:szCs w:val="4"/>
              </w:rPr>
            </w:r>
          </w:p>
        </w:tc>
        <w:tc>
          <w:tcPr>
            <w:tcW w:w="273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4"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140a0644407a4b859030e5d1e7af2f3c_10">
              <w:r>
                <w:rPr>
                  <w:rStyle w:val="InternetLink"/>
                  <w:rFonts w:ascii="Times New Roman;sans-serif" w:hAnsi="Times New Roman;sans-serif"/>
                  <w:b w:val="false"/>
                  <w:color w:val="0000FF"/>
                  <w:sz w:val="20"/>
                  <w:u w:val="single"/>
                </w:rPr>
                <w:t>PART I. FINANCIAL INFORMATION</w:t>
              </w:r>
            </w:hyperlink>
          </w:p>
        </w:tc>
        <w:tc>
          <w:tcPr>
            <w:tcW w:w="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3">
              <w:r>
                <w:rPr>
                  <w:rStyle w:val="InternetLink"/>
                  <w:rFonts w:ascii="Times New Roman;sans-serif" w:hAnsi="Times New Roman;sans-serif"/>
                  <w:b w:val="false"/>
                  <w:color w:val="0000FF"/>
                  <w:sz w:val="20"/>
                  <w:u w:val="single"/>
                </w:rPr>
                <w:t>Item 1. Financial Statements</w:t>
              </w:r>
            </w:hyperlink>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6">
              <w:r>
                <w:rPr>
                  <w:rStyle w:val="InternetLink"/>
                </w:rPr>
                <w:t xml:space="preserve">Condensed Consolidated Balance Sheets as of </w:t>
              </w:r>
            </w:hyperlink>
            <w:hyperlink w:anchor="i140a0644407a4b859030e5d1e7af2f3c_16">
              <w:r>
                <w:rPr>
                  <w:rStyle w:val="InternetLink"/>
                </w:rPr>
                <w:t>March</w:t>
              </w:r>
            </w:hyperlink>
            <w:hyperlink w:anchor="i140a0644407a4b859030e5d1e7af2f3c_16">
              <w:r>
                <w:rPr>
                  <w:rStyle w:val="InternetLink"/>
                </w:rPr>
                <w:t xml:space="preserve"> 31, 202</w:t>
              </w:r>
            </w:hyperlink>
            <w:hyperlink w:anchor="i140a0644407a4b859030e5d1e7af2f3c_16">
              <w:r>
                <w:rPr>
                  <w:rStyle w:val="InternetLink"/>
                </w:rPr>
                <w:t>1</w:t>
              </w:r>
            </w:hyperlink>
            <w:hyperlink w:anchor="i140a0644407a4b859030e5d1e7af2f3c_16">
              <w:r>
                <w:rPr>
                  <w:rStyle w:val="InternetLink"/>
                </w:rPr>
                <w:t xml:space="preserve"> and September 30, 2020</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6">
              <w:r>
                <w:rPr>
                  <w:rStyle w:val="InternetLink"/>
                  <w:rFonts w:ascii="Times New Roman;sans-serif" w:hAnsi="Times New Roman;sans-serif"/>
                  <w:b w:val="false"/>
                  <w:strike w:val="false"/>
                  <w:dstrike w:val="false"/>
                  <w:color w:val="0000FF"/>
                  <w:sz w:val="20"/>
                  <w:u w:val="none"/>
                  <w:effect w:val="none"/>
                </w:rPr>
                <w:t>6</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9">
              <w:r>
                <w:rPr>
                  <w:rStyle w:val="InternetLink"/>
                </w:rPr>
                <w:t xml:space="preserve">Condensed Consolidated Statements of Comprehensive Income for the Three </w:t>
              </w:r>
            </w:hyperlink>
            <w:hyperlink w:anchor="i140a0644407a4b859030e5d1e7af2f3c_19">
              <w:r>
                <w:rPr>
                  <w:rStyle w:val="InternetLink"/>
                </w:rPr>
                <w:t xml:space="preserve">and Six </w:t>
              </w:r>
            </w:hyperlink>
            <w:hyperlink w:anchor="i140a0644407a4b859030e5d1e7af2f3c_19">
              <w:r>
                <w:rPr>
                  <w:rStyle w:val="InternetLink"/>
                </w:rPr>
                <w:t xml:space="preserve">Months Ended </w:t>
              </w:r>
            </w:hyperlink>
            <w:hyperlink w:anchor="i140a0644407a4b859030e5d1e7af2f3c_19">
              <w:r>
                <w:rPr>
                  <w:rStyle w:val="InternetLink"/>
                </w:rPr>
                <w:t>March</w:t>
              </w:r>
            </w:hyperlink>
            <w:hyperlink w:anchor="i140a0644407a4b859030e5d1e7af2f3c_19">
              <w:r>
                <w:rPr>
                  <w:rStyle w:val="InternetLink"/>
                </w:rPr>
                <w:t xml:space="preserve"> 31, 202</w:t>
              </w:r>
            </w:hyperlink>
            <w:hyperlink w:anchor="i140a0644407a4b859030e5d1e7af2f3c_19">
              <w:r>
                <w:rPr>
                  <w:rStyle w:val="InternetLink"/>
                </w:rPr>
                <w:t>1</w:t>
              </w:r>
            </w:hyperlink>
            <w:hyperlink w:anchor="i140a0644407a4b859030e5d1e7af2f3c_19">
              <w:r>
                <w:rPr>
                  <w:rStyle w:val="InternetLink"/>
                </w:rPr>
                <w:t xml:space="preserve"> and 20</w:t>
              </w:r>
            </w:hyperlink>
            <w:hyperlink w:anchor="i140a0644407a4b859030e5d1e7af2f3c_19">
              <w:r>
                <w:rPr>
                  <w:rStyle w:val="InternetLink"/>
                </w:rPr>
                <w:t>20</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9">
              <w:r>
                <w:rPr>
                  <w:rStyle w:val="InternetLink"/>
                  <w:rFonts w:ascii="Times New Roman;sans-serif" w:hAnsi="Times New Roman;sans-serif"/>
                  <w:b w:val="false"/>
                  <w:strike w:val="false"/>
                  <w:dstrike w:val="false"/>
                  <w:color w:val="0000FF"/>
                  <w:sz w:val="20"/>
                  <w:u w:val="none"/>
                  <w:effect w:val="none"/>
                </w:rPr>
                <w:t>7</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25">
              <w:r>
                <w:rPr>
                  <w:rStyle w:val="InternetLink"/>
                </w:rPr>
                <w:t xml:space="preserve">Condensed Consolidated Statements of Stockholders’ Equity for the Three </w:t>
              </w:r>
            </w:hyperlink>
            <w:hyperlink w:anchor="i140a0644407a4b859030e5d1e7af2f3c_25">
              <w:r>
                <w:rPr>
                  <w:rStyle w:val="InternetLink"/>
                </w:rPr>
                <w:t xml:space="preserve">and Six </w:t>
              </w:r>
            </w:hyperlink>
            <w:hyperlink w:anchor="i140a0644407a4b859030e5d1e7af2f3c_25">
              <w:r>
                <w:rPr>
                  <w:rStyle w:val="InternetLink"/>
                </w:rPr>
                <w:t xml:space="preserve">Months Ended </w:t>
              </w:r>
            </w:hyperlink>
            <w:hyperlink w:anchor="i140a0644407a4b859030e5d1e7af2f3c_25">
              <w:r>
                <w:rPr>
                  <w:rStyle w:val="InternetLink"/>
                </w:rPr>
                <w:t>March</w:t>
              </w:r>
            </w:hyperlink>
            <w:hyperlink w:anchor="i140a0644407a4b859030e5d1e7af2f3c_25">
              <w:r>
                <w:rPr>
                  <w:rStyle w:val="InternetLink"/>
                </w:rPr>
                <w:t xml:space="preserve"> 31, 202</w:t>
              </w:r>
            </w:hyperlink>
            <w:hyperlink w:anchor="i140a0644407a4b859030e5d1e7af2f3c_25">
              <w:r>
                <w:rPr>
                  <w:rStyle w:val="InternetLink"/>
                </w:rPr>
                <w:t>1</w:t>
              </w:r>
            </w:hyperlink>
            <w:hyperlink w:anchor="i140a0644407a4b859030e5d1e7af2f3c_25">
              <w:r>
                <w:rPr>
                  <w:rStyle w:val="InternetLink"/>
                </w:rPr>
                <w:t xml:space="preserve"> and 20</w:t>
              </w:r>
            </w:hyperlink>
            <w:hyperlink w:anchor="i140a0644407a4b859030e5d1e7af2f3c_25">
              <w:r>
                <w:rPr>
                  <w:rStyle w:val="InternetLink"/>
                </w:rPr>
                <w:t>20</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25">
              <w:r>
                <w:rPr>
                  <w:rStyle w:val="InternetLink"/>
                  <w:rFonts w:ascii="Times New Roman;sans-serif" w:hAnsi="Times New Roman;sans-serif"/>
                  <w:b w:val="false"/>
                  <w:strike w:val="false"/>
                  <w:dstrike w:val="false"/>
                  <w:color w:val="0000FF"/>
                  <w:sz w:val="20"/>
                  <w:u w:val="none"/>
                  <w:effect w:val="none"/>
                </w:rPr>
                <w:t>9</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40a0644407a4b859030e5d1e7af2f3c_31">
              <w:r>
                <w:rPr>
                  <w:rStyle w:val="InternetLink"/>
                </w:rPr>
                <w:t xml:space="preserve">Condensed Consolidated Statements of Cash Flows for the </w:t>
              </w:r>
            </w:hyperlink>
            <w:hyperlink w:anchor="i140a0644407a4b859030e5d1e7af2f3c_31">
              <w:r>
                <w:rPr>
                  <w:rStyle w:val="InternetLink"/>
                </w:rPr>
                <w:t>Six</w:t>
              </w:r>
            </w:hyperlink>
            <w:hyperlink w:anchor="i140a0644407a4b859030e5d1e7af2f3c_31">
              <w:r>
                <w:rPr>
                  <w:rStyle w:val="InternetLink"/>
                </w:rPr>
                <w:t xml:space="preserve"> Months Ended </w:t>
              </w:r>
            </w:hyperlink>
            <w:hyperlink w:anchor="i140a0644407a4b859030e5d1e7af2f3c_31">
              <w:r>
                <w:rPr>
                  <w:rStyle w:val="InternetLink"/>
                </w:rPr>
                <w:t>Marc</w:t>
              </w:r>
            </w:hyperlink>
            <w:hyperlink w:anchor="i140a0644407a4b859030e5d1e7af2f3c_31">
              <w:r>
                <w:rPr>
                  <w:rStyle w:val="InternetLink"/>
                </w:rPr>
                <w:t>h</w:t>
              </w:r>
            </w:hyperlink>
            <w:hyperlink w:anchor="i140a0644407a4b859030e5d1e7af2f3c_31">
              <w:r>
                <w:rPr>
                  <w:rStyle w:val="InternetLink"/>
                </w:rPr>
                <w:t xml:space="preserve"> 31, 202</w:t>
              </w:r>
            </w:hyperlink>
            <w:hyperlink w:anchor="i140a0644407a4b859030e5d1e7af2f3c_31">
              <w:r>
                <w:rPr>
                  <w:rStyle w:val="InternetLink"/>
                </w:rPr>
                <w:t>1</w:t>
              </w:r>
            </w:hyperlink>
            <w:hyperlink w:anchor="i140a0644407a4b859030e5d1e7af2f3c_31">
              <w:r>
                <w:rPr>
                  <w:rStyle w:val="InternetLink"/>
                </w:rPr>
                <w:t xml:space="preserve"> and 20</w:t>
              </w:r>
            </w:hyperlink>
            <w:hyperlink w:anchor="i140a0644407a4b859030e5d1e7af2f3c_31">
              <w:r>
                <w:rPr>
                  <w:rStyle w:val="InternetLink"/>
                </w:rPr>
                <w:t>20</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31">
              <w:r>
                <w:rPr>
                  <w:rStyle w:val="InternetLink"/>
                  <w:rFonts w:ascii="Times New Roman;sans-serif" w:hAnsi="Times New Roman;sans-serif"/>
                  <w:b w:val="false"/>
                  <w:strike w:val="false"/>
                  <w:dstrike w:val="false"/>
                  <w:color w:val="0000FF"/>
                  <w:sz w:val="20"/>
                  <w:u w:val="none"/>
                  <w:effect w:val="none"/>
                </w:rPr>
                <w:t>10</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34">
              <w:r>
                <w:rPr>
                  <w:rStyle w:val="InternetLink"/>
                  <w:rFonts w:ascii="Times New Roman;sans-serif" w:hAnsi="Times New Roman;sans-serif"/>
                  <w:b w:val="false"/>
                  <w:color w:val="0000FF"/>
                  <w:sz w:val="20"/>
                  <w:u w:val="single"/>
                </w:rPr>
                <w:t>Notes to Condensed Consolidated Financial Statements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34">
              <w:r>
                <w:rPr>
                  <w:rStyle w:val="InternetLink"/>
                  <w:rFonts w:ascii="Times New Roman;sans-serif" w:hAnsi="Times New Roman;sans-serif"/>
                  <w:b w:val="false"/>
                  <w:strike w:val="false"/>
                  <w:dstrike w:val="false"/>
                  <w:color w:val="0000FF"/>
                  <w:sz w:val="20"/>
                  <w:u w:val="none"/>
                  <w:effect w:val="none"/>
                </w:rPr>
                <w:t>11</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79">
              <w:r>
                <w:rPr>
                  <w:rStyle w:val="InternetLink"/>
                  <w:rFonts w:ascii="Times New Roman;sans-serif" w:hAnsi="Times New Roman;sans-serif"/>
                  <w:b w:val="false"/>
                  <w:strike w:val="false"/>
                  <w:dstrike w:val="false"/>
                  <w:color w:val="0000FF"/>
                  <w:sz w:val="20"/>
                  <w:u w:val="none"/>
                  <w:effect w:val="none"/>
                </w:rPr>
                <w:t>27</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33">
              <w:r>
                <w:rPr>
                  <w:rStyle w:val="InternetLink"/>
                  <w:rFonts w:ascii="Times New Roman;sans-serif" w:hAnsi="Times New Roman;sans-serif"/>
                  <w:b w:val="false"/>
                  <w:color w:val="0000FF"/>
                  <w:sz w:val="20"/>
                  <w:u w:val="single"/>
                </w:rPr>
                <w:t>Item 3. Quantitative and Qualitative Disclosures About Market Risk</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33">
              <w:r>
                <w:rPr>
                  <w:rStyle w:val="InternetLink"/>
                  <w:rFonts w:ascii="Times New Roman;sans-serif" w:hAnsi="Times New Roman;sans-serif"/>
                  <w:b w:val="false"/>
                  <w:strike w:val="false"/>
                  <w:dstrike w:val="false"/>
                  <w:color w:val="0000FF"/>
                  <w:sz w:val="20"/>
                  <w:u w:val="none"/>
                  <w:effect w:val="none"/>
                </w:rPr>
                <w:t>38</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36">
              <w:r>
                <w:rPr>
                  <w:rStyle w:val="InternetLink"/>
                  <w:rFonts w:ascii="Times New Roman;sans-serif" w:hAnsi="Times New Roman;sans-serif"/>
                  <w:b w:val="false"/>
                  <w:color w:val="0000FF"/>
                  <w:sz w:val="20"/>
                  <w:u w:val="single"/>
                </w:rPr>
                <w:t>Item 4. Controls and Procedures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36">
              <w:r>
                <w:rPr>
                  <w:rStyle w:val="InternetLink"/>
                  <w:rFonts w:ascii="Times New Roman;sans-serif" w:hAnsi="Times New Roman;sans-serif"/>
                  <w:b w:val="false"/>
                  <w:strike w:val="false"/>
                  <w:dstrike w:val="false"/>
                  <w:color w:val="0000FF"/>
                  <w:sz w:val="20"/>
                  <w:u w:val="none"/>
                  <w:effect w:val="none"/>
                </w:rPr>
                <w:t>39</w:t>
              </w:r>
            </w:hyperlink>
          </w:p>
        </w:tc>
      </w:tr>
      <w:tr>
        <w:trPr/>
        <w:tc>
          <w:tcPr>
            <w:tcW w:w="9964"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140a0644407a4b859030e5d1e7af2f3c_139">
              <w:r>
                <w:rPr>
                  <w:rStyle w:val="InternetLink"/>
                  <w:rFonts w:ascii="Times New Roman;sans-serif" w:hAnsi="Times New Roman;sans-serif"/>
                  <w:b w:val="false"/>
                  <w:color w:val="0000FF"/>
                  <w:sz w:val="20"/>
                  <w:u w:val="single"/>
                </w:rPr>
                <w:t>PART II. OTHER INFORMATION</w:t>
              </w:r>
            </w:hyperlink>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42">
              <w:r>
                <w:rPr>
                  <w:rStyle w:val="InternetLink"/>
                  <w:rFonts w:ascii="Times New Roman;sans-serif" w:hAnsi="Times New Roman;sans-serif"/>
                  <w:b w:val="false"/>
                  <w:color w:val="0000FF"/>
                  <w:sz w:val="20"/>
                  <w:u w:val="single"/>
                </w:rPr>
                <w:t>Item 1. Legal Proceedings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42">
              <w:r>
                <w:rPr>
                  <w:rStyle w:val="InternetLink"/>
                  <w:rFonts w:ascii="Times New Roman;sans-serif" w:hAnsi="Times New Roman;sans-serif"/>
                  <w:b w:val="false"/>
                  <w:strike w:val="false"/>
                  <w:dstrike w:val="false"/>
                  <w:color w:val="0000FF"/>
                  <w:sz w:val="20"/>
                  <w:u w:val="none"/>
                  <w:effect w:val="none"/>
                </w:rPr>
                <w:t>39</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45">
              <w:r>
                <w:rPr>
                  <w:rStyle w:val="InternetLink"/>
                  <w:rFonts w:ascii="Times New Roman;sans-serif" w:hAnsi="Times New Roman;sans-serif"/>
                  <w:b w:val="false"/>
                  <w:color w:val="0000FF"/>
                  <w:sz w:val="20"/>
                  <w:u w:val="single"/>
                </w:rPr>
                <w:t>Item 1A. Risk Factors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45">
              <w:r>
                <w:rPr>
                  <w:rStyle w:val="InternetLink"/>
                  <w:rFonts w:ascii="Times New Roman;sans-serif" w:hAnsi="Times New Roman;sans-serif"/>
                  <w:b w:val="false"/>
                  <w:strike w:val="false"/>
                  <w:dstrike w:val="false"/>
                  <w:color w:val="0000FF"/>
                  <w:sz w:val="20"/>
                  <w:u w:val="none"/>
                  <w:effect w:val="none"/>
                </w:rPr>
                <w:t>39</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48">
              <w:r>
                <w:rPr>
                  <w:rStyle w:val="InternetLink"/>
                  <w:rFonts w:ascii="Times New Roman;sans-serif" w:hAnsi="Times New Roman;sans-serif"/>
                  <w:b w:val="false"/>
                  <w:color w:val="0000FF"/>
                  <w:sz w:val="20"/>
                  <w:u w:val="single"/>
                </w:rPr>
                <w:t>Item 2. Unregistered Sales of Equity Securities and Use of Proceeds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48">
              <w:r>
                <w:rPr>
                  <w:rStyle w:val="InternetLink"/>
                  <w:rFonts w:ascii="Times New Roman;sans-serif" w:hAnsi="Times New Roman;sans-serif"/>
                  <w:b w:val="false"/>
                  <w:strike w:val="false"/>
                  <w:dstrike w:val="false"/>
                  <w:color w:val="0000FF"/>
                  <w:sz w:val="20"/>
                  <w:u w:val="none"/>
                  <w:effect w:val="none"/>
                </w:rPr>
                <w:t>39</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51">
              <w:r>
                <w:rPr>
                  <w:rStyle w:val="InternetLink"/>
                  <w:rFonts w:ascii="Times New Roman;sans-serif" w:hAnsi="Times New Roman;sans-serif"/>
                  <w:b w:val="false"/>
                  <w:color w:val="0000FF"/>
                  <w:sz w:val="20"/>
                  <w:u w:val="single"/>
                </w:rPr>
                <w:t>Item 3. Defaults Upon Senior Securities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51">
              <w:r>
                <w:rPr>
                  <w:rStyle w:val="InternetLink"/>
                  <w:rFonts w:ascii="Times New Roman;sans-serif" w:hAnsi="Times New Roman;sans-serif"/>
                  <w:b w:val="false"/>
                  <w:strike w:val="false"/>
                  <w:dstrike w:val="false"/>
                  <w:color w:val="0000FF"/>
                  <w:sz w:val="20"/>
                  <w:u w:val="none"/>
                  <w:effect w:val="none"/>
                </w:rPr>
                <w:t>39</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54">
              <w:r>
                <w:rPr>
                  <w:rStyle w:val="InternetLink"/>
                  <w:rFonts w:ascii="Times New Roman;sans-serif" w:hAnsi="Times New Roman;sans-serif"/>
                  <w:b w:val="false"/>
                  <w:color w:val="0000FF"/>
                  <w:sz w:val="20"/>
                  <w:u w:val="single"/>
                </w:rPr>
                <w:t>Item 4. Mine Safety Disclosures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54">
              <w:r>
                <w:rPr>
                  <w:rStyle w:val="InternetLink"/>
                  <w:rFonts w:ascii="Times New Roman;sans-serif" w:hAnsi="Times New Roman;sans-serif"/>
                  <w:b w:val="false"/>
                  <w:strike w:val="false"/>
                  <w:dstrike w:val="false"/>
                  <w:color w:val="0000FF"/>
                  <w:sz w:val="20"/>
                  <w:u w:val="none"/>
                  <w:effect w:val="none"/>
                </w:rPr>
                <w:t>40</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57">
              <w:r>
                <w:rPr>
                  <w:rStyle w:val="InternetLink"/>
                  <w:rFonts w:ascii="Times New Roman;sans-serif" w:hAnsi="Times New Roman;sans-serif"/>
                  <w:b w:val="false"/>
                  <w:color w:val="0000FF"/>
                  <w:sz w:val="20"/>
                  <w:u w:val="single"/>
                </w:rPr>
                <w:t>Item 5. Other Information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57">
              <w:r>
                <w:rPr>
                  <w:rStyle w:val="InternetLink"/>
                  <w:rFonts w:ascii="Times New Roman;sans-serif" w:hAnsi="Times New Roman;sans-serif"/>
                  <w:b w:val="false"/>
                  <w:strike w:val="false"/>
                  <w:dstrike w:val="false"/>
                  <w:color w:val="0000FF"/>
                  <w:sz w:val="20"/>
                  <w:u w:val="none"/>
                  <w:effect w:val="none"/>
                </w:rPr>
                <w:t>40</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60">
              <w:r>
                <w:rPr>
                  <w:rStyle w:val="InternetLink"/>
                  <w:rFonts w:ascii="Times New Roman;sans-serif" w:hAnsi="Times New Roman;sans-serif"/>
                  <w:b w:val="false"/>
                  <w:color w:val="0000FF"/>
                  <w:sz w:val="20"/>
                  <w:u w:val="single"/>
                </w:rPr>
                <w:t>Item 6. Exhibits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60">
              <w:r>
                <w:rPr>
                  <w:rStyle w:val="InternetLink"/>
                  <w:rFonts w:ascii="Times New Roman;sans-serif" w:hAnsi="Times New Roman;sans-serif"/>
                  <w:b w:val="false"/>
                  <w:strike w:val="false"/>
                  <w:dstrike w:val="false"/>
                  <w:color w:val="0000FF"/>
                  <w:sz w:val="20"/>
                  <w:u w:val="none"/>
                  <w:effect w:val="none"/>
                </w:rPr>
                <w:t>41</w:t>
              </w:r>
            </w:hyperlink>
          </w:p>
        </w:tc>
      </w:tr>
      <w:tr>
        <w:trPr/>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0a0644407a4b859030e5d1e7af2f3c_163">
              <w:r>
                <w:rPr>
                  <w:rStyle w:val="InternetLink"/>
                  <w:rFonts w:ascii="Times New Roman;sans-serif" w:hAnsi="Times New Roman;sans-serif"/>
                  <w:b w:val="false"/>
                  <w:color w:val="0000FF"/>
                  <w:sz w:val="20"/>
                  <w:u w:val="single"/>
                </w:rPr>
                <w:t>Signatures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0a0644407a4b859030e5d1e7af2f3c_163">
              <w:r>
                <w:rPr>
                  <w:rStyle w:val="InternetLink"/>
                  <w:rFonts w:ascii="Times New Roman;sans-serif" w:hAnsi="Times New Roman;sans-serif"/>
                  <w:b w:val="false"/>
                  <w:strike w:val="false"/>
                  <w:dstrike w:val="false"/>
                  <w:color w:val="0000FF"/>
                  <w:sz w:val="20"/>
                  <w:u w:val="none"/>
                  <w:effect w:val="none"/>
                </w:rPr>
                <w:t>42</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Quarterly Report on Form 10-Q, the words “IES”, the “Company”, the “Registrant”, “we”, “our”, “ours” and “us” refer to IES Holdings, Inc. and, except as otherwise specified herein, to our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spacing w:before="0" w:after="0"/>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impact of the COVID-19 outbreak or future epidemics on our business, including the potential for new or continuing job site closures or work stoppages, supply chain disruptions, delays in awarding new project bids, construction delays, reduced demand for our services, delays in our ability to collect from our customers, or illness of management or other employees; </w:t>
      </w:r>
    </w:p>
    <w:p>
      <w:pPr>
        <w:pStyle w:val="TextBody"/>
        <w:spacing w:before="0" w:after="0"/>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ability to successfully manage projects, the cost and availability of qualified labor and the ability to maintain positive labor relations, and our ability to pass along increases in the cost of commodities used in our business, in particular, copper, aluminum, steel, fuel and certain plastics; </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potential supply chain disruptions due to credit or liquidity problems faced by our suppliers;</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enter into, and the terms of, future contracts;</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challenges integrating new businesses into the Company or new types of work, products or processes into our segments;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general reduction in the demand for our services;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backlog that may not be realized or may not result in profits;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closures or sales of facilities resulting in significant future charges, including potential warranty losses or other unexpected liabilities, or a significant disruption of our operations;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increased cost of surety bonds affecting margins on work and the potential for our surety providers to refuse bonding or require additional collateral at their discretion;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operating activity due to downturns in levels of construction or the housing market, seasonality and differing regional economic conditions;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bad debt expense and days sales outstanding due to liquidity problems faced by our customers;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accidents resulting from the physical hazards associated with our work and the potential for accidents;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possibility that our current insurance coverage may not be adequate or that we may not be able to obtain policies at acceptable rates;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litigation, claims and contingencies, including warranty losses, damages or other latent defect claims in excess of our existing reserves and accruals;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interruptions to our information systems and cyber security or data breaches;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liabilities under laws and regulations protecting the environment;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loss of key personnel and effective transition of new management, or inability to transfer, renew and obtain electrical and other licenses;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possibility that certain tax benefits of our net operating losses may be restricted or reduced in a change in ownership or a change in the federal tax rate;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recognition of tax benefits related to uncertain tax positions and the potential for disagreements with taxing authorities with regard to tax positions we have adopted;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recognition of valuation allowances or write-downs on deferred tax assets;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limitations on the availability of sufficient credit or cash flow to fund our working capital needs and capital expenditures, complete acquisitions, and for debt service;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difficulty in fulfilling the covenant terms of our revolving credit facility, including liquidity, and other financial requirements, which could result in a default and acceleration of any indebtedness we may incur under our revolving credit facility;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inaccurate estimates used when entering into fixed-priced contracts, the possibility of errors when estimating revenue and progress to date on percentage-of-completion contracts, and complications associated with the incorporation of new accounting, control and operating procedures;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uncertainties inherent in estimating future operating results, including revenues, operating income or cash flow;</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recognition of potential goodwill, long-lived assets and other investment impairments;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phase-out, replacement or unavailability of the London Interbank Offered Rate ("LIBOR");</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existence of a controlling shareholder, who has the ability to take action not aligned with other shareholders or could dispose of all or any portion of the shares of our common stock it holds, which could trigger certain change of control provisions in a number of our material agreements, including our financing and surety arrangements and our executive severance plan, as well as exercisability of the purchase rights under our tax benefit protection plan;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relatively low trading volume of our common stock, as a result of which it could be more difficult for shareholders to sell a substantial number of shares for the same price at which shareholders could sell a smaller number of shares;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potential for substantial sales of our common stock, which could adversely affect our stock price;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possibility that our internal controls over financial reporting and our disclosure controls and procedures may not prevent all possible errors that could occur;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discussed elsewhere in this Quarterly Report on Form 10-Q.</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understand that the foregoing, as well as other risk factors discussed in this document and those listed in Part I, Item 1A of our Annual Report on Form 10-K for the fiscal year ended September 30, 2020, could cause future outcomes to differ materially from those experienced previously or those expressed in such forward-looking statements. We undertake no obligation to publicly update or revise any information, including without limitation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220" w:after="283"/>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70"/>
        <w:gridCol w:w="149"/>
        <w:gridCol w:w="149"/>
        <w:gridCol w:w="149"/>
        <w:gridCol w:w="149"/>
        <w:gridCol w:w="149"/>
        <w:gridCol w:w="392"/>
        <w:gridCol w:w="392"/>
        <w:gridCol w:w="392"/>
        <w:gridCol w:w="1776"/>
        <w:gridCol w:w="1775"/>
        <w:gridCol w:w="1786"/>
        <w:gridCol w:w="109"/>
        <w:gridCol w:w="109"/>
        <w:gridCol w:w="109"/>
        <w:gridCol w:w="211"/>
        <w:gridCol w:w="826"/>
        <w:gridCol w:w="109"/>
        <w:gridCol w:w="109"/>
        <w:gridCol w:w="109"/>
        <w:gridCol w:w="109"/>
        <w:gridCol w:w="230"/>
        <w:gridCol w:w="904"/>
        <w:gridCol w:w="177"/>
      </w:tblGrid>
      <w:tr>
        <w:trPr/>
        <w:tc>
          <w:tcPr>
            <w:tcW w:w="1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net of allowance of $1,064 and $2,613,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242,449 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275,411 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100,000,000 shares authorized; 22,049,529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20,838,844 and 20,762,395 outstanding,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1,210,685 and 1,287,134 shares,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8"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607"/>
        <w:gridCol w:w="587"/>
        <w:gridCol w:w="587"/>
        <w:gridCol w:w="683"/>
        <w:gridCol w:w="671"/>
        <w:gridCol w:w="666"/>
        <w:gridCol w:w="662"/>
        <w:gridCol w:w="662"/>
        <w:gridCol w:w="662"/>
        <w:gridCol w:w="109"/>
        <w:gridCol w:w="109"/>
        <w:gridCol w:w="109"/>
        <w:gridCol w:w="168"/>
        <w:gridCol w:w="168"/>
        <w:gridCol w:w="168"/>
        <w:gridCol w:w="457"/>
        <w:gridCol w:w="457"/>
        <w:gridCol w:w="170"/>
        <w:gridCol w:w="168"/>
        <w:gridCol w:w="168"/>
        <w:gridCol w:w="168"/>
        <w:gridCol w:w="168"/>
        <w:gridCol w:w="168"/>
        <w:gridCol w:w="168"/>
        <w:gridCol w:w="455"/>
        <w:gridCol w:w="455"/>
        <w:gridCol w:w="2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291,277 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267,087 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240,013 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42,036 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4"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20,780,006</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20,847,245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21,071,059</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21,122,310</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220" w:after="283"/>
        <w:jc w:val="center"/>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615"/>
        <w:gridCol w:w="599"/>
        <w:gridCol w:w="599"/>
        <w:gridCol w:w="694"/>
        <w:gridCol w:w="684"/>
        <w:gridCol w:w="680"/>
        <w:gridCol w:w="677"/>
        <w:gridCol w:w="677"/>
        <w:gridCol w:w="677"/>
        <w:gridCol w:w="109"/>
        <w:gridCol w:w="109"/>
        <w:gridCol w:w="109"/>
        <w:gridCol w:w="158"/>
        <w:gridCol w:w="158"/>
        <w:gridCol w:w="158"/>
        <w:gridCol w:w="457"/>
        <w:gridCol w:w="457"/>
        <w:gridCol w:w="159"/>
        <w:gridCol w:w="158"/>
        <w:gridCol w:w="158"/>
        <w:gridCol w:w="158"/>
        <w:gridCol w:w="158"/>
        <w:gridCol w:w="158"/>
        <w:gridCol w:w="158"/>
        <w:gridCol w:w="455"/>
        <w:gridCol w:w="455"/>
        <w:gridCol w:w="2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1"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567,320 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523,246 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465,841 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79,908 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20,756,879</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20,865,460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21,059,088</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21,132,519</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jc w:val="center"/>
        <w:rPr/>
      </w:pPr>
      <w:r>
        <w:rPr/>
      </w:r>
    </w:p>
    <w:tbl>
      <w:tblPr>
        <w:tblW w:w="11786" w:type="dxa"/>
        <w:jc w:val="center"/>
        <w:tblInd w:w="0" w:type="dxa"/>
        <w:tblCellMar>
          <w:top w:w="28" w:type="dxa"/>
          <w:left w:w="28" w:type="dxa"/>
          <w:bottom w:w="28" w:type="dxa"/>
          <w:right w:w="28" w:type="dxa"/>
        </w:tblCellMar>
      </w:tblPr>
      <w:tblGrid>
        <w:gridCol w:w="175"/>
        <w:gridCol w:w="154"/>
        <w:gridCol w:w="154"/>
        <w:gridCol w:w="460"/>
        <w:gridCol w:w="385"/>
        <w:gridCol w:w="29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2" w:type="dxa"/>
            <w:gridSpan w:val="5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March 31, 2021</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(1,279,545)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68,860 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2021</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(1,210,685)</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200,732 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308,535 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1561" w:type="dxa"/>
        <w:jc w:val="center"/>
        <w:tblInd w:w="0" w:type="dxa"/>
        <w:tblCellMar>
          <w:top w:w="28" w:type="dxa"/>
          <w:left w:w="28" w:type="dxa"/>
          <w:bottom w:w="28" w:type="dxa"/>
          <w:right w:w="28" w:type="dxa"/>
        </w:tblCellMar>
      </w:tblPr>
      <w:tblGrid>
        <w:gridCol w:w="175"/>
        <w:gridCol w:w="154"/>
        <w:gridCol w:w="154"/>
        <w:gridCol w:w="460"/>
        <w:gridCol w:w="385"/>
        <w:gridCol w:w="296"/>
        <w:gridCol w:w="480"/>
        <w:gridCol w:w="481"/>
        <w:gridCol w:w="186"/>
        <w:gridCol w:w="109"/>
        <w:gridCol w:w="109"/>
        <w:gridCol w:w="109"/>
        <w:gridCol w:w="112"/>
        <w:gridCol w:w="112"/>
        <w:gridCol w:w="112"/>
        <w:gridCol w:w="210"/>
        <w:gridCol w:w="211"/>
        <w:gridCol w:w="116"/>
        <w:gridCol w:w="109"/>
        <w:gridCol w:w="109"/>
        <w:gridCol w:w="109"/>
        <w:gridCol w:w="375"/>
        <w:gridCol w:w="376"/>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23"/>
        <w:gridCol w:w="323"/>
        <w:gridCol w:w="121"/>
        <w:gridCol w:w="109"/>
        <w:gridCol w:w="109"/>
        <w:gridCol w:w="109"/>
        <w:gridCol w:w="168"/>
        <w:gridCol w:w="168"/>
        <w:gridCol w:w="168"/>
        <w:gridCol w:w="368"/>
        <w:gridCol w:w="368"/>
        <w:gridCol w:w="241"/>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7" w:type="dxa"/>
            <w:gridSpan w:val="5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March 31, 2020</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(826,353)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(178,431)</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2020</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(977,863)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192,895 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80,333 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257,805 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1786" w:type="dxa"/>
        <w:jc w:val="center"/>
        <w:tblInd w:w="0" w:type="dxa"/>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2" w:type="dxa"/>
            <w:gridSpan w:val="5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March 31, 2021</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(1,287,134)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107,327 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new accounting standard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2021</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(1,210,685)</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200,732 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308,535 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1486" w:type="dxa"/>
        <w:jc w:val="center"/>
        <w:tblInd w:w="0" w:type="dxa"/>
        <w:tblCellMar>
          <w:top w:w="28" w:type="dxa"/>
          <w:left w:w="28" w:type="dxa"/>
          <w:bottom w:w="28" w:type="dxa"/>
          <w:right w:w="28" w:type="dxa"/>
        </w:tblCellMar>
      </w:tblPr>
      <w:tblGrid>
        <w:gridCol w:w="175"/>
        <w:gridCol w:w="154"/>
        <w:gridCol w:w="154"/>
        <w:gridCol w:w="390"/>
        <w:gridCol w:w="390"/>
        <w:gridCol w:w="286"/>
        <w:gridCol w:w="480"/>
        <w:gridCol w:w="481"/>
        <w:gridCol w:w="186"/>
        <w:gridCol w:w="109"/>
        <w:gridCol w:w="109"/>
        <w:gridCol w:w="109"/>
        <w:gridCol w:w="112"/>
        <w:gridCol w:w="112"/>
        <w:gridCol w:w="112"/>
        <w:gridCol w:w="210"/>
        <w:gridCol w:w="211"/>
        <w:gridCol w:w="116"/>
        <w:gridCol w:w="109"/>
        <w:gridCol w:w="109"/>
        <w:gridCol w:w="109"/>
        <w:gridCol w:w="375"/>
        <w:gridCol w:w="376"/>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23"/>
        <w:gridCol w:w="323"/>
        <w:gridCol w:w="121"/>
        <w:gridCol w:w="109"/>
        <w:gridCol w:w="109"/>
        <w:gridCol w:w="109"/>
        <w:gridCol w:w="168"/>
        <w:gridCol w:w="168"/>
        <w:gridCol w:w="168"/>
        <w:gridCol w:w="368"/>
        <w:gridCol w:w="368"/>
        <w:gridCol w:w="241"/>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7" w:type="dxa"/>
            <w:gridSpan w:val="5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 March 31, 2020</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5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(884,518)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116,580 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(215,675)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(4,894)</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2020</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(977,863)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192,895 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80,333 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257,805 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400"/>
        <w:gridCol w:w="351"/>
        <w:gridCol w:w="351"/>
        <w:gridCol w:w="899"/>
        <w:gridCol w:w="796"/>
        <w:gridCol w:w="793"/>
        <w:gridCol w:w="1237"/>
        <w:gridCol w:w="961"/>
        <w:gridCol w:w="990"/>
        <w:gridCol w:w="109"/>
        <w:gridCol w:w="109"/>
        <w:gridCol w:w="109"/>
        <w:gridCol w:w="146"/>
        <w:gridCol w:w="146"/>
        <w:gridCol w:w="146"/>
        <w:gridCol w:w="437"/>
        <w:gridCol w:w="443"/>
        <w:gridCol w:w="146"/>
        <w:gridCol w:w="146"/>
        <w:gridCol w:w="146"/>
        <w:gridCol w:w="146"/>
        <w:gridCol w:w="146"/>
        <w:gridCol w:w="146"/>
        <w:gridCol w:w="146"/>
        <w:gridCol w:w="437"/>
        <w:gridCol w:w="443"/>
        <w:gridCol w:w="214"/>
      </w:tblGrid>
      <w:tr>
        <w:trPr/>
        <w:tc>
          <w:tcPr>
            <w:tcW w:w="40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7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conjunction with business combinations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(55,468)</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(28,952)</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(31,797)</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584,483 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592,422 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(584,495)</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(563,093)</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Thousands Except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BUSINESS AND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IES Holdings, Inc. is a holding company that owns and manages operating subsidiaries that design and install integrated electrical and technology systems and provide infrastructure products and services across a variety of end-markets, including data centers, residential housing and commercial and industrial facilities. Our operations are organized into four principal business segments, based upon the nature of our services: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 xml:space="preserve">Regional provider of electrical installation services for single-family housing and multi-family apartment complexes.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to be used in data centers and other industrial applications.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words “IES”, the “Company”, “we”, “our”, and “us” refer to IES Holdings, Inc. and, except as otherwise specified herein, to our consolidated subsidiaries.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Financial Statement Preparation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2020.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acquisitions of Bayonet Plumbing, Heating and Air-Conditioning, LLC (“Bayonet”) in fiscal 2021, NEXT Electric, LLC in fiscal 2017, and STR Mechanical, LLC in fiscal 2016,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is carried at the greater of the balance determined under Accounting Standards Codification (“ASC”) 810 and the redemption amounts assuming the noncontrolling interests were redeemable at the balance sheet date. If all of these interests had been redeemable at March 31, 2021, the redemption amount would have been $12,874. During the three and six months ended March 31, 2021, we recorded a valuation adjustment to the balance sheet carrying value of noncontrolling interest of $621 and $503,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subject to contractual restrictions and not readily available are classified as restricted cash. As of March 31, 2021, the Company's restricted cash balances of $4,813 represents cash in escrow for the repayment of a Paycheck Protection Program loan assumed in connection with a business combination completed during the six months ended March 31, 2021. Pending the outcome of an application for loan forgiveness, the cash in escrow will either be used to repay the loan or, if forgiveness is approved, will be paid to the selling shareholders of the acquired entity.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Standards Recently Adopted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We adopted this standard on October 1, 2020, using a modified retrospective transition method through a cumulative-effect adjustment to beginning retained earnings in the period of adoption. As a result, we recorded an increase in the Allowance for Credit Losses of $284, an increase to Deferred Tax Assets of $70, and an increase of $214 to retained earnings.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ASU 2016-13 requires the recognition of expected credit losses on financial assets measured at amortized cost basis. 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U.S. construction market.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trade receivables due in one year or less, we do not have any other financial assets that are past due or are on non-accrual status.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We adopted this standard on October 1, 2020, with no impact on our Condensed Consolidated Financial Statements.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interim periods within that year. Early adoption is permitted. We expect to adopt this standard on October 1, 2021, and do not expect it to have a material impact on our Condensed Consolidated Financial Statements.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CONTROLLING STOCKHOLDER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Tontine Associates, L.L.C. ("Tontine Associates"), together with its affiliates (collectively, “Tontine”), is the Company’s controlling stockholder, owning approximately 56 percent of the Company’s outstanding common stock according to a Form 4 filed by Tontine with the SEC on March 11, 2021. Accordingly, Tontine has the ability to exercise significant control over our affairs, including the election of directors and most actions requiring the approval of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tax benefit protection plan (the “NOL Rights Plan”). The NOL Rights Plan is designed to deter an acquisition of the Company's stock in excess of a threshold amount that could trigger a change in ownership within the meaning of Internal Revenue Code Section 382. There can be no assurance that the NOL Rights Plan will be effective in deterring a change in ownership or protecting the NOLs. Furthermore, a change of control would trigger the change of control provisions in a number of our material agreements, including our credit agreement, bonding agreements with our sureties and our executive severance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Jeffrey L. Gendell was appointed as Chief Executive Officer of the Company effective October 1, 2020, having served as the Company's Interim Chief Executive Officer since July 31, 2020. Mr. Gendell also serves as Chairman of the Company's Board of Directors (the "Board"), a position he has held since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pStyle w:val="TextBody"/>
        <w:spacing w:lineRule="auto" w:line="288" w:before="0" w:after="0"/>
        <w:ind w:left="0" w:right="0" w:firstLine="720"/>
        <w:jc w:val="both"/>
        <w:rPr>
          <w:color w:val="FF0000"/>
        </w:rPr>
      </w:pPr>
      <w:r>
        <w:rPr>
          <w:color w:val="FF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of Obtaining a Contract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of our operations, we incur commission costs related to entering into a contract that we only incurred because of that contract. When this occurs, we capitalize that cost and amortize it over the expected term of the contract. At March 31, 2021, we had capitalized commission costs of $94.</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do not incur significant incremental costs related to obtaining or fulfilling a contract prior to the start of a project. When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pre-contract costs are incurred, they will be capitalized and amortized on a percentage of completion basis over the life of the contract.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revenue for the three and six months ended March 31, 2021 and 2020 was derived from the following activities. See details in the following tables:</w:t>
      </w:r>
    </w:p>
    <w:p>
      <w:pPr>
        <w:pStyle w:val="TextBody"/>
        <w:spacing w:before="0" w:after="0"/>
        <w:rPr/>
      </w:pPr>
      <w:r>
        <w:rPr/>
      </w:r>
    </w:p>
    <w:tbl>
      <w:tblPr>
        <w:tblW w:w="8939" w:type="dxa"/>
        <w:jc w:val="center"/>
        <w:tblInd w:w="0" w:type="dxa"/>
        <w:tblCellMar>
          <w:top w:w="28" w:type="dxa"/>
          <w:left w:w="28" w:type="dxa"/>
          <w:bottom w:w="28" w:type="dxa"/>
          <w:right w:w="28" w:type="dxa"/>
        </w:tblCellMar>
      </w:tblPr>
      <w:tblGrid>
        <w:gridCol w:w="906"/>
        <w:gridCol w:w="797"/>
        <w:gridCol w:w="801"/>
        <w:gridCol w:w="109"/>
        <w:gridCol w:w="109"/>
        <w:gridCol w:w="109"/>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09"/>
        <w:gridCol w:w="109"/>
        <w:gridCol w:w="109"/>
        <w:gridCol w:w="109"/>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Single-family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 Power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Infrastructure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291,277 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769" w:type="dxa"/>
        <w:jc w:val="center"/>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250"/>
        <w:gridCol w:w="250"/>
        <w:gridCol w:w="250"/>
        <w:gridCol w:w="360"/>
        <w:gridCol w:w="361"/>
        <w:gridCol w:w="251"/>
        <w:gridCol w:w="109"/>
        <w:gridCol w:w="109"/>
        <w:gridCol w:w="109"/>
        <w:gridCol w:w="172"/>
        <w:gridCol w:w="172"/>
        <w:gridCol w:w="172"/>
        <w:gridCol w:w="413"/>
        <w:gridCol w:w="413"/>
        <w:gridCol w:w="176"/>
        <w:gridCol w:w="109"/>
        <w:gridCol w:w="109"/>
        <w:gridCol w:w="109"/>
        <w:gridCol w:w="197"/>
        <w:gridCol w:w="197"/>
        <w:gridCol w:w="197"/>
        <w:gridCol w:w="360"/>
        <w:gridCol w:w="361"/>
        <w:gridCol w:w="201"/>
        <w:gridCol w:w="109"/>
        <w:gridCol w:w="109"/>
        <w:gridCol w:w="109"/>
        <w:gridCol w:w="182"/>
        <w:gridCol w:w="182"/>
        <w:gridCol w:w="182"/>
        <w:gridCol w:w="360"/>
        <w:gridCol w:w="361"/>
        <w:gridCol w:w="186"/>
        <w:gridCol w:w="109"/>
        <w:gridCol w:w="109"/>
        <w:gridCol w:w="109"/>
        <w:gridCol w:w="109"/>
        <w:gridCol w:w="109"/>
        <w:gridCol w:w="109"/>
        <w:gridCol w:w="413"/>
        <w:gridCol w:w="413"/>
        <w:gridCol w:w="154"/>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2021</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2020</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1" w:type="dxa"/>
            <w:gridSpan w:val="42"/>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87"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1" w:type="dxa"/>
            <w:gridSpan w:val="42"/>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87"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tbl>
      <w:tblPr>
        <w:tblW w:w="10979" w:type="dxa"/>
        <w:jc w:val="left"/>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250"/>
        <w:gridCol w:w="250"/>
        <w:gridCol w:w="250"/>
        <w:gridCol w:w="413"/>
        <w:gridCol w:w="413"/>
        <w:gridCol w:w="251"/>
        <w:gridCol w:w="109"/>
        <w:gridCol w:w="109"/>
        <w:gridCol w:w="109"/>
        <w:gridCol w:w="172"/>
        <w:gridCol w:w="172"/>
        <w:gridCol w:w="172"/>
        <w:gridCol w:w="413"/>
        <w:gridCol w:w="413"/>
        <w:gridCol w:w="176"/>
        <w:gridCol w:w="109"/>
        <w:gridCol w:w="109"/>
        <w:gridCol w:w="109"/>
        <w:gridCol w:w="197"/>
        <w:gridCol w:w="197"/>
        <w:gridCol w:w="197"/>
        <w:gridCol w:w="360"/>
        <w:gridCol w:w="361"/>
        <w:gridCol w:w="201"/>
        <w:gridCol w:w="109"/>
        <w:gridCol w:w="109"/>
        <w:gridCol w:w="109"/>
        <w:gridCol w:w="182"/>
        <w:gridCol w:w="182"/>
        <w:gridCol w:w="182"/>
        <w:gridCol w:w="413"/>
        <w:gridCol w:w="413"/>
        <w:gridCol w:w="186"/>
        <w:gridCol w:w="109"/>
        <w:gridCol w:w="109"/>
        <w:gridCol w:w="109"/>
        <w:gridCol w:w="109"/>
        <w:gridCol w:w="109"/>
        <w:gridCol w:w="109"/>
        <w:gridCol w:w="413"/>
        <w:gridCol w:w="413"/>
        <w:gridCol w:w="154"/>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 2021</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48,677 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 2020</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1" w:type="dxa"/>
            <w:gridSpan w:val="42"/>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92"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1" w:type="dxa"/>
            <w:gridSpan w:val="42"/>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92"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 amounts which we have billed or have an unconditional right to bill our customers. As of March 31, 2021, Accounts receivable included $12,302 of unbilled receivables for which we have an unconditional right to bill.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2021 and 2020, we recognized revenue of $28,385 and $21,473 related to our contract liabilities at January 1, 2021 and 2020, respectively. During the six months ended March 31, 2021 and 2020, we recognized revenue of $33,740 and $26,403 related to our contract liabilities at October 1, 2020 and 2019, respectively.</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any impairment losses recognized on our receivables or contract assets for the three and six months ended March 31, 2021 or 2020.</w:t>
      </w:r>
    </w:p>
    <w:p>
      <w:pPr>
        <w:pStyle w:val="TextBody"/>
        <w:spacing w:lineRule="auto" w:line="288" w:before="0" w:after="0"/>
        <w:jc w:val="both"/>
        <w:rPr/>
      </w:pPr>
      <w:r>
        <w:rPr>
          <w:rFonts w:ascii="Times New Roman;sans-serif" w:hAnsi="Times New Roman;sans-serif"/>
          <w:b w:val="false"/>
          <w:i/>
          <w:color w:val="000000"/>
          <w:sz w:val="20"/>
        </w:rPr>
        <w:t>Remaining Performance Obligations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March 31, 2021, we had remaining performance obligations of $613,893. The Company expects to recognize revenue on approximately $458,306 of the remaining performance obligations over the next 12 months, with the remaining recognized thereafter.</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March 31, 2021, net revenue recognized from our performance obligations satisfied in previous periods was not material.</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DEBT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2021 and September 30, 2020, we had zero and $12, respectively, in borrowings outstanding under our revolving credit facility with Wells Fargo Bank, N.A. ("Wells Fargo"), and long-term debt related to loans on capital expenditures of $140 and $205, respectively. At March 31, 2021, we also had $6,964 in outstanding letters of credit and total availability of $93,036 under our revolving credit facility without triggering our financial covenants under the Amended Credit Agreement (as defined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$100 million revolving credit facility that matures on September 30, 2024, pursuant to our Second Amended and Restated Credit and Security Agreement with Wells Fargo (as amended, the “Amended Credit Agreement”). The Amended Credit Agreement contains customary affirmative, negative and financial covenants as disclosed in Item 7 of our Annual Report on Form 10-K for the year ended September 30, 2020. As of March 31, 2021, the Company was in compliance with the financial covenants under the Amended Credit Agreement.</w:t>
      </w:r>
    </w:p>
    <w:p>
      <w:pPr>
        <w:pStyle w:val="TextBody"/>
        <w:spacing w:before="0" w:after="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PER SHARE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components of basic and diluted earnings per share for the three and six months ended March 31, 2021 and 2020:</w:t>
      </w:r>
    </w:p>
    <w:tbl>
      <w:tblPr>
        <w:tblW w:w="10539" w:type="dxa"/>
        <w:jc w:val="center"/>
        <w:tblInd w:w="0" w:type="dxa"/>
        <w:tblCellMar>
          <w:top w:w="28" w:type="dxa"/>
          <w:left w:w="28" w:type="dxa"/>
          <w:bottom w:w="28" w:type="dxa"/>
          <w:right w:w="28" w:type="dxa"/>
        </w:tblCellMar>
      </w:tblPr>
      <w:tblGrid>
        <w:gridCol w:w="2229"/>
        <w:gridCol w:w="1941"/>
        <w:gridCol w:w="1952"/>
        <w:gridCol w:w="109"/>
        <w:gridCol w:w="109"/>
        <w:gridCol w:w="109"/>
        <w:gridCol w:w="168"/>
        <w:gridCol w:w="168"/>
        <w:gridCol w:w="168"/>
        <w:gridCol w:w="539"/>
        <w:gridCol w:w="542"/>
        <w:gridCol w:w="168"/>
        <w:gridCol w:w="168"/>
        <w:gridCol w:w="168"/>
        <w:gridCol w:w="168"/>
        <w:gridCol w:w="168"/>
        <w:gridCol w:w="168"/>
        <w:gridCol w:w="168"/>
        <w:gridCol w:w="540"/>
        <w:gridCol w:w="541"/>
        <w:gridCol w:w="248"/>
      </w:tblGrid>
      <w:tr>
        <w:trPr/>
        <w:tc>
          <w:tcPr>
            <w:tcW w:w="2229"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0"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6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restricted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20,780,006 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20,847,245 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non-vested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291,053 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275,065 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21,071,059 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21,122,310 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6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3586" w:type="dxa"/>
            <w:gridSpan w:val="12"/>
            <w:tcBorders/>
            <w:shd w:fill="auto" w:val="clea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833" w:type="dxa"/>
            <w:gridSpan w:val="6"/>
            <w:tcBorders/>
            <w:shd w:fill="auto" w:val="clea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r>
        <w:trPr/>
        <w:tc>
          <w:tcPr>
            <w:tcW w:w="6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32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269"/>
        <w:gridCol w:w="1980"/>
        <w:gridCol w:w="1991"/>
        <w:gridCol w:w="109"/>
        <w:gridCol w:w="109"/>
        <w:gridCol w:w="109"/>
        <w:gridCol w:w="158"/>
        <w:gridCol w:w="158"/>
        <w:gridCol w:w="158"/>
        <w:gridCol w:w="539"/>
        <w:gridCol w:w="542"/>
        <w:gridCol w:w="158"/>
        <w:gridCol w:w="158"/>
        <w:gridCol w:w="158"/>
        <w:gridCol w:w="158"/>
        <w:gridCol w:w="158"/>
        <w:gridCol w:w="158"/>
        <w:gridCol w:w="158"/>
        <w:gridCol w:w="539"/>
        <w:gridCol w:w="542"/>
        <w:gridCol w:w="230"/>
      </w:tblGrid>
      <w:tr>
        <w:trPr/>
        <w:tc>
          <w:tcPr>
            <w:tcW w:w="2269"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6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restricted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20,756,879 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20,865,460 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non-vested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302,209 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267,059 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21,059,088 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21,132,519 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3498" w:type="dxa"/>
            <w:gridSpan w:val="12"/>
            <w:tcBorders/>
            <w:shd w:fill="auto" w:val="clea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785" w:type="dxa"/>
            <w:gridSpan w:val="6"/>
            <w:tcBorders/>
            <w:shd w:fill="auto" w:val="clea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March 31, 2021 and 2020, the average price of our common shares exceeded the exercise price of all of our outstanding options; therefore, all of our outstanding stock options were included in the computation of fully diluted earnings per share.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measure performance of our business in four distinct operating segments: Communications, Residential, Infrastructure Solutions, and Commercial &amp; Industrial. These segments are reflective of how the Company’s Chief Operating Decision Maker (“CODM”) reviews operating results for the purpose of allocating resources and assessing performance. The Company’s CODM is its Chief Executive Officer.</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between segments, if any, are eliminated in consolidation. Our corporate office provides general and administrative services, as well as support services, to our four operating segments. Management allocates certain shared costs between segments for selling, general and administrative expenses and depreciation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and six months ended March 31, 2021 and 2020 is as follows: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82"/>
        <w:gridCol w:w="248"/>
        <w:gridCol w:w="248"/>
        <w:gridCol w:w="523"/>
        <w:gridCol w:w="523"/>
        <w:gridCol w:w="334"/>
        <w:gridCol w:w="245"/>
        <w:gridCol w:w="923"/>
        <w:gridCol w:w="138"/>
        <w:gridCol w:w="109"/>
        <w:gridCol w:w="109"/>
        <w:gridCol w:w="109"/>
        <w:gridCol w:w="196"/>
        <w:gridCol w:w="736"/>
        <w:gridCol w:w="109"/>
        <w:gridCol w:w="109"/>
        <w:gridCol w:w="109"/>
        <w:gridCol w:w="109"/>
        <w:gridCol w:w="227"/>
        <w:gridCol w:w="857"/>
        <w:gridCol w:w="128"/>
        <w:gridCol w:w="109"/>
        <w:gridCol w:w="109"/>
        <w:gridCol w:w="109"/>
        <w:gridCol w:w="236"/>
        <w:gridCol w:w="777"/>
        <w:gridCol w:w="132"/>
        <w:gridCol w:w="109"/>
        <w:gridCol w:w="109"/>
        <w:gridCol w:w="109"/>
        <w:gridCol w:w="196"/>
        <w:gridCol w:w="646"/>
        <w:gridCol w:w="109"/>
        <w:gridCol w:w="109"/>
        <w:gridCol w:w="109"/>
        <w:gridCol w:w="109"/>
        <w:gridCol w:w="196"/>
        <w:gridCol w:w="736"/>
        <w:gridCol w:w="159"/>
      </w:tblGrid>
      <w:tr>
        <w:trPr/>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March 31, 2021</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267,087 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128,568 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615,652 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282"/>
        <w:gridCol w:w="248"/>
        <w:gridCol w:w="248"/>
        <w:gridCol w:w="523"/>
        <w:gridCol w:w="523"/>
        <w:gridCol w:w="334"/>
        <w:gridCol w:w="245"/>
        <w:gridCol w:w="923"/>
        <w:gridCol w:w="138"/>
        <w:gridCol w:w="109"/>
        <w:gridCol w:w="109"/>
        <w:gridCol w:w="109"/>
        <w:gridCol w:w="196"/>
        <w:gridCol w:w="736"/>
        <w:gridCol w:w="109"/>
        <w:gridCol w:w="109"/>
        <w:gridCol w:w="109"/>
        <w:gridCol w:w="109"/>
        <w:gridCol w:w="227"/>
        <w:gridCol w:w="857"/>
        <w:gridCol w:w="128"/>
        <w:gridCol w:w="109"/>
        <w:gridCol w:w="109"/>
        <w:gridCol w:w="109"/>
        <w:gridCol w:w="236"/>
        <w:gridCol w:w="777"/>
        <w:gridCol w:w="132"/>
        <w:gridCol w:w="109"/>
        <w:gridCol w:w="109"/>
        <w:gridCol w:w="109"/>
        <w:gridCol w:w="196"/>
        <w:gridCol w:w="646"/>
        <w:gridCol w:w="109"/>
        <w:gridCol w:w="109"/>
        <w:gridCol w:w="109"/>
        <w:gridCol w:w="109"/>
        <w:gridCol w:w="196"/>
        <w:gridCol w:w="736"/>
        <w:gridCol w:w="159"/>
      </w:tblGrid>
      <w:tr>
        <w:trPr/>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March 31, 2020</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240,013 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126,871 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127,426 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75,075 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526,344 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278"/>
        <w:gridCol w:w="244"/>
        <w:gridCol w:w="244"/>
        <w:gridCol w:w="515"/>
        <w:gridCol w:w="515"/>
        <w:gridCol w:w="322"/>
        <w:gridCol w:w="245"/>
        <w:gridCol w:w="923"/>
        <w:gridCol w:w="138"/>
        <w:gridCol w:w="109"/>
        <w:gridCol w:w="109"/>
        <w:gridCol w:w="109"/>
        <w:gridCol w:w="196"/>
        <w:gridCol w:w="736"/>
        <w:gridCol w:w="109"/>
        <w:gridCol w:w="109"/>
        <w:gridCol w:w="109"/>
        <w:gridCol w:w="109"/>
        <w:gridCol w:w="225"/>
        <w:gridCol w:w="849"/>
        <w:gridCol w:w="127"/>
        <w:gridCol w:w="109"/>
        <w:gridCol w:w="109"/>
        <w:gridCol w:w="109"/>
        <w:gridCol w:w="225"/>
        <w:gridCol w:w="845"/>
        <w:gridCol w:w="125"/>
        <w:gridCol w:w="109"/>
        <w:gridCol w:w="109"/>
        <w:gridCol w:w="109"/>
        <w:gridCol w:w="196"/>
        <w:gridCol w:w="646"/>
        <w:gridCol w:w="109"/>
        <w:gridCol w:w="109"/>
        <w:gridCol w:w="109"/>
        <w:gridCol w:w="109"/>
        <w:gridCol w:w="196"/>
        <w:gridCol w:w="736"/>
        <w:gridCol w:w="160"/>
      </w:tblGrid>
      <w:tr>
        <w:trPr/>
        <w:tc>
          <w:tcPr>
            <w:tcW w:w="2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Six Months Ended March 31, 2021</w:t>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155,156 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48,625 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103,356 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523,246 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128,568 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615,652 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278"/>
        <w:gridCol w:w="244"/>
        <w:gridCol w:w="244"/>
        <w:gridCol w:w="515"/>
        <w:gridCol w:w="515"/>
        <w:gridCol w:w="322"/>
        <w:gridCol w:w="245"/>
        <w:gridCol w:w="923"/>
        <w:gridCol w:w="138"/>
        <w:gridCol w:w="109"/>
        <w:gridCol w:w="109"/>
        <w:gridCol w:w="109"/>
        <w:gridCol w:w="196"/>
        <w:gridCol w:w="736"/>
        <w:gridCol w:w="109"/>
        <w:gridCol w:w="109"/>
        <w:gridCol w:w="109"/>
        <w:gridCol w:w="109"/>
        <w:gridCol w:w="225"/>
        <w:gridCol w:w="849"/>
        <w:gridCol w:w="127"/>
        <w:gridCol w:w="109"/>
        <w:gridCol w:w="109"/>
        <w:gridCol w:w="109"/>
        <w:gridCol w:w="225"/>
        <w:gridCol w:w="845"/>
        <w:gridCol w:w="125"/>
        <w:gridCol w:w="109"/>
        <w:gridCol w:w="109"/>
        <w:gridCol w:w="109"/>
        <w:gridCol w:w="196"/>
        <w:gridCol w:w="646"/>
        <w:gridCol w:w="109"/>
        <w:gridCol w:w="109"/>
        <w:gridCol w:w="109"/>
        <w:gridCol w:w="109"/>
        <w:gridCol w:w="196"/>
        <w:gridCol w:w="736"/>
        <w:gridCol w:w="160"/>
      </w:tblGrid>
      <w:tr>
        <w:trPr/>
        <w:tc>
          <w:tcPr>
            <w:tcW w:w="2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Six Months Ended March 31, 2020</w:t>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180,279 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567,320 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148,074 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45,568 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122,500 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465,841 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tcPr>
          <w:p>
            <w:pPr>
              <w:pStyle w:val="TableContents"/>
              <w:spacing w:before="0" w:after="283"/>
              <w:rPr>
                <w:sz w:val="4"/>
                <w:szCs w:val="4"/>
              </w:rPr>
            </w:pPr>
            <w:r>
              <w:rPr>
                <w:sz w:val="4"/>
                <w:szCs w:val="4"/>
              </w:rPr>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126,871 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127,426 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75,075 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526,344 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828,238 shares were available for issuance at March 31, 2021.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our Board authorized a stock repurchase program for the purchase from time to time of up to 1.5 million shares of the Company’s common stock, and on May 2, 2019, our Board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no shares of our common stock during the three and six months ended March 31, 2021. We repurchased 178,431 and 198,248 shares, respectively, of our common stock during the three and six months ended March 31, 2020 in open market transactions at an average price of $22.60 and $22.59, respectively, per share.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2021, we issued 38,087 shares of common stock from treasury stock to employees and repurchased 16,882 shares of common stock from our employees to satisfy statutory tax withholding requirements upon the vesting of certain performance phantom stock units under the Equity Incentive Plan. In addition, 13,996 restricted shares were forfeited by certain former employees upon their departure and returned to treasury stock. We also issued 380 unrestricted shares of common stock from treasury stock to members of our Board of Directors as part of their overall compensation, and we issued 68,860 shares from treasury stock to satisfy the vesting of Director PSUs (as defined below) in conjunction with the departure of a board member.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March 31, 2020, we issued 113,408 shares of common stock from treasury stock to employees and repurchased 17,427 shares of common stock from our employees to satisfy statutory tax withholding requirements upon the vesting of certain performance phantom stock units under the Equity Incentive Plan. We also issued 3,172 unrestricted shares of common stock from treasury to members of our Board of Directors as part of their overall compensation and 5,750 unrestricted shares of common stock from treasury stock to satisfy the exercise of outstanding options. In addition, we repurchased 198,248 shares of common stock on the open market pursuant to our stock repurchase program.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granted no restricted shares to executives during the six months ended March 31, 2021. Of the awards previously granted, 8,183 shares vested and 13,996 shares were forfeited by certain former employees upon their departure. The remaining restricted shares either vest subject to the achievement of specified levels of cumulative net income before taxes or vest based on the passage of time. During the three months ended March 31, 2021 and 2020, we recognized $36 and $429, respectively, in compensation expense related to all restricted stock awards. During the six months ended March 31, 2021 and 2020, we recognized $74 and $795, respectively, in compensation expense related to all restricted stock awards. At March 31, 2021, the unamortized compensation cost related to outstanding unvested restricted stock was $238.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Phantom Stock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During the three months ended March 31, 2021 and 2020, we recognized $90 and $96, respectively, in compensation expense related to these grants. During the six months ended March 31, 2021 and 2020, we recognized $186 and $197, respectively, in compensation expense related to these grants.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Employee Phantom Stock Units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2021, the Company had outstanding Employee PSUs, which, subject to the achievement of certain performance metrics, could result in the issuance of 291,586 shares of common stock. Of the Employee PSUs granted, 114,067 Employee PSUs have been forfeited, and 87,769 have vested. During the three months ended March 31, 2021 and 2020, we recognized $711 and $187, respectively, in compensation expense related to Employee PSU grants. During the six months ended March 31, 2021 and 2020, we recognized $1,408 and $615, respectively, in compensation expense related to Employee PSU grants.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401(k)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1998, we established the IES Holdings, Inc. 401(k) Retirement Savings Plan. All full-time IES employees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March 31, 2021 and 2020, we recognized $773 and $697, respectively, in matching expense. During the six months ended March 31, 2021 and 2020, we recognized $1,479 and $1,082, respectively, in matching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Post Retirement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individuals at one of the Company’s locations are entitled to receive fixed annual payments pursuant to post retirement benefit plans. We had an unfunded benefit liability of $601 and $719 recorded as of March 31, 2021 and September 30, 2020, respectively, related to such plans.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FAIR VALUE MEASUREMENTS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 Accounting</w:t>
      </w:r>
    </w:p>
    <w:p>
      <w:pPr>
        <w:pStyle w:val="TextBody"/>
        <w:spacing w:lineRule="auto" w:line="288" w:before="140" w:after="283"/>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2021,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basis as of March 31, 2021 and September 30, 2020, are summarized in the following tables by the type of inputs applicable to the fair value measurements: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939"/>
        <w:gridCol w:w="772"/>
        <w:gridCol w:w="777"/>
        <w:gridCol w:w="109"/>
        <w:gridCol w:w="109"/>
        <w:gridCol w:w="109"/>
        <w:gridCol w:w="109"/>
        <w:gridCol w:w="109"/>
        <w:gridCol w:w="109"/>
        <w:gridCol w:w="462"/>
        <w:gridCol w:w="413"/>
        <w:gridCol w:w="415"/>
        <w:gridCol w:w="109"/>
        <w:gridCol w:w="109"/>
        <w:gridCol w:w="109"/>
        <w:gridCol w:w="109"/>
        <w:gridCol w:w="109"/>
        <w:gridCol w:w="109"/>
        <w:gridCol w:w="577"/>
        <w:gridCol w:w="575"/>
        <w:gridCol w:w="578"/>
        <w:gridCol w:w="109"/>
        <w:gridCol w:w="109"/>
        <w:gridCol w:w="109"/>
        <w:gridCol w:w="109"/>
        <w:gridCol w:w="109"/>
        <w:gridCol w:w="109"/>
        <w:gridCol w:w="895"/>
        <w:gridCol w:w="895"/>
        <w:gridCol w:w="1279"/>
      </w:tblGrid>
      <w:tr>
        <w:trPr/>
        <w:tc>
          <w:tcPr>
            <w:tcW w:w="93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r>
      <w:tr>
        <w:trPr/>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(Level 3)</w:t>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87"/>
        <w:gridCol w:w="781"/>
        <w:gridCol w:w="786"/>
        <w:gridCol w:w="109"/>
        <w:gridCol w:w="109"/>
        <w:gridCol w:w="109"/>
        <w:gridCol w:w="109"/>
        <w:gridCol w:w="109"/>
        <w:gridCol w:w="109"/>
        <w:gridCol w:w="436"/>
        <w:gridCol w:w="417"/>
        <w:gridCol w:w="419"/>
        <w:gridCol w:w="109"/>
        <w:gridCol w:w="109"/>
        <w:gridCol w:w="109"/>
        <w:gridCol w:w="109"/>
        <w:gridCol w:w="109"/>
        <w:gridCol w:w="109"/>
        <w:gridCol w:w="584"/>
        <w:gridCol w:w="581"/>
        <w:gridCol w:w="584"/>
        <w:gridCol w:w="109"/>
        <w:gridCol w:w="109"/>
        <w:gridCol w:w="109"/>
        <w:gridCol w:w="109"/>
        <w:gridCol w:w="109"/>
        <w:gridCol w:w="109"/>
        <w:gridCol w:w="905"/>
        <w:gridCol w:w="905"/>
        <w:gridCol w:w="1292"/>
      </w:tblGrid>
      <w:tr>
        <w:trPr/>
        <w:tc>
          <w:tcPr>
            <w:tcW w:w="88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r>
      <w:tr>
        <w:trPr/>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(Level 3)</w:t>
            </w:r>
          </w:p>
        </w:tc>
      </w:tr>
      <w:tr>
        <w:trPr/>
        <w:tc>
          <w:tcPr>
            <w:tcW w:w="2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5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02" w:type="dxa"/>
            <w:gridSpan w:val="3"/>
            <w:tcBorders/>
            <w:shd w:fill="auto" w:val="clear"/>
            <w:vAlign w:val="center"/>
          </w:tcPr>
          <w:p>
            <w:pPr>
              <w:pStyle w:val="TableContents"/>
              <w:spacing w:before="0" w:after="283"/>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contingent consideration arrangement related to the acquisition of Bayonet. At March 31, 2021, we estimated the fair value of this contingent consideration liability at $4,147. The table below presents the fair value of this obligation, which used significant unobservable inputs (Level 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tbl>
      <w:tblPr>
        <w:tblW w:w="6729" w:type="dxa"/>
        <w:jc w:val="center"/>
        <w:tblInd w:w="0" w:type="dxa"/>
        <w:tblCellMar>
          <w:top w:w="28" w:type="dxa"/>
          <w:left w:w="28" w:type="dxa"/>
          <w:bottom w:w="28" w:type="dxa"/>
          <w:right w:w="28" w:type="dxa"/>
        </w:tblCellMar>
      </w:tblPr>
      <w:tblGrid>
        <w:gridCol w:w="1009"/>
        <w:gridCol w:w="889"/>
        <w:gridCol w:w="892"/>
        <w:gridCol w:w="109"/>
        <w:gridCol w:w="109"/>
        <w:gridCol w:w="109"/>
        <w:gridCol w:w="109"/>
        <w:gridCol w:w="109"/>
        <w:gridCol w:w="109"/>
        <w:gridCol w:w="961"/>
        <w:gridCol w:w="961"/>
        <w:gridCol w:w="1363"/>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Agreements</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adjustments to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March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INVENTORY</w:t>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w:t>
      </w:r>
    </w:p>
    <w:p>
      <w:pPr>
        <w:pStyle w:val="TextBody"/>
        <w:spacing w:before="0" w:after="0"/>
        <w:jc w:val="center"/>
        <w:rPr/>
      </w:pPr>
      <w:r>
        <w:rPr/>
      </w:r>
    </w:p>
    <w:tbl>
      <w:tblPr>
        <w:tblW w:w="4861" w:type="dxa"/>
        <w:jc w:val="center"/>
        <w:tblInd w:w="0" w:type="dxa"/>
        <w:tblCellMar>
          <w:top w:w="28" w:type="dxa"/>
          <w:left w:w="28" w:type="dxa"/>
          <w:bottom w:w="28" w:type="dxa"/>
          <w:right w:w="28" w:type="dxa"/>
        </w:tblCellMar>
      </w:tblPr>
      <w:tblGrid>
        <w:gridCol w:w="291"/>
        <w:gridCol w:w="255"/>
        <w:gridCol w:w="255"/>
        <w:gridCol w:w="255"/>
        <w:gridCol w:w="255"/>
        <w:gridCol w:w="262"/>
        <w:gridCol w:w="155"/>
        <w:gridCol w:w="155"/>
        <w:gridCol w:w="155"/>
        <w:gridCol w:w="360"/>
        <w:gridCol w:w="361"/>
        <w:gridCol w:w="155"/>
        <w:gridCol w:w="109"/>
        <w:gridCol w:w="109"/>
        <w:gridCol w:w="109"/>
        <w:gridCol w:w="202"/>
        <w:gridCol w:w="202"/>
        <w:gridCol w:w="202"/>
        <w:gridCol w:w="360"/>
        <w:gridCol w:w="361"/>
        <w:gridCol w:w="293"/>
      </w:tblGrid>
      <w:tr>
        <w:trPr/>
        <w:tc>
          <w:tcPr>
            <w:tcW w:w="29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57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4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4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GOODWILL AND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changes in the carrying value of goodwill by segment for the six months ended March 31, 2021:</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00"/>
        <w:gridCol w:w="639"/>
        <w:gridCol w:w="640"/>
        <w:gridCol w:w="109"/>
        <w:gridCol w:w="109"/>
        <w:gridCol w:w="109"/>
        <w:gridCol w:w="250"/>
        <w:gridCol w:w="250"/>
        <w:gridCol w:w="250"/>
        <w:gridCol w:w="308"/>
        <w:gridCol w:w="308"/>
        <w:gridCol w:w="251"/>
        <w:gridCol w:w="109"/>
        <w:gridCol w:w="109"/>
        <w:gridCol w:w="109"/>
        <w:gridCol w:w="109"/>
        <w:gridCol w:w="109"/>
        <w:gridCol w:w="109"/>
        <w:gridCol w:w="172"/>
        <w:gridCol w:w="172"/>
        <w:gridCol w:w="172"/>
        <w:gridCol w:w="360"/>
        <w:gridCol w:w="361"/>
        <w:gridCol w:w="176"/>
        <w:gridCol w:w="109"/>
        <w:gridCol w:w="109"/>
        <w:gridCol w:w="109"/>
        <w:gridCol w:w="276"/>
        <w:gridCol w:w="276"/>
        <w:gridCol w:w="276"/>
        <w:gridCol w:w="360"/>
        <w:gridCol w:w="361"/>
        <w:gridCol w:w="281"/>
        <w:gridCol w:w="109"/>
        <w:gridCol w:w="109"/>
        <w:gridCol w:w="109"/>
        <w:gridCol w:w="109"/>
        <w:gridCol w:w="109"/>
        <w:gridCol w:w="109"/>
        <w:gridCol w:w="109"/>
        <w:gridCol w:w="109"/>
        <w:gridCol w:w="135"/>
        <w:gridCol w:w="135"/>
        <w:gridCol w:w="135"/>
        <w:gridCol w:w="136"/>
        <w:gridCol w:w="360"/>
        <w:gridCol w:w="361"/>
        <w:gridCol w:w="158"/>
      </w:tblGrid>
      <w:tr>
        <w:trPr/>
        <w:tc>
          <w:tcPr>
            <w:tcW w:w="80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4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79" w:type="dxa"/>
            <w:gridSpan w:val="3"/>
            <w:tcBorders/>
            <w:shd w:fill="auto" w:val="clear"/>
          </w:tcPr>
          <w:p>
            <w:pPr>
              <w:pStyle w:val="TableContents"/>
              <w:spacing w:before="0" w:after="283"/>
              <w:rPr>
                <w:sz w:val="4"/>
                <w:szCs w:val="4"/>
              </w:rPr>
            </w:pPr>
            <w:r>
              <w:rPr>
                <w:sz w:val="4"/>
                <w:szCs w:val="4"/>
              </w:rPr>
            </w:r>
          </w:p>
        </w:tc>
      </w:tr>
      <w:tr>
        <w:trPr/>
        <w:tc>
          <w:tcPr>
            <w:tcW w:w="2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September 30, 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r>
      <w:tr>
        <w:trPr/>
        <w:tc>
          <w:tcPr>
            <w:tcW w:w="2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38,091 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r>
      <w:tr>
        <w:trPr/>
        <w:tc>
          <w:tcPr>
            <w:tcW w:w="2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6"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539" w:type="dxa"/>
        <w:jc w:val="left"/>
        <w:tblInd w:w="0" w:type="dxa"/>
        <w:tblCellMar>
          <w:top w:w="28" w:type="dxa"/>
          <w:left w:w="28" w:type="dxa"/>
          <w:bottom w:w="28" w:type="dxa"/>
          <w:right w:w="28" w:type="dxa"/>
        </w:tblCellMar>
      </w:tblPr>
      <w:tblGrid>
        <w:gridCol w:w="468"/>
        <w:gridCol w:w="412"/>
        <w:gridCol w:w="362"/>
        <w:gridCol w:w="333"/>
        <w:gridCol w:w="333"/>
        <w:gridCol w:w="338"/>
        <w:gridCol w:w="109"/>
        <w:gridCol w:w="109"/>
        <w:gridCol w:w="109"/>
        <w:gridCol w:w="208"/>
        <w:gridCol w:w="208"/>
        <w:gridCol w:w="208"/>
        <w:gridCol w:w="208"/>
        <w:gridCol w:w="208"/>
        <w:gridCol w:w="208"/>
        <w:gridCol w:w="208"/>
        <w:gridCol w:w="208"/>
        <w:gridCol w:w="208"/>
        <w:gridCol w:w="109"/>
        <w:gridCol w:w="109"/>
        <w:gridCol w:w="109"/>
        <w:gridCol w:w="109"/>
        <w:gridCol w:w="109"/>
        <w:gridCol w:w="109"/>
        <w:gridCol w:w="558"/>
        <w:gridCol w:w="472"/>
        <w:gridCol w:w="473"/>
        <w:gridCol w:w="109"/>
        <w:gridCol w:w="109"/>
        <w:gridCol w:w="109"/>
        <w:gridCol w:w="109"/>
        <w:gridCol w:w="109"/>
        <w:gridCol w:w="109"/>
        <w:gridCol w:w="579"/>
        <w:gridCol w:w="579"/>
        <w:gridCol w:w="581"/>
        <w:gridCol w:w="109"/>
        <w:gridCol w:w="109"/>
        <w:gridCol w:w="109"/>
        <w:gridCol w:w="109"/>
        <w:gridCol w:w="109"/>
        <w:gridCol w:w="109"/>
        <w:gridCol w:w="360"/>
        <w:gridCol w:w="361"/>
        <w:gridCol w:w="169"/>
      </w:tblGrid>
      <w:tr>
        <w:trPr/>
        <w:tc>
          <w:tcPr>
            <w:tcW w:w="46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80,379 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(18,486)</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97,970 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468"/>
        <w:gridCol w:w="412"/>
        <w:gridCol w:w="362"/>
        <w:gridCol w:w="333"/>
        <w:gridCol w:w="333"/>
        <w:gridCol w:w="338"/>
        <w:gridCol w:w="109"/>
        <w:gridCol w:w="109"/>
        <w:gridCol w:w="109"/>
        <w:gridCol w:w="208"/>
        <w:gridCol w:w="208"/>
        <w:gridCol w:w="208"/>
        <w:gridCol w:w="208"/>
        <w:gridCol w:w="208"/>
        <w:gridCol w:w="208"/>
        <w:gridCol w:w="208"/>
        <w:gridCol w:w="208"/>
        <w:gridCol w:w="208"/>
        <w:gridCol w:w="109"/>
        <w:gridCol w:w="109"/>
        <w:gridCol w:w="109"/>
        <w:gridCol w:w="109"/>
        <w:gridCol w:w="109"/>
        <w:gridCol w:w="109"/>
        <w:gridCol w:w="558"/>
        <w:gridCol w:w="472"/>
        <w:gridCol w:w="473"/>
        <w:gridCol w:w="109"/>
        <w:gridCol w:w="109"/>
        <w:gridCol w:w="109"/>
        <w:gridCol w:w="109"/>
        <w:gridCol w:w="109"/>
        <w:gridCol w:w="109"/>
        <w:gridCol w:w="579"/>
        <w:gridCol w:w="579"/>
        <w:gridCol w:w="581"/>
        <w:gridCol w:w="109"/>
        <w:gridCol w:w="109"/>
        <w:gridCol w:w="109"/>
        <w:gridCol w:w="109"/>
        <w:gridCol w:w="109"/>
        <w:gridCol w:w="109"/>
        <w:gridCol w:w="360"/>
        <w:gridCol w:w="361"/>
        <w:gridCol w:w="169"/>
      </w:tblGrid>
      <w:tr>
        <w:trPr/>
        <w:tc>
          <w:tcPr>
            <w:tcW w:w="46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58,026 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As of March 31, 2021, we did not have any material pending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March 31, 2021 and September 30, 2020, we had $6,136 and $6,254, respectively, accrued for self-insurance liabilities. We are also subject to construction defect liabilities, primarily within our Residential segment. As of March 31, 2021 and September 30, 2020, we had $37 and $36,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2021 and September 30, 2020, $6,764 and $5,464, respectively, of our outstanding letters of credit were utilized to collateralize our insurance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2021, the estimated cost to complete our bonded projects was approximately $87,698.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each of March 31, 2021 and September 30, 2020, $200 of our outstanding letters of credit were to collateralize our vendors.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quantities of materials at specific intervals at a fixed price over the term. As of March 31, 2021, we had commitments of $11,569 outstanding under agreements to purchase copper wire over the next four months in the ordinary course of business.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operating and finance liabilities of $13,256 and $613, respectively, as of March 31, 2021, and $11,056 and $418, respectively, as of September 30, 2020,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our lease liabilities as of March 31, 2021 are as follows:</w:t>
      </w:r>
    </w:p>
    <w:tbl>
      <w:tblPr>
        <w:tblW w:w="7560" w:type="dxa"/>
        <w:jc w:val="center"/>
        <w:tblInd w:w="0" w:type="dxa"/>
        <w:tblCellMar>
          <w:top w:w="28" w:type="dxa"/>
          <w:left w:w="28" w:type="dxa"/>
          <w:bottom w:w="28" w:type="dxa"/>
          <w:right w:w="28" w:type="dxa"/>
        </w:tblCellMar>
      </w:tblPr>
      <w:tblGrid>
        <w:gridCol w:w="1080"/>
        <w:gridCol w:w="949"/>
        <w:gridCol w:w="956"/>
        <w:gridCol w:w="304"/>
        <w:gridCol w:w="1039"/>
        <w:gridCol w:w="157"/>
        <w:gridCol w:w="109"/>
        <w:gridCol w:w="109"/>
        <w:gridCol w:w="109"/>
        <w:gridCol w:w="301"/>
        <w:gridCol w:w="879"/>
        <w:gridCol w:w="155"/>
        <w:gridCol w:w="109"/>
        <w:gridCol w:w="109"/>
        <w:gridCol w:w="109"/>
        <w:gridCol w:w="211"/>
        <w:gridCol w:w="721"/>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future undiscounted cash flows related to lease agreements committed to but not yet commenced as of March 31, 2021, is $4,175.</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cost recognized in our Condensed Consolidated Statements of Comprehensive Income is summarized as follows:</w:t>
      </w:r>
    </w:p>
    <w:tbl>
      <w:tblPr>
        <w:tblW w:w="9220" w:type="dxa"/>
        <w:jc w:val="center"/>
        <w:tblInd w:w="0" w:type="dxa"/>
        <w:tblCellMar>
          <w:top w:w="28" w:type="dxa"/>
          <w:left w:w="28" w:type="dxa"/>
          <w:bottom w:w="28" w:type="dxa"/>
          <w:right w:w="28" w:type="dxa"/>
        </w:tblCellMar>
      </w:tblPr>
      <w:tblGrid>
        <w:gridCol w:w="857"/>
        <w:gridCol w:w="753"/>
        <w:gridCol w:w="759"/>
        <w:gridCol w:w="314"/>
        <w:gridCol w:w="918"/>
        <w:gridCol w:w="162"/>
        <w:gridCol w:w="109"/>
        <w:gridCol w:w="109"/>
        <w:gridCol w:w="109"/>
        <w:gridCol w:w="314"/>
        <w:gridCol w:w="918"/>
        <w:gridCol w:w="162"/>
        <w:gridCol w:w="211"/>
        <w:gridCol w:w="256"/>
        <w:gridCol w:w="109"/>
        <w:gridCol w:w="314"/>
        <w:gridCol w:w="918"/>
        <w:gridCol w:w="162"/>
        <w:gridCol w:w="109"/>
        <w:gridCol w:w="109"/>
        <w:gridCol w:w="109"/>
        <w:gridCol w:w="309"/>
        <w:gridCol w:w="904"/>
        <w:gridCol w:w="226"/>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2020</w:t>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2020</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information about lease amounts recognized in our Condensed Consolidated Financial Statements is summarized as follows: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1806"/>
        <w:gridCol w:w="1538"/>
        <w:gridCol w:w="1549"/>
        <w:gridCol w:w="227"/>
        <w:gridCol w:w="663"/>
        <w:gridCol w:w="117"/>
        <w:gridCol w:w="117"/>
        <w:gridCol w:w="117"/>
        <w:gridCol w:w="117"/>
        <w:gridCol w:w="287"/>
        <w:gridCol w:w="840"/>
        <w:gridCol w:w="148"/>
        <w:gridCol w:w="109"/>
        <w:gridCol w:w="109"/>
        <w:gridCol w:w="109"/>
        <w:gridCol w:w="227"/>
        <w:gridCol w:w="663"/>
        <w:gridCol w:w="117"/>
        <w:gridCol w:w="117"/>
        <w:gridCol w:w="117"/>
        <w:gridCol w:w="117"/>
        <w:gridCol w:w="283"/>
        <w:gridCol w:w="829"/>
        <w:gridCol w:w="216"/>
      </w:tblGrid>
      <w:tr>
        <w:trPr/>
        <w:tc>
          <w:tcPr>
            <w:tcW w:w="1806"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48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8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13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2020</w:t>
            </w:r>
          </w:p>
        </w:tc>
      </w:tr>
      <w:tr>
        <w:trPr/>
        <w:tc>
          <w:tcPr>
            <w:tcW w:w="4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finance leases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tbl>
      <w:tblPr>
        <w:tblW w:w="8274" w:type="dxa"/>
        <w:jc w:val="center"/>
        <w:tblInd w:w="0" w:type="dxa"/>
        <w:tblCellMar>
          <w:top w:w="28" w:type="dxa"/>
          <w:left w:w="28" w:type="dxa"/>
          <w:bottom w:w="28" w:type="dxa"/>
          <w:right w:w="28" w:type="dxa"/>
        </w:tblCellMar>
      </w:tblPr>
      <w:tblGrid>
        <w:gridCol w:w="1734"/>
        <w:gridCol w:w="1522"/>
        <w:gridCol w:w="1528"/>
        <w:gridCol w:w="309"/>
        <w:gridCol w:w="309"/>
        <w:gridCol w:w="776"/>
        <w:gridCol w:w="109"/>
        <w:gridCol w:w="109"/>
        <w:gridCol w:w="109"/>
        <w:gridCol w:w="360"/>
        <w:gridCol w:w="360"/>
        <w:gridCol w:w="1049"/>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BUSINESS COMBINATIONS AND DIVESTITURES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Fiscal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three acquisitions during the six months ended March 31, 2021:</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Bayonet Plumbing, Heating and Air-Conditioning, LLC ("Bayonet") - On December 21, 2020, we acquired an 80% ownership interest in Bayonet, a Hudson, Florida-based provider of residential heating, ventilation and air conditioning (HVAC) and plumbing installation and maintenance services. The acquisition of Bayonet allows us to expand into the Florida market, while adding plumbing and HVAC to our service offerings. Bayonet is part of our Residential segment and continues to operate under the Bayonet name.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Wedlake Fabricating, Inc. (“Wedlake”) - On November 19, 2020 we acquired Wedlake, a Tulsa, Oklahoma-based manufacturer of custom generator enclosures that are primarily used by data centers and large commercial and industrial facilities. The acquisition of Wedlake will expand our generator enclosures business and our geographic footprint. Wedlake is part of our Infrastructure Solutions segment and continues to operate under the Wedlake name.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K.E.P. Electric, Inc. (“KEP”) - On November 5, 2020, we acquired KEP, a Batavia, Ohio-based electrical contractor specializing in the design and installation of electrical systems for single-family housing and multi-family developments. The acquisition of KEP, which has operations in Ohio and Kentucky, will advance the expansion of our Residential service offerings into the Midwest. KEP is part of our Residential segment and continues to operate under the KEP name.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aggregate cash consideration for these acquisitions was $55,468, of which $5,799 was paid into escrow pending discharge of the acquired companies' indebtedness under the Paycheck Protection Program ("PPP") established by the Coronavirus Aid, Relief, and Economic Security Act and implemented by the U.S. Small Business Administration. Loans made under the PPP are eligible to be forgiven if certain criteria are met. Each acquired entity completed its application for forgiveness of the outstanding balance of their respective PPP loans prior to being acquired by us. If the PPP loans are forgiven in full, these funds will be released to the acquired entities, and under the terms of our agreement with the sellers, these funds will then be repaid to the sellers. If any of the PPP loans are not forgiven in full, funds will be paid from the escrow account to the respective lender in satisfaction of the unforgiven balance of such PPP loan. During the six months ended March 31, 2021, one of the PPP loans was forgiven, and related escrowed funds were released. The remaining escrowed funds are included in Restricted Cash, with a corresponding liability in Accounts Payable and Accrued Expenses on our Condensed Consolidated Balance Sheets.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cash consideration, the purchase price also includes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transactions under the acquisition method of accounting, which requires recording assets and liabilities at fair value (Level 3). The valuations derived from the estimated fair value assessments and assumptions used by management are preliminary pending finalization of certain tangible and intangible asset valuations and assessment of deferred taxes. While management believes the preliminary estimates and assumptions underlying the valuations are reasonable, different estimates and assumptions could result in different values being assigned to individual assets acquired and liabilities assumed. This may result in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adjustments to the preliminary amounts recorded. The preliminary valuation of the assets acquired and liabilities assumed is as follows:</w:t>
      </w:r>
    </w:p>
    <w:p>
      <w:pPr>
        <w:pStyle w:val="TextBody"/>
        <w:spacing w:before="0" w:after="0"/>
        <w:rPr/>
      </w:pPr>
      <w:r>
        <w:rPr/>
      </w:r>
    </w:p>
    <w:tbl>
      <w:tblPr>
        <w:tblW w:w="4201" w:type="dxa"/>
        <w:jc w:val="left"/>
        <w:tblInd w:w="0" w:type="dxa"/>
        <w:tblCellMar>
          <w:top w:w="28" w:type="dxa"/>
          <w:left w:w="28" w:type="dxa"/>
          <w:bottom w:w="28" w:type="dxa"/>
          <w:right w:w="28" w:type="dxa"/>
        </w:tblCellMar>
      </w:tblPr>
      <w:tblGrid>
        <w:gridCol w:w="1058"/>
        <w:gridCol w:w="930"/>
        <w:gridCol w:w="937"/>
        <w:gridCol w:w="109"/>
        <w:gridCol w:w="109"/>
        <w:gridCol w:w="109"/>
        <w:gridCol w:w="396"/>
        <w:gridCol w:w="399"/>
        <w:gridCol w:w="154"/>
      </w:tblGrid>
      <w:tr>
        <w:trPr/>
        <w:tc>
          <w:tcPr>
            <w:tcW w:w="1058"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goodwill, the balance is attributable to the workforce of the acquired businesses and other intangibles that do not qualify for separate recognition. In connection with these acquisitions, the preliminary estimate of acquired goodwill is $21,564 of which $11,329 is estimated to be tax deductible.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primarily consisted of Customer Relationships and Trade Names with a total weighted-average amortization period of 6.2.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acquisitions contributed $44,539 in additional revenue and $2,437 in operating income during the six months ended March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Fiscal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two acquisitions in fiscal 2020 for total aggregate cash consideration of $28,952. We acquired both Aerial Lighting &amp; Electric, Inc. ("Aerial") and Plant Power &amp; Control Systems, LLC ("PPCS") in February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results of operations for the three and six months ended March 31, 2021 and 2020 are calculated as if each acquisition occurred as of October 1 of the fiscal year prior to consummation.</w:t>
      </w:r>
    </w:p>
    <w:p>
      <w:pPr>
        <w:pStyle w:val="TextBody"/>
        <w:spacing w:before="0" w:after="0"/>
        <w:rPr/>
      </w:pPr>
      <w:r>
        <w:rPr/>
      </w:r>
    </w:p>
    <w:tbl>
      <w:tblPr>
        <w:tblW w:w="9481" w:type="dxa"/>
        <w:jc w:val="left"/>
        <w:tblInd w:w="0" w:type="dxa"/>
        <w:tblCellMar>
          <w:top w:w="28" w:type="dxa"/>
          <w:left w:w="28" w:type="dxa"/>
          <w:bottom w:w="28" w:type="dxa"/>
          <w:right w:w="28" w:type="dxa"/>
        </w:tblCellMar>
      </w:tblPr>
      <w:tblGrid>
        <w:gridCol w:w="1005"/>
        <w:gridCol w:w="881"/>
        <w:gridCol w:w="887"/>
        <w:gridCol w:w="330"/>
        <w:gridCol w:w="330"/>
        <w:gridCol w:w="330"/>
        <w:gridCol w:w="220"/>
        <w:gridCol w:w="861"/>
        <w:gridCol w:w="113"/>
        <w:gridCol w:w="113"/>
        <w:gridCol w:w="113"/>
        <w:gridCol w:w="113"/>
        <w:gridCol w:w="220"/>
        <w:gridCol w:w="861"/>
        <w:gridCol w:w="113"/>
        <w:gridCol w:w="109"/>
        <w:gridCol w:w="109"/>
        <w:gridCol w:w="109"/>
        <w:gridCol w:w="211"/>
        <w:gridCol w:w="826"/>
        <w:gridCol w:w="109"/>
        <w:gridCol w:w="109"/>
        <w:gridCol w:w="109"/>
        <w:gridCol w:w="109"/>
        <w:gridCol w:w="211"/>
        <w:gridCol w:w="826"/>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March 31,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ind w:left="0" w:right="0" w:hanging="126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pStyle w:val="TextBody"/>
        <w:spacing w:before="0" w:after="0"/>
        <w:ind w:left="0" w:right="0" w:hanging="126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following discussion and analysis should be read in conjunction with our Consolidated Financial Statements and the notes thereto, set forth in Part II, Item 8. </w:t>
      </w:r>
      <w:r>
        <w:rPr>
          <w:color w:val="000000"/>
        </w:rPr>
        <w:t>“</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as set forth in our Annual Report on Form 10-K for the year ended September 30, 2020, and the Condensed Consolidated Financial Statements and notes thereto included in Part I, Item 1 of this Quarterly Report on Form 10-Q. The following discussion may contain forward looking statements. For additional information, see </w:t>
      </w:r>
      <w:r>
        <w:rPr>
          <w:color w:val="000000"/>
        </w:rPr>
        <w:t>“</w:t>
      </w:r>
      <w:r>
        <w:rPr>
          <w:rFonts w:ascii="Times New Roman;sans-serif" w:hAnsi="Times New Roman;sans-serif"/>
          <w:b w:val="false"/>
          <w:i/>
          <w:color w:val="000000"/>
          <w:sz w:val="20"/>
        </w:rPr>
        <w:t>Disclosure Regarding Forward Looking Statements”</w:t>
      </w:r>
      <w:r>
        <w:rPr>
          <w:color w:val="000000"/>
        </w:rPr>
        <w:t xml:space="preserve"> </w:t>
      </w:r>
      <w:r>
        <w:rPr>
          <w:rFonts w:ascii="Times New Roman;sans-serif" w:hAnsi="Times New Roman;sans-serif"/>
          <w:b w:val="false"/>
          <w:color w:val="000000"/>
          <w:sz w:val="20"/>
        </w:rPr>
        <w:t>in Part I of this Quarterly Report on Form 10-Q.</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Please refer to Part I, Item 1.</w:t>
      </w:r>
      <w:r>
        <w:rPr>
          <w:color w:val="000000"/>
        </w:rPr>
        <w:t xml:space="preserve">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of our Annual Report on Form 10-K for the year ended September 30, 2020, for a discussion of the Company’s services and corporate strategy. IES Holdings, Inc., a Delaware corporation, is a holding company that owns and manages operating subsidiaries that design and install integrated electrical and technology systems and provide infrastructure products and services across a variety of end markets, including data centers, residential housing, and commercial and industrial facilities. Our operations are currently organized into four principal business segments: Communications, Residential, Infrastructure Solutions and Commercial &amp; Industrial.</w:t>
      </w:r>
    </w:p>
    <w:p>
      <w:pPr>
        <w:pStyle w:val="TextBody"/>
        <w:spacing w:before="0" w:after="0"/>
        <w:rPr/>
      </w:pPr>
      <w:r>
        <w:rPr/>
      </w:r>
    </w:p>
    <w:p>
      <w:pPr>
        <w:pStyle w:val="TextBody"/>
        <w:spacing w:lineRule="auto" w:line="276" w:before="0" w:after="0"/>
        <w:rPr>
          <w:rFonts w:ascii="Times New Roman;sans-serif" w:hAnsi="Times New Roman;sans-serif"/>
          <w:b/>
          <w:color w:val="212529"/>
          <w:sz w:val="20"/>
        </w:rPr>
      </w:pPr>
      <w:r>
        <w:rPr>
          <w:rFonts w:ascii="Times New Roman;sans-serif" w:hAnsi="Times New Roman;sans-serif"/>
          <w:b/>
          <w:color w:val="212529"/>
          <w:sz w:val="20"/>
        </w:rPr>
        <w:t>Impact of COVID-19 and Current Market Conditions on Our Business</w: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coronavirus disease 2019 (“COVID-19”) pandemic and related governmental response continue to cause significant disruption to the economy, the operations of our customers and vendors, and the health of millions of individuals, including our employees and customers, across the markets in which we operate and beyond. As a result, COVID-19 has adversely affected, and is expected to continue to adversely affect, our business. Our primary focus has been, and continues to be, on protecting the health and safety of our employees and customers while maintaining the continuity of our operations. We have implemented operational and protective measures to safeguard our employees and customers, including screening for COVID-19 symptoms, providing personal protective equipment, increasing cleaning and sanitizing, and implementing physical distancing measures to the extent possible. While most of our facilities and job sites continue to operate, some are operating at reduced capacity. We have seen COVID-19 affect demand in some areas of our business, where construction or maintenance projects have been delayed or customers have deferred the start of new projects; however, there are other areas in which we have seen an increase in demand, particularly as it relates to critical infrastructure for data centers, distribution centers, and communications.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COVID-19 pandemic and related responses are constantly evolving, and therefore, continue to present potential new risks to our business. To date, the COVID-19 pandemic has had a number of adverse impacts on our results of operations. While government restrictions on business activity have eased in some areas, the pandemic continues to present challenges to our operations, including the implementation and maintenance of evolving health and safety protocols. Factors that we expect will continue to affect our results in the future include, but are not limited to, the potential impacts on our workforce of either illness or the shut-down of job sites; a reduced demand for our services; increases in operating costs due to disruptions and personal protective equipment requirements and other increased employment-related costs; potential supply chain disruptions; and limitations on the ability of our customers to pay us on a timely basis. The pandemic may also exacerbate our vulnerability to security breaches, cyber-attacks, computer viruses, ransomware, or other similar events as a result of increased reliance on information technology systems, particularly as more of our employees are working remotely during the pandemic.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We are continuing to monitor conditions affecting our business and will take actions as may be necessary to protect the health and safety of our employees and to serve our customers. The ultimate impact and the extent to which the COVID-19 pandemic will continue to affect our business, results of operation and financial condition are difficult to predict and depend on numerous evolving factors outside our control including: the duration and scope of the pandemic; government, social, business and other actions that have been and will be taken in response to the pandemic; increases in COVID-19 case counts; any additional waves of the virus; availability of the vaccine and its ultimate efficacy on new variants of the virus; and the effect of the pandemic on short- and long-term general economic conditions.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Recently, we have experienced price increases in commodities such as copper and steel. Some materials, such as certain plastics, have also recently become more difficult to procure due to increased demand or limited availability. We seek to mitigate supply chain risk by maintaining relationships with multiple vendors, and to recoup higher materials costs through adjusted pricing. However, we may not be able to pass on all increased costs, and our suppliers may be unable to provide the materials we require. An inability to procure materials timely, or to reflect higher materials costs in our pricing to customers, could result in a loss of revenue or lower profit margins, and could have a significant impact on our operating results.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 xml:space="preserve">Please refer to Part I. Item 1A. </w:t>
      </w:r>
      <w:r>
        <w:rPr>
          <w:rFonts w:ascii="Times New Roman;sans-serif" w:hAnsi="Times New Roman;sans-serif"/>
          <w:b w:val="false"/>
          <w:i/>
          <w:color w:val="212529"/>
          <w:sz w:val="20"/>
        </w:rPr>
        <w:t>"Risk Factors</w:t>
      </w:r>
      <w:r>
        <w:rPr>
          <w:rFonts w:ascii="Times New Roman;sans-serif" w:hAnsi="Times New Roman;sans-serif"/>
          <w:b w:val="false"/>
          <w:color w:val="212529"/>
          <w:sz w:val="20"/>
        </w:rPr>
        <w:t>" of our Annual Report on Form 10-K for the year ended September 30, 2020 for further information.</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as well as the results of acquired businesses from the dates acquired. </w:t>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383"/>
        <w:gridCol w:w="1374"/>
        <w:gridCol w:w="1363"/>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3"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revenues for the three months ended March 31, 2021, were $40.7 million higher than for the three months ended March 31, 2020, an increase of 14.0%, with increases at our Residential and Infrastructure Solutions segments driven by strong demand and the contribution of businesses acquired subsequent to the second quarter of 2020. Revenues decreased at our Commercial &amp; Industrial segment, where many of our markets remain highly competitive and have been more highly affected by COVID-19. Revenues also decreased slightly at our Communications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for the three months ended March 31, 2021 increased $13.6 million compared to the three months ended March 31, 2020. Our overall gross profit percentage increased to 19.5% during the three months ended March 31, 2021, as compared to 17.6% during the three months ended March 31, 2020. Gross profit as a percentage of revenue increased at our Communications, Infrastructure Solutions, and Commercial &amp; Industrial segments, while decreasing at our Residential segment. See further discussion below of changes in gross margin for our individual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2021, our selling, general and administrative expenses were $47.7 million, an increase of $5.6 million, or 13.4%, over the three months ended March 31, 2020, driven largely by increased personnel costs at our Residential operating segment in connection with its growth, and by expenses incurred at businesses acquired subsequent to the second quarter of fiscal 2020. Selling, general and administrative expense as a percent of revenue remained flat at 14.4% for the three months ended March 31, 2020 and March 31, 2021.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372"/>
        <w:gridCol w:w="1371"/>
        <w:gridCol w:w="1376"/>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7"/>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IES Holdings,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revenues for the six months ended March 31, 2021, were $79.5 million higher than for the six months ended March 31, 2020, an increase of 14.0%, with increases at our Communications, Residential, and Infrastructure Solutions segments, driven by strong demand and the contribution of acquired businesses. Revenues decreased at our Commercial &amp; Industrial segment.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overall gross profit percentage increased to 19.1% during the six months ended March 31, 2021, as compared to 17.9% during the six months ended March 31, 2020. Gross profit as a percentage of revenue increased at our Communications, Infrastructure Solutions, and Commercial &amp; Industrial segments, but decreased at our Residential segment. See further discussion below of changes in gross margin for our individual segments.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2021, our selling, general and administrative expenses were $90.4 million, an increase of $10.5 million, or 13.2%, over the six months ended March 31, 2020, driven by increased personnel costs at our Communications and Residential operating segments in connection with their growth, as well as increased incentive compensation in connection with improved results at those segments, as well as the impact of businesses acquired subsequent to the second quarter of fiscal 2020. Selling, general and administrative expense as a percent of revenue decreased slightly from 14.1% for the six months ended March 31, 2020, to 14.0% for the six months ended March 31, 2021.</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rPr/>
      </w:pPr>
      <w:r>
        <w:rPr/>
      </w:r>
    </w:p>
    <w:tbl>
      <w:tblPr>
        <w:tblW w:w="9506" w:type="dxa"/>
        <w:jc w:val="center"/>
        <w:tblInd w:w="0" w:type="dxa"/>
        <w:tblCellMar>
          <w:top w:w="28" w:type="dxa"/>
          <w:left w:w="28" w:type="dxa"/>
          <w:bottom w:w="28" w:type="dxa"/>
          <w:right w:w="28" w:type="dxa"/>
        </w:tblCellMar>
      </w:tblPr>
      <w:tblGrid>
        <w:gridCol w:w="1353"/>
        <w:gridCol w:w="1187"/>
        <w:gridCol w:w="1195"/>
        <w:gridCol w:w="109"/>
        <w:gridCol w:w="109"/>
        <w:gridCol w:w="109"/>
        <w:gridCol w:w="109"/>
        <w:gridCol w:w="109"/>
        <w:gridCol w:w="109"/>
        <w:gridCol w:w="360"/>
        <w:gridCol w:w="361"/>
        <w:gridCol w:w="109"/>
        <w:gridCol w:w="109"/>
        <w:gridCol w:w="109"/>
        <w:gridCol w:w="109"/>
        <w:gridCol w:w="308"/>
        <w:gridCol w:w="308"/>
        <w:gridCol w:w="109"/>
        <w:gridCol w:w="109"/>
        <w:gridCol w:w="109"/>
        <w:gridCol w:w="109"/>
        <w:gridCol w:w="109"/>
        <w:gridCol w:w="109"/>
        <w:gridCol w:w="109"/>
        <w:gridCol w:w="109"/>
        <w:gridCol w:w="109"/>
        <w:gridCol w:w="109"/>
        <w:gridCol w:w="360"/>
        <w:gridCol w:w="361"/>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Our Communications segment’s revenues decreased by $1.1 million during the three months ended March 31, 2021, or 1.2%, compared to the three months ended March 31, 2020. In January 2021, certain of our customers, particularly in e-commerce and distribution center businesses, had a longer than typical post-holiday ramp-up to normal levels of activity, and in February 2021, we experienced interruptions to our operations related to severe winter weather across Texas and the Midwest.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Our Communications segment’s gross profit during the three months ended March 31, 2021 increased by $2.9 million compared to the three months ended March 31, 2020. Gross profit as a percentage of revenue increased from 17.3% to 20.6% as we benefited from improved operating efficiency.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Communications segment’s selling, general and administrative expenses increased by $0.2 million, or 2.1%, during the three months ended March 31, 2021, compared to the three months ended March 31, 2020. The increase is a result of higher personnel cost, particularly related to higher incentive compensation expense in connection with improved profitability. Selling, general and administrative expenses as a percentage of revenue in the Communications segment were 10.1% during the three months ended March 31, 2021, compared to 9.8% for the three months ended March 31, 2020.</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0134" w:type="dxa"/>
        <w:jc w:val="center"/>
        <w:tblInd w:w="0" w:type="dxa"/>
        <w:tblCellMar>
          <w:top w:w="28" w:type="dxa"/>
          <w:left w:w="28" w:type="dxa"/>
          <w:bottom w:w="28" w:type="dxa"/>
          <w:right w:w="28" w:type="dxa"/>
        </w:tblCellMar>
      </w:tblPr>
      <w:tblGrid>
        <w:gridCol w:w="1353"/>
        <w:gridCol w:w="1187"/>
        <w:gridCol w:w="1195"/>
        <w:gridCol w:w="109"/>
        <w:gridCol w:w="109"/>
        <w:gridCol w:w="109"/>
        <w:gridCol w:w="128"/>
        <w:gridCol w:w="128"/>
        <w:gridCol w:w="128"/>
        <w:gridCol w:w="413"/>
        <w:gridCol w:w="413"/>
        <w:gridCol w:w="128"/>
        <w:gridCol w:w="128"/>
        <w:gridCol w:w="128"/>
        <w:gridCol w:w="128"/>
        <w:gridCol w:w="308"/>
        <w:gridCol w:w="308"/>
        <w:gridCol w:w="128"/>
        <w:gridCol w:w="128"/>
        <w:gridCol w:w="128"/>
        <w:gridCol w:w="128"/>
        <w:gridCol w:w="128"/>
        <w:gridCol w:w="128"/>
        <w:gridCol w:w="128"/>
        <w:gridCol w:w="128"/>
        <w:gridCol w:w="128"/>
        <w:gridCol w:w="128"/>
        <w:gridCol w:w="413"/>
        <w:gridCol w:w="413"/>
        <w:gridCol w:w="128"/>
        <w:gridCol w:w="128"/>
        <w:gridCol w:w="128"/>
        <w:gridCol w:w="128"/>
        <w:gridCol w:w="308"/>
        <w:gridCol w:w="308"/>
        <w:gridCol w:w="128"/>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0"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0"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Percentage of revenues)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 xml:space="preserve">Our Communications segment's revenues increased by $13.0 million during the six months ended March 31, 2021, or 7.2%, compared to the six months ended March 31, 2020. The increase primarily resulted from increased demand from our data center and distribution center customers.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Communications segment’s gross profit during the six months ended March 31, 2021 increased $5.9 million, or 18.3%, as compared to the six months ended March 31, 2020. Gross profit as a percentage of revenue increased from 17.9% to 19.7%, as our margins benefited from the impact of an increased volume of work relative to our fixed costs, as well as an increase in higher margin fixed-price contracts.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Communications segment’s selling, general and administrative expenses increased $1.0 million, or 5.4%, during the six months ended March 31, 2021, compared to the six months ended March 31, 2020. The increase was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marginally from 10.0% to 9.8% of segment revenue during the six months ended March 31, 2021, compared to the six months ended March 31,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rPr/>
      </w:pPr>
      <w:r>
        <w:rPr/>
      </w:r>
    </w:p>
    <w:tbl>
      <w:tblPr>
        <w:tblW w:w="9484" w:type="dxa"/>
        <w:jc w:val="center"/>
        <w:tblInd w:w="0" w:type="dxa"/>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Our Residential segment’s revenues increased by $50.3 million, or 50.3%, during the three months ended March 31, 2021 compared to the three months ended March 31, 2020. The increase was driven by our single-family business, where revenues increased by $41.5 million for the three months ended March 31, 2021, compared to the three months ended March 31, 2020, driven by strong demand for single-family housing. Multi-family and other revenue also increased by $8.8 million. Businesses acquired during fiscal 2020 and 2021 contributed $38.5 million of the total increase in revenue for the three months ended March 31, 2021 compared with the three months ended March 31, 2020. Excluding the impact of acquired businesses, our Residential segment's revenues grew by 12.0% for the three months ended March 31, 2021 compared to the three months ended March 31, 2020.</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During the three months ended March 31, 2021, our Residential segment's gross profit increased by $7.3 million, or 31.8%, compared to the three months ended March 31, 2020. The increase in gross profit was driven primarily by higher volumes, partly offset by increased commodity prices. Gross profit as a percentage of revenue decreased to 20.1% during the three months ended March 31, 2021, from 22.9% for the three months ended March 31, 2020, primarily as a result of increased commodity prices.</w:t>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Residential segment's selling, general and administrative expenses increased by $5.9 million, or 37.2%, during the three months ended March 31, 2021, compared to the three months ended March 31, 2020. Selling, general and administrative expenses incurred at businesses acquired during fiscal 2020 and 2021, including amortization of intangible assets, contributed $4.9 million of the increase. The remaining increase was driven by higher personnel cost in connection with the growth of the business, including incentive profit sharing for division management. Selling, general and administrative expenses as a percentage of revenue in the Residential segment decreased to 14.4% of segment revenue during the three months ended March 31, 2021, compared to 15.7% in the three months ended March 31,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9484" w:type="dxa"/>
        <w:jc w:val="center"/>
        <w:tblInd w:w="0" w:type="dxa"/>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Our Residential segment's revenues increased by $77.1 million, or 40.0%, during the six months ended March 31, 2021, compared to the six months ended March 31, 2020. The increase was driven by our single-family business, where revenues increased by $58.7 million for the six months ended March 31, 2021, compared with the six months ended March 31, 2020. Multi-family and other revenue also increased by $18.3 million. Businesses acquired in fiscal 2020 and fiscal 2021 contributed $50.6 million of the total increase in revenue for the six months ended March 31, 2021 compared with the six months ended March 31, 2020. Excluding the impact of acquired businesses, our Residential segment's revenues grew by 13.9% for the six months ended March 31, 2021.</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 xml:space="preserve">During the six months ended March 31, 2021, our Residential segment's gross profit increased by $10.7 million, or 24.8%, as compared to the six months ended March 30, 2020. The increase in gross profit was driven primarily by higher volumes, partly offset by increased commodity prices. Gross margin as a percentage of revenue decreased to 19.9% during the six months ended March 31, 2021, from 22.3% during the six months ended March 31, 2020, primarily as a result of higher commodity prices. </w:t>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Residential segment's selling, general and administrative expenses increased by $9.5 million, or 32.1%, during the six months ended March 31, 2021, compared to the six months ended March 31, 2020. Selling, general and administrative expenses incurred at businesses acquired during fiscal 2020 and 2021, including amortization of intangible assets, contributed $6.8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to 14.4% of segment revenue during the six months ended March 31, 2021, from 15.3% during the six months ended March 31, 2020.</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rPr/>
      </w:pPr>
      <w:r>
        <w:rPr/>
      </w:r>
    </w:p>
    <w:tbl>
      <w:tblPr>
        <w:tblW w:w="9616" w:type="dxa"/>
        <w:jc w:val="center"/>
        <w:tblInd w:w="0" w:type="dxa"/>
        <w:tblCellMar>
          <w:top w:w="28" w:type="dxa"/>
          <w:left w:w="28" w:type="dxa"/>
          <w:bottom w:w="28" w:type="dxa"/>
          <w:right w:w="28" w:type="dxa"/>
        </w:tblCellMar>
      </w:tblPr>
      <w:tblGrid>
        <w:gridCol w:w="1353"/>
        <w:gridCol w:w="1187"/>
        <w:gridCol w:w="1195"/>
        <w:gridCol w:w="109"/>
        <w:gridCol w:w="109"/>
        <w:gridCol w:w="109"/>
        <w:gridCol w:w="114"/>
        <w:gridCol w:w="114"/>
        <w:gridCol w:w="114"/>
        <w:gridCol w:w="360"/>
        <w:gridCol w:w="361"/>
        <w:gridCol w:w="114"/>
        <w:gridCol w:w="114"/>
        <w:gridCol w:w="114"/>
        <w:gridCol w:w="114"/>
        <w:gridCol w:w="308"/>
        <w:gridCol w:w="308"/>
        <w:gridCol w:w="114"/>
        <w:gridCol w:w="114"/>
        <w:gridCol w:w="114"/>
        <w:gridCol w:w="114"/>
        <w:gridCol w:w="114"/>
        <w:gridCol w:w="114"/>
        <w:gridCol w:w="114"/>
        <w:gridCol w:w="114"/>
        <w:gridCol w:w="114"/>
        <w:gridCol w:w="114"/>
        <w:gridCol w:w="360"/>
        <w:gridCol w:w="361"/>
        <w:gridCol w:w="114"/>
        <w:gridCol w:w="114"/>
        <w:gridCol w:w="114"/>
        <w:gridCol w:w="114"/>
        <w:gridCol w:w="308"/>
        <w:gridCol w:w="308"/>
        <w:gridCol w:w="114"/>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2"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 xml:space="preserve">Revenues in our Infrastructure Solutions segment increased $5.4 million during the three months ended March 31, 2021, an increase of 18.5% compared to the three months ended March 31, 2020. The increase in revenue was driven primarily by increased demand for our custom power solutions.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during the three months ended March 31, 2021 increased $2.3 million as compared to the three months ended March 31, 2020, reflecting higher volume and improved efficiency in our custom power solutions business. Gross profit as a percentage of revenue increased from 24.7% to 27.5%, as we benefited from operational efficiencies. </w:t>
      </w:r>
    </w:p>
    <w:p>
      <w:pPr>
        <w:pStyle w:val="TextBody"/>
        <w:spacing w:lineRule="auto" w:line="288" w:before="0" w:after="0"/>
        <w:jc w:val="both"/>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three months ended March 31, 2021 increased $1.3 million when compared to the three months ended March 31, 2020, primarily as a result of expense incurred at businesses acquired during fiscal 2020 and 2021, including amortization of intangible assets. Selling, general and administrative expenses as a percent of revenue increased from 16.8% to 18.0%.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p>
    <w:tbl>
      <w:tblPr>
        <w:tblW w:w="9506" w:type="dxa"/>
        <w:jc w:val="center"/>
        <w:tblInd w:w="0" w:type="dxa"/>
        <w:tblCellMar>
          <w:top w:w="28" w:type="dxa"/>
          <w:left w:w="28" w:type="dxa"/>
          <w:bottom w:w="28" w:type="dxa"/>
          <w:right w:w="28" w:type="dxa"/>
        </w:tblCellMar>
      </w:tblPr>
      <w:tblGrid>
        <w:gridCol w:w="1353"/>
        <w:gridCol w:w="1187"/>
        <w:gridCol w:w="1195"/>
        <w:gridCol w:w="109"/>
        <w:gridCol w:w="109"/>
        <w:gridCol w:w="109"/>
        <w:gridCol w:w="109"/>
        <w:gridCol w:w="109"/>
        <w:gridCol w:w="109"/>
        <w:gridCol w:w="360"/>
        <w:gridCol w:w="361"/>
        <w:gridCol w:w="109"/>
        <w:gridCol w:w="109"/>
        <w:gridCol w:w="109"/>
        <w:gridCol w:w="109"/>
        <w:gridCol w:w="308"/>
        <w:gridCol w:w="308"/>
        <w:gridCol w:w="109"/>
        <w:gridCol w:w="109"/>
        <w:gridCol w:w="109"/>
        <w:gridCol w:w="109"/>
        <w:gridCol w:w="109"/>
        <w:gridCol w:w="109"/>
        <w:gridCol w:w="109"/>
        <w:gridCol w:w="109"/>
        <w:gridCol w:w="109"/>
        <w:gridCol w:w="109"/>
        <w:gridCol w:w="360"/>
        <w:gridCol w:w="361"/>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 xml:space="preserve">Revenues in our Infrastructure Solutions segment increased $8.5 million, or 14.1%, during the six months ended March 31, 2021 compared to the six months ended March 31, 2020. The increase in revenue was driven primarily by businesses acquired during fiscal 2020 and 2021, which contributed $7.5 million of the increase in revenue for the six months ended March 31, 2021 compared with the six months ended March 31, 2020. Increased demand for our custom power solutions was partially offset by lower revenue from our industrial services business. The demand for our motor repair services continues to be affected by reduced demand from customers in the steel industry, where production has been reduced.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during the six months ended March 31, 2021 increased $5.5 million as compared to the six months ended March 31, 2020, primarily as a result of increased revenue from our acquired business, and also reflecting improved overall operational efficiencies. Gross profit as a percentage of revenues increased to 29.6% for the six months ended March 31, 2021 compared with 24.8% for the six months ended March 31, 2020, largely as the result of those efficiencies, as management has continued to focus on procurement, engineering, and quality.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six months ended March 31, 2021 increased $2.4 million compared to the six months ended March 31, 2020, primarily as a result of expenses incurred at businesses acquired during fiscal 2020 and 2021, including amortization of intangible assets,. These businesses contributed $2.0 million of the increase for the six months ended March 31, 2021, compared with the six months ended March 31, 2020. Selling, general and administrative expenses as a percent of revenue increased from 15.5% for the six months ended March 31, 2020 to 17.1% for the six months ended March 31, 2021, primarily as a result of the increase in amortization expense.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rPr/>
      </w:pPr>
      <w:r>
        <w:rPr/>
      </w:r>
    </w:p>
    <w:tbl>
      <w:tblPr>
        <w:tblW w:w="9506" w:type="dxa"/>
        <w:jc w:val="center"/>
        <w:tblInd w:w="0" w:type="dxa"/>
        <w:tblCellMar>
          <w:top w:w="28" w:type="dxa"/>
          <w:left w:w="28" w:type="dxa"/>
          <w:bottom w:w="28" w:type="dxa"/>
          <w:right w:w="28" w:type="dxa"/>
        </w:tblCellMar>
      </w:tblPr>
      <w:tblGrid>
        <w:gridCol w:w="1353"/>
        <w:gridCol w:w="1187"/>
        <w:gridCol w:w="1195"/>
        <w:gridCol w:w="109"/>
        <w:gridCol w:w="109"/>
        <w:gridCol w:w="109"/>
        <w:gridCol w:w="109"/>
        <w:gridCol w:w="109"/>
        <w:gridCol w:w="109"/>
        <w:gridCol w:w="360"/>
        <w:gridCol w:w="361"/>
        <w:gridCol w:w="109"/>
        <w:gridCol w:w="109"/>
        <w:gridCol w:w="109"/>
        <w:gridCol w:w="109"/>
        <w:gridCol w:w="308"/>
        <w:gridCol w:w="308"/>
        <w:gridCol w:w="109"/>
        <w:gridCol w:w="109"/>
        <w:gridCol w:w="109"/>
        <w:gridCol w:w="109"/>
        <w:gridCol w:w="109"/>
        <w:gridCol w:w="109"/>
        <w:gridCol w:w="109"/>
        <w:gridCol w:w="109"/>
        <w:gridCol w:w="109"/>
        <w:gridCol w:w="109"/>
        <w:gridCol w:w="360"/>
        <w:gridCol w:w="361"/>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in our Commercial &amp; Industrial segment decreased $13.9 million, or 21.1%, during the three months ended March 31, 2021, compared to the three months ended March 31, 2020. Our Commercial &amp; Industrial segment continues to be affected by the ongoing COVID-19 pandemic, which resulted in delays in awarding new projects and decreased demand for new construction in certain sectors we serve. This market remains highly competitive.</w:t>
      </w:r>
    </w:p>
    <w:p>
      <w:pPr>
        <w:pStyle w:val="TextBody"/>
        <w:spacing w:lineRule="auto" w:line="28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three months ended March 31, 2021, increased by $1.1 million, as compared to the three months ended March 31, 2020. We have adjusted our cost structure in response to a highly competitive market and a decrease in demand and have improved our procurement process and achieved operating efficiencies on certain projects. Gross profit as a percentage of revenue increased from 6.8% for the three months ended March 31, 2020, to 10.7% for the three months ended March 31, 2021.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Commercial &amp; Industrial segment’s selling, general and administrative expenses during the three months ended March 31, 2021 decreased $1.8 million, or 21.5%, compared to the three months ended March 31, 2020. The higher expenses in fiscal 2020 primarily reflected a write-off recorded in the quarter ended March 31, 2020 related to a commercial dispute, as well as costs incurred in 2020 to improve our procurement process. As demand in the segment has decreased, we continue to focus on controlling costs. Despite lower volumes, selling, general and administrative expenses as a percentage of revenue remained unchanged at 13.0% for the three months ended March 31, 2021 compared to the three months ended March 31,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tbl>
      <w:tblPr>
        <w:tblW w:w="9853" w:type="dxa"/>
        <w:jc w:val="center"/>
        <w:tblInd w:w="0" w:type="dxa"/>
        <w:tblCellMar>
          <w:top w:w="28" w:type="dxa"/>
          <w:left w:w="28" w:type="dxa"/>
          <w:bottom w:w="28" w:type="dxa"/>
          <w:right w:w="28" w:type="dxa"/>
        </w:tblCellMar>
      </w:tblPr>
      <w:tblGrid>
        <w:gridCol w:w="1353"/>
        <w:gridCol w:w="1187"/>
        <w:gridCol w:w="1195"/>
        <w:gridCol w:w="109"/>
        <w:gridCol w:w="109"/>
        <w:gridCol w:w="109"/>
        <w:gridCol w:w="114"/>
        <w:gridCol w:w="114"/>
        <w:gridCol w:w="114"/>
        <w:gridCol w:w="368"/>
        <w:gridCol w:w="368"/>
        <w:gridCol w:w="231"/>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9"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114,613</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103,356 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in our Commercial &amp; Industrial segment decreased $19.1 million during the six months ended March 31, 2021, or 14.3%, compared to the six months ended March 31, 2020. The decrease was largely driven by a reduction in time-and-material work, as well as lower demand for large, agricultural projects. The market for our Commercial &amp; Industrial segment's services remains highly competitive, and disruptions caused by the COVID-19 pandemic have resulted in some delays in the awarding of new projects and the progress of certain existing projects, as well as decreased demand for new construction in certain sectors we serve.</w:t>
      </w:r>
    </w:p>
    <w:p>
      <w:pPr>
        <w:pStyle w:val="TextBody"/>
        <w:spacing w:lineRule="auto" w:line="28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six months ended March 31, 2021 increased by $0.1 million, or 0.5%, as compared to the six months ended March 31, 2020. We have improved project efficiency and our procurement process, and as a result, gross profit as a percentage of revenue increased from 8.4% for the six months ended March 31, 2020, to 9.8% for the six months ended March 31, 2021.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 xml:space="preserve">Our Commercial &amp; Industrial segment’s selling, general and administrative expenses during the six months ended March 31, 2021 decreased $2.7 million, or 17.0%, compared to the six months ended March 31, 2020. The higher expense in fiscal 2020 primarily reflected a write-off recorded in the quarter ended March 31, 2020 related to a commercial dispute, as well as cost incurred in 2020 to improve our procurement process. Selling, general and administrative expenses as a percentage of revenue decreased despite lower volumes, from 11.9% for the six months ended March 31, 2020 to 11.5% for the six months ended March 31, 2021.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AND OTHER EXPENSE, NET</w:t>
      </w:r>
    </w:p>
    <w:p>
      <w:pPr>
        <w:pStyle w:val="TextBody"/>
        <w:spacing w:before="0" w:after="0"/>
        <w:rPr/>
      </w:pPr>
      <w:r>
        <w:rPr/>
      </w:r>
    </w:p>
    <w:tbl>
      <w:tblPr>
        <w:tblW w:w="6338" w:type="dxa"/>
        <w:jc w:val="center"/>
        <w:tblInd w:w="0" w:type="dxa"/>
        <w:tblCellMar>
          <w:top w:w="28" w:type="dxa"/>
          <w:left w:w="28" w:type="dxa"/>
          <w:bottom w:w="28" w:type="dxa"/>
          <w:right w:w="28" w:type="dxa"/>
        </w:tblCellMar>
      </w:tblPr>
      <w:tblGrid>
        <w:gridCol w:w="1108"/>
        <w:gridCol w:w="971"/>
        <w:gridCol w:w="980"/>
        <w:gridCol w:w="109"/>
        <w:gridCol w:w="109"/>
        <w:gridCol w:w="109"/>
        <w:gridCol w:w="177"/>
        <w:gridCol w:w="177"/>
        <w:gridCol w:w="177"/>
        <w:gridCol w:w="233"/>
        <w:gridCol w:w="233"/>
        <w:gridCol w:w="177"/>
        <w:gridCol w:w="177"/>
        <w:gridCol w:w="177"/>
        <w:gridCol w:w="177"/>
        <w:gridCol w:w="177"/>
        <w:gridCol w:w="177"/>
        <w:gridCol w:w="177"/>
        <w:gridCol w:w="233"/>
        <w:gridCol w:w="233"/>
        <w:gridCol w:w="250"/>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5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2021, we incurred interest expense of $0.2 million primarily comprised of interest expense from our revolving credit facility, fees on an average letter of credit balance of $6.4 million under our revolving credit facility and fees on an average unused line of credit balance of $87.7 million. This compares to interest expense of $0.3 million for the three months ended March 31, 2020, primarily comprised of interest expense from our revolving credit facility, fees on an average letter of credit balance of $7.2 million under our revolving credit facility and fees on an average unused line of credit balance of $83.3 million.</w:t>
      </w:r>
    </w:p>
    <w:p>
      <w:pPr>
        <w:pStyle w:val="TextBody"/>
        <w:spacing w:before="0" w:after="0"/>
        <w:jc w:val="both"/>
        <w:rPr/>
      </w:pPr>
      <w:r>
        <w:rPr/>
      </w:r>
    </w:p>
    <w:tbl>
      <w:tblPr>
        <w:tblW w:w="6264" w:type="dxa"/>
        <w:jc w:val="left"/>
        <w:tblInd w:w="0" w:type="dxa"/>
        <w:tblCellMar>
          <w:top w:w="28" w:type="dxa"/>
          <w:left w:w="28" w:type="dxa"/>
          <w:bottom w:w="28" w:type="dxa"/>
          <w:right w:w="28" w:type="dxa"/>
        </w:tblCellMar>
      </w:tblPr>
      <w:tblGrid>
        <w:gridCol w:w="1108"/>
        <w:gridCol w:w="971"/>
        <w:gridCol w:w="980"/>
        <w:gridCol w:w="109"/>
        <w:gridCol w:w="109"/>
        <w:gridCol w:w="109"/>
        <w:gridCol w:w="164"/>
        <w:gridCol w:w="164"/>
        <w:gridCol w:w="164"/>
        <w:gridCol w:w="269"/>
        <w:gridCol w:w="271"/>
        <w:gridCol w:w="164"/>
        <w:gridCol w:w="164"/>
        <w:gridCol w:w="164"/>
        <w:gridCol w:w="164"/>
        <w:gridCol w:w="164"/>
        <w:gridCol w:w="164"/>
        <w:gridCol w:w="164"/>
        <w:gridCol w:w="233"/>
        <w:gridCol w:w="233"/>
        <w:gridCol w:w="232"/>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March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2021, we incurred interest expense of $0.4 million primarily comprised of interest expense from our revolving credit facility, fees on an average letter of credit balance of $6.3 million under our revolving credit facility and fees on an average unused line of credit balance of $89.1 million. This compares to interest expense of $0.6 million for the six months ended March 31, 2020, primarily comprised of interest expense from our revolving credit facility, fees on an average letter of credit balance of $7.1 million under our revolving credit facility and fees on an average unused line of credit balance of $88.2 million.</w:t>
      </w:r>
    </w:p>
    <w:p>
      <w:pPr>
        <w:pStyle w:val="TextBody"/>
        <w:spacing w:before="0" w:after="0"/>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$3.6 million for the three months ended March 31, 2021, compared to income tax expense of $2.4 million for the three months ended March 31,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income tax expense of $7.3 million for the six months ended March 31, 2021, compared to income tax expense of $5.9 million for the six months ended March 31, 2020.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Management’s discussion and analysis of financial condition and results of operations is based 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 PERFORMANCE OBLIGATIONS AND BACKLOG</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36"/>
        <w:gridCol w:w="1085"/>
        <w:gridCol w:w="1091"/>
        <w:gridCol w:w="136"/>
        <w:gridCol w:w="136"/>
        <w:gridCol w:w="136"/>
        <w:gridCol w:w="167"/>
        <w:gridCol w:w="167"/>
        <w:gridCol w:w="167"/>
        <w:gridCol w:w="291"/>
        <w:gridCol w:w="291"/>
        <w:gridCol w:w="167"/>
        <w:gridCol w:w="136"/>
        <w:gridCol w:w="136"/>
        <w:gridCol w:w="136"/>
        <w:gridCol w:w="223"/>
        <w:gridCol w:w="223"/>
        <w:gridCol w:w="223"/>
        <w:gridCol w:w="291"/>
        <w:gridCol w:w="291"/>
        <w:gridCol w:w="229"/>
        <w:gridCol w:w="136"/>
        <w:gridCol w:w="136"/>
        <w:gridCol w:w="136"/>
        <w:gridCol w:w="233"/>
        <w:gridCol w:w="233"/>
        <w:gridCol w:w="233"/>
        <w:gridCol w:w="291"/>
        <w:gridCol w:w="291"/>
        <w:gridCol w:w="234"/>
        <w:gridCol w:w="136"/>
        <w:gridCol w:w="136"/>
        <w:gridCol w:w="136"/>
        <w:gridCol w:w="148"/>
        <w:gridCol w:w="148"/>
        <w:gridCol w:w="148"/>
        <w:gridCol w:w="291"/>
        <w:gridCol w:w="291"/>
        <w:gridCol w:w="224"/>
      </w:tblGrid>
      <w:tr>
        <w:trPr/>
        <w:tc>
          <w:tcPr>
            <w:tcW w:w="123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w:t>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Agreements without an enforceable obligation</w:t>
            </w:r>
            <w:r>
              <w:rPr>
                <w:color w:val="000000"/>
              </w:rPr>
              <w:t xml:space="preserve"> </w:t>
            </w:r>
            <w:r>
              <w:rPr>
                <w:rFonts w:ascii="Times New Roman;sans-serif" w:hAnsi="Times New Roman;sans-serif"/>
                <w:b w:val="false"/>
                <w:color w:val="000000"/>
                <w:sz w:val="13"/>
              </w:rPr>
              <w:t>(1)</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539" w:type="dxa"/>
            <w:gridSpan w:val="3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Our backlog contains signed agreements and letters of intent, which we do not have a legal right to enforce prior to work starting. These arrangements are excluded from remaining performance obligations until work begins.</w:t>
            </w:r>
          </w:p>
        </w:tc>
      </w:tr>
      <w:tr>
        <w:trPr/>
        <w:tc>
          <w:tcPr>
            <w:tcW w:w="3412"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2021, working capital exclusive of cash and restricted cash decreased by $3.6 million from September 30, 2020, reflecting a $5.6 million increase in current assets excluding cash and a $9.1 million increase in current liabilities during the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March 31, 2021, our current assets exclusive of cash and restricted cash increased to $323.4 million, as compared to $317.9 million as of September 30, 2020, primarily as a result of inventory acquired in business combinations. A seasonal decrease in accounts receivable was largely offset by the addition of accounts receivable at acquired businesses. Days sales outstanding reduced to 55 at March 31, 2021 from 61 at September 30, 2020. While the rate of collections may vary, our typically secured position, resulting from our ability in general to secure liens against our customers’ overdue receivables, offers some protection that collection will occur eventually to the extent that our security retains value.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2021, our total current liabilities increased by $9.1 million to $251.6 million, compared to $242.4 million as of September 30, 2020, primarily related to an increase in accounts payable and accrued liabilities. A seasonal decrease in accounts payable and accrued liabilities was largely offset by current liabilities at acquired businesses.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bonding capacity provided by our sureties is adequate for our current operations and will be adequate for our operations for the foreseeable future. As of March 31, 2021, the estimated cost to complete our bonded projects was approximately $87.7 million.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$100 million revolving credit facility pursuant to a credit agreement with Wells Fargo Bank, N.A. ("Wells Fargo") that matures on September 30, 2024 (as amended, the "Amended Credit Agreement").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affirmative, negative and financial covenants as well as events of default.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2021, we were in compliance with the financial covenants under the Amended Credit Agreement, requiring that we maintain: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Fixed Charge Coverage Ratio (as defined in the Amended Credit Agreement), measured quarterly on a trailing four-quarter basis at the end of each quarter, of at least 1.1 to 1.0;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minimum Liquidity (as defined in the Amended Credit Agreement) of at least 20% of the Maximum Revolver Amount (as defined in the Amended Credit Agreement), or $20 million; with, for purposes of this covenant, at least 50% of our Liquidity comprised of Excess Availability (as defined in the Amended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2021, our Liquidity was $130.6 million, our Excess Availability was $93.0 million (or greater than 50% of minimum Liquidity), and our Fixed Charge Coverage Ratio was 18.3:1.0.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2021, we had $7.0 million in outstanding letters of credit with Wells Fargo and no outstanding borrowings under our revolving credit facility.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activities provided net cash of $48.4 million during the six months ended March 31, 2021, as compared to $32.7 million of net cash provided in the six months ended March 31, 2020. The increase in operating cash flow resulted from an increase in earnings of $10.8 million combined with an increase in depreciation and amortization expense of $4.2 million during the six months ended March 31, 2021.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$58.4 million for the six months ended March 31, 2021, compared to $31.8 million for the six months ended March 31, 2020. We used $55.5 million for business acquisitions and $3.0 million for capital expenditures in the six months ended March 31, 2021. For the six months ended March 31, 2020, we used $29.0 million to complete two acquisitions and $2.9 million for capital expenditures.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six months ended March 31, 2021 was $1.2 million, compared to $23.9 million provided by financing activities for the six months ended March 31, 2020. Net cash used by financing activities included $0.7 million used to repurchase our shares to satisfy statutory withholding requirements upon the vesting of employee stock compensation. For the six months ended March 31, 2020, we drew $592.4 million and repaid $563.1 million on our revolving credit facility. Additionally, we used $4.9 million for market repurchases under our stock repurchase plan as well as to repurchase our shares to satisfy statutory withholding requirements upon the vesting of employee stock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our Board authorized a stock repurchase program for the purchase from time to time of up to 1.5 million shares of the Company’s common stock, and on May 2, 2019, our Board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no shares pursuant to this program during the six months ended March 31, 2021.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 AND CONTRACTUAL OBLIGATIONS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2021, we had commitments of $11,569 outstanding under such agreements to purchase copper wire over the next four months in the ordinary course of business. </w:t>
      </w:r>
      <w:r>
        <w:rPr>
          <w:rFonts w:ascii="Times New Roman;sans-serif" w:hAnsi="Times New Roman;sans-serif"/>
          <w:b w:val="false"/>
          <w:color w:val="000000"/>
          <w:sz w:val="20"/>
          <w:highlight w:val="white"/>
        </w:rPr>
        <w:t>There have been no other material changes in our contractual obligations and commitments from those disclosed in our Annual Report on Form 10-K for the fiscal year ended September 30,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borrowings under our revolving credit facility. For additional information see</w:t>
      </w:r>
      <w:r>
        <w:rPr>
          <w:color w:val="000000"/>
        </w:rPr>
        <w:t xml:space="preserve"> “</w:t>
      </w:r>
      <w:r>
        <w:rPr>
          <w:rFonts w:ascii="Times New Roman;sans-serif" w:hAnsi="Times New Roman;sans-serif"/>
          <w:b w:val="false"/>
          <w:i/>
          <w:color w:val="000000"/>
          <w:sz w:val="20"/>
        </w:rPr>
        <w:t>Disclosure Regarding Forward-Looking Statements”</w:t>
      </w:r>
      <w:r>
        <w:rPr>
          <w:color w:val="000000"/>
        </w:rPr>
        <w:t xml:space="preserve"> </w:t>
      </w:r>
      <w:r>
        <w:rPr>
          <w:rFonts w:ascii="Times New Roman;sans-serif" w:hAnsi="Times New Roman;sans-serif"/>
          <w:b w:val="false"/>
          <w:color w:val="000000"/>
          <w:sz w:val="20"/>
        </w:rPr>
        <w:t>in Part I of this Quarterly Report on Form 10-Q and our risk factors in Part I, Item 1A.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in our Annual Report on Form 10-K for the fiscal year ended September 30, 2020.</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If LIBOR or its replacement benchmark were to increase, our interest payment obligations on any then-outstanding borrowings would increase, having a negative effect on our cash flow and financial condition. However, as we have no long-term debt outstanding under our revolving credit facility as of March 31, 2021, we currently have no exposure to interest rate risk on our debt.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2017, the Financial Conduct Authority (the “FCA”), the regulatory authority over LIBOR, stated that it would phase out LIBOR as a benchmark after 2021 to allow for an orderly transition to an alternative reference rate. In November 2020, the ICE Benchmark Administration (the “IBA”) announced that it intends to continue publishing LIBOR until the end of June 2023, beyond the previously announced 2021 cessation date. The IBA announcement was supported by announcements from the FCA and the Board of Governors of the Federal Reserve System, Federal Deposit Insurance Corporation and Office of the Comptroller of the Currency (collectively, the “U.S. Regulators”). However, both the FCA and U.S. Regulators in their announcements also advised banks to cease entering into new contracts referencing LIBOR after December 2021. These announcements indicate that the continuation of LIBOR on the current basis may not be assured after 2021 and will not be assured beyond June 2023. In light of these recent announcements, the future of LIBOR at this time is uncertain, and any changes in the methods by which LIBOR is determined or regulatory activity related to LIBOR’s phase-out could cause LIBOR to perform differently than in the past or cease to exist.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Alternative Reference Rates Committee (the working group formed to recommend an alternative rate to LIBOR) has identified the Secured Overnight Financing Rate ("SOFR") as its preferred alternative rate for LIBOR. There can be no guarantee that SOFR will become a widely-accepted benchmark in place of LIBOR. Although the full impact of the transition away from LIBOR, including the discontinuance of LIBOR publication and the adoption of SOFR as the replacement rate for LIBOR, remains unclear, these changes may have an adverse impact on our floating rate indebtedness and financing costs under our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Credit Agreement provides for a mechanism to amend the facility to reflect the establishment of an alternative rate of interest upon the occurrence of certain events related to the phase-out of LIBOR. However, we have not yet pursued any technical amendment or other contractual alternative to address this matter and are currently evaluating the impact of the potential replacement of the LIBOR interest rate.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2021,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Except as set forth herein, there have been no material changes to the risk factors disclosed under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fiscal year ended September 30, 2020.</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bylaws designate the Court of Chancery of the State of Delaware as the sole and exclusive forum for certain types of actions and proceedings that may be initiated by our shareholders, which could increase the costs for our shareholders to bring claims, discourage our shareholders from bringing claims, or limit our shareholders’ ability to obtain a favorable judicial forum for disputes with us or our current or former directors, officers, employees or shareholders in such capacity.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we amended our bylaws to provide that, unless we consent in writing to the selection of an alternative forum, the Court of Chancery of the State of Delaware will, to the fullest extent permitted by law, be the sole and exclusive forum for claims, including derivative claims that are based upon a violation of a duty by a current or former director, officer, employee or shareholder in such capacity or as to which the Delaware General Corporation Law confers jurisdiction upon the Court of Chancery. The exclusive forum provision may increase the costs for a shareholder to bring a claim or limit a shareholder’s ability to bring a claim in a judicial forum that the shareholder finds favorable for disputes with us or our directors, officers, employees or shareholders in such capacity, which may discourage such lawsuits against us and such persons. Alternatively, if a court were to find these provisions of our bylaws inapplicable to, or unenforceable in respect of, the claims as to which they are intended to apply, then we may incur additional costs associated with resolving such matters in other jurisdictions, which could adversely affect our business, financial position or results of operations. While the exclusive forum provision applies to state and federal law claims, our shareholders will not be deemed to have waived our compliance with, and the exclusive forum provision will not preclude or contract the scope of exclusive federal or concurrent jurisdiction for actions brought under, the federal securities laws, including the Securities Exchange Act of 1934, as amended, or the Securities Act of 1933, as amended, and the rules and regulations promulgated thereunder.</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2021, the Board of Directors of IES adopted an amendment (the “Amendment”) to the Company’s Amended and Restated Bylaws (as so amended and further restated, the “Bylaws”), which became effective immediately upon adoption. The Amendment adds new Article X to the Bylaws and provides that, unless the Company consents in writing to the selection of an alternative forum, the Court of Chancery of the State of Delaware shall be the sole and exclusive forum for any internal corporate claims. For purposes of new Article X, “internal corporate claims” shall mean any claims, including claims in the right of the Company, (a) that are based upon a violation of a duty by a current or former director, officer, employee or stockholder in such capacity; or (b) as to which the Delaware General Corporation Law confers jurisdiction upon the Court of Chancery. The preceding description of the Amendment is qualified in its entirety by reference to, and should be read in conjunction with, the full text of the Bylaws, a copy of which is attached hereto as Exhibit 3.3 to this Quarterly Report on Form 10-Q and is incorporated herein by reference.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2021, the Board of Directors of IES approved the Second Amended and Restated Executive Officer Severance Benefit Plan (the “Amended Severance Plan”), which amends the Company’s previously-effective Amended and Restated Executive Officer Severance Benefit Plan (filed by the Company as Exhibit 10.30 to its Form 10-K filed on December 9, 2016) to (i) eliminate reimbursement for outplacement services following termination of employment, (ii) modify the restrictive covenants contained therein to better protect the Company against competition from former executives, and (iii) make certain other technical and clarifying amendments. The Amended Severance Plan is effective on April 29, 2021 and covers our named executive officers other than Mr. Gendell.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Amended Severance Plan is not complete and is qualified in its entirety by reference to the full text of the Amended Severance Plan, which is attached as Exhibit 10.2 to this Quarterly Report on Form 10-Q.</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539" w:type="dxa"/>
        <w:jc w:val="left"/>
        <w:tblInd w:w="0" w:type="dxa"/>
        <w:tblCellMar>
          <w:top w:w="28" w:type="dxa"/>
          <w:left w:w="28" w:type="dxa"/>
          <w:bottom w:w="28" w:type="dxa"/>
          <w:right w:w="28" w:type="dxa"/>
        </w:tblCellMar>
      </w:tblPr>
      <w:tblGrid>
        <w:gridCol w:w="266"/>
        <w:gridCol w:w="234"/>
        <w:gridCol w:w="235"/>
        <w:gridCol w:w="2876"/>
        <w:gridCol w:w="2854"/>
        <w:gridCol w:w="4074"/>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854"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Exhibit</w:t>
            </w:r>
            <w:r>
              <w:rPr>
                <w:color w:val="000000"/>
              </w:rPr>
              <w:t xml:space="preserve"> </w:t>
            </w:r>
          </w:p>
          <w:p>
            <w:pPr>
              <w:pStyle w:val="TableContents"/>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No.</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3">
              <w:r>
                <w:rPr>
                  <w:rStyle w:val="InternetLink"/>
                  <w:rFonts w:ascii="Times New Roman;sans-serif" w:hAnsi="Times New Roman;sans-serif"/>
                  <w:b w:val="false"/>
                  <w:color w:val="0000FF"/>
                  <w:sz w:val="20"/>
                  <w:u w:val="single"/>
                </w:rPr>
                <w:t xml:space="preserve">Second Amended and Restated Certificate of Incorporation of IES Holdings, Inc., as amended by the Certificate of Amendment thereto, effective May 24, 2016 (composite). (Incorporated by reference to Exhibit 3.1 to the Company’s Quarterly Report on Form 10-Q filed on August 8, 2016) </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4">
              <w:r>
                <w:rPr>
                  <w:rStyle w:val="InternetLink"/>
                  <w:rFonts w:ascii="Times New Roman;sans-serif" w:hAnsi="Times New Roman;sans-serif"/>
                  <w:b w:val="false"/>
                  <w:color w:val="0000FF"/>
                  <w:sz w:val="20"/>
                  <w:u w:val="single"/>
                </w:rPr>
                <w:t>Certificate of Designation of Series A Junior Participating Preferred Stock (Incorporated by reference to Exhibit 3.1 to the Company’s Current Report on Form 8-K filed on January 28, 2013)</w:t>
              </w:r>
            </w:hyperlink>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w:anchor="amendedandrestatedbylawsof.htm">
              <w:r>
                <w:rPr>
                  <w:rStyle w:val="InternetLink"/>
                </w:rPr>
                <w:t xml:space="preserve">Amended and Restated Bylaws of IES Holdings, Inc., effective </w:t>
              </w:r>
            </w:hyperlink>
            <w:hyperlink w:anchor="amendedandrestatedbylawsof.htm">
              <w:r>
                <w:rPr>
                  <w:rStyle w:val="InternetLink"/>
                </w:rPr>
                <w:t>April</w:t>
              </w:r>
            </w:hyperlink>
            <w:hyperlink w:anchor="amendedandrestatedbylawsof.htm">
              <w:r>
                <w:rPr>
                  <w:rStyle w:val="InternetLink"/>
                </w:rPr>
                <w:t xml:space="preserve"> </w:t>
              </w:r>
            </w:hyperlink>
            <w:hyperlink w:anchor="amendedandrestatedbylawsof.htm">
              <w:r>
                <w:rPr>
                  <w:rStyle w:val="InternetLink"/>
                </w:rPr>
                <w:t>28</w:t>
              </w:r>
            </w:hyperlink>
            <w:hyperlink w:anchor="amendedandrestatedbylawsof.htm">
              <w:r>
                <w:rPr>
                  <w:rStyle w:val="InternetLink"/>
                </w:rPr>
                <w:t>, 20</w:t>
              </w:r>
            </w:hyperlink>
            <w:hyperlink w:anchor="amendedandrestatedbylawsof.htm">
              <w:r>
                <w:rPr>
                  <w:rStyle w:val="InternetLink"/>
                </w:rPr>
                <w:t>21</w:t>
              </w:r>
            </w:hyperlink>
            <w:r>
              <w:rPr>
                <w:color w:val="000000"/>
              </w:rPr>
              <w:t xml:space="preserve">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5">
              <w:r>
                <w:rPr>
                  <w:rStyle w:val="InternetLink"/>
                  <w:rFonts w:ascii="Times New Roman;sans-serif" w:hAnsi="Times New Roman;sans-serif"/>
                  <w:b w:val="false"/>
                  <w:color w:val="0000FF"/>
                  <w:sz w:val="20"/>
                  <w:u w:val="single"/>
                </w:rPr>
                <w:t>Specimen common stock certificate. (Incorporated by reference to Exhibit 4.1 to the Company’s Annual Report on Form 10-K filed on December 9, 2016)</w:t>
              </w:r>
            </w:hyperlink>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6">
              <w:r>
                <w:rPr>
                  <w:rStyle w:val="InternetLink"/>
                  <w:rFonts w:ascii="Times New Roman;sans-serif" w:hAnsi="Times New Roman;sans-serif"/>
                  <w:b w:val="false"/>
                  <w:color w:val="0000FF"/>
                  <w:sz w:val="20"/>
                  <w:u w:val="single"/>
                </w:rPr>
                <w:t>Tax Benefit Protection Plan Agreement by and between IES Holdings, Inc. and American Stock Transfer &amp; Trust Company, LLC, as Rights Agent, dated as of November 8, 2016, including the form of Rights Certificate and Summary of Stockholder Rights Plan attached thereto as Exhibits A and B, respectively. (Incorporated by reference to Exhibit 4.1 to the Company’s Current Report on Form 8-K filed on November 9, 2016)</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joinderconsentandsixthamen.htm">
              <w:r>
                <w:rPr>
                  <w:rStyle w:val="InternetLink"/>
                  <w:rFonts w:ascii="Times New Roman;sans-serif" w:hAnsi="Times New Roman;sans-serif"/>
                  <w:b w:val="false"/>
                  <w:color w:val="0000FF"/>
                  <w:sz w:val="20"/>
                  <w:u w:val="single"/>
                </w:rPr>
                <w:t>Joinder, Limited Consent and Sixth Amendment to Second Amended and Restated Credit and Security Agreement, dated as of December 21, 2020, by and among IES Holdings, Inc., each of the other Borrowers and Guarantors named therein and Wells Fargo Bank, National Association</w:t>
              </w:r>
            </w:hyperlink>
            <w:r>
              <w:rPr>
                <w:color w:val="000000"/>
              </w:rPr>
              <w:t xml:space="preserve">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seventhamendmenttosecondam.htm">
              <w:r>
                <w:rPr>
                  <w:rStyle w:val="InternetLink"/>
                  <w:rFonts w:ascii="Times New Roman;sans-serif" w:hAnsi="Times New Roman;sans-serif"/>
                  <w:b w:val="false"/>
                  <w:color w:val="0000FF"/>
                  <w:sz w:val="20"/>
                  <w:u w:val="single"/>
                </w:rPr>
                <w:t>Seventh Amendment to Second Amended and Restated Credit and Security Agreement, dated March 15, 2021 and effective retroactive to December 21, 2020, by and among IES Holdings, Inc., each of the other Borrowers and Guarantors named therein and Wells Fargo Bank, National Association</w:t>
              </w:r>
            </w:hyperlink>
            <w:r>
              <w:rPr>
                <w:color w:val="000000"/>
              </w:rPr>
              <w:t xml:space="preserve">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mendedandrestatedseveranc.htm">
              <w:r>
                <w:rPr>
                  <w:rStyle w:val="InternetLink"/>
                  <w:rFonts w:ascii="Times New Roman;sans-serif" w:hAnsi="Times New Roman;sans-serif"/>
                  <w:b w:val="false"/>
                  <w:color w:val="0000FF"/>
                  <w:sz w:val="20"/>
                  <w:u w:val="single"/>
                </w:rPr>
                <w:t>IES Holdings, Inc. Second Amended and Restated Executive Officer Severance Benefit Plan, effective April 29, 2021</w:t>
              </w:r>
            </w:hyperlink>
            <w:r>
              <w:rPr>
                <w:color w:val="000000"/>
              </w:rPr>
              <w:t xml:space="preserve">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22021ex311.htm">
              <w:r>
                <w:rPr>
                  <w:rStyle w:val="InternetLink"/>
                  <w:rFonts w:ascii="Times New Roman;sans-serif" w:hAnsi="Times New Roman;sans-serif"/>
                  <w:b w:val="false"/>
                  <w:color w:val="0000FF"/>
                  <w:sz w:val="20"/>
                  <w:u w:val="single"/>
                </w:rPr>
                <w:t>Rule 13a-14(a)/15d-14(a) Certification of Jeffrey L. Gendell, Chief Executive Officer</w:t>
              </w:r>
            </w:hyperlink>
            <w:r>
              <w:rPr>
                <w:color w:val="000000"/>
              </w:rPr>
              <w:t xml:space="preserve">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22021ex312.htm">
              <w:r>
                <w:rPr>
                  <w:rStyle w:val="InternetLink"/>
                  <w:rFonts w:ascii="Times New Roman;sans-serif" w:hAnsi="Times New Roman;sans-serif"/>
                  <w:b w:val="false"/>
                  <w:color w:val="0000FF"/>
                  <w:sz w:val="20"/>
                  <w:u w:val="single"/>
                </w:rPr>
                <w:t xml:space="preserve">Rule 13a-14(a)/15d-14(a) Certification of Tracy A. McLauchlin, Senior Vice President, Chief Financial Officer and Treasurer </w:t>
              </w:r>
            </w:hyperlink>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22021ex321.htm">
              <w:r>
                <w:rPr>
                  <w:rStyle w:val="InternetLink"/>
                  <w:rFonts w:ascii="Times New Roman;sans-serif" w:hAnsi="Times New Roman;sans-serif"/>
                  <w:b w:val="false"/>
                  <w:color w:val="0000FF"/>
                  <w:sz w:val="20"/>
                  <w:u w:val="single"/>
                </w:rPr>
                <w:t>Section 1350 Certification of Jeffrey L. Gendell, Chief Executive Officer</w:t>
              </w:r>
            </w:hyperlink>
            <w:r>
              <w:rPr>
                <w:color w:val="000000"/>
              </w:rPr>
              <w:t xml:space="preserve"> </w:t>
            </w:r>
            <w:r>
              <w:rPr>
                <w:rFonts w:ascii="Times New Roman;sans-serif" w:hAnsi="Times New Roman;sans-serif"/>
                <w:b w:val="false"/>
                <w:color w:val="000000"/>
                <w:sz w:val="13"/>
              </w:rPr>
              <w:t>(2)</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22021ex322.htm">
              <w:r>
                <w:rPr>
                  <w:rStyle w:val="InternetLink"/>
                  <w:rFonts w:ascii="Times New Roman;sans-serif" w:hAnsi="Times New Roman;sans-serif"/>
                  <w:b w:val="false"/>
                  <w:color w:val="0000FF"/>
                  <w:sz w:val="20"/>
                  <w:u w:val="single"/>
                </w:rPr>
                <w:t>Section 1350 Certification of Tracy A. McLauchlin, Senior Vice President, Chief Financial Officer and Treasurer</w:t>
              </w:r>
            </w:hyperlink>
            <w:r>
              <w:rPr>
                <w:color w:val="000000"/>
              </w:rPr>
              <w:t xml:space="preserve"> </w:t>
            </w:r>
            <w:r>
              <w:rPr>
                <w:rFonts w:ascii="Times New Roman;sans-serif" w:hAnsi="Times New Roman;sans-serif"/>
                <w:b w:val="false"/>
                <w:color w:val="000000"/>
                <w:sz w:val="13"/>
              </w:rPr>
              <w:t>(2)</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Schema Document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Label Linkbase Document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Presentation Linkbase Document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Definition Linkbase Document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Calculation Linkbase Document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April 30, 2021.</w:t>
      </w:r>
    </w:p>
    <w:p>
      <w:pPr>
        <w:pStyle w:val="TextBody"/>
        <w:spacing w:before="0" w:after="0"/>
        <w:rPr/>
      </w:pPr>
      <w:r>
        <w:rPr/>
      </w:r>
    </w:p>
    <w:p>
      <w:pPr>
        <w:pStyle w:val="TextBody"/>
        <w:spacing w:before="0" w:after="0"/>
        <w:rPr/>
      </w:pPr>
      <w:r>
        <w:rPr/>
      </w:r>
    </w:p>
    <w:tbl>
      <w:tblPr>
        <w:tblW w:w="6263" w:type="dxa"/>
        <w:jc w:val="left"/>
        <w:tblInd w:w="0" w:type="dxa"/>
        <w:tblCellMar>
          <w:top w:w="28" w:type="dxa"/>
          <w:left w:w="28" w:type="dxa"/>
          <w:bottom w:w="28" w:type="dxa"/>
          <w:right w:w="28" w:type="dxa"/>
        </w:tblCellMar>
      </w:tblPr>
      <w:tblGrid>
        <w:gridCol w:w="124"/>
        <w:gridCol w:w="109"/>
        <w:gridCol w:w="109"/>
        <w:gridCol w:w="314"/>
        <w:gridCol w:w="314"/>
        <w:gridCol w:w="314"/>
        <w:gridCol w:w="1444"/>
        <w:gridCol w:w="1444"/>
        <w:gridCol w:w="2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IES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Authorized Signatory)</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40" w:after="283"/>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3.3</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AMENDED AND RESTATED BYLAWS</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OF</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(Effective as of April 28, 2021)</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I</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OFFICES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The registered office of IES Holdings, Inc. (the “Corporation”) shall be in the City of Wilmington, County of New Castle, State of Delaware.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The Corporation may also have offices at such other places both within and outside of the state of Delaware as the Board of Directors may from time to time determine or the business of the Corporation may require.</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II</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MEETINGS OF STOCKHOLDERS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All meetings of the stockholders for any purpose may be held, within or without the State of Delaware, at such time and place as shall be designated from time to time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Annual meetings of stockholders shall be held on such date and at such time as shall be designated from time to time by the Board of Directors and stated in the notice of the meeting. At the annual meeting, the stockholders shall elect by a plurality vote the Directors pursuant to Article III of these Bylaws, and transact such other business as may properly be brought before the meeting.</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3. Written notice of the annual meeting stating the place, if any, date and hour of the meeting, and the means of remote communications, if any, by which stockholders and proxyholders may be deemed to be present in person and vote at such meeting, shall be given to each stockholder entitled to a vote at such meeting not less than ten (10) nor more than sixty (60) days before the date of the meeting.</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to and received at the principal executive offices of the Corporation not less than 80 days prior to the meeting; provided, however, that in the event that less than 90 days’ notice or prior public disclosure of the date of the meeting is given or made to stockholders, notice by the stockholder to be timely must be so received not later than the close of business on the tenth day following the date on which such notice of the date of the annual meeting was mailed or such public disclosure made.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 stockholder’s notice to the Secretary shall set forth as to each matter the stockholder proposes to bring before the annual meeting (a) a brief description of the business desired to be brought before the annual meeting and the reasons for conducting such business at the annual meeting, (b) the name and address, as they appear on the Corporation’s books, of the stockholder proposing such business, (c) the class and number of shares of the Corporation which are beneficially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44"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owned by the stockholder, and (d) any material interest of the stockholder in such business. Notwithstanding anything in the Bylaws to the contrary, no business shall be conducted at an annual meeting except in accordance with the procedures set forth in this Section 3.</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presiding officer of an annual meeting shall, if the facts warrant, determine and declare to the meeting that business was not properly brought before the meeting in accordance with this Section 3, and if the presiding officer should so determine, the presiding officer shall so declare to the meeting and any such business not properly brought before the meeting shall not be transacted.</w:t>
      </w:r>
    </w:p>
    <w:p>
      <w:pPr>
        <w:pStyle w:val="TextBody"/>
        <w:spacing w:before="0" w:after="0"/>
        <w:jc w:val="both"/>
        <w:rPr/>
      </w:pPr>
      <w:r>
        <w:rPr/>
      </w:r>
    </w:p>
    <w:p>
      <w:pPr>
        <w:pStyle w:val="TextBody"/>
        <w:spacing w:lineRule="auto" w:line="288" w:before="0" w:after="0"/>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4.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at the election of the Corporation, either: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5. Special meetings of the stockholders for any purpose may be called only by the Chairman of the Board of Directors and shall be called within 10 days after (i) receipt of the written request of the Board of Directors, pursuant to a resolution approved by a majority of the entire Board of Directors, or (ii) receipt of the written request of the holders of least 25% of the outstanding shares of Common Stock. The business permitted to be conducted at any special meeting of the stockholders is limited to the business brought before the meeting by the Chairman or by the Secretary at the request of a majority of the entire Board of Directors.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6. Written notice of a special meeting stating the place, if any, date and hour of the meeting, the means of remote communications, if any, by which stockholders and proxyholders may be deemed to be present in person and vote at such meeting, and the purpose or purposes for which the meeting is called, shall be given not less than ten (10) nor more than sixty (60) days before the date of the meeting, to each stockholder entitled to vote at such meeting.</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7. The holders of a majority of the stock issued, outstanding and entitled to vote,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8. When a meeting is adjourned to another time or place, notice need not be given of the adjourned meeting, except as otherwise required by this Section 8, if the time and place, if any, thereof and the means of remote communications, if any, by which stockholders and proxyholders may be deemed to be present in person and vote at such adjourned meeting are announced at the meeting at which the adjournment is taken. At such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9. If a quorum exists, action on a matter (other than the election of directors) shall be approved if the votes cast in favor of the matter exceed the votes cast opposing the matter. In determining the number of votes cast, shares abstaining from voting or not voted on a matter will not be treated as votes cast. The provisions of this paragraph will govern with respect to all votes of stockholders except as otherwise provided for in these Bylaws or in the certificate of incorporation or by a specific statutory provision superseding the provisions contained in these Bylaws or the certificate of incorporation.</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10. Each stockholder shall at every meeting of the stockholders, subject to any restriction or qualification set forth in the Certificate of Incorporation, be entitled to one vote in person or by proxy for each share of the capital stock having voting power held by such stockholder, but no proxy shall be voted after three years from its date, unless the proxy provides for a longer period.</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11. Any action required or permitted to be taken by the stockholders of the Corporation must be affected at a duly called annual or special meeting of stockholders of the Corporation and may not be effected by any consent in writing of such stockholders.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12. At each meeting of stockholders, the Chairman or Vice-Chairman of the Board of Directors shall preside, and the secretary shall keep records, and in the absence of either such officer, his duty shall be performed by a person appointed at the meeting.</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III</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DIRECTORS</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Number, Nomination, Removal</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The number of Directors shall be fixed from time to time by the Board of Directors, but shall not be less than 1 nor more than 15 persons. The Directors shall be elected at the annual meeting of the stockholders in accordance with the provisions of Section 2 of this Article, and each Director elected shall hold office until the next annual meeting of stockholders and until his or her successor is elected and qualified or until his or her earlier resignation or removal. Directors need not be stockholders.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Subject to the rights of holders of any class or series of stock having a preference over the Common Stock as to dividends or upon liquidation, nominations for the election of Directors may be made by the Board of Directors or a committee appointed by the Board of Directors or by any stockholder entitled to vote in the election of Directors generally. Any stockholder entitled to vote in the election of Directors generally may nominate one or more persons for election as Directors at a meeting only if written notice of such stockholder’s intent to make such nomination or nominations has been given, either by personal delivery or by United States mail, postage prepaid, to the Secretary of the Corporation not later than 80 days prior to the date of any annual or special meeting. In the event that the date of such annual or special meeting was not publicly announced by the Corporation by mail, press release or otherwise more than 90 days prior to the meeting, notice by the stockholder to be timely must be delivered to the Secretary of the Corporation not later than the close of business on the tenth day following the day on which such announcement of the date of the meeting was communicated to the stockholders.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Each such notice shall set forth: (a) the name and address of the stockholder who intends to make the nomination and of the person or persons to be nominated; (b) a representation that the stockholder is a holder of record of stock of the Corporation entitled to vote at such meeting and intends to appear in person or by proxy at the meeting to nominate the person or persons specified in the notice; (c) a description of all arrangements or understandings between the stockholder and each nominee and any other person or persons (naming such person or persons) pursuant to which the nomination or nominations are to be made by the stockholder; (d)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(e) the consent of each nominee to serve as a Director of the Corporation if so elected.</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the presiding officer of the meeting for the election of Directors determines that a nomination of any candidate for election as a Director at such meeting was not made in accordance with the applicable provisions of these Bylaws, such nomination shall be void.</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Section 3. Subject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vacancy on the Board of Directors resulting from death, resignation, disqualification, removal or other cause shall be filled solely by the affirmative vote of a majority of the remaining Directors then in office, even though less than a quorum of the Board of Directors, or by a sole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remaining Director. Any Director elected or chosen as provided herein shall hold office until the sooner of the following events: (i) the expiration of the term of the directorship to which he is appointed, (ii) such time as his successor is elected and qualified or (iii) his resignation or removal. No decrease in the number of Directors constituting the Board of Directors shall shorten the term of an incumbent Director.</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4. Subject to the rights of the holders of any class or series of stock having preference over the Common Stock as to dividends or upon liquidation to elect additional Directors under specified circumstances, any or all Directors may be removed from office, with or without cause, by the holders of a majority of the shares of Voting Stock.</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purpose of this Section 4, “Voting Stock” shall mean the outstanding shares of capital stock of the Corporation entitled to vote generally in the election of Directors. In any vote required by or provided for in this Section 4, each share of Voting Stock shall have the number of votes granted to it generally in the election of Directors.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5.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Meetings of the Board of Directors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6. The Board of Directors of the Corporation may hold meetings, both regular and special, either within or outside of the State of Delaware.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7. Meetings of the Board of Directors may be held at such time and place as shall be specified in a notice given in the manner hereinafter provided, or as shall be specified in a written waiver signed by all of the Directors.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8. Regular meetings of the Board of Directors may be held without notice at such time and at such place as shall from time to time be determined by the Board of Directors.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9. Special meetings of the Board of Directors may be called by the Chairman of the Board on 24 hours’ notice to each Director, either personally or by telecopy or telegram; special meetings shall be called by the president, chief executive officer or secretary in like manner and on like notice on the written request of three Directors.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10. Except as provided in these Bylaws to the contrary, at all meetings of the board a majority of the total number of Directors shall constitute a quorum for the transaction of business and the vote of a majority of the Directors entitled to vote and present at a meeting at which a quorum is present shall be the act of the Board of Directors, unless the certificate of incorporation shall require a vote of a greater number. If a quorum shall not be present at any meeting of the Board of Directors, the Directors present thereat may adjourn the meeting from time to time, without notice other than announcement at the meeting, until a quorum shall be present.</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11.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of Directors or committee.</w:t>
      </w:r>
    </w:p>
    <w:p>
      <w:pPr>
        <w:pStyle w:val="TextBody"/>
        <w:spacing w:before="0" w:after="0"/>
        <w:jc w:val="both"/>
        <w:rPr/>
      </w:pPr>
      <w:r>
        <w:rPr/>
      </w:r>
    </w:p>
    <w:p>
      <w:pPr>
        <w:pStyle w:val="TextBody"/>
        <w:spacing w:lineRule="auto" w:line="288" w:before="0" w:after="0"/>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12. At all meetings of the Board of Directors, business shall be transacted in such order as from time to time the Board of Directors may determine.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all meetings of the Board of Directors, the Chairman or Vice-Chairman of the Board of Directors shall preside, and in the absence of either such Director a person shall be chosen by the board from among the Directors present to act as chairman of the meeting.</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secretary of the Corporation shall act as secretary of the meeting of the Board of Directors, but in the absence of the secretary, the presiding officer may appoint any person to act as secretary of the meeting.</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Committees of Directors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13. The Board of Directors may, by resolution adopted by a majority of the whole board, designate one (1) or more committees, each committee to consist of one (1) or more Directors. The board may designate one (1) or more directors as alternate members of any committee, who may replace any absent or disqualified member of any meeting of the committee. In the absence or disqualification of a member, and the alternate or alternates, if any, designated for such member, of any committee, the member or members thereof present at the meetings and not disqualified from voting, whether or not he or they constitute a quorum, may unanimously appoint another director to act at the meeting in the place of any such absent or disqualified member.</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Any such committee, to the extent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Delaware General Corporation Law to be submitted to stockholders for approval or (ii) adopting, amending or repealing any bylaw of the Corporation. Such committee or committees shall have such name or names as may be determined from time to time by resolution adopted by the Board of Directors.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14. Each committee shall keep regular minutes of its meetings and report the same to the Board of Directors.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Compensation of Directors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15. The Directors may be paid their expenses, if any, of attendance at each meeting of the Board of Directors and may be paid a fixed sum for attendance at each meeting of the Board of Directors or a stated salary or retainer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Chairman of the Board of Directors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16. The Chairman of the Board of Directors of the Corporation shall preside at all meetings of stockholders and the Board of Directors. He shall perform such duties and have such powers as usually appertain to the office or as the Board of Directors may from time to time prescribe.</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Vice Chairman of the Board of Directors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17. The Vice Chairman of the Board of Directors of the Corporation shall perform such duties and have such powers as the Board of Directors or Chief Executive Officer may from time to time prescribe.</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IV</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NOTICES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Whenever notice is required to be given to any Director or stockholder pursuant to a statutory provision or the certificate of incorporation or these Bylaws, it shall not be construed to mean personal notice, but such notice may be given in writing, by mail, addressed to such Director or stockholder, at his address as it appears in the records of the Corporation, with postage thereon prepaid, and such notice shall be deemed to be given at the time when the same shall be deposited in the United States mail. Notice to Directors may also be given personally or by telegram or telecopy.</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Whenever notice is required to be given pursuant to a statutory provision or the certificate of incorporation or Bylaws, a waiver thereof in writing, signed by the person or persons entitled to said notice, whether before or after the time stated therein, shall be deemed equivalent thereto.</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48"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V</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OFFICERS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The officers of the Corporation shall be chosen by the Board of Directors and shall be a chief executive officer, a president, a vice president, a secretary and a treasurer. The Board of Directors may also appoint chief operating officers, additional vice presidents and one or more assistant secretaries and assistant treasurers. Any number of offices may be held by the same person, unless the certificate of incorporation or these Bylaws otherwise provide.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The Board of Directors at its first meeting after each annual meeting of stockholders shall choose a chief executive officer, a president, one or more chief operating officers, one or more vice presidents, a secretary and a treasurer.</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4. The salaries of all officers and agents of the Corporation shall be fixed by the Board of Directors, a committee thereof or any such party to which either of them may delegate such authority.</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Chief Executive Officer</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6. The Chief Executive Officer of the Corporation shall have general and active management of the business of the Corporation and shall see that all orders and resolutions of the Board of Directors are carried into effect. He shall have the authority to execute all documents and instruments necessary to carry out the management of the business of the Corporation.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this Corporation. He shall perform such other duties and have such other powers as the Board of Directors may from time to time prescribe. He shall report to the Board of Directors.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President</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7. The President of the Corporation shall perform such duties and have such powers as usually appertain to the office or as the Chief Executive Officer or the Board of Directors may from time to time prescribe. He shall have the authority to execute all documents and instruments necessary to carry out the management of the business of the Corporation. He shall report to the Chief Executive Officer.</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Chief Operating Officers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8. The chief operating officers of the Corporation shall be responsible for the day-to-day operations of the Corporation and shall have the authority to execute all documents and instruments necessary to carry out such operations. They shall perform such other duties and have such other powers as the Board of Directors may from time to time prescribe. They shall report to the Board of Directors.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Vice Presidents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9. In the absence of the president or in the event of his inability or refusal to act, the vice president (or in the event there is more than one, the vice presidents in the order determined by the Board of Directors, or, if there be no such determination, then in the order of their election), shall perform the duties of the president, and when so acting, shall have all the powers of and be subject to all the restrictions imposed upon the president. The vice presidents shall perform such other duties and have such other powers as the Board of Directors may from time to time prescribe.</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75260"/>
                <wp:effectExtent l="0" t="0" r="0" b="0"/>
                <wp:wrapNone/>
                <wp:docPr id="49" name="Frame4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Secretary and the Assistant Secretary</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10. The secretary shall attend all meetings of the Board of Directors and all meetings of the stockholders and record all the proceedings of the meetings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if any such seal be adopted by resolution of the Board of Directors,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affirming thereof by his signature.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Treasurer and Assistant Treasurer</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13.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VI</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CERTIFICATES OF STOCK</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Every holder of stock in the Corporation shall be entitled to a certificate, signed by, or in the name of the Corporation by, the Chairman of the Board, the chief executive officer, the president or a vice president and the secretary or an assistant secretary of the Corporation, certifying the number of shares owned by him in the Corporation. Any signature on the certificate may be a facsimile. If the Corporation shall be authorized to issue more than one class of stock or more than one series of any class of stock,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Where a certificate is countersigned (1) by a transfer agent other than the Corporation or its employee or, (2) by a registrar other than the Corporation or its employee,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75260"/>
                <wp:effectExtent l="0" t="0" r="0" b="0"/>
                <wp:wrapNone/>
                <wp:docPr id="50" name="Frame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Lost Certificates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3.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Transfers of Stock</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4. Upon surrender to the Corporation or the transfer agent of the Corporation of a certificate for shares duly endorsed or accompanied by a proper evidence of succession, assignment or authority to transfer, it shall be the duty of the Corporation to issue a new certificate to the person entitled thereto, cancel the old certificate and record the transaction upon its books.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Fixing Record Date</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5.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Registered Stock Holders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VII</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GENERAL PROVISIONS</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Dividends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Dividends upon the capital stock of the Corporation, subject to the provisions of the certificate of incorporation, if any, may be declared by the Board of Directors at any regular or special meetings, pursuant to law. Dividends may be paid in cash, in property, or in shares of the capital stock, subject to the provisions of the certificate of incorporation.</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Checks</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3. All checks or demands for money and notes of the Corporation shall be signed by such officer or officers or such other person or persons as the Board of Directors may from time to time designate.</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75260"/>
                <wp:effectExtent l="0" t="0" r="0" b="0"/>
                <wp:wrapNone/>
                <wp:docPr id="51" name="Frame5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Fiscal Year</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4. The fiscal year of the Corporation shall begin on the first day of October of each year and end on the last day of September of each year, unless otherwise determined by the Board of Directors.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Seal</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5. The corporate seal, if any such seal be adopted by resolution of the Board of Directors, will be in such form as the Board of Directors may prescribe. The seal may be used by causing it or a facsimile thereof to be impressed or affixed or reproduced or otherwise placed thereon.</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Interested Directors and Officers</w:t>
      </w:r>
    </w:p>
    <w:p>
      <w:pPr>
        <w:pStyle w:val="TextBody"/>
        <w:spacing w:lineRule="auto" w:line="288"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6.</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purposes, if;</w:t>
      </w:r>
    </w:p>
    <w:p>
      <w:pPr>
        <w:pStyle w:val="TextBody"/>
        <w:spacing w:lineRule="auto" w:line="288" w:before="0" w:after="0"/>
        <w:jc w:val="both"/>
        <w:rPr>
          <w:color w:val="000000"/>
          <w:highlight w:val="white"/>
        </w:rPr>
      </w:pPr>
      <w:r>
        <w:rPr>
          <w:color w:val="000000"/>
          <w:highlight w:val="white"/>
        </w:rPr>
        <w:t> </w:t>
      </w:r>
    </w:p>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tc>
      </w:tr>
    </w:tbl>
    <w:p>
      <w:pPr>
        <w:pStyle w:val="TextBody"/>
        <w:spacing w:lineRule="auto" w:line="288" w:before="0" w:after="0"/>
        <w:jc w:val="both"/>
        <w:rPr>
          <w:color w:val="000000"/>
          <w:highlight w:val="white"/>
        </w:rPr>
      </w:pPr>
      <w:r>
        <w:rPr>
          <w:color w:val="000000"/>
          <w:highlight w:val="white"/>
        </w:rPr>
        <w:t> </w:t>
      </w:r>
    </w:p>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90"/>
        <w:gridCol w:w="2890"/>
        <w:gridCol w:w="40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40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the material facts as to his relationship or interest and as to the contract or transaction are disclosed or are known to the stockholders entitled to vote thereon, and the contract for transaction is specifically approved in good faith by vote of the stockholders; or</w:t>
            </w:r>
          </w:p>
        </w:tc>
      </w:tr>
    </w:tbl>
    <w:p>
      <w:pPr>
        <w:pStyle w:val="TextBody"/>
        <w:spacing w:lineRule="auto" w:line="288" w:before="0" w:after="0"/>
        <w:jc w:val="both"/>
        <w:rPr>
          <w:color w:val="000000"/>
          <w:highlight w:val="white"/>
        </w:rPr>
      </w:pPr>
      <w:r>
        <w:rPr>
          <w:color w:val="000000"/>
          <w:highlight w:val="white"/>
        </w:rPr>
        <w:t> </w:t>
      </w:r>
    </w:p>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5"/>
        <w:gridCol w:w="2885"/>
        <w:gridCol w:w="41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or transaction is fair as to the Corporation as of the time it is authorized, approved or ratified, by the Board of Directors, a committee thereof, or the stockholder.</w:t>
            </w:r>
          </w:p>
        </w:tc>
      </w:tr>
    </w:tbl>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Common or interested Directors may be counted in determining the presence of a quorum at a meeting of the Board of Directors or of a committee which authorizes the contract or transaction.</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VIII</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AMENDMENTS</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These Bylaws may be altered, amended or repealed, or new Bylaws may be adopted by the affirmative vote of a majority of the entire Board of Directors at any meeting and without the consent or vote of the stockholders. These Bylaws may be altered, amended or repealed, or new Bylaws may be adopted by the stockholders at any regular meeting of the stockholders or at any special meeting of the stockholders, if notice of such alteration, amendment, repeal or adoption of new Bylaws is contained in the notice of such meeting, by the holders of at least a majority of the total voting power of all shares of stock of the Corporation entitled to vote in the election of directors, considered for purposes of this Article VIII as one class.</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IX</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INDEMNIFICATION AND INSURANCE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Section 1. The Corporation shall, to the full extent permitted by Section 145 of Title 8 of the General Corporation Law of the State of Delaware, as amended from time to time, indemnify all officers and directors of the Corporation whom it may indemnify pursuant thereto. The provisions of this Article IX shall apply to acts or omissions occurring before or after the adoption hereof. The right of indemnification herein provided for shall not be exclusive of any other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75260"/>
                <wp:effectExtent l="0" t="0" r="0" b="0"/>
                <wp:wrapNone/>
                <wp:docPr id="52" name="Frame5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right to which any Director or officer may now or hereafter be entitled under any statute, bylaw, agreement, vote of stockholders or disinterested Directors or otherwise, shall continue as to a person who has ceased to be such Director or officer entitled to indemnification pursuant to this Article IX and shall inure to the benefit of the heirs, executors and administrators of such Director or officer.</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IX or of Section 145 of the General Corporation Law of the State of Delaware.</w:t>
      </w:r>
    </w:p>
    <w:p>
      <w:pPr>
        <w:pStyle w:val="TextBody"/>
        <w:spacing w:lineRule="auto" w:line="288" w:before="24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3. The indemnification provided by this Article IX shall be subject to all valid and applicable laws, and, in the event this Article IX or any of the provisions hereof or the indemnification contemplated hereby are found to be inconsistent with or contrary to any such valid laws, the latter shall be deemed to control, and this Article IX shall be regarded as modified accordingly and, as so modified, shall continue in full force and effect.</w:t>
      </w:r>
    </w:p>
    <w:p>
      <w:pPr>
        <w:pStyle w:val="TextBody"/>
        <w:spacing w:lineRule="auto" w:line="288"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ARTICLE X</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FORUM FOR ADJUDICATION OF DISPUTES</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Forum</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 Unless the Corporation, in writing, selects or consents to the selection of an alternative forum, the sole and exclusive forum for any current or former stockholder (including any current or former beneficial owner) to bring internal corporate claims (as defined below), to the fullest extent permitted by law, and subject to applicable jurisdictional requirements, shall be the Court of Chancery of the State of Delaware. For purposes of this Article X, “internal corporate claims” means claims, including claims in the right of the Corporation: (a) that are based upon a violation of a duty by a current or former director, officer, employee or stockholder in such capacity; or (b) as to which the Delaware General Corporation Law confers jurisdiction upon the Court of Chancery.</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Enforceability </w:t>
      </w:r>
    </w:p>
    <w:p>
      <w:pPr>
        <w:pStyle w:val="TextBody"/>
        <w:spacing w:lineRule="auto" w:line="288" w:before="120" w:after="283"/>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2. If any provision of this Article X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Article X (including, without limitation, each portion of any sentence of this Article X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pStyle w:val="TextBody"/>
        <w:spacing w:before="240" w:after="283"/>
        <w:jc w:val="both"/>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53" name="Frame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JOINDER, LIMITED CONSENT, AND SIXTH AMENDMENT TO</w:t>
        <w:br/>
        <w:t>SECOND AMENDED AND RESTATED CREDIT AND SECURITY AGREEMENT</w:t>
      </w:r>
    </w:p>
    <w:p>
      <w:pPr>
        <w:pStyle w:val="TextBody"/>
        <w:spacing w:before="0" w:after="0"/>
        <w:rPr/>
      </w:pPr>
      <w:r>
        <w:rPr/>
      </w:r>
    </w:p>
    <w:p>
      <w:pPr>
        <w:pStyle w:val="TextBody"/>
        <w:spacing w:lineRule="auto" w:line="288" w:before="0" w:after="240"/>
        <w:ind w:left="0" w:right="0" w:firstLine="720"/>
        <w:jc w:val="both"/>
        <w:rPr/>
      </w:pPr>
      <w:r>
        <w:rPr>
          <w:rFonts w:ascii="Times New Roman;sans-serif" w:hAnsi="Times New Roman;sans-serif"/>
          <w:b w:val="false"/>
          <w:color w:val="000000"/>
          <w:sz w:val="24"/>
        </w:rPr>
        <w:t>THIS JOINDER, LIMITED CONSENT, AND SIXTH AMENDMENT TO SECOND AMENDED AND RESTATED CREDIT AND SECURITY AGREEMENT (this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dated December 21, 2020, is made and entered into by and among </w:t>
      </w:r>
      <w:r>
        <w:rPr>
          <w:rFonts w:ascii="Times New Roman;sans-serif" w:hAnsi="Times New Roman;sans-serif"/>
          <w:b/>
          <w:color w:val="000000"/>
          <w:sz w:val="24"/>
        </w:rPr>
        <w:t>IES HOLDINGS, INC.</w:t>
      </w:r>
      <w:r>
        <w:rPr>
          <w:rFonts w:ascii="Times New Roman;sans-serif" w:hAnsi="Times New Roman;sans-serif"/>
          <w:b w:val="false"/>
          <w:color w:val="000000"/>
          <w:sz w:val="24"/>
        </w:rPr>
        <w:t>, a Delaware corporation, on behalf of itself and each other Borrower and Guarantor (the "</w:t>
      </w:r>
      <w:r>
        <w:rPr>
          <w:rFonts w:ascii="Times New Roman;sans-serif" w:hAnsi="Times New Roman;sans-serif"/>
          <w:b w:val="false"/>
          <w:color w:val="000000"/>
          <w:sz w:val="24"/>
          <w:u w:val="single"/>
        </w:rPr>
        <w:t>Administrative Borrower</w:t>
      </w:r>
      <w:r>
        <w:rPr>
          <w:rFonts w:ascii="Times New Roman;sans-serif" w:hAnsi="Times New Roman;sans-serif"/>
          <w:b w:val="false"/>
          <w:color w:val="000000"/>
          <w:sz w:val="24"/>
        </w:rPr>
        <w:t xml:space="preserve">"), and </w:t>
      </w:r>
      <w:r>
        <w:rPr>
          <w:rFonts w:ascii="Times New Roman;sans-serif" w:hAnsi="Times New Roman;sans-serif"/>
          <w:b/>
          <w:color w:val="000000"/>
          <w:sz w:val="24"/>
        </w:rPr>
        <w:t>WELLS FARGO BANK, NATIONAL ASSOCIATION</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Lender</w:t>
      </w:r>
      <w:r>
        <w:rPr>
          <w:rFonts w:ascii="Times New Roman;sans-serif" w:hAnsi="Times New Roman;sans-serif"/>
          <w:b w:val="false"/>
          <w:color w:val="000000"/>
          <w:sz w:val="24"/>
        </w:rPr>
        <w:t xml:space="preserve">"). </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WHEREAS, Borrowers, Guarantors and Lender have entered into that certain Second Amended and Restated Credit and Security Agreement dated as of April 10, 2017 (as amended, restated, supplemented or otherwise modified from time to time, the "</w:t>
      </w:r>
      <w:r>
        <w:rPr>
          <w:rFonts w:ascii="Times New Roman;sans-serif" w:hAnsi="Times New Roman;sans-serif"/>
          <w:b w:val="false"/>
          <w:color w:val="000000"/>
          <w:sz w:val="24"/>
          <w:u w:val="single"/>
        </w:rPr>
        <w:t>Credit Agreement</w:t>
      </w:r>
      <w:r>
        <w:rPr>
          <w:rFonts w:ascii="Times New Roman;sans-serif" w:hAnsi="Times New Roman;sans-serif"/>
          <w:b w:val="false"/>
          <w:color w:val="000000"/>
          <w:sz w:val="24"/>
        </w:rPr>
        <w:t>"). Capitalized terms used but not otherwise defined herein shall have the meanings ascribed to them in the Credit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WHEREAS, IES Residential, Inc., a Delaware corporation ("</w:t>
      </w:r>
      <w:r>
        <w:rPr>
          <w:rFonts w:ascii="Times New Roman;sans-serif" w:hAnsi="Times New Roman;sans-serif"/>
          <w:b w:val="false"/>
          <w:color w:val="000000"/>
          <w:sz w:val="24"/>
          <w:u w:val="single"/>
        </w:rPr>
        <w:t>IES Residential</w:t>
      </w:r>
      <w:r>
        <w:rPr>
          <w:rFonts w:ascii="Times New Roman;sans-serif" w:hAnsi="Times New Roman;sans-serif"/>
          <w:b w:val="false"/>
          <w:color w:val="000000"/>
          <w:sz w:val="24"/>
        </w:rPr>
        <w:t>") desires to enter into that certain Equity Purchase Agreement attached hereto as Exhibit A (the "</w:t>
      </w:r>
      <w:r>
        <w:rPr>
          <w:rFonts w:ascii="Times New Roman;sans-serif" w:hAnsi="Times New Roman;sans-serif"/>
          <w:b w:val="false"/>
          <w:color w:val="000000"/>
          <w:sz w:val="24"/>
          <w:u w:val="single"/>
        </w:rPr>
        <w:t>Purchase Agreement</w:t>
      </w:r>
      <w:r>
        <w:rPr>
          <w:rFonts w:ascii="Times New Roman;sans-serif" w:hAnsi="Times New Roman;sans-serif"/>
          <w:b w:val="false"/>
          <w:color w:val="000000"/>
          <w:sz w:val="24"/>
        </w:rPr>
        <w:t>" dated on or about December 21, 2020, by and among IES Residential, Bayonet Plumbing, Heating &amp; Air-Conditioning, LLC, a Florida limited liability company (the "</w:t>
      </w:r>
      <w:r>
        <w:rPr>
          <w:rFonts w:ascii="Times New Roman;sans-serif" w:hAnsi="Times New Roman;sans-serif"/>
          <w:b w:val="false"/>
          <w:color w:val="000000"/>
          <w:sz w:val="24"/>
          <w:u w:val="single"/>
        </w:rPr>
        <w:t>New Borrower</w:t>
      </w:r>
      <w:r>
        <w:rPr>
          <w:rFonts w:ascii="Times New Roman;sans-serif" w:hAnsi="Times New Roman;sans-serif"/>
          <w:b w:val="false"/>
          <w:color w:val="000000"/>
          <w:sz w:val="24"/>
        </w:rPr>
        <w:t>"), Robert N. Blankenship Revocable Inter Vivos Trust u/a/d January 29, 2018, ("</w:t>
      </w:r>
      <w:r>
        <w:rPr>
          <w:rFonts w:ascii="Times New Roman;sans-serif" w:hAnsi="Times New Roman;sans-serif"/>
          <w:b w:val="false"/>
          <w:color w:val="000000"/>
          <w:sz w:val="24"/>
          <w:u w:val="single"/>
        </w:rPr>
        <w:t>RNB</w:t>
      </w:r>
      <w:r>
        <w:rPr>
          <w:rFonts w:ascii="Times New Roman;sans-serif" w:hAnsi="Times New Roman;sans-serif"/>
          <w:b w:val="false"/>
          <w:color w:val="000000"/>
          <w:sz w:val="24"/>
        </w:rPr>
        <w:t>"), and Robert C. Blankenship Revocable Inter Vivos Trust u/a/d January 29, 2018 ("</w:t>
      </w:r>
      <w:r>
        <w:rPr>
          <w:rFonts w:ascii="Times New Roman;sans-serif" w:hAnsi="Times New Roman;sans-serif"/>
          <w:b w:val="false"/>
          <w:color w:val="000000"/>
          <w:sz w:val="24"/>
          <w:u w:val="single"/>
        </w:rPr>
        <w:t>RCB</w:t>
      </w:r>
      <w:r>
        <w:rPr>
          <w:rFonts w:ascii="Times New Roman;sans-serif" w:hAnsi="Times New Roman;sans-serif"/>
          <w:b w:val="false"/>
          <w:color w:val="000000"/>
          <w:sz w:val="24"/>
        </w:rPr>
        <w:t>" and, together with RNB, the "</w:t>
      </w:r>
      <w:r>
        <w:rPr>
          <w:rFonts w:ascii="Times New Roman;sans-serif" w:hAnsi="Times New Roman;sans-serif"/>
          <w:b w:val="false"/>
          <w:color w:val="000000"/>
          <w:sz w:val="24"/>
          <w:u w:val="single"/>
        </w:rPr>
        <w:t>Sellers</w:t>
      </w:r>
      <w:r>
        <w:rPr>
          <w:rFonts w:ascii="Times New Roman;sans-serif" w:hAnsi="Times New Roman;sans-serif"/>
          <w:b w:val="false"/>
          <w:color w:val="000000"/>
          <w:sz w:val="24"/>
        </w:rPr>
        <w:t>"), whereby the Sellers will sell and transfer 80% of the Stock of New Borrower to IES Residential (the "</w:t>
      </w:r>
      <w:r>
        <w:rPr>
          <w:rFonts w:ascii="Times New Roman;sans-serif" w:hAnsi="Times New Roman;sans-serif"/>
          <w:b w:val="false"/>
          <w:color w:val="000000"/>
          <w:sz w:val="24"/>
          <w:u w:val="single"/>
        </w:rPr>
        <w:t>Acquisition</w:t>
      </w:r>
      <w:r>
        <w:rPr>
          <w:rFonts w:ascii="Times New Roman;sans-serif" w:hAnsi="Times New Roman;sans-serif"/>
          <w:b w:val="false"/>
          <w:color w:val="000000"/>
          <w:sz w:val="24"/>
        </w:rPr>
        <w:t>") in violation of Section 7.11 of the Credit Agreement which, in absence the effect of this Amendment, would be an Event of Default under Section 9.2(a) of the Credit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WHEREAS, (i) the New Borrower is indebted to Bank of Tampa for a loan incurred under 15 U.S.C. 636(a)(36) (as added to the Small Business Act by Section 1102 of the CARES Act) in an aggregate principal amount of $4,812,700 (the "</w:t>
      </w:r>
      <w:r>
        <w:rPr>
          <w:rFonts w:ascii="Times New Roman;sans-serif" w:hAnsi="Times New Roman;sans-serif"/>
          <w:b w:val="false"/>
          <w:color w:val="000000"/>
          <w:sz w:val="24"/>
          <w:u w:val="single"/>
        </w:rPr>
        <w:t>PPP Loan</w:t>
      </w:r>
      <w:r>
        <w:rPr>
          <w:rFonts w:ascii="Times New Roman;sans-serif" w:hAnsi="Times New Roman;sans-serif"/>
          <w:b w:val="false"/>
          <w:color w:val="000000"/>
          <w:sz w:val="24"/>
        </w:rPr>
        <w:t>"), (ii) prior to the date hereof, the Borrower has applied for forgiveness of the PPP Loan in accordance with Coronavirus Aid, Relief, and Economic Security Act (Public Law 116-136), as amended from time to time and applicable rules, requests, guidelines, directives and/or regulations thereunder or issued by the Small Business Administration or any other Government Entity in connection therewith, in each case as in effect from time to time (the "</w:t>
      </w:r>
      <w:r>
        <w:rPr>
          <w:rFonts w:ascii="Times New Roman;sans-serif" w:hAnsi="Times New Roman;sans-serif"/>
          <w:b w:val="false"/>
          <w:color w:val="000000"/>
          <w:sz w:val="24"/>
          <w:u w:val="single"/>
        </w:rPr>
        <w:t>CARES Act</w:t>
      </w:r>
      <w:r>
        <w:rPr>
          <w:rFonts w:ascii="Times New Roman;sans-serif" w:hAnsi="Times New Roman;sans-serif"/>
          <w:b w:val="false"/>
          <w:color w:val="000000"/>
          <w:sz w:val="24"/>
        </w:rPr>
        <w:t xml:space="preserve">"), and (iii) on the closing date of the Acquisition and pursuant to the terms of the Purchase Agreement, IES Residential will transfer to Bank of Tampa, the "PPP Escrow Amount" (as defined in the Purchase Agreement) to be held in the "PPP Escrow Account" (as defined in the Purchase Agreement), which is in an amount sufficient to satisfy all of New Borrower's obligations under the PPP Loan (including ,without limitation, the payment of all principal and interest) and such amount shall be used first to satisfy all of the New Borrower's obligations under the PPP Loan, all in accordance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256540"/>
                <wp:effectExtent l="0" t="0" r="0" b="0"/>
                <wp:wrapNone/>
                <wp:docPr id="54" name="Frame53"/>
                <a:graphic xmlns:a="http://schemas.openxmlformats.org/drawingml/2006/main">
                  <a:graphicData uri="http://schemas.microsoft.com/office/word/2010/wordprocessingShape">
                    <wps:wsp>
                      <wps:cNvSpPr txBox="1"/>
                      <wps:spPr>
                        <a:xfrm>
                          <a:off x="0" y="0"/>
                          <a:ext cx="6692265" cy="2565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12221946v4 12/20/2020 3:08 PM</w:t>
                            </w:r>
                          </w:p>
                          <w:p>
                            <w:pPr>
                              <w:pStyle w:val="TextBody"/>
                              <w:spacing w:lineRule="auto" w:line="288"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1989.520    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12221946v4 12/20/2020 3:08 PM</w:t>
                      </w:r>
                    </w:p>
                    <w:p>
                      <w:pPr>
                        <w:pStyle w:val="TextBody"/>
                        <w:spacing w:lineRule="auto" w:line="288"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1989.520    </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with the terms of the "PPP Escrow Agreement" (as defined in the Purchase Agreement) and the Purchase Agreement (collectively, the arrangement described in this recital, the "</w:t>
      </w:r>
      <w:r>
        <w:rPr>
          <w:rFonts w:ascii="Times New Roman;sans-serif" w:hAnsi="Times New Roman;sans-serif"/>
          <w:b w:val="false"/>
          <w:color w:val="000000"/>
          <w:sz w:val="24"/>
          <w:u w:val="single"/>
        </w:rPr>
        <w:t>PPP Loan and Escrow Arrangement</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WHEREAS, IES Residential entered into that certain Stock Purchase Agreement dated as of November 5, 2020, by and among IES Residential, K.E.P. Electric, Inc., an Ohio corporation ("</w:t>
      </w:r>
      <w:r>
        <w:rPr>
          <w:rFonts w:ascii="Times New Roman;sans-serif" w:hAnsi="Times New Roman;sans-serif"/>
          <w:b w:val="false"/>
          <w:color w:val="000000"/>
          <w:sz w:val="24"/>
          <w:u w:val="single"/>
        </w:rPr>
        <w:t>KEP</w:t>
      </w:r>
      <w:r>
        <w:rPr>
          <w:rFonts w:ascii="Times New Roman;sans-serif" w:hAnsi="Times New Roman;sans-serif"/>
          <w:b w:val="false"/>
          <w:color w:val="000000"/>
          <w:sz w:val="24"/>
        </w:rPr>
        <w:t>"), Kevin Padgett, an individual resident of Ohio ("</w:t>
      </w:r>
      <w:r>
        <w:rPr>
          <w:rFonts w:ascii="Times New Roman;sans-serif" w:hAnsi="Times New Roman;sans-serif"/>
          <w:b w:val="false"/>
          <w:color w:val="000000"/>
          <w:sz w:val="24"/>
          <w:u w:val="single"/>
        </w:rPr>
        <w:t>K. Padgett</w:t>
      </w:r>
      <w:r>
        <w:rPr>
          <w:rFonts w:ascii="Times New Roman;sans-serif" w:hAnsi="Times New Roman;sans-serif"/>
          <w:b w:val="false"/>
          <w:color w:val="000000"/>
          <w:sz w:val="24"/>
        </w:rPr>
        <w:t>"), and Carmen Padgett, an individual resident of Ohio ("</w:t>
      </w:r>
      <w:r>
        <w:rPr>
          <w:rFonts w:ascii="Times New Roman;sans-serif" w:hAnsi="Times New Roman;sans-serif"/>
          <w:b w:val="false"/>
          <w:color w:val="000000"/>
          <w:sz w:val="24"/>
          <w:u w:val="single"/>
        </w:rPr>
        <w:t>C. Padgett</w:t>
      </w:r>
      <w:r>
        <w:rPr>
          <w:rFonts w:ascii="Times New Roman;sans-serif" w:hAnsi="Times New Roman;sans-serif"/>
          <w:b w:val="false"/>
          <w:color w:val="000000"/>
          <w:sz w:val="24"/>
        </w:rPr>
        <w:t>"; and together with K. Padgett, the "KEP Sellers"), whereby the KEP Sellers will sold and transferred 100% of the Stock of KEP to IES Residential (the "</w:t>
      </w:r>
      <w:r>
        <w:rPr>
          <w:rFonts w:ascii="Times New Roman;sans-serif" w:hAnsi="Times New Roman;sans-serif"/>
          <w:b w:val="false"/>
          <w:color w:val="000000"/>
          <w:sz w:val="24"/>
          <w:u w:val="single"/>
        </w:rPr>
        <w:t>Acquisition</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WHEREAS, </w:t>
      </w:r>
      <w:r>
        <w:rPr>
          <w:rFonts w:ascii="Times New Roman;sans-serif" w:hAnsi="Times New Roman;sans-serif"/>
          <w:b w:val="false"/>
          <w:color w:val="000000"/>
          <w:sz w:val="24"/>
          <w:highlight w:val="white"/>
        </w:rPr>
        <w:t>IES Infrastructure Solutions, LLC, a Delaware limited liability company ("</w:t>
      </w:r>
      <w:r>
        <w:rPr>
          <w:rFonts w:ascii="Times New Roman;sans-serif" w:hAnsi="Times New Roman;sans-serif"/>
          <w:b w:val="false"/>
          <w:color w:val="000000"/>
          <w:sz w:val="24"/>
          <w:highlight w:val="white"/>
          <w:u w:val="single"/>
        </w:rPr>
        <w:t>IES Infrastructure</w:t>
      </w:r>
      <w:r>
        <w:rPr>
          <w:rFonts w:ascii="Times New Roman;sans-serif" w:hAnsi="Times New Roman;sans-serif"/>
          <w:b w:val="false"/>
          <w:color w:val="000000"/>
          <w:sz w:val="24"/>
          <w:highlight w:val="white"/>
        </w:rPr>
        <w:t>") entered into that certain Stock Purchase Agreement dated as of November 19, 2020, by and among IES Infrastructure, Wedlake Fabricating, Inc., an Oklahoma corporation (the “</w:t>
      </w:r>
      <w:r>
        <w:rPr>
          <w:rFonts w:ascii="Times New Roman;sans-serif" w:hAnsi="Times New Roman;sans-serif"/>
          <w:b w:val="false"/>
          <w:color w:val="000000"/>
          <w:sz w:val="24"/>
          <w:highlight w:val="white"/>
          <w:u w:val="single"/>
        </w:rPr>
        <w:t>Wedlake</w:t>
      </w:r>
      <w:r>
        <w:rPr>
          <w:color w:val="000000"/>
          <w:highlight w:val="white"/>
        </w:rPr>
        <w:t>”</w:t>
      </w:r>
      <w:r>
        <w:rPr>
          <w:rFonts w:ascii="Times New Roman;sans-serif" w:hAnsi="Times New Roman;sans-serif"/>
          <w:b w:val="false"/>
          <w:color w:val="000000"/>
          <w:sz w:val="24"/>
          <w:highlight w:val="white"/>
        </w:rPr>
        <w:t>), Brian Wedlake, an individual resident of Oklahoma ("</w:t>
      </w:r>
      <w:r>
        <w:rPr>
          <w:rFonts w:ascii="Times New Roman;sans-serif" w:hAnsi="Times New Roman;sans-serif"/>
          <w:b w:val="false"/>
          <w:color w:val="000000"/>
          <w:sz w:val="24"/>
          <w:highlight w:val="white"/>
          <w:u w:val="single"/>
        </w:rPr>
        <w:t>B. Wedlake</w:t>
      </w:r>
      <w:r>
        <w:rPr>
          <w:rFonts w:ascii="Times New Roman;sans-serif" w:hAnsi="Times New Roman;sans-serif"/>
          <w:b w:val="false"/>
          <w:color w:val="000000"/>
          <w:sz w:val="24"/>
          <w:highlight w:val="white"/>
        </w:rPr>
        <w:t>"), and Melissa Wedlake, an individual resident of Oklahoma ("</w:t>
      </w:r>
      <w:r>
        <w:rPr>
          <w:rFonts w:ascii="Times New Roman;sans-serif" w:hAnsi="Times New Roman;sans-serif"/>
          <w:b w:val="false"/>
          <w:color w:val="000000"/>
          <w:sz w:val="24"/>
          <w:highlight w:val="white"/>
          <w:u w:val="single"/>
        </w:rPr>
        <w:t>M. Wedlake</w:t>
      </w:r>
      <w:r>
        <w:rPr>
          <w:rFonts w:ascii="Times New Roman;sans-serif" w:hAnsi="Times New Roman;sans-serif"/>
          <w:b w:val="false"/>
          <w:color w:val="000000"/>
          <w:sz w:val="24"/>
          <w:highlight w:val="white"/>
        </w:rPr>
        <w:t>"; and together with B. Wedlake, the "</w:t>
      </w:r>
      <w:r>
        <w:rPr>
          <w:rFonts w:ascii="Times New Roman;sans-serif" w:hAnsi="Times New Roman;sans-serif"/>
          <w:b w:val="false"/>
          <w:color w:val="000000"/>
          <w:sz w:val="24"/>
          <w:highlight w:val="white"/>
          <w:u w:val="single"/>
        </w:rPr>
        <w:t>Wedlake Sellers</w:t>
      </w:r>
      <w:r>
        <w:rPr>
          <w:rFonts w:ascii="Times New Roman;sans-serif" w:hAnsi="Times New Roman;sans-serif"/>
          <w:b w:val="false"/>
          <w:color w:val="000000"/>
          <w:sz w:val="24"/>
          <w:highlight w:val="white"/>
        </w:rPr>
        <w:t>"), whereby the Wedlake Sellers will sell and transfer 100% of the Stock of Wedlake to IES Infrastructure (the "</w:t>
      </w:r>
      <w:r>
        <w:rPr>
          <w:rFonts w:ascii="Times New Roman;sans-serif" w:hAnsi="Times New Roman;sans-serif"/>
          <w:b w:val="false"/>
          <w:color w:val="000000"/>
          <w:sz w:val="24"/>
          <w:highlight w:val="white"/>
          <w:u w:val="single"/>
        </w:rPr>
        <w:t>Wedlake Acquisition</w:t>
      </w:r>
      <w:r>
        <w:rPr>
          <w:rFonts w:ascii="Times New Roman;sans-serif" w:hAnsi="Times New Roman;sans-serif"/>
          <w:b w:val="false"/>
          <w:color w:val="000000"/>
          <w:sz w:val="24"/>
          <w:highlight w:val="white"/>
        </w:rPr>
        <w:t>").</w:t>
      </w:r>
    </w:p>
    <w:p>
      <w:pPr>
        <w:pStyle w:val="TextBody"/>
        <w:spacing w:lineRule="auto" w:line="288"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WHEREAS, Administrative Borrower, on behalf of itself and each other Borrower and Guarantor, has requested that Lender (i) consent to the Acquisition and the PPP Loan and Escrow Arrangement, (ii) join New Borrower as a Borrower to the Credit Agreement, (iii) amend certain provisions in the Credit Agreement as set forth herein, and (iv) agree that the aggregate consideration paid in connection with the KEP Acquisition and the Wedlake Acquisition shall not reduce the purchase price limit set forth in clause (k) of the definition of "Permitted Acquisition" set forth in the Credit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WHEREAS, Lender has agreed to (i) consent to the Acquisition and the PPP Loan and Escrow Arrangement, (ii) join New Borrower as a Borrower to the Credit Agreement, (iii) amend the Credit Agreement in connection with the consummation of the Acquisition on the terms and conditions as set forth herein, and (iv) agree that the aggregate consideration paid in connection with the KEP Acquisition and the Wedlake Acquisition shall not reduce the purchase price limit set forth in clause (k) of the definition of "Permitted Acquisition" set forth in the Credit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pStyle w:val="TextBody"/>
        <w:spacing w:lineRule="auto" w:line="288" w:before="0" w:after="240"/>
        <w:ind w:left="0" w:right="0" w:firstLine="360"/>
        <w:jc w:val="center"/>
        <w:rPr/>
      </w:pPr>
      <w:r>
        <w:rPr>
          <w:rFonts w:ascii="Times New Roman;sans-serif" w:hAnsi="Times New Roman;sans-serif"/>
          <w:b/>
          <w:color w:val="000000"/>
          <w:sz w:val="24"/>
        </w:rPr>
        <w:t>ARTICLE I</w:t>
        <w:br/>
      </w:r>
      <w:r>
        <w:rPr>
          <w:rFonts w:ascii="Times New Roman;sans-serif" w:hAnsi="Times New Roman;sans-serif"/>
          <w:b/>
          <w:color w:val="000000"/>
          <w:sz w:val="24"/>
          <w:u w:val="single"/>
        </w:rPr>
        <w:t>AMENDMENT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the Effective Date (as defined below), the Credit Agreement is hereby amended and supplemented as follows:</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75260"/>
                <wp:effectExtent l="0" t="0" r="0" b="0"/>
                <wp:wrapNone/>
                <wp:docPr id="55" name="Frame5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Amendment to Section 7.12</w:t>
      </w:r>
      <w:r>
        <w:rPr>
          <w:rFonts w:ascii="Times New Roman;sans-serif" w:hAnsi="Times New Roman;sans-serif"/>
          <w:b w:val="false"/>
          <w:color w:val="000000"/>
          <w:sz w:val="24"/>
        </w:rPr>
        <w:t>. Section 7.12 of the Credit Agreement is hereby amended by (a) deleting the reference to "and" at the end of clause (e), (b) inserting a reference to "; and" at the end of clause (f), and (c) inserting new clause (g) as follows: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so long as no Default or Event of Default has occurred and is continuing, IES Residential may make additional capital contributions to Bayonet in an aggregate amount not to exceed $750,000."</w:t>
      </w:r>
    </w:p>
    <w:p>
      <w:pPr>
        <w:pStyle w:val="TextBody"/>
        <w:spacing w:lineRule="auto" w:line="288" w:before="0" w:after="240"/>
        <w:ind w:left="0" w:right="0" w:firstLine="720"/>
        <w:jc w:val="both"/>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Amendment to Schedule 1.1</w:t>
      </w:r>
      <w:r>
        <w:rPr>
          <w:rFonts w:ascii="Times New Roman;sans-serif" w:hAnsi="Times New Roman;sans-serif"/>
          <w:b w:val="false"/>
          <w:color w:val="000000"/>
          <w:sz w:val="24"/>
        </w:rPr>
        <w: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Schedule 1.1 of the Credit Agreement is hereby amended by adding the following defined terms in the appropriate alphabetical order: </w:t>
      </w:r>
    </w:p>
    <w:p>
      <w:pPr>
        <w:pStyle w:val="TextBody"/>
        <w:spacing w:lineRule="auto" w:line="288"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Bayonet</w:t>
      </w:r>
      <w:r>
        <w:rPr>
          <w:rFonts w:ascii="Times New Roman;sans-serif" w:hAnsi="Times New Roman;sans-serif"/>
          <w:b w:val="false"/>
          <w:color w:val="000000"/>
          <w:sz w:val="24"/>
        </w:rPr>
        <w:t>" means Bayonet Plumbing, Heating &amp; Air-Conditioning, LLC, a Florida limited liability company.</w:t>
      </w:r>
    </w:p>
    <w:p>
      <w:pPr>
        <w:pStyle w:val="TextBody"/>
        <w:spacing w:lineRule="auto" w:line="288"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Permitted Bayonet Seller Note Indebtedness</w:t>
      </w:r>
      <w:r>
        <w:rPr>
          <w:rFonts w:ascii="Times New Roman;sans-serif" w:hAnsi="Times New Roman;sans-serif"/>
          <w:b w:val="false"/>
          <w:color w:val="000000"/>
          <w:sz w:val="24"/>
        </w:rPr>
        <w:t xml:space="preserve">" means the unsecured Indebtedness in the aggregate principal amount of $4,500,000 evidenced by that certain Unsecured Promissory Note dated as of December 21, 2020, executed by IES Residential in favor of Robert C. Blankenship Trust, as in effect on the date hereof. </w:t>
      </w:r>
    </w:p>
    <w:p>
      <w:pPr>
        <w:pStyle w:val="TextBody"/>
        <w:spacing w:lineRule="auto" w:line="288"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Sixth Amendment Effective Date</w:t>
      </w:r>
      <w:r>
        <w:rPr>
          <w:rFonts w:ascii="Times New Roman;sans-serif" w:hAnsi="Times New Roman;sans-serif"/>
          <w:b w:val="false"/>
          <w:color w:val="000000"/>
          <w:sz w:val="24"/>
        </w:rPr>
        <w:t>" means December 21, 2020.</w:t>
      </w:r>
    </w:p>
    <w:p>
      <w:pPr>
        <w:pStyle w:val="TextBody"/>
        <w:spacing w:lineRule="auto" w:line="288" w:before="0" w:after="240"/>
        <w:ind w:left="0" w:right="0" w:firstLine="1440"/>
        <w:jc w:val="both"/>
        <w:rPr/>
      </w:pPr>
      <w:r>
        <w:rPr>
          <w:rFonts w:ascii="Times New Roman;sans-serif" w:hAnsi="Times New Roman;sans-serif"/>
          <w:b w:val="false"/>
          <w:color w:val="000000"/>
          <w:sz w:val="24"/>
        </w:rPr>
        <w:t>(b)    The defined term "</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in Schedule 1.1 of the Credit Agreement is hereby amended by (a) replacing the reference to "or" at the end of clause (d) with ",", (b) replacing the reference to "." at the end of clause (e) with ", or", and (c) inserting new clause (g) as follows: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IES Residential or another Loan Party (subject to execution of a Pledged Interests Addendum pursuant to Section 6.12(h)(iii)) ceases to own eighty percent (80%) (or such greater amount that IES Residential or another Loan Party may own from time to time following the Closing Date) of the membership interests of Bayonet."</w:t>
      </w:r>
    </w:p>
    <w:p>
      <w:pPr>
        <w:pStyle w:val="TextBody"/>
        <w:spacing w:lineRule="auto" w:line="288" w:before="0" w:after="240"/>
        <w:ind w:left="0" w:right="0" w:firstLine="1440"/>
        <w:jc w:val="both"/>
        <w:rPr/>
      </w:pPr>
      <w:r>
        <w:rPr>
          <w:rFonts w:ascii="Times New Roman;sans-serif" w:hAnsi="Times New Roman;sans-serif"/>
          <w:b w:val="false"/>
          <w:color w:val="000000"/>
          <w:sz w:val="24"/>
        </w:rPr>
        <w:t>(c)    The defined term "</w:t>
      </w:r>
      <w:r>
        <w:rPr>
          <w:rFonts w:ascii="Times New Roman;sans-serif" w:hAnsi="Times New Roman;sans-serif"/>
          <w:b w:val="false"/>
          <w:color w:val="000000"/>
          <w:sz w:val="24"/>
          <w:u w:val="single"/>
        </w:rPr>
        <w:t>Permitted Indebtedness</w:t>
      </w:r>
      <w:r>
        <w:rPr>
          <w:rFonts w:ascii="Times New Roman;sans-serif" w:hAnsi="Times New Roman;sans-serif"/>
          <w:b w:val="false"/>
          <w:color w:val="000000"/>
          <w:sz w:val="24"/>
        </w:rPr>
        <w:t xml:space="preserve">" in Schedule 1.1 of the Credit Agreement is hereby amended by (i) deleting the "and" at the end of clause (k), (ii) re-styling clause (l) as clause (m), and (iii) inserting new clause (l) therein to read as follows: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    Permitted Bayonet Seller Note Indebtedness, subject to the subordination terms set forth in Section 3 of that certain Unsecured Promissory Note dated as of December 21, 2020, executed by IES Residential in favor of Robert N. Blankenship Trust and Robert C. Blankenship Trust, as in effect on the date hereof; and </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75260"/>
                <wp:effectExtent l="0" t="0" r="0" b="0"/>
                <wp:wrapNone/>
                <wp:docPr id="56" name="Frame5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val="false"/>
          <w:color w:val="000000"/>
          <w:sz w:val="24"/>
        </w:rPr>
        <w:t>(d)    The defined term "</w:t>
      </w:r>
      <w:r>
        <w:rPr>
          <w:rFonts w:ascii="Times New Roman;sans-serif" w:hAnsi="Times New Roman;sans-serif"/>
          <w:b w:val="false"/>
          <w:color w:val="000000"/>
          <w:sz w:val="24"/>
          <w:u w:val="single"/>
        </w:rPr>
        <w:t>Permitted Investments</w:t>
      </w:r>
      <w:r>
        <w:rPr>
          <w:rFonts w:ascii="Times New Roman;sans-serif" w:hAnsi="Times New Roman;sans-serif"/>
          <w:b w:val="false"/>
          <w:color w:val="000000"/>
          <w:sz w:val="24"/>
        </w:rPr>
        <w:t>" in Schedule 1.1 of the Credit Agreement is hereby amended by (i) replacing the "." at the end of clause (j) with "; and", and (ii) inserting new clause (k) therein to read as follows: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Investments (subject to the limitations in Section 7.12(f)) by IES Residential or another Loan Party consisting of eighty percent (80%) of the membership interests of Bayonet, or such greater amount owned by IES Residential or another Loan Party from time to time in Bayonet (provided, that IES Residential or another Loan Party shall deliver an updated Pledged Interest Addendum pursuant to Section 5.26(d) of Exhibit D for any additional interest held in Bayonet following the Sixth Amendment Effective Date)."</w:t>
      </w:r>
    </w:p>
    <w:p>
      <w:pPr>
        <w:pStyle w:val="TextBody"/>
        <w:spacing w:lineRule="auto" w:line="288" w:before="0" w:after="240"/>
        <w:ind w:left="0" w:right="0" w:firstLine="1440"/>
        <w:jc w:val="both"/>
        <w:rPr/>
      </w:pPr>
      <w:r>
        <w:rPr>
          <w:rFonts w:ascii="Times New Roman;sans-serif" w:hAnsi="Times New Roman;sans-serif"/>
          <w:b w:val="false"/>
          <w:color w:val="000000"/>
          <w:sz w:val="24"/>
        </w:rPr>
        <w:t>(e)    The defined term "</w:t>
      </w:r>
      <w:r>
        <w:rPr>
          <w:rFonts w:ascii="Times New Roman;sans-serif" w:hAnsi="Times New Roman;sans-serif"/>
          <w:b w:val="false"/>
          <w:color w:val="000000"/>
          <w:sz w:val="24"/>
          <w:u w:val="single"/>
        </w:rPr>
        <w:t>Restricted Junior Payment</w:t>
      </w:r>
      <w:r>
        <w:rPr>
          <w:rFonts w:ascii="Times New Roman;sans-serif" w:hAnsi="Times New Roman;sans-serif"/>
          <w:b w:val="false"/>
          <w:color w:val="000000"/>
          <w:sz w:val="24"/>
        </w:rPr>
        <w:t>" in Schedule 1.1 of the Credit Agreement is hereby amended and restated as follows:</w:t>
      </w:r>
    </w:p>
    <w:p>
      <w:pPr>
        <w:pStyle w:val="TextBody"/>
        <w:spacing w:lineRule="auto" w:line="288"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Restricted Junior Payment</w:t>
      </w:r>
      <w:r>
        <w:rPr>
          <w:rFonts w:ascii="Times New Roman;sans-serif" w:hAnsi="Times New Roman;sans-serif"/>
          <w:b w:val="false"/>
          <w:color w:val="000000"/>
          <w:sz w:val="24"/>
        </w:rPr>
        <w:t xml:space="preserve">" means (a) any declaration or payment of any dividend or the making of any other payment or distribution on account of Stock issued by any Loan Party (including any payment in connection with any merger or consolidation involving any Loan Party) or to the direct or indirect holders of Stock issued by any Loan Party in their capacity as such (other than dividends or distributions payable in Stock (other than Prohibited Preferred Stock) issued by any Loan Party), or (b) any purchase, redemption, or other acquisition or retirement for value (including in connection with any merger or consolidation involving any Loan Party) of any Stock issued by any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so long as no Default or Event of Default exists or would result therefrom, (i) repurchases of Stock issued by Parent solely to satisfy federal income tax withholding obligations of employees with respect to stock-based compensation issued to them in accordance with applicable compensation plans shall not be deemed a Restricted Junior Payment so long as such repurchases are made in the ordinary course of business and in an aggregate amount not to exceed $1,500,000 in any fiscal year of Borrowers, (ii) Parent may repurchase Stock issued by Parent for an aggregate purchase price not to exceed $7,500,000, in the aggregate, on or before January 31, 2019 with respect to any vesting of performance based phantom stock units granted by Parent on October 2, 2015 and June 6, 2016, (iii) NEXT may make distributions of excess cash to the direct or indirect holders of Stock issued by NEXT in an amount proportionate to such holders ownership interest in the Stock issued by NEXT, (iv) NEXT may make distributions to certain equity owners thereof with respect to an exercise of any such equity owner's put rights pursuant to Section 10.3 of that certain Operating Agreement of NEXT dated as of July 14, 2017, among NEXT and the equity owners of NEXT as in effect as of such date, (v) Bayonet may make distributions of excess cash to the direct or indirect holders of Stock issued by Bayonet in an amount proportionate to such holders ownership interest in the Stock issued by Bayonet, and (vi) Bayonet may make distributions to certain equity owners thereof with respect to an exercise of any such equity owner's put rights pursuant to Section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75260"/>
                <wp:effectExtent l="0" t="0" r="0" b="0"/>
                <wp:wrapNone/>
                <wp:docPr id="57" name="Frame5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10.3 of that certain Operating Agreement of Bayonet dated as of December 21, 2020, among Bayonet and the equity owners of Bayonet as in effect as of such date." </w:t>
      </w:r>
    </w:p>
    <w:p>
      <w:pPr>
        <w:pStyle w:val="TextBody"/>
        <w:spacing w:lineRule="auto" w:line="288" w:before="0" w:after="240"/>
        <w:ind w:left="0" w:right="0" w:firstLine="360"/>
        <w:jc w:val="center"/>
        <w:rPr/>
      </w:pPr>
      <w:r>
        <w:rPr>
          <w:rFonts w:ascii="Times New Roman;sans-serif" w:hAnsi="Times New Roman;sans-serif"/>
          <w:b/>
          <w:color w:val="000000"/>
          <w:sz w:val="24"/>
        </w:rPr>
        <w:t>ARTICLE II</w:t>
        <w:br/>
      </w:r>
      <w:r>
        <w:rPr>
          <w:rFonts w:ascii="Times New Roman;sans-serif" w:hAnsi="Times New Roman;sans-serif"/>
          <w:b/>
          <w:color w:val="000000"/>
          <w:sz w:val="24"/>
          <w:u w:val="single"/>
        </w:rPr>
        <w:t>CONSENT AND JOINDER</w:t>
      </w:r>
    </w:p>
    <w:p>
      <w:pPr>
        <w:pStyle w:val="TextBody"/>
        <w:spacing w:lineRule="auto" w:line="288" w:before="0" w:after="240"/>
        <w:ind w:left="0" w:right="0" w:firstLine="720"/>
        <w:jc w:val="both"/>
        <w:rPr/>
      </w:pPr>
      <w:r>
        <w:rPr>
          <w:rFonts w:ascii="Times New Roman;sans-serif" w:hAnsi="Times New Roman;sans-serif"/>
          <w:b w:val="false"/>
          <w:color w:val="000000"/>
          <w:sz w:val="24"/>
        </w:rPr>
        <w:t>2.01</w:t>
      </w:r>
      <w:r>
        <w:rPr>
          <w:color w:val="000000"/>
        </w:rPr>
        <w:t>    </w:t>
      </w:r>
      <w:r>
        <w:rPr>
          <w:rFonts w:ascii="Times New Roman;sans-serif" w:hAnsi="Times New Roman;sans-serif"/>
          <w:b/>
          <w:color w:val="000000"/>
          <w:sz w:val="24"/>
          <w:u w:val="single"/>
        </w:rPr>
        <w:t>Consent to the Acquisition; PPP Loan and Escrow Arrangement</w:t>
      </w:r>
      <w:r>
        <w:rPr>
          <w:rFonts w:ascii="Times New Roman;sans-serif" w:hAnsi="Times New Roman;sans-serif"/>
          <w:b w:val="false"/>
          <w:color w:val="000000"/>
          <w:sz w:val="24"/>
        </w:rPr>
        <w:t>. Subject to the terms and conditions set forth below, Lender hereby (a) consents to IES Residential consummating the Acquisition pursuant to the terms of the Purchase Agreement, and (b) consents to the PPP Loan and Escrow Arrangement and the parties hereto agree that the Target's PPP Loan shall constitute "Permitted Indebtedness" for all purposes under the Credit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2.02    </w:t>
      </w:r>
      <w:r>
        <w:rPr>
          <w:rFonts w:ascii="Times New Roman;sans-serif" w:hAnsi="Times New Roman;sans-serif"/>
          <w:b/>
          <w:color w:val="000000"/>
          <w:sz w:val="24"/>
          <w:u w:val="single"/>
        </w:rPr>
        <w:t>Consent to Joinder</w:t>
      </w:r>
      <w:r>
        <w:rPr>
          <w:rFonts w:ascii="Times New Roman;sans-serif" w:hAnsi="Times New Roman;sans-serif"/>
          <w:b w:val="false"/>
          <w:color w:val="000000"/>
          <w:sz w:val="24"/>
        </w:rPr>
        <w:t>. Administrative Borrower, on behalf of itself and each other Borrower and Guarantor, and Lender consents to the joinder of New Borrower to the Credit Agreement and all of the other Loan Documents, immediately following written confirmation from Lender that the condition set forth in Section 4.01(g) has been satisfied, as more fully described below.</w:t>
      </w:r>
    </w:p>
    <w:p>
      <w:pPr>
        <w:pStyle w:val="TextBody"/>
        <w:spacing w:lineRule="auto" w:line="288" w:before="0" w:after="240"/>
        <w:ind w:left="0" w:right="0" w:firstLine="720"/>
        <w:jc w:val="both"/>
        <w:rPr/>
      </w:pPr>
      <w:r>
        <w:rPr>
          <w:rFonts w:ascii="Times New Roman;sans-serif" w:hAnsi="Times New Roman;sans-serif"/>
          <w:b w:val="false"/>
          <w:color w:val="000000"/>
          <w:sz w:val="24"/>
        </w:rPr>
        <w:t>2.03    </w:t>
      </w:r>
      <w:r>
        <w:rPr>
          <w:rFonts w:ascii="Times New Roman;sans-serif" w:hAnsi="Times New Roman;sans-serif"/>
          <w:b/>
          <w:color w:val="000000"/>
          <w:sz w:val="24"/>
          <w:u w:val="single"/>
        </w:rPr>
        <w:t>Joinder to the Credit Agreement and Loan Documents</w:t>
      </w:r>
      <w:r>
        <w:rPr>
          <w:rFonts w:ascii="Times New Roman;sans-serif" w:hAnsi="Times New Roman;sans-serif"/>
          <w:b w:val="false"/>
          <w:color w:val="000000"/>
          <w:sz w:val="24"/>
        </w:rPr>
        <w:t>. Immediately following written confirmation from Lender that the condition set forth in Section 4.01(g) has been satisfied, New Borrower shall join in, assume, adopt, become a co-borrowers and a co-obligors and become jointly and severally liable with respect to all Obligations (irrespective of when such Obligations first arose) under the Credit Agreement and all of the other Loan Documents. Without limiting the foregoing, New Borrower hereby (a) agrees to all of the terms and conditions contained in the Credit Agreement and the other Loan Documents with the same legal effect as if it was an original signatory thereto, (b) affirms all of the representations and warranties of the Borrowers and all of the covenants, each as set forth in the Credit Agreement, (c) confirms that it has granted pursuant to the terms of the Credit Agreement, and hereby grants to Lender a continuing general lien upon, and security interest in, all of the "Collateral" (as defined in the Credit Agreement) in which New Borrower has rights as security for the Obligations as though it were an original signatory party to the Credit Agreement, and New Borrower authorizes Lender to file UCC financing statements to evidence the same, which financing statements may identify the Collateral as "all assets" or "all personal property" or words of like import, and (d) promises to pay all Obligations in full when due in accordance with the Credit Agreement and the other Loan Documents. Further, New Borrower agrees that the Obligations are performable in accordance with their terms, without setoff, defense, counter-claim or claims in recoupment. For the avoidance of doubt, each of Administrative Borrower (on behalf of itself and each other Borrower and Guarantor), New Borrower, and Lender acknowledge and agree that this Section 2.03 shall be deemed effective immediately following written confirmation from Lender that the condition set forth in Section 4.01(g) has been satisfied.</w:t>
      </w:r>
    </w:p>
    <w:p>
      <w:pPr>
        <w:pStyle w:val="TextBody"/>
        <w:spacing w:lineRule="auto" w:line="288" w:before="0" w:after="240"/>
        <w:ind w:left="0" w:right="0" w:firstLine="720"/>
        <w:jc w:val="both"/>
        <w:rPr/>
      </w:pPr>
      <w:r>
        <w:rPr>
          <w:rFonts w:ascii="Times New Roman;sans-serif" w:hAnsi="Times New Roman;sans-serif"/>
          <w:b w:val="false"/>
          <w:color w:val="000000"/>
          <w:sz w:val="24"/>
        </w:rPr>
        <w:t>2.04    </w:t>
      </w:r>
      <w:r>
        <w:rPr>
          <w:rFonts w:ascii="Times New Roman;sans-serif" w:hAnsi="Times New Roman;sans-serif"/>
          <w:b/>
          <w:color w:val="000000"/>
          <w:sz w:val="24"/>
          <w:u w:val="single"/>
        </w:rPr>
        <w:t>Agreement regarding Inventory and Accounts of Bayonet</w:t>
      </w:r>
      <w:r>
        <w:rPr>
          <w:rFonts w:ascii="Times New Roman;sans-serif" w:hAnsi="Times New Roman;sans-serif"/>
          <w:b w:val="false"/>
          <w:color w:val="000000"/>
          <w:sz w:val="24"/>
        </w:rPr>
        <w:t xml:space="preserve">.  Notwithstanding any other provisions of the Credit Agreement or this Amendment to the contrary, it is hereby acknowledged and agreed that Accounts created by Bayonet shall not constitute Eligible </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75260"/>
                <wp:effectExtent l="0" t="0" r="0" b="0"/>
                <wp:wrapNone/>
                <wp:docPr id="58" name="Frame5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Accounts or Eligible Progress Billing Accounts until such date following the date hereof that Lender agrees in writing that such Accounts may constitute Eligible Accounts or Eligible Progress Billing Accounts (the date of such determination, "</w:t>
      </w:r>
      <w:r>
        <w:rPr>
          <w:rFonts w:ascii="Times New Roman;sans-serif" w:hAnsi="Times New Roman;sans-serif"/>
          <w:b w:val="false"/>
          <w:color w:val="000000"/>
          <w:sz w:val="24"/>
          <w:u w:val="single"/>
        </w:rPr>
        <w:t>Bayonet Eligible Accounts Date</w:t>
      </w:r>
      <w:r>
        <w:rPr>
          <w:rFonts w:ascii="Times New Roman;sans-serif" w:hAnsi="Times New Roman;sans-serif"/>
          <w:b w:val="false"/>
          <w:color w:val="000000"/>
          <w:sz w:val="24"/>
        </w:rPr>
        <w:t>"), and Inventory of Bayonet shall not constitute Eligible Inventory until such date following the date hereof that Lender agrees in writing that such Inventory may constitute Eligible Inventory (the date of such agreement, the "</w:t>
      </w:r>
      <w:r>
        <w:rPr>
          <w:rFonts w:ascii="Times New Roman;sans-serif" w:hAnsi="Times New Roman;sans-serif"/>
          <w:b w:val="false"/>
          <w:color w:val="000000"/>
          <w:sz w:val="24"/>
          <w:u w:val="single"/>
        </w:rPr>
        <w:t>Bayonet Eligible Inventory Date</w:t>
      </w:r>
      <w:r>
        <w:rPr>
          <w:rFonts w:ascii="Times New Roman;sans-serif" w:hAnsi="Times New Roman;sans-serif"/>
          <w:b w:val="false"/>
          <w:color w:val="000000"/>
          <w:sz w:val="24"/>
        </w:rPr>
        <w:t>").  It is hereby further acknowledged and agree that, until (and only until) such time as the Bayonet Eligible Accounts Date and/or the Bayonet Eligible Inventory Date has occurred, the existence of an unperfected (by virtue of Goodman Manufacturing Company, L.P., a Texas limited partnership or its Affiliates (collectively, "</w:t>
      </w:r>
      <w:r>
        <w:rPr>
          <w:rFonts w:ascii="Times New Roman;sans-serif" w:hAnsi="Times New Roman;sans-serif"/>
          <w:b w:val="false"/>
          <w:color w:val="000000"/>
          <w:sz w:val="24"/>
          <w:u w:val="single"/>
        </w:rPr>
        <w:t>Goodman</w:t>
      </w:r>
      <w:r>
        <w:rPr>
          <w:rFonts w:ascii="Times New Roman;sans-serif" w:hAnsi="Times New Roman;sans-serif"/>
          <w:b w:val="false"/>
          <w:color w:val="000000"/>
          <w:sz w:val="24"/>
        </w:rPr>
        <w:t>") not having a UCC-1 financing statement on file against Bayonet to perfect such security interest) security interest granted by Bayonet to Goodman in Inventory sold by Goodman to Bayonet and the proceeds thereof to secure amounts owing by Bayonet to Goodman in respect of Bayonet's purchases of Inventory from Goodman pursuant to the Commercial Credit Application and Statement of Terms (including Security Agreement) dated as of October 7, 2019 by Bayonet in favor of Goodman shall be deemed not to constitute a breach of Section 7.2</w:t>
      </w:r>
      <w:r>
        <w:rPr>
          <w:color w:val="000000"/>
        </w:rPr>
        <w:t xml:space="preserve"> </w:t>
      </w:r>
      <w:r>
        <w:rPr>
          <w:rFonts w:ascii="Times New Roman;sans-serif" w:hAnsi="Times New Roman;sans-serif"/>
          <w:b w:val="false"/>
          <w:color w:val="000000"/>
          <w:sz w:val="24"/>
        </w:rPr>
        <w:t xml:space="preserve">of the Credit Agreement. </w:t>
      </w:r>
    </w:p>
    <w:p>
      <w:pPr>
        <w:pStyle w:val="TextBody"/>
        <w:spacing w:lineRule="auto" w:line="288" w:before="0" w:after="240"/>
        <w:ind w:left="0" w:right="0" w:firstLine="720"/>
        <w:jc w:val="both"/>
        <w:rPr/>
      </w:pPr>
      <w:r>
        <w:rPr>
          <w:rFonts w:ascii="Times New Roman;sans-serif" w:hAnsi="Times New Roman;sans-serif"/>
          <w:b w:val="false"/>
          <w:color w:val="000000"/>
          <w:sz w:val="24"/>
        </w:rPr>
        <w:t>2.05    </w:t>
      </w:r>
      <w:r>
        <w:rPr>
          <w:rFonts w:ascii="Times New Roman;sans-serif" w:hAnsi="Times New Roman;sans-serif"/>
          <w:b/>
          <w:color w:val="000000"/>
          <w:sz w:val="24"/>
          <w:u w:val="single"/>
        </w:rPr>
        <w:t>Agreement regarding KEP Acquisition and Wedlake Acquisition</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Subject to the terms and conditions set forth below, Lender hereby agrees that the aggregate consideration paid in connection with the KEP Acquisition and the Wedlake Acquisition shall not reduce the purchase price limit set forth in clause (k) of the definition of "Permitted Acquisition" set forth in the Credit Agreement. </w:t>
      </w:r>
    </w:p>
    <w:p>
      <w:pPr>
        <w:pStyle w:val="TextBody"/>
        <w:spacing w:lineRule="auto" w:line="288" w:before="0" w:after="24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 xml:space="preserve">ARTICLE III </w:t>
        <w:br/>
        <w:t>NO WAIVER</w:t>
      </w:r>
    </w:p>
    <w:p>
      <w:pPr>
        <w:pStyle w:val="TextBody"/>
        <w:spacing w:lineRule="auto" w:line="288" w:before="0" w:after="240"/>
        <w:ind w:left="0" w:right="0" w:firstLine="720"/>
        <w:jc w:val="both"/>
        <w:rPr/>
      </w:pPr>
      <w:r>
        <w:rPr>
          <w:rFonts w:ascii="Times New Roman;sans-serif" w:hAnsi="Times New Roman;sans-serif"/>
          <w:b w:val="false"/>
          <w:color w:val="000000"/>
          <w:sz w:val="24"/>
        </w:rPr>
        <w:t>3.01    </w:t>
      </w:r>
      <w:r>
        <w:rPr>
          <w:rFonts w:ascii="Times New Roman;sans-serif" w:hAnsi="Times New Roman;sans-serif"/>
          <w:b/>
          <w:color w:val="000000"/>
          <w:sz w:val="24"/>
          <w:u w:val="single"/>
        </w:rPr>
        <w:t>No Waiver</w:t>
      </w:r>
      <w:r>
        <w:rPr>
          <w:rFonts w:ascii="Times New Roman;sans-serif" w:hAnsi="Times New Roman;sans-serif"/>
          <w:b w:val="false"/>
          <w:color w:val="000000"/>
          <w:sz w:val="24"/>
        </w:rPr>
        <w:t xml:space="preserve">. This Amendment is a limited consent and other than as set forth above in </w:t>
      </w:r>
      <w:r>
        <w:rPr>
          <w:rFonts w:ascii="Times New Roman;sans-serif" w:hAnsi="Times New Roman;sans-serif"/>
          <w:b w:val="false"/>
          <w:color w:val="000000"/>
          <w:sz w:val="24"/>
          <w:u w:val="single"/>
        </w:rPr>
        <w:t>Articles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hereof, nothing contained in this Amendment shall be construed as an amendment of, consent to, or waiver by, Lender of any covenant or provision of the Credit Agreement, the other Loan Documents, this Amendment,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Amendment and any other contract or instrument between any Loan Party and Lender.</w:t>
      </w:r>
    </w:p>
    <w:p>
      <w:pPr>
        <w:pStyle w:val="TextBody"/>
        <w:spacing w:lineRule="auto" w:line="288" w:before="0" w:after="240"/>
        <w:ind w:left="0" w:right="0" w:firstLine="360"/>
        <w:jc w:val="center"/>
        <w:rPr/>
      </w:pPr>
      <w:r>
        <w:rPr>
          <w:rFonts w:ascii="Times New Roman;sans-serif" w:hAnsi="Times New Roman;sans-serif"/>
          <w:b/>
          <w:color w:val="000000"/>
          <w:sz w:val="24"/>
        </w:rPr>
        <w:t>ARTICLE IV</w:t>
        <w:br/>
      </w:r>
      <w:r>
        <w:rPr>
          <w:rFonts w:ascii="Times New Roman;sans-serif" w:hAnsi="Times New Roman;sans-serif"/>
          <w:b/>
          <w:color w:val="000000"/>
          <w:sz w:val="24"/>
          <w:u w:val="single"/>
        </w:rPr>
        <w:t>CONDITIONS PRECEDENT</w:t>
      </w:r>
    </w:p>
    <w:p>
      <w:pPr>
        <w:pStyle w:val="TextBody"/>
        <w:spacing w:lineRule="auto" w:line="288" w:before="0" w:after="240"/>
        <w:ind w:left="0" w:right="0" w:firstLine="720"/>
        <w:jc w:val="both"/>
        <w:rPr/>
      </w:pPr>
      <w:r>
        <w:rPr>
          <w:rFonts w:ascii="Times New Roman;sans-serif" w:hAnsi="Times New Roman;sans-serif"/>
          <w:b w:val="false"/>
          <w:color w:val="000000"/>
          <w:sz w:val="24"/>
        </w:rPr>
        <w:t>4.01    </w:t>
      </w:r>
      <w:r>
        <w:rPr>
          <w:rFonts w:ascii="Times New Roman;sans-serif" w:hAnsi="Times New Roman;sans-serif"/>
          <w:b/>
          <w:color w:val="000000"/>
          <w:sz w:val="24"/>
          <w:u w:val="single"/>
        </w:rPr>
        <w:t>Conditions to Effectiveness</w:t>
      </w:r>
      <w:r>
        <w:rPr>
          <w:rFonts w:ascii="Times New Roman;sans-serif" w:hAnsi="Times New Roman;sans-serif"/>
          <w:b w:val="false"/>
          <w:color w:val="000000"/>
          <w:sz w:val="24"/>
        </w:rPr>
        <w:t>. This Amendment shall become effective only upon the satisfaction in full, in a manner satisfactory to Lender, of the following conditions precedent (the first date upon which all such conditions have been satisfied being herein called the "</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59" name="Frame5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Lender shall have received the following documents or items, each in form and substance satisfactory to Lender and its legal counsel (unless such conditions are waived by Lender in its sole discretion):</w:t>
      </w:r>
    </w:p>
    <w:p>
      <w:pPr>
        <w:pStyle w:val="TextBody"/>
        <w:spacing w:lineRule="auto" w:line="288" w:before="0" w:after="24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(i)    an Information Certificate Supplement;</w:t>
      </w:r>
    </w:p>
    <w:p>
      <w:pPr>
        <w:pStyle w:val="TextBody"/>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a Collateral Assignment of Purchase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a Collateral Assignment of Representations and Warranties Insurance in form and substance satisfactory to Lender;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an amended copy of New Borrower's limited liability company agreement in form and substance satisfactory to Lender;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 fully executed copy of the Purchase Agreement, including all amendments thereto, and all other requested agreements or documents in connection therewith, certified by an officer of Administrative Borrower as true, correct and complete;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(vi)    payoff letters or payoff statements for New Borrower's secured Indebtedness evidenced by the UCC-1 Financing Statements listed on Exhibit B to the Closing Checklist attached hereto as </w:t>
      </w:r>
      <w:r>
        <w:rPr>
          <w:rFonts w:ascii="Times New Roman;sans-serif" w:hAnsi="Times New Roman;sans-serif"/>
          <w:b w:val="false"/>
          <w:color w:val="000000"/>
          <w:sz w:val="24"/>
          <w:u w:val="single"/>
        </w:rPr>
        <w:t>Exhibit B;</w:t>
      </w:r>
      <w:r>
        <w:rPr>
          <w:color w:val="000000"/>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(vii)    all other documents Lender may reasonably request with respect to any matter relevant to this Amendment or the transactions contemplated hereby, including, without limitation, the documents set forth in the Closing Checklist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and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Borrowers shall have paid Lender, or made arrangements satisfactory to Lender to pay, all Lender Expenses incurred prior to or in connection with the preparation of this Amendment.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After giving effect to this Amendment,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After giving effect to this Amendment, each Loan Party is in compliance with all applicable covenants and agreements contained in the Credit Agreement and the other Loan Documents.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 Default or Event of Default shall exist under any of the Loan Documents (as amended hereby), and no Default or Event of Default will result under any of the Loan Documents from the execution, delivery or performance of this Amendment.</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60" name="Frame5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All corporate and other proceedings, and all documents instruments and other legal matters in connection with the transactions contemplated by this Amendment shall be satisfactory in form and substance to Lender and its counsel.</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Lender shall have received final credit approval for the Credit Facility and the transactions described in this Amendment.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Solely with respect to joining New Borrower as a party to the Credit Agreement and the other Loan Documents pursuant to Section 2.03 above, Lender shall have completed (i) Patriot Act searches and customary individual background checks for New Borrower; and (ii) other "know your customer" searches, the results of the searches and background checks in clauses (i) and (ii) above shall be reasonably satisfactory to Lender. </w:t>
      </w:r>
    </w:p>
    <w:p>
      <w:pPr>
        <w:pStyle w:val="TextBody"/>
        <w:spacing w:lineRule="auto" w:line="288" w:before="0" w:after="240"/>
        <w:ind w:left="0" w:right="0" w:firstLine="360"/>
        <w:jc w:val="center"/>
        <w:rPr/>
      </w:pPr>
      <w:r>
        <w:rPr>
          <w:rFonts w:ascii="Times New Roman;sans-serif" w:hAnsi="Times New Roman;sans-serif"/>
          <w:b/>
          <w:color w:val="000000"/>
          <w:sz w:val="24"/>
        </w:rPr>
        <w:t>ARTICLE V</w:t>
        <w:br/>
      </w:r>
      <w:r>
        <w:rPr>
          <w:rFonts w:ascii="Times New Roman;sans-serif" w:hAnsi="Times New Roman;sans-serif"/>
          <w:b/>
          <w:color w:val="000000"/>
          <w:sz w:val="24"/>
          <w:u w:val="single"/>
        </w:rPr>
        <w:t>RATIFICATIONS, REPRESENTATIONS AND WARRANTIES</w:t>
      </w:r>
    </w:p>
    <w:p>
      <w:pPr>
        <w:pStyle w:val="TextBody"/>
        <w:spacing w:lineRule="auto" w:line="288" w:before="0" w:after="240"/>
        <w:ind w:left="0" w:right="0" w:firstLine="720"/>
        <w:jc w:val="both"/>
        <w:rPr/>
      </w:pPr>
      <w:r>
        <w:rPr>
          <w:rFonts w:ascii="Times New Roman;sans-serif" w:hAnsi="Times New Roman;sans-serif"/>
          <w:b w:val="false"/>
          <w:color w:val="000000"/>
          <w:sz w:val="24"/>
        </w:rPr>
        <w:t>5.01    </w:t>
      </w:r>
      <w:r>
        <w:rPr>
          <w:rFonts w:ascii="Times New Roman;sans-serif" w:hAnsi="Times New Roman;sans-serif"/>
          <w:b/>
          <w:color w:val="000000"/>
          <w:sz w:val="24"/>
          <w:u w:val="single"/>
        </w:rPr>
        <w:t>Ratifications</w:t>
      </w:r>
      <w:r>
        <w:rPr>
          <w:rFonts w:ascii="Times New Roman;sans-serif" w:hAnsi="Times New Roman;sans-serif"/>
          <w:b w:val="false"/>
          <w:color w:val="000000"/>
          <w:sz w:val="24"/>
        </w:rPr>
        <w:t>.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pStyle w:val="TextBody"/>
        <w:spacing w:lineRule="auto" w:line="288" w:before="0" w:after="240"/>
        <w:ind w:left="0" w:right="0" w:firstLine="720"/>
        <w:jc w:val="both"/>
        <w:rPr/>
      </w:pPr>
      <w:r>
        <w:rPr>
          <w:rFonts w:ascii="Times New Roman;sans-serif" w:hAnsi="Times New Roman;sans-serif"/>
          <w:b w:val="false"/>
          <w:color w:val="000000"/>
          <w:sz w:val="24"/>
        </w:rPr>
        <w:t>5.02    </w:t>
      </w:r>
      <w:r>
        <w:rPr>
          <w:rFonts w:ascii="Times New Roman;sans-serif" w:hAnsi="Times New Roman;sans-serif"/>
          <w:b/>
          <w:color w:val="000000"/>
          <w:sz w:val="24"/>
          <w:u w:val="single"/>
        </w:rPr>
        <w:t>Representations and Warranties</w:t>
      </w:r>
      <w:r>
        <w:rPr>
          <w:rFonts w:ascii="Times New Roman;sans-serif" w:hAnsi="Times New Roman;sans-serif"/>
          <w:b w:val="false"/>
          <w:color w:val="000000"/>
          <w:sz w:val="24"/>
        </w:rPr>
        <w:t xml:space="preserve">.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Amendment,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Amendment,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Amendment, the Credit Agreement and all other Loan Documents executed and/or delivered in connection herewith have been duly executed and delivered by it; (e) this Amendment, the Credit Agreement and all other Loan Documents executed and/or delivered in connection herewith constitute its legal, valid and binding obligation enforceable against it in accordance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75260"/>
                <wp:effectExtent l="0" t="0" r="0" b="0"/>
                <wp:wrapNone/>
                <wp:docPr id="61" name="Frame6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Amendment; (g) each Loan Party is in compliance with all applicable covenants and agreements contained in the Credit Agreement and the other Loan Documents, as amended hereby;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 and (i) following the consummation of the Acquisition, IES Residential will own 80% of the Stock of New Borrower.</w:t>
      </w:r>
    </w:p>
    <w:p>
      <w:pPr>
        <w:pStyle w:val="TextBody"/>
        <w:spacing w:lineRule="auto" w:line="288" w:before="0" w:after="240"/>
        <w:ind w:left="0" w:right="0" w:firstLine="360"/>
        <w:jc w:val="center"/>
        <w:rPr/>
      </w:pPr>
      <w:r>
        <w:rPr>
          <w:rFonts w:ascii="Times New Roman;sans-serif" w:hAnsi="Times New Roman;sans-serif"/>
          <w:b/>
          <w:color w:val="000000"/>
          <w:sz w:val="24"/>
        </w:rPr>
        <w:t>ARTICLE VI</w:t>
      </w:r>
      <w:r>
        <w:rPr>
          <w:rFonts w:ascii="Times New Roman;sans-serif" w:hAnsi="Times New Roman;sans-serif"/>
          <w:b/>
          <w:color w:val="000000"/>
          <w:sz w:val="24"/>
          <w:u w:val="single"/>
        </w:rPr>
        <w:br/>
        <w:t>POST-CLOSING COVENANTS</w:t>
      </w:r>
    </w:p>
    <w:p>
      <w:pPr>
        <w:pStyle w:val="TextBody"/>
        <w:spacing w:lineRule="auto" w:line="288" w:before="0" w:after="240"/>
        <w:ind w:left="0" w:right="0" w:firstLine="720"/>
        <w:jc w:val="both"/>
        <w:rPr/>
      </w:pPr>
      <w:r>
        <w:rPr>
          <w:rFonts w:ascii="Times New Roman;sans-serif" w:hAnsi="Times New Roman;sans-serif"/>
          <w:b w:val="false"/>
          <w:color w:val="000000"/>
          <w:sz w:val="24"/>
        </w:rPr>
        <w:t>6.01    </w:t>
      </w:r>
      <w:r>
        <w:rPr>
          <w:rFonts w:ascii="Times New Roman;sans-serif" w:hAnsi="Times New Roman;sans-serif"/>
          <w:b/>
          <w:color w:val="000000"/>
          <w:sz w:val="24"/>
          <w:u w:val="single"/>
        </w:rPr>
        <w:t>General</w:t>
      </w:r>
      <w:r>
        <w:rPr>
          <w:rFonts w:ascii="Times New Roman;sans-serif" w:hAnsi="Times New Roman;sans-serif"/>
          <w:b w:val="false"/>
          <w:color w:val="000000"/>
          <w:sz w:val="24"/>
        </w:rPr>
        <w:t xml:space="preserve">. The Borrowers covenant and agree to fulfill the obligations set forth on Exhibit C. The failure to have taken such actions or deliver such agreements shall not constitute a Default or an Event of Default or a breach of any representation and warranty until the date specified on Exhibit C (as such date may be extended as provided therein); provided that failure to have taken such action or make such required delivery by the date specified in Exhibit C shall be an immediate Event of Default. </w:t>
      </w:r>
    </w:p>
    <w:p>
      <w:pPr>
        <w:pStyle w:val="TextBody"/>
        <w:spacing w:lineRule="auto" w:line="288" w:before="0" w:after="240"/>
        <w:ind w:left="0" w:right="0" w:firstLine="360"/>
        <w:jc w:val="center"/>
        <w:rPr/>
      </w:pPr>
      <w:r>
        <w:rPr>
          <w:rFonts w:ascii="Times New Roman;sans-serif" w:hAnsi="Times New Roman;sans-serif"/>
          <w:b/>
          <w:color w:val="000000"/>
          <w:sz w:val="24"/>
        </w:rPr>
        <w:t>ARTICLE VII</w:t>
        <w:br/>
      </w:r>
      <w:r>
        <w:rPr>
          <w:rFonts w:ascii="Times New Roman;sans-serif" w:hAnsi="Times New Roman;sans-serif"/>
          <w:b/>
          <w:color w:val="000000"/>
          <w:sz w:val="24"/>
          <w:u w:val="single"/>
        </w:rPr>
        <w:t>MISCELLANEOUS PROVISIONS</w:t>
      </w:r>
    </w:p>
    <w:p>
      <w:pPr>
        <w:pStyle w:val="TextBody"/>
        <w:spacing w:lineRule="auto" w:line="288" w:before="0" w:after="240"/>
        <w:ind w:left="0" w:right="0" w:firstLine="720"/>
        <w:jc w:val="both"/>
        <w:rPr/>
      </w:pPr>
      <w:r>
        <w:rPr>
          <w:rFonts w:ascii="Times New Roman;sans-serif" w:hAnsi="Times New Roman;sans-serif"/>
          <w:b w:val="false"/>
          <w:color w:val="000000"/>
          <w:sz w:val="24"/>
        </w:rPr>
        <w:t>7.01    </w:t>
      </w:r>
      <w:r>
        <w:rPr>
          <w:rFonts w:ascii="Times New Roman;sans-serif" w:hAnsi="Times New Roman;sans-serif"/>
          <w:b/>
          <w:color w:val="000000"/>
          <w:sz w:val="24"/>
          <w:u w:val="single"/>
        </w:rPr>
        <w:t>Survival of Representations and Warranties</w:t>
      </w:r>
      <w:r>
        <w:rPr>
          <w:rFonts w:ascii="Times New Roman;sans-serif" w:hAnsi="Times New Roman;sans-serif"/>
          <w:b w:val="false"/>
          <w:color w:val="000000"/>
          <w:sz w:val="24"/>
        </w:rPr>
        <w:t>. All representations and warranties made in the Credit Agreement or the other Loan Documents, including, without limitation, any document furnished in connection with this Amendment, shall survive the execution and delivery of this Amendment and the other Loan Documents, and no investigation by Lender shall affect the representations and warranties or the right of Lender to rely upon them.</w:t>
      </w:r>
    </w:p>
    <w:p>
      <w:pPr>
        <w:pStyle w:val="TextBody"/>
        <w:spacing w:lineRule="auto" w:line="288" w:before="0" w:after="240"/>
        <w:ind w:left="0" w:right="0" w:firstLine="720"/>
        <w:jc w:val="both"/>
        <w:rPr/>
      </w:pPr>
      <w:r>
        <w:rPr>
          <w:rFonts w:ascii="Times New Roman;sans-serif" w:hAnsi="Times New Roman;sans-serif"/>
          <w:b w:val="false"/>
          <w:color w:val="000000"/>
          <w:sz w:val="24"/>
        </w:rPr>
        <w:t>7.02    </w:t>
      </w:r>
      <w:r>
        <w:rPr>
          <w:rFonts w:ascii="Times New Roman;sans-serif" w:hAnsi="Times New Roman;sans-serif"/>
          <w:b/>
          <w:color w:val="000000"/>
          <w:sz w:val="24"/>
          <w:u w:val="single"/>
        </w:rPr>
        <w:t>Reference to Credit Agreement</w:t>
      </w:r>
      <w:r>
        <w:rPr>
          <w:rFonts w:ascii="Times New Roman;sans-serif" w:hAnsi="Times New Roman;sans-serif"/>
          <w:b w:val="false"/>
          <w:color w:val="000000"/>
          <w:sz w:val="24"/>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pStyle w:val="TextBody"/>
        <w:spacing w:lineRule="auto" w:line="288" w:before="0" w:after="240"/>
        <w:ind w:left="0" w:right="0" w:firstLine="720"/>
        <w:jc w:val="both"/>
        <w:rPr/>
      </w:pPr>
      <w:r>
        <w:rPr>
          <w:rFonts w:ascii="Times New Roman;sans-serif" w:hAnsi="Times New Roman;sans-serif"/>
          <w:b w:val="false"/>
          <w:color w:val="000000"/>
          <w:sz w:val="24"/>
        </w:rPr>
        <w:t>7.03    </w:t>
      </w:r>
      <w:r>
        <w:rPr>
          <w:rFonts w:ascii="Times New Roman;sans-serif" w:hAnsi="Times New Roman;sans-serif"/>
          <w:b/>
          <w:color w:val="000000"/>
          <w:sz w:val="24"/>
          <w:u w:val="single"/>
        </w:rPr>
        <w:t>Expenses of Lender</w:t>
      </w:r>
      <w:r>
        <w:rPr>
          <w:rFonts w:ascii="Times New Roman;sans-serif" w:hAnsi="Times New Roman;sans-serif"/>
          <w:b w:val="false"/>
          <w:color w:val="000000"/>
          <w:sz w:val="24"/>
        </w:rPr>
        <w:t xml:space="preserve">. The Borrowers agree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75260"/>
                <wp:effectExtent l="0" t="0" r="0" b="0"/>
                <wp:wrapNone/>
                <wp:docPr id="62" name="Frame6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hereby, or any other Loan Documents, including, without, limitation, the costs and fees of Lender's legal counsel.</w:t>
      </w:r>
    </w:p>
    <w:p>
      <w:pPr>
        <w:pStyle w:val="TextBody"/>
        <w:spacing w:lineRule="auto" w:line="288" w:before="0" w:after="240"/>
        <w:ind w:left="0" w:right="0" w:firstLine="720"/>
        <w:jc w:val="both"/>
        <w:rPr/>
      </w:pPr>
      <w:r>
        <w:rPr>
          <w:rFonts w:ascii="Times New Roman;sans-serif" w:hAnsi="Times New Roman;sans-serif"/>
          <w:b w:val="false"/>
          <w:color w:val="000000"/>
          <w:sz w:val="24"/>
        </w:rPr>
        <w:t>7.04    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pStyle w:val="TextBody"/>
        <w:spacing w:lineRule="auto" w:line="288" w:before="0" w:after="240"/>
        <w:ind w:left="0" w:right="0" w:firstLine="720"/>
        <w:jc w:val="both"/>
        <w:rPr/>
      </w:pPr>
      <w:r>
        <w:rPr>
          <w:rFonts w:ascii="Times New Roman;sans-serif" w:hAnsi="Times New Roman;sans-serif"/>
          <w:b w:val="false"/>
          <w:color w:val="000000"/>
          <w:sz w:val="24"/>
        </w:rPr>
        <w:t>7.05    </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4"/>
        </w:rPr>
        <w:t>. This Amendment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pStyle w:val="TextBody"/>
        <w:spacing w:lineRule="auto" w:line="288" w:before="0" w:after="240"/>
        <w:ind w:left="0" w:right="0" w:firstLine="720"/>
        <w:jc w:val="both"/>
        <w:rPr/>
      </w:pPr>
      <w:r>
        <w:rPr>
          <w:rFonts w:ascii="Times New Roman;sans-serif" w:hAnsi="Times New Roman;sans-serif"/>
          <w:b w:val="false"/>
          <w:color w:val="000000"/>
          <w:sz w:val="24"/>
        </w:rPr>
        <w:t>7.06    </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Amendment may be executed in one or more counterparts (including by electronic .pdf), each of which when so executed shall be deemed to be an original, but all of which when taken together shall constitute one and the same instrument.</w:t>
      </w:r>
    </w:p>
    <w:p>
      <w:pPr>
        <w:pStyle w:val="TextBody"/>
        <w:spacing w:lineRule="auto" w:line="288" w:before="0" w:after="240"/>
        <w:ind w:left="0" w:right="0" w:firstLine="720"/>
        <w:jc w:val="both"/>
        <w:rPr/>
      </w:pPr>
      <w:r>
        <w:rPr>
          <w:rFonts w:ascii="Times New Roman;sans-serif" w:hAnsi="Times New Roman;sans-serif"/>
          <w:b w:val="false"/>
          <w:color w:val="000000"/>
          <w:sz w:val="24"/>
        </w:rPr>
        <w:t>7.07    </w:t>
      </w:r>
      <w:r>
        <w:rPr>
          <w:rFonts w:ascii="Times New Roman;sans-serif" w:hAnsi="Times New Roman;sans-serif"/>
          <w:b/>
          <w:color w:val="000000"/>
          <w:sz w:val="24"/>
          <w:u w:val="single"/>
        </w:rPr>
        <w:t>Effect of Waiver</w:t>
      </w:r>
      <w:r>
        <w:rPr>
          <w:rFonts w:ascii="Times New Roman;sans-serif" w:hAnsi="Times New Roman;sans-serif"/>
          <w:b w:val="false"/>
          <w:color w:val="000000"/>
          <w:sz w:val="24"/>
        </w:rPr>
        <w:t>. No consent or waiver, express or implied, by Lender to or for any breach of or deviation from any covenant or condition by any Loan Party shall be deemed a consent to or waiver of any other breach of the same or any other covenant, condition or duty.</w:t>
      </w:r>
    </w:p>
    <w:p>
      <w:pPr>
        <w:pStyle w:val="TextBody"/>
        <w:spacing w:lineRule="auto" w:line="288" w:before="0" w:after="240"/>
        <w:ind w:left="0" w:right="0" w:firstLine="720"/>
        <w:jc w:val="both"/>
        <w:rPr/>
      </w:pPr>
      <w:r>
        <w:rPr>
          <w:rFonts w:ascii="Times New Roman;sans-serif" w:hAnsi="Times New Roman;sans-serif"/>
          <w:b w:val="false"/>
          <w:color w:val="000000"/>
          <w:sz w:val="24"/>
        </w:rPr>
        <w:t>7.08    </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captions, and arrangements used in this Amendment are for convenience only and shall not affect the interpretation of this Amendment.</w:t>
      </w:r>
    </w:p>
    <w:p>
      <w:pPr>
        <w:pStyle w:val="TextBody"/>
        <w:spacing w:lineRule="auto" w:line="288" w:before="0" w:after="240"/>
        <w:ind w:left="0" w:right="0" w:firstLine="720"/>
        <w:jc w:val="both"/>
        <w:rPr/>
      </w:pPr>
      <w:r>
        <w:rPr>
          <w:rFonts w:ascii="Times New Roman;sans-serif" w:hAnsi="Times New Roman;sans-serif"/>
          <w:b w:val="false"/>
          <w:color w:val="000000"/>
          <w:sz w:val="24"/>
        </w:rPr>
        <w:t>7.09    </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THIS AMENDMENT AND ALL OTHER AGREEMENTS EXECUTED PURSUANT HERETO SHALL BE DEEMED TO HAVE BEEN MADE AND TO BE PERFORMABLE IN AND SHALL BE GOVERNED BY AND CONSTRUED IN ACCORDANCE WITH THE LAWS OF THE STATE OF TEXAS.</w:t>
      </w:r>
    </w:p>
    <w:p>
      <w:pPr>
        <w:pStyle w:val="TextBody"/>
        <w:spacing w:lineRule="auto" w:line="288" w:before="0" w:after="240"/>
        <w:ind w:left="0" w:right="0" w:firstLine="720"/>
        <w:jc w:val="both"/>
        <w:rPr/>
      </w:pPr>
      <w:r>
        <w:rPr>
          <w:rFonts w:ascii="Times New Roman;sans-serif" w:hAnsi="Times New Roman;sans-serif"/>
          <w:b w:val="false"/>
          <w:color w:val="000000"/>
          <w:sz w:val="24"/>
        </w:rPr>
        <w:t>7.10    </w:t>
      </w:r>
      <w:r>
        <w:rPr>
          <w:rFonts w:ascii="Times New Roman;sans-serif" w:hAnsi="Times New Roman;sans-serif"/>
          <w:b/>
          <w:color w:val="000000"/>
          <w:sz w:val="24"/>
          <w:u w:val="single"/>
        </w:rPr>
        <w:t>Final Agreement</w:t>
      </w:r>
      <w:r>
        <w:rPr>
          <w:rFonts w:ascii="Times New Roman;sans-serif" w:hAnsi="Times New Roman;sans-serif"/>
          <w:b w:val="false"/>
          <w:color w:val="000000"/>
          <w:sz w:val="24"/>
        </w:rPr>
        <w:t>. THE CREDIT AGREEMENT AND THE OTHER LOAN DOCUMENTS, EACH AS MODIFIED HEREBY, REPRESENT THE ENTIRE EXPRESSION OF THE PARTIES WITH RESPECT TO THE SUBJECT MATTER HEREOF ON THE DATE THIS AMENDMENT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AMENDMENT SHALL BE MADE, EXCEPT BY A WRITTEN AGREEMENT SIGNED BY THE BORROWERS AND LENDER.</w:t>
      </w:r>
    </w:p>
    <w:p>
      <w:pPr>
        <w:pStyle w:val="TextBody"/>
        <w:spacing w:lineRule="auto" w:line="288" w:before="0" w:after="240"/>
        <w:ind w:left="0" w:right="0" w:firstLine="720"/>
        <w:jc w:val="both"/>
        <w:rPr/>
      </w:pPr>
      <w:r>
        <w:rPr>
          <w:rFonts w:ascii="Times New Roman;sans-serif" w:hAnsi="Times New Roman;sans-serif"/>
          <w:b w:val="false"/>
          <w:color w:val="000000"/>
          <w:sz w:val="24"/>
        </w:rPr>
        <w:t>7.11    </w:t>
      </w:r>
      <w:r>
        <w:rPr>
          <w:rFonts w:ascii="Times New Roman;sans-serif" w:hAnsi="Times New Roman;sans-serif"/>
          <w:b/>
          <w:color w:val="000000"/>
          <w:sz w:val="24"/>
          <w:u w:val="single"/>
        </w:rPr>
        <w:t>Release</w:t>
      </w:r>
      <w:r>
        <w:rPr>
          <w:rFonts w:ascii="Times New Roman;sans-serif" w:hAnsi="Times New Roman;sans-serif"/>
          <w:b w:val="false"/>
          <w:color w:val="000000"/>
          <w:sz w:val="24"/>
        </w:rPr>
        <w:t xml:space="preserve">.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75260"/>
                <wp:effectExtent l="0" t="0" r="0" b="0"/>
                <wp:wrapNone/>
                <wp:docPr id="63" name="Frame6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AMENDMENT IS EXECUTED, WHICH 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AMENDMENT.</w:t>
      </w:r>
    </w:p>
    <w:p>
      <w:pPr>
        <w:pStyle w:val="TextBody"/>
        <w:spacing w:lineRule="auto" w:line="288" w:before="0" w:after="240"/>
        <w:ind w:left="0" w:right="0" w:firstLine="720"/>
        <w:jc w:val="both"/>
        <w:rPr/>
      </w:pPr>
      <w:r>
        <w:rPr>
          <w:rFonts w:ascii="Times New Roman;sans-serif" w:hAnsi="Times New Roman;sans-serif"/>
          <w:b w:val="false"/>
          <w:color w:val="000000"/>
          <w:sz w:val="24"/>
        </w:rPr>
        <w:t>7.12    </w:t>
      </w:r>
      <w:r>
        <w:rPr>
          <w:rFonts w:ascii="Times New Roman;sans-serif" w:hAnsi="Times New Roman;sans-serif"/>
          <w:b/>
          <w:color w:val="000000"/>
          <w:sz w:val="24"/>
          <w:u w:val="single"/>
        </w:rPr>
        <w:t>Consent of Guarantors</w:t>
      </w:r>
      <w:r>
        <w:rPr>
          <w:rFonts w:ascii="Times New Roman;sans-serif" w:hAnsi="Times New Roman;sans-serif"/>
          <w:b w:val="false"/>
          <w:color w:val="000000"/>
          <w:sz w:val="24"/>
        </w:rPr>
        <w:t>. The Administrative Borrower, on behalf of each Guarantor, hereby (a) consents to the transactions contemplated by this Amendment, including the Acquisition;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Lender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pStyle w:val="TextBody"/>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75260"/>
                <wp:effectExtent l="0" t="0" r="0" b="0"/>
                <wp:wrapNone/>
                <wp:docPr id="64" name="Frame6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Amendment as of the date first above written.</w:t>
      </w:r>
    </w:p>
    <w:tbl>
      <w:tblPr>
        <w:tblW w:w="8052" w:type="dxa"/>
        <w:jc w:val="left"/>
        <w:tblInd w:w="0" w:type="dxa"/>
        <w:tblCellMar>
          <w:top w:w="28" w:type="dxa"/>
          <w:left w:w="28" w:type="dxa"/>
          <w:bottom w:w="28" w:type="dxa"/>
          <w:right w:w="28" w:type="dxa"/>
        </w:tblCellMar>
      </w:tblPr>
      <w:tblGrid>
        <w:gridCol w:w="124"/>
        <w:gridCol w:w="109"/>
        <w:gridCol w:w="109"/>
        <w:gridCol w:w="2259"/>
        <w:gridCol w:w="2259"/>
        <w:gridCol w:w="31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31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4"/>
                <w:u w:val="single"/>
              </w:rPr>
              <w:t>ADMINISTRATIVE BORROWER</w:t>
            </w:r>
            <w:r>
              <w:rPr>
                <w:rFonts w:ascii="Times New Roman;sans-serif" w:hAnsi="Times New Roman;sans-serif"/>
                <w:b/>
                <w:color w:val="000000"/>
                <w:sz w:val="24"/>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IES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CFO &amp; Treasurer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NEW 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BAYONET PLUMBING, HEATING AND AIR-CONDITIONING,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CFO &amp; Treasurer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16840"/>
                <wp:effectExtent l="0" t="0" r="0" b="0"/>
                <wp:wrapNone/>
                <wp:docPr id="65" name="Frame64"/>
                <a:graphic xmlns:a="http://schemas.openxmlformats.org/drawingml/2006/main">
                  <a:graphicData uri="http://schemas.microsoft.com/office/word/2010/wordprocessingShape">
                    <wps:wsp>
                      <wps:cNvSpPr txBox="1"/>
                      <wps:spPr>
                        <a:xfrm>
                          <a:off x="0" y="0"/>
                          <a:ext cx="6692265" cy="1168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Joinder, Limited Consent, and Sixth Amendment to Second Amended and Restated Credit and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Joinder, Limited Consent, and Sixth Amendment to Second Amended and Restated Credit and Security Agreement</w:t>
                      </w:r>
                    </w:p>
                  </w:txbxContent>
                </v:textbox>
              </v:rect>
            </w:pict>
          </mc:Fallback>
        </mc:AlternateContent>
      </w:r>
    </w:p>
    <w:p>
      <w:pPr>
        <w:pStyle w:val="TextBody"/>
        <w:spacing w:before="0" w:after="0"/>
        <w:rPr/>
      </w:pPr>
      <w:r>
        <w:rPr/>
      </w:r>
    </w:p>
    <w:tbl>
      <w:tblPr>
        <w:tblW w:w="6252" w:type="dxa"/>
        <w:jc w:val="left"/>
        <w:tblInd w:w="0" w:type="dxa"/>
        <w:tblCellMar>
          <w:top w:w="28" w:type="dxa"/>
          <w:left w:w="28" w:type="dxa"/>
          <w:bottom w:w="28" w:type="dxa"/>
          <w:right w:w="28" w:type="dxa"/>
        </w:tblCellMar>
      </w:tblPr>
      <w:tblGrid>
        <w:gridCol w:w="124"/>
        <w:gridCol w:w="109"/>
        <w:gridCol w:w="109"/>
        <w:gridCol w:w="1729"/>
        <w:gridCol w:w="1729"/>
        <w:gridCol w:w="24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0"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WELLS FARGO BANK, NATIONAL ASSOCIATION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Michael Gerard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Michael Gerard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spacing w:before="0" w:after="120"/>
        <w:rPr/>
      </w:pPr>
      <w:r>
        <w:rPr/>
      </w:r>
    </w:p>
    <w:p>
      <w:pPr>
        <w:pStyle w:val="TextBody"/>
        <w:spacing w:before="0" w:after="1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16840"/>
                <wp:effectExtent l="0" t="0" r="0" b="0"/>
                <wp:wrapNone/>
                <wp:docPr id="66" name="Frame65"/>
                <a:graphic xmlns:a="http://schemas.openxmlformats.org/drawingml/2006/main">
                  <a:graphicData uri="http://schemas.microsoft.com/office/word/2010/wordprocessingShape">
                    <wps:wsp>
                      <wps:cNvSpPr txBox="1"/>
                      <wps:spPr>
                        <a:xfrm>
                          <a:off x="0" y="0"/>
                          <a:ext cx="6692265" cy="1168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Joinder, Limited Consent, and Sixth Amendment to Second Amended and Restated Credit and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Joinder, Limited Consent, and Sixth Amendment to Second Amended and Restated Credit and Security Agreement</w:t>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Purchase Agreement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75260"/>
                <wp:effectExtent l="0" t="0" r="0" b="0"/>
                <wp:wrapNone/>
                <wp:docPr id="67" name="Frame6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Checklist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75260"/>
                <wp:effectExtent l="0" t="0" r="0" b="0"/>
                <wp:wrapNone/>
                <wp:docPr id="68" name="Frame6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Post-Closing Obligations</w:t>
      </w:r>
    </w:p>
    <w:p>
      <w:pPr>
        <w:pStyle w:val="TextBody"/>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1.Within 15 days following the date hereof (or such later date as Lender may agree in its sole discretion), Administrative Borrower shall deliver to Lender a fully executed copy of a collateral assignment of representations and warranties insurance signed by the CFC Underwriting LLC, IES Residential, Inc., and Lender, and a bound copy of the "R&amp;W Insurance Policy" (as defined in the Purchase Agreement) and the related declarations, in each case in form and substance satisfactory to Lender. </w:t>
      </w:r>
    </w:p>
    <w:p>
      <w:pPr>
        <w:pStyle w:val="TextBody"/>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2.Within 180 days following the date hereof (or such later date as Lender may agree in its sole discretion), Administrative Borrower shall deliver to Lender evidence, in form and substance satisfactory to Lender, that New Borrower's Deposit Accounts have been transferred to Wells Fargo Bank, National Association or one of its affiliates. </w:t>
      </w:r>
    </w:p>
    <w:p>
      <w:pPr>
        <w:pStyle w:val="TextBody"/>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3.Immediately following written confirmation from Lender that the condition set forth in Section 4.01(g) has been satisfied, Administrative Borrower shall deliver to Lender fully executed copies of the below listed documents (each in form and substance satisfactory to Lender):</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a Pledged Interest Addendum duly executed by IES Residential, together with the certificates representing the Pledged Interests for New Borrower (if any) and such other items required pursuant to </w:t>
      </w:r>
      <w:r>
        <w:rPr>
          <w:rFonts w:ascii="Times New Roman;sans-serif" w:hAnsi="Times New Roman;sans-serif"/>
          <w:b w:val="false"/>
          <w:color w:val="000000"/>
          <w:sz w:val="24"/>
          <w:u w:val="single"/>
        </w:rPr>
        <w:t>Section 5.26(d)</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to the Credit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 Joinder to the Intercompany Subordination Agreement executed by New Borrower;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 Information Certificate Supplement (or confirmation that no changes are necessary from the Information Certificate Supplemented delivered on the date of this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updated certificates of insurance, reflecting the addition of New Borrower and its location(s), with respect to (i) property and casualty and business interruption insurance policies, showing Lender as certificate holder and loss payee, with lender's loss payable clause in favor of Lender, and (ii) liability and other third party policies, showing Lender as certificate holder and additional insured party (each in form and substance satisfactory to Lender);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a certificate from the appropriate manager or officer of New Borrower, IES Residential, and Administrative Borrower (i) attesting to the resolutions of New Borrower's sole shareholder, IES Residential's Member, and Administrative Borrower's Board of Directors authorizing the execution, delivery, and performance of this Agreement and the other Loan Documents to which New Borrower, IES Residential, or Administrative Borrower are a party, (ii) authorizing specific officers of New Borrower, IES Residential, and Administrative Borrower to execute the same, (iii) attesting to the incumbency and signatures of such specific officers of New Borrower, IES Residential, and Administrative Borrower, (iv) representing and warranting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75260"/>
                <wp:effectExtent l="0" t="0" r="0" b="0"/>
                <wp:wrapNone/>
                <wp:docPr id="69" name="Frame6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that New Borrower's, IES Residential 's, and Administrative Borrower 's Governing Documents attached thereto are true, correct and complete as of the date thereof, and (v) attesting to a certificate of status with respect to New Borrower, IES Residential, and Administrative Borrower, dated within 30 days of the date of the certificate, such certificates to be issued by the appropriate officer of the jurisdiction of organization of IES Residential and Administrative Borrower, which certificates shall indicate that IES Residential and Administrative Borrower are in good standing in such jurisdiction; and</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(f)    all other documents Lender may reasonably request with respect to any matter relevant to this Agreement or the transactions contemplated hereby, including, without limitation, the "Joinder Documents" set forth on the Closing Checklist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xml:space="preserve">, and a legal opinion of Administrative Borrower's counsel, and Borrowers shall have paid Lender, or made arrangements satisfactory to Lender to pay, all Lender Expenses incurred prior to or in connection with the preparation of the Agreement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16840"/>
                <wp:effectExtent l="0" t="0" r="0" b="0"/>
                <wp:wrapNone/>
                <wp:docPr id="70" name="Frame69"/>
                <a:graphic xmlns:a="http://schemas.openxmlformats.org/drawingml/2006/main">
                  <a:graphicData uri="http://schemas.microsoft.com/office/word/2010/wordprocessingShape">
                    <wps:wsp>
                      <wps:cNvSpPr txBox="1"/>
                      <wps:spPr>
                        <a:xfrm>
                          <a:off x="0" y="0"/>
                          <a:ext cx="6692265" cy="1168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Joinder, Limited Consent, and Sixth Amendment to Second Amended and Restated Credit and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Joinder, Limited Consent, and Sixth Amendment to Second Amended and Restated Credit and Security Agreement</w:t>
                      </w:r>
                    </w:p>
                  </w:txbxContent>
                </v:textbox>
              </v:rect>
            </w:pict>
          </mc:Fallback>
        </mc:AlternateContent>
      </w:r>
    </w:p>
    <w:p>
      <w:pPr>
        <w:pStyle w:val="TextBody"/>
        <w:spacing w:lineRule="auto" w:line="288" w:before="0" w:after="24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SEVENTH AMENDMENT TO SECOND AMENDED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AND RESTATED CREDIT AND SECURITY AGREEMENT</w:t>
      </w:r>
    </w:p>
    <w:p>
      <w:pPr>
        <w:pStyle w:val="TextBody"/>
        <w:spacing w:before="0" w:after="0"/>
        <w:rPr/>
      </w:pPr>
      <w:r>
        <w:rPr/>
      </w:r>
    </w:p>
    <w:p>
      <w:pPr>
        <w:pStyle w:val="TextBody"/>
        <w:spacing w:lineRule="auto" w:line="288" w:before="0" w:after="240"/>
        <w:ind w:left="0" w:right="0" w:firstLine="720"/>
        <w:jc w:val="both"/>
        <w:rPr/>
      </w:pPr>
      <w:r>
        <w:rPr>
          <w:rFonts w:ascii="Times New Roman;sans-serif" w:hAnsi="Times New Roman;sans-serif"/>
          <w:b w:val="false"/>
          <w:color w:val="000000"/>
          <w:sz w:val="24"/>
        </w:rPr>
        <w:t>THIS SEVENTH AMENDMENT TO SECOND AMENDED AND RESTATED CREDIT AND SECURITY AGREEMENT (this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dated March 15, 2021 and effective retroactive to December 21, 2020, is made and entered into by and among </w:t>
      </w:r>
      <w:r>
        <w:rPr>
          <w:rFonts w:ascii="Times New Roman;sans-serif" w:hAnsi="Times New Roman;sans-serif"/>
          <w:b/>
          <w:color w:val="000000"/>
          <w:sz w:val="24"/>
        </w:rPr>
        <w:t>IES HOLDINGS, INC.</w:t>
      </w:r>
      <w:r>
        <w:rPr>
          <w:rFonts w:ascii="Times New Roman;sans-serif" w:hAnsi="Times New Roman;sans-serif"/>
          <w:b w:val="false"/>
          <w:color w:val="000000"/>
          <w:sz w:val="24"/>
        </w:rPr>
        <w:t>, a Delaware corporation, on behalf of itself and each other Borrower and Guarantor (the "</w:t>
      </w:r>
      <w:r>
        <w:rPr>
          <w:rFonts w:ascii="Times New Roman;sans-serif" w:hAnsi="Times New Roman;sans-serif"/>
          <w:b w:val="false"/>
          <w:color w:val="000000"/>
          <w:sz w:val="24"/>
          <w:u w:val="single"/>
        </w:rPr>
        <w:t>Administrative Borrower</w:t>
      </w:r>
      <w:r>
        <w:rPr>
          <w:rFonts w:ascii="Times New Roman;sans-serif" w:hAnsi="Times New Roman;sans-serif"/>
          <w:b w:val="false"/>
          <w:color w:val="000000"/>
          <w:sz w:val="24"/>
        </w:rPr>
        <w:t xml:space="preserve">"), and </w:t>
      </w:r>
      <w:r>
        <w:rPr>
          <w:rFonts w:ascii="Times New Roman;sans-serif" w:hAnsi="Times New Roman;sans-serif"/>
          <w:b/>
          <w:color w:val="000000"/>
          <w:sz w:val="24"/>
        </w:rPr>
        <w:t>WELLS FARGO BANK, NATIONAL ASSOCIATION</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Lender</w:t>
      </w:r>
      <w:r>
        <w:rPr>
          <w:rFonts w:ascii="Times New Roman;sans-serif" w:hAnsi="Times New Roman;sans-serif"/>
          <w:b w:val="false"/>
          <w:color w:val="000000"/>
          <w:sz w:val="24"/>
        </w:rPr>
        <w:t xml:space="preserve">"). </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WHEREAS, Borrowers, Guarantors and Lender have entered into that certain Second Amended and Restated Credit and Security Agreement dated as of April 10, 2017 (as amended, restated, supplemented or otherwise modified from time to time, the "</w:t>
      </w:r>
      <w:r>
        <w:rPr>
          <w:rFonts w:ascii="Times New Roman;sans-serif" w:hAnsi="Times New Roman;sans-serif"/>
          <w:b w:val="false"/>
          <w:color w:val="000000"/>
          <w:sz w:val="24"/>
          <w:u w:val="single"/>
        </w:rPr>
        <w:t>Credit Agreement</w:t>
      </w:r>
      <w:r>
        <w:rPr>
          <w:rFonts w:ascii="Times New Roman;sans-serif" w:hAnsi="Times New Roman;sans-serif"/>
          <w:b w:val="false"/>
          <w:color w:val="000000"/>
          <w:sz w:val="24"/>
        </w:rPr>
        <w:t>"). Capitalized terms used but not otherwise defined herein shall have the meanings ascribed to them in the Credit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WHEREAS, Administrative Borrower, on behalf of itself and each other Borrower and Guarantor, has requested that Lender amend certain provisions in the Credit Agreement as set forth herein.</w:t>
      </w:r>
    </w:p>
    <w:p>
      <w:pPr>
        <w:pStyle w:val="TextBody"/>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WHEREAS, Lender has agreed to amend the Credit Agreement on the terms and conditions as set forth herein.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w:t>
      </w:r>
    </w:p>
    <w:p>
      <w:pPr>
        <w:pStyle w:val="TextBody"/>
        <w:spacing w:before="0" w:after="0"/>
        <w:jc w:val="center"/>
        <w:rPr/>
      </w:pPr>
      <w:r>
        <w:rPr/>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the Effective Date (as defined below), the Credit Agreement is hereby amended and supplemented as follows:</w:t>
      </w:r>
    </w:p>
    <w:p>
      <w:pPr>
        <w:pStyle w:val="TextBody"/>
        <w:spacing w:lineRule="auto" w:line="288" w:before="0" w:after="240"/>
        <w:ind w:left="0" w:right="0" w:firstLine="72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Amendment to Schedule 1.1</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(a)    The defined term "</w:t>
      </w:r>
      <w:r>
        <w:rPr>
          <w:rFonts w:ascii="Times New Roman;sans-serif" w:hAnsi="Times New Roman;sans-serif"/>
          <w:b w:val="false"/>
          <w:color w:val="000000"/>
          <w:sz w:val="24"/>
          <w:u w:val="single"/>
        </w:rPr>
        <w:t>Restricted Junior Payment</w:t>
      </w:r>
      <w:r>
        <w:rPr>
          <w:rFonts w:ascii="Times New Roman;sans-serif" w:hAnsi="Times New Roman;sans-serif"/>
          <w:b w:val="false"/>
          <w:color w:val="000000"/>
          <w:sz w:val="24"/>
        </w:rPr>
        <w:t>" in Schedule 1.1 of the Credit Agreement is hereby amended and restated as follows:</w:t>
      </w:r>
    </w:p>
    <w:p>
      <w:pPr>
        <w:pStyle w:val="TextBody"/>
        <w:spacing w:lineRule="auto" w:line="288"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Restricted Junior Payment</w:t>
      </w:r>
      <w:r>
        <w:rPr>
          <w:rFonts w:ascii="Times New Roman;sans-serif" w:hAnsi="Times New Roman;sans-serif"/>
          <w:b w:val="false"/>
          <w:color w:val="000000"/>
          <w:sz w:val="24"/>
        </w:rPr>
        <w:t xml:space="preserve">" means (a) any declaration or payment of any dividend or the making of any other payment or distribution on account of Stock issued by any Loan Party (including any payment in connection with any merger or consolidation involving any Loan Party) or to the direct or indirect holders of Stock issued by any Loan Party in their capacity as such (other than dividends or distributions payable in Stock (other than Prohibited Preferred Stock) issued by </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16840"/>
                <wp:effectExtent l="0" t="0" r="0" b="0"/>
                <wp:wrapNone/>
                <wp:docPr id="71" name="Frame70"/>
                <a:graphic xmlns:a="http://schemas.openxmlformats.org/drawingml/2006/main">
                  <a:graphicData uri="http://schemas.microsoft.com/office/word/2010/wordprocessingShape">
                    <wps:wsp>
                      <wps:cNvSpPr txBox="1"/>
                      <wps:spPr>
                        <a:xfrm>
                          <a:off x="0" y="0"/>
                          <a:ext cx="6692265" cy="1168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12392930v3 3/15/2021 4:27 PM                                        1989.520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12392930v3 3/15/2021 4:27 PM                                        1989.520</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Loan Party), or (b) any purchase, redemption, or other acquisition or retirement for value (including in connection with any merger or consolidation involving any Loan Party) of any Stock issued by any Loan Party; provided so long as no Default or Event of Default exists or would result therefrom, (i) repurchases of Stock issued by Parent solely to satisfy federal income tax withholding obligations of employees with respect to stock-based compensation issued to them in accordance with applicable compensation plans shall not be deemed a Restricted Junior Payment so long as such repurchases are made in the ordinary course of business and in an aggregate amount not to exceed $10,000,000 in any fiscal year of Borrowers, (ii) NEXT may make distributions of excess cash to the direct or indirect holders of Stock issued by NEXT in an amount proportionate to such holders ownership interest in the Stock issued by NEXT, (iii) NEXT may make distributions to certain equity owners thereof with respect to an exercise of any such equity owner's put rights pursuant to Section 10.3 of that certain Operating Agreement of NEXT dated as of July 14, 2017, among NEXT and the equity owners of NEXT as in effect as of such date, (iv) on or after March 15, 2021, Parent may repurchase shares of Stock issued by Parent for an aggregate purchase price not to exceed $25,000,000, in the aggregate, (v) Bayonet may make distributions of excess cash to the direct or indirect holders of Stock issued by Bayonet in an amount proportionate to such holders ownership interest in the Stock issued by Bayonet, and (vi) Bayonet may make distributions to certain equity owners thereof with respect to an exercise of any such equity owner's put rights pursuant to Section 10.3 of that certain Operating Agreement of Bayonet dated as of December 21, 2020, among Bayonet and the equity owners of Bayonet as in effect as of such date. </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spacing w:lineRule="auto" w:line="288" w:before="0" w:after="0"/>
        <w:jc w:val="center"/>
        <w:rPr/>
      </w:pPr>
      <w:r>
        <w:rPr>
          <w:rFonts w:ascii="Times New Roman;sans-serif" w:hAnsi="Times New Roman;sans-serif"/>
          <w:b/>
          <w:color w:val="000000"/>
          <w:sz w:val="24"/>
        </w:rPr>
        <w:t>[</w:t>
      </w:r>
      <w:r>
        <w:rPr>
          <w:rFonts w:ascii="Times New Roman;sans-serif" w:hAnsi="Times New Roman;sans-serif"/>
          <w:b/>
          <w:color w:val="000000"/>
          <w:sz w:val="24"/>
          <w:u w:val="single"/>
        </w:rPr>
        <w:t>Reserved</w:t>
      </w:r>
      <w:r>
        <w:rPr>
          <w:rFonts w:ascii="Times New Roman;sans-serif" w:hAnsi="Times New Roman;sans-serif"/>
          <w:b/>
          <w:color w:val="000000"/>
          <w:sz w:val="24"/>
        </w:rPr>
        <w:t>]</w:t>
      </w:r>
    </w:p>
    <w:p>
      <w:pPr>
        <w:pStyle w:val="TextBody"/>
        <w:spacing w:before="0" w:after="0"/>
        <w:jc w:val="center"/>
        <w:rPr/>
      </w:pPr>
      <w:r>
        <w:rPr/>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 xml:space="preserve">ARTICLE III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 WAIVER</w:t>
      </w:r>
    </w:p>
    <w:p>
      <w:pPr>
        <w:pStyle w:val="TextBody"/>
        <w:spacing w:before="0" w:after="0"/>
        <w:jc w:val="center"/>
        <w:rPr/>
      </w:pPr>
      <w:r>
        <w:rPr/>
      </w:r>
    </w:p>
    <w:p>
      <w:pPr>
        <w:pStyle w:val="TextBody"/>
        <w:spacing w:lineRule="auto" w:line="288" w:before="0" w:after="240"/>
        <w:ind w:left="0" w:right="0" w:firstLine="720"/>
        <w:jc w:val="both"/>
        <w:rPr/>
      </w:pPr>
      <w:r>
        <w:rPr>
          <w:rFonts w:ascii="Times New Roman;sans-serif" w:hAnsi="Times New Roman;sans-serif"/>
          <w:b/>
          <w:color w:val="000000"/>
          <w:sz w:val="24"/>
        </w:rPr>
        <w:t>3.01    </w:t>
      </w:r>
      <w:r>
        <w:rPr>
          <w:rFonts w:ascii="Times New Roman;sans-serif" w:hAnsi="Times New Roman;sans-serif"/>
          <w:b/>
          <w:color w:val="000000"/>
          <w:sz w:val="24"/>
          <w:u w:val="single"/>
        </w:rPr>
        <w:t>No Waiver</w:t>
      </w:r>
      <w:r>
        <w:rPr>
          <w:rFonts w:ascii="Times New Roman;sans-serif" w:hAnsi="Times New Roman;sans-serif"/>
          <w:b w:val="false"/>
          <w:color w:val="000000"/>
          <w:sz w:val="24"/>
        </w:rPr>
        <w:t xml:space="preserve">. This Amendment is a limited consent and other than as set forth above in </w:t>
      </w:r>
      <w:r>
        <w:rPr>
          <w:rFonts w:ascii="Times New Roman;sans-serif" w:hAnsi="Times New Roman;sans-serif"/>
          <w:b w:val="false"/>
          <w:color w:val="000000"/>
          <w:sz w:val="24"/>
          <w:u w:val="single"/>
        </w:rPr>
        <w:t>Article I</w:t>
      </w:r>
      <w:r>
        <w:rPr>
          <w:color w:val="000000"/>
        </w:rPr>
        <w:t xml:space="preserve"> </w:t>
      </w:r>
      <w:r>
        <w:rPr>
          <w:rFonts w:ascii="Times New Roman;sans-serif" w:hAnsi="Times New Roman;sans-serif"/>
          <w:b w:val="false"/>
          <w:color w:val="000000"/>
          <w:sz w:val="24"/>
        </w:rPr>
        <w:t>hereof, nothing contained in this Amendment shall be construed as an amendment of, consent to, or waiver by, Lender of any covenant or provision of the Credit Agreement, the other Loan Documents, this Amendment,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Amendment and any other contract or instrument between any Loan Party and Lender.</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CONDITIONS PRECEDENT</w:t>
      </w:r>
    </w:p>
    <w:p>
      <w:pPr>
        <w:pStyle w:val="TextBody"/>
        <w:spacing w:before="0" w:after="0"/>
        <w:jc w:val="center"/>
        <w:rPr/>
      </w:pPr>
      <w:r>
        <w:rPr/>
      </w:r>
    </w:p>
    <w:p>
      <w:pPr>
        <w:pStyle w:val="TextBody"/>
        <w:spacing w:lineRule="auto" w:line="288" w:before="0" w:after="240"/>
        <w:ind w:left="0" w:right="0" w:firstLine="720"/>
        <w:jc w:val="both"/>
        <w:rPr/>
      </w:pPr>
      <w:r>
        <w:rPr>
          <w:rFonts w:ascii="Times New Roman;sans-serif" w:hAnsi="Times New Roman;sans-serif"/>
          <w:b/>
          <w:color w:val="000000"/>
          <w:sz w:val="24"/>
        </w:rPr>
        <w:t>4.01    </w:t>
      </w:r>
      <w:r>
        <w:rPr>
          <w:rFonts w:ascii="Times New Roman;sans-serif" w:hAnsi="Times New Roman;sans-serif"/>
          <w:b/>
          <w:color w:val="000000"/>
          <w:sz w:val="24"/>
          <w:u w:val="single"/>
        </w:rPr>
        <w:t>Conditions to Effectiveness</w:t>
      </w:r>
      <w:r>
        <w:rPr>
          <w:rFonts w:ascii="Times New Roman;sans-serif" w:hAnsi="Times New Roman;sans-serif"/>
          <w:b w:val="false"/>
          <w:color w:val="000000"/>
          <w:sz w:val="24"/>
        </w:rPr>
        <w:t xml:space="preserve">. This Amendment shall become effective only upon the satisfaction in full, in a manner satisfactory to Lender, of the following conditions precedent </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75260"/>
                <wp:effectExtent l="0" t="0" r="0" b="0"/>
                <wp:wrapNone/>
                <wp:docPr id="72" name="Frame7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(the first date upon which all such conditions have been satisfied being herein called the "</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Lender shall have received a fully executed copy of this Amendment in form and substance acceptable to Lender.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After giving effect to this Amendment,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After giving effect to this Amendment, each Loan Party is in compliance with all applicable covenants and agreements contained in the Credit Agreement and the other Loan Documents.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No Default or Event of Default shall exist under any of the Loan Documents (as amended hereby), and no Default or Event of Default will result under any of the Loan Documents from the execution, delivery or performance of this Amendment. </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RATIFICATIONS, REPRESENTATIONS AND WARRANTIES</w:t>
      </w:r>
    </w:p>
    <w:p>
      <w:pPr>
        <w:pStyle w:val="TextBody"/>
        <w:spacing w:before="0" w:after="0"/>
        <w:jc w:val="center"/>
        <w:rPr/>
      </w:pPr>
      <w:r>
        <w:rPr/>
      </w:r>
    </w:p>
    <w:p>
      <w:pPr>
        <w:pStyle w:val="TextBody"/>
        <w:spacing w:lineRule="auto" w:line="288" w:before="0" w:after="240"/>
        <w:ind w:left="0" w:right="0" w:firstLine="720"/>
        <w:jc w:val="both"/>
        <w:rPr/>
      </w:pPr>
      <w:r>
        <w:rPr>
          <w:rFonts w:ascii="Times New Roman;sans-serif" w:hAnsi="Times New Roman;sans-serif"/>
          <w:b/>
          <w:color w:val="000000"/>
          <w:sz w:val="24"/>
        </w:rPr>
        <w:t>5.01    </w:t>
      </w:r>
      <w:r>
        <w:rPr>
          <w:rFonts w:ascii="Times New Roman;sans-serif" w:hAnsi="Times New Roman;sans-serif"/>
          <w:b/>
          <w:color w:val="000000"/>
          <w:sz w:val="24"/>
          <w:u w:val="single"/>
        </w:rPr>
        <w:t>Ratifications</w:t>
      </w:r>
      <w:r>
        <w:rPr>
          <w:rFonts w:ascii="Times New Roman;sans-serif" w:hAnsi="Times New Roman;sans-serif"/>
          <w:b w:val="false"/>
          <w:color w:val="000000"/>
          <w:sz w:val="24"/>
        </w:rPr>
        <w:t>.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pStyle w:val="TextBody"/>
        <w:spacing w:lineRule="auto" w:line="288" w:before="0" w:after="240"/>
        <w:ind w:left="0" w:right="0" w:firstLine="720"/>
        <w:jc w:val="both"/>
        <w:rPr/>
      </w:pPr>
      <w:r>
        <w:rPr>
          <w:rFonts w:ascii="Times New Roman;sans-serif" w:hAnsi="Times New Roman;sans-serif"/>
          <w:b/>
          <w:color w:val="000000"/>
          <w:sz w:val="24"/>
        </w:rPr>
        <w:t>5.02    </w:t>
      </w:r>
      <w:r>
        <w:rPr>
          <w:rFonts w:ascii="Times New Roman;sans-serif" w:hAnsi="Times New Roman;sans-serif"/>
          <w:b/>
          <w:color w:val="000000"/>
          <w:sz w:val="24"/>
          <w:u w:val="single"/>
        </w:rPr>
        <w:t>Representations and Warranties</w:t>
      </w:r>
      <w:r>
        <w:rPr>
          <w:rFonts w:ascii="Times New Roman;sans-serif" w:hAnsi="Times New Roman;sans-serif"/>
          <w:b w:val="false"/>
          <w:color w:val="000000"/>
          <w:sz w:val="24"/>
        </w:rPr>
        <w:t xml:space="preserve">.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Amendment,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Amendment,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75260"/>
                <wp:effectExtent l="0" t="0" r="0" b="0"/>
                <wp:wrapNone/>
                <wp:docPr id="73" name="Frame7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Amendment, the Credit Agreement and all other Loan Documents executed and/or delivered in connection herewith have been duly executed and delivered by it; (e) this Amendment, the Credit Agreement and all other Loan Documents executed and/or delivered in connection herewith constitute its legal, valid and binding obligation enforceable against it in accordance 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Amendment; (g) each Loan Party is in compliance with all applicable covenants and agreements contained in the Credit Agreement and the other Loan Documents, as amended hereby; and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spacing w:lineRule="auto" w:line="288" w:before="0" w:after="0"/>
        <w:jc w:val="center"/>
        <w:rPr/>
      </w:pPr>
      <w:r>
        <w:rPr>
          <w:rFonts w:ascii="Times New Roman;sans-serif" w:hAnsi="Times New Roman;sans-serif"/>
          <w:b/>
          <w:color w:val="000000"/>
          <w:sz w:val="24"/>
        </w:rPr>
        <w:t>[</w:t>
      </w:r>
      <w:r>
        <w:rPr>
          <w:rFonts w:ascii="Times New Roman;sans-serif" w:hAnsi="Times New Roman;sans-serif"/>
          <w:b/>
          <w:color w:val="000000"/>
          <w:sz w:val="24"/>
          <w:u w:val="single"/>
        </w:rPr>
        <w:t>Reserved</w:t>
      </w:r>
      <w:r>
        <w:rPr>
          <w:rFonts w:ascii="Times New Roman;sans-serif" w:hAnsi="Times New Roman;sans-serif"/>
          <w:b/>
          <w:color w:val="000000"/>
          <w:sz w:val="24"/>
        </w:rPr>
        <w:t>]</w:t>
      </w:r>
    </w:p>
    <w:p>
      <w:pPr>
        <w:pStyle w:val="TextBody"/>
        <w:spacing w:before="0" w:after="0"/>
        <w:jc w:val="center"/>
        <w:rPr/>
      </w:pPr>
      <w:r>
        <w:rPr/>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MISCELLANEOUS PROVISIONS</w:t>
      </w:r>
    </w:p>
    <w:p>
      <w:pPr>
        <w:pStyle w:val="TextBody"/>
        <w:spacing w:before="0" w:after="0"/>
        <w:jc w:val="center"/>
        <w:rPr/>
      </w:pPr>
      <w:r>
        <w:rPr/>
      </w:r>
    </w:p>
    <w:p>
      <w:pPr>
        <w:pStyle w:val="TextBody"/>
        <w:spacing w:lineRule="auto" w:line="288" w:before="0" w:after="240"/>
        <w:ind w:left="0" w:right="0" w:firstLine="720"/>
        <w:jc w:val="both"/>
        <w:rPr/>
      </w:pPr>
      <w:r>
        <w:rPr>
          <w:rFonts w:ascii="Times New Roman;sans-serif" w:hAnsi="Times New Roman;sans-serif"/>
          <w:b/>
          <w:color w:val="000000"/>
          <w:sz w:val="24"/>
        </w:rPr>
        <w:t>7.01    </w:t>
      </w:r>
      <w:r>
        <w:rPr>
          <w:rFonts w:ascii="Times New Roman;sans-serif" w:hAnsi="Times New Roman;sans-serif"/>
          <w:b/>
          <w:color w:val="000000"/>
          <w:sz w:val="24"/>
          <w:u w:val="single"/>
        </w:rPr>
        <w:t>Survival of Representations and Warranties</w:t>
      </w:r>
      <w:r>
        <w:rPr>
          <w:rFonts w:ascii="Times New Roman;sans-serif" w:hAnsi="Times New Roman;sans-serif"/>
          <w:b w:val="false"/>
          <w:color w:val="000000"/>
          <w:sz w:val="24"/>
        </w:rPr>
        <w:t>. All representations and warranties made in the Credit Agreement or the other Loan Documents, including, without limitation, any document furnished in connection with this Amendment, shall survive the execution and delivery of this Amendment and the other Loan Documents, and no investigation by Lender shall affect the representations and warranties or the right of Lender to rely upon them.</w:t>
      </w:r>
    </w:p>
    <w:p>
      <w:pPr>
        <w:pStyle w:val="TextBody"/>
        <w:spacing w:lineRule="auto" w:line="288" w:before="0" w:after="240"/>
        <w:ind w:left="0" w:right="0" w:firstLine="720"/>
        <w:jc w:val="both"/>
        <w:rPr/>
      </w:pPr>
      <w:r>
        <w:rPr>
          <w:rFonts w:ascii="Times New Roman;sans-serif" w:hAnsi="Times New Roman;sans-serif"/>
          <w:b/>
          <w:color w:val="000000"/>
          <w:sz w:val="24"/>
        </w:rPr>
        <w:t>7.02    </w:t>
      </w:r>
      <w:r>
        <w:rPr>
          <w:rFonts w:ascii="Times New Roman;sans-serif" w:hAnsi="Times New Roman;sans-serif"/>
          <w:b/>
          <w:color w:val="000000"/>
          <w:sz w:val="24"/>
          <w:u w:val="single"/>
        </w:rPr>
        <w:t>Reference to Credit Agreement</w:t>
      </w:r>
      <w:r>
        <w:rPr>
          <w:rFonts w:ascii="Times New Roman;sans-serif" w:hAnsi="Times New Roman;sans-serif"/>
          <w:b w:val="false"/>
          <w:color w:val="000000"/>
          <w:sz w:val="24"/>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pStyle w:val="TextBody"/>
        <w:spacing w:lineRule="auto" w:line="288" w:before="0" w:after="240"/>
        <w:ind w:left="0" w:right="0" w:firstLine="720"/>
        <w:jc w:val="both"/>
        <w:rPr/>
      </w:pPr>
      <w:r>
        <w:rPr>
          <w:rFonts w:ascii="Times New Roman;sans-serif" w:hAnsi="Times New Roman;sans-serif"/>
          <w:b/>
          <w:color w:val="000000"/>
          <w:sz w:val="24"/>
        </w:rPr>
        <w:t>7.03    </w:t>
      </w:r>
      <w:r>
        <w:rPr>
          <w:rFonts w:ascii="Times New Roman;sans-serif" w:hAnsi="Times New Roman;sans-serif"/>
          <w:b/>
          <w:color w:val="000000"/>
          <w:sz w:val="24"/>
          <w:u w:val="single"/>
        </w:rPr>
        <w:t>Expenses of Lender</w:t>
      </w:r>
      <w:r>
        <w:rPr>
          <w:rFonts w:ascii="Times New Roman;sans-serif" w:hAnsi="Times New Roman;sans-serif"/>
          <w:b w:val="false"/>
          <w:color w:val="000000"/>
          <w:sz w:val="24"/>
        </w:rPr>
        <w:t>. The Borrowers agree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 hereby, or any other Loan Documents, including, without, limitation, the costs and fees of Lender's legal counsel.</w:t>
      </w:r>
    </w:p>
    <w:p>
      <w:pPr>
        <w:pStyle w:val="TextBody"/>
        <w:spacing w:lineRule="auto" w:line="288" w:before="0" w:after="240"/>
        <w:ind w:left="0" w:right="0" w:firstLine="720"/>
        <w:jc w:val="both"/>
        <w:rPr/>
      </w:pPr>
      <w:r>
        <w:rPr>
          <w:rFonts w:ascii="Times New Roman;sans-serif" w:hAnsi="Times New Roman;sans-serif"/>
          <w:b/>
          <w:color w:val="000000"/>
          <w:sz w:val="24"/>
        </w:rPr>
        <w:t>7.04    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Any provision of this Amendment held by a court of competent jurisdiction to be invalid or unenforceable shall not impair or invalidate the remainder of this Amendment and the effect thereof shall be confined to the provision so held to be invalid or unenforceable.</w:t>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75260"/>
                <wp:effectExtent l="0" t="0" r="0" b="0"/>
                <wp:wrapNone/>
                <wp:docPr id="74" name="Frame7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7.05    </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4"/>
        </w:rPr>
        <w:t>. This Amendment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pStyle w:val="TextBody"/>
        <w:spacing w:lineRule="auto" w:line="288" w:before="0" w:after="240"/>
        <w:ind w:left="0" w:right="0" w:firstLine="720"/>
        <w:jc w:val="both"/>
        <w:rPr/>
      </w:pPr>
      <w:r>
        <w:rPr>
          <w:rFonts w:ascii="Times New Roman;sans-serif" w:hAnsi="Times New Roman;sans-serif"/>
          <w:b/>
          <w:color w:val="000000"/>
          <w:sz w:val="24"/>
        </w:rPr>
        <w:t>7.06    </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Amendment may be executed in one or more counterparts (including by electronic .pdf), each of which when so executed shall be deemed to be an original, but all of which when taken together shall constitute one and the same instrument.</w:t>
      </w:r>
    </w:p>
    <w:p>
      <w:pPr>
        <w:pStyle w:val="TextBody"/>
        <w:spacing w:lineRule="auto" w:line="288" w:before="0" w:after="240"/>
        <w:ind w:left="0" w:right="0" w:firstLine="720"/>
        <w:jc w:val="both"/>
        <w:rPr/>
      </w:pPr>
      <w:r>
        <w:rPr>
          <w:rFonts w:ascii="Times New Roman;sans-serif" w:hAnsi="Times New Roman;sans-serif"/>
          <w:b/>
          <w:color w:val="000000"/>
          <w:sz w:val="24"/>
        </w:rPr>
        <w:t>7.07    </w:t>
      </w:r>
      <w:r>
        <w:rPr>
          <w:rFonts w:ascii="Times New Roman;sans-serif" w:hAnsi="Times New Roman;sans-serif"/>
          <w:b/>
          <w:color w:val="000000"/>
          <w:sz w:val="24"/>
          <w:u w:val="single"/>
        </w:rPr>
        <w:t>Effect of Waiver</w:t>
      </w:r>
      <w:r>
        <w:rPr>
          <w:rFonts w:ascii="Times New Roman;sans-serif" w:hAnsi="Times New Roman;sans-serif"/>
          <w:b w:val="false"/>
          <w:color w:val="000000"/>
          <w:sz w:val="24"/>
        </w:rPr>
        <w:t>. No consent or waiver, express or implied, by Lender to or for any breach of or deviation from any covenant or condition by any Loan Party shall be deemed a consent to or waiver of any other breach of the same or any other covenant, condition or duty.</w:t>
      </w:r>
    </w:p>
    <w:p>
      <w:pPr>
        <w:pStyle w:val="TextBody"/>
        <w:spacing w:lineRule="auto" w:line="288" w:before="0" w:after="240"/>
        <w:ind w:left="0" w:right="0" w:firstLine="720"/>
        <w:jc w:val="both"/>
        <w:rPr/>
      </w:pPr>
      <w:r>
        <w:rPr>
          <w:rFonts w:ascii="Times New Roman;sans-serif" w:hAnsi="Times New Roman;sans-serif"/>
          <w:b/>
          <w:color w:val="000000"/>
          <w:sz w:val="24"/>
        </w:rPr>
        <w:t>7.08    </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captions, and arrangements used in this Amendment are for convenience only and shall not affect the interpretation of this Amendment.</w:t>
      </w:r>
    </w:p>
    <w:p>
      <w:pPr>
        <w:pStyle w:val="TextBody"/>
        <w:spacing w:lineRule="auto" w:line="288" w:before="0" w:after="240"/>
        <w:ind w:left="0" w:right="0" w:firstLine="720"/>
        <w:jc w:val="both"/>
        <w:rPr/>
      </w:pPr>
      <w:r>
        <w:rPr>
          <w:rFonts w:ascii="Times New Roman;sans-serif" w:hAnsi="Times New Roman;sans-serif"/>
          <w:b/>
          <w:color w:val="000000"/>
          <w:sz w:val="24"/>
        </w:rPr>
        <w:t>7.09    </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THIS AMENDMENT AND ALL OTHER AGREEMENTS EXECUTED PURSUANT HERETO SHALL BE DEEMED TO HAVE BEEN MADE AND TO BE PERFORMABLE IN AND SHALL BE GOVERNED BY AND CONSTRUED IN ACCORDANCE WITH THE LAWS OF THE STATE OF TEXAS.</w:t>
      </w:r>
    </w:p>
    <w:p>
      <w:pPr>
        <w:pStyle w:val="TextBody"/>
        <w:spacing w:lineRule="auto" w:line="288" w:before="0" w:after="240"/>
        <w:ind w:left="0" w:right="0" w:firstLine="720"/>
        <w:jc w:val="both"/>
        <w:rPr/>
      </w:pPr>
      <w:r>
        <w:rPr>
          <w:rFonts w:ascii="Times New Roman;sans-serif" w:hAnsi="Times New Roman;sans-serif"/>
          <w:b/>
          <w:color w:val="000000"/>
          <w:sz w:val="24"/>
        </w:rPr>
        <w:t>7.10    </w:t>
      </w:r>
      <w:r>
        <w:rPr>
          <w:rFonts w:ascii="Times New Roman;sans-serif" w:hAnsi="Times New Roman;sans-serif"/>
          <w:b/>
          <w:color w:val="000000"/>
          <w:sz w:val="24"/>
          <w:u w:val="single"/>
        </w:rPr>
        <w:t>Final Agreement</w:t>
      </w:r>
      <w:r>
        <w:rPr>
          <w:rFonts w:ascii="Times New Roman;sans-serif" w:hAnsi="Times New Roman;sans-serif"/>
          <w:b w:val="false"/>
          <w:color w:val="000000"/>
          <w:sz w:val="24"/>
        </w:rPr>
        <w:t>. THE CREDIT AGREEMENT AND THE OTHER LOAN DOCUMENTS, EACH AS MODIFIED HEREBY, REPRESENT THE ENTIRE EXPRESSION OF THE PARTIES WITH RESPECT TO THE SUBJECT MATTER HEREOF ON THE DATE THIS AMENDMENT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AMENDMENT SHALL BE MADE, EXCEPT BY A WRITTEN AGREEMENT SIGNED BY THE BORROWERS AND LENDER.</w:t>
      </w:r>
    </w:p>
    <w:p>
      <w:pPr>
        <w:pStyle w:val="TextBody"/>
        <w:spacing w:lineRule="auto" w:line="288" w:before="0" w:after="240"/>
        <w:ind w:left="0" w:right="0" w:firstLine="720"/>
        <w:jc w:val="both"/>
        <w:rPr/>
      </w:pPr>
      <w:r>
        <w:rPr>
          <w:rFonts w:ascii="Times New Roman;sans-serif" w:hAnsi="Times New Roman;sans-serif"/>
          <w:b/>
          <w:color w:val="000000"/>
          <w:sz w:val="24"/>
        </w:rPr>
        <w:t>7.11    </w:t>
      </w:r>
      <w:r>
        <w:rPr>
          <w:rFonts w:ascii="Times New Roman;sans-serif" w:hAnsi="Times New Roman;sans-serif"/>
          <w:b/>
          <w:color w:val="000000"/>
          <w:sz w:val="24"/>
          <w:u w:val="single"/>
        </w:rPr>
        <w:t>Release</w:t>
      </w:r>
      <w:r>
        <w:rPr>
          <w:rFonts w:ascii="Times New Roman;sans-serif" w:hAnsi="Times New Roman;sans-serif"/>
          <w:b w:val="false"/>
          <w:color w:val="000000"/>
          <w:sz w:val="24"/>
        </w:rPr>
        <w:t xml:space="preserve">.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 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AMENDMENT IS EXECUTED, WHICH </w:t>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75260"/>
                <wp:effectExtent l="0" t="0" r="0" b="0"/>
                <wp:wrapNone/>
                <wp:docPr id="75" name="Frame7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AMENDMENT.</w:t>
      </w:r>
    </w:p>
    <w:p>
      <w:pPr>
        <w:pStyle w:val="TextBody"/>
        <w:spacing w:lineRule="auto" w:line="288" w:before="0" w:after="240"/>
        <w:ind w:left="0" w:right="0" w:firstLine="720"/>
        <w:jc w:val="both"/>
        <w:rPr/>
      </w:pPr>
      <w:r>
        <w:rPr>
          <w:rFonts w:ascii="Times New Roman;sans-serif" w:hAnsi="Times New Roman;sans-serif"/>
          <w:b/>
          <w:color w:val="000000"/>
          <w:sz w:val="24"/>
        </w:rPr>
        <w:t>7.12    </w:t>
      </w:r>
      <w:r>
        <w:rPr>
          <w:rFonts w:ascii="Times New Roman;sans-serif" w:hAnsi="Times New Roman;sans-serif"/>
          <w:b/>
          <w:color w:val="000000"/>
          <w:sz w:val="24"/>
          <w:u w:val="single"/>
        </w:rPr>
        <w:t>Consent of Guarantors</w:t>
      </w:r>
      <w:r>
        <w:rPr>
          <w:rFonts w:ascii="Times New Roman;sans-serif" w:hAnsi="Times New Roman;sans-serif"/>
          <w:b w:val="false"/>
          <w:color w:val="000000"/>
          <w:sz w:val="24"/>
        </w:rPr>
        <w:t>. The Administrative Borrower, on behalf of each Guarantor, hereby (a) consents to the transactions contemplated by this Amendment;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Lender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pStyle w:val="TextBody"/>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75260"/>
                <wp:effectExtent l="0" t="0" r="0" b="0"/>
                <wp:wrapNone/>
                <wp:docPr id="76" name="Frame7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Amendment as of the date first above written.</w:t>
      </w:r>
    </w:p>
    <w:tbl>
      <w:tblPr>
        <w:tblW w:w="6155" w:type="dxa"/>
        <w:jc w:val="left"/>
        <w:tblInd w:w="0" w:type="dxa"/>
        <w:tblCellMar>
          <w:top w:w="28" w:type="dxa"/>
          <w:left w:w="28" w:type="dxa"/>
          <w:bottom w:w="28" w:type="dxa"/>
          <w:right w:w="28" w:type="dxa"/>
        </w:tblCellMar>
      </w:tblPr>
      <w:tblGrid>
        <w:gridCol w:w="124"/>
        <w:gridCol w:w="109"/>
        <w:gridCol w:w="109"/>
        <w:gridCol w:w="603"/>
        <w:gridCol w:w="603"/>
        <w:gridCol w:w="603"/>
        <w:gridCol w:w="1171"/>
        <w:gridCol w:w="1171"/>
        <w:gridCol w:w="16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ADMINSTRATIVE 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IES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Vice President, CFO &amp; Treasurer</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16840"/>
                <wp:effectExtent l="0" t="0" r="0" b="0"/>
                <wp:wrapNone/>
                <wp:docPr id="77" name="Frame76"/>
                <a:graphic xmlns:a="http://schemas.openxmlformats.org/drawingml/2006/main">
                  <a:graphicData uri="http://schemas.microsoft.com/office/word/2010/wordprocessingShape">
                    <wps:wsp>
                      <wps:cNvSpPr txBox="1"/>
                      <wps:spPr>
                        <a:xfrm>
                          <a:off x="0" y="0"/>
                          <a:ext cx="6692265" cy="1168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Seventh Amendment to Second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Seventh Amendment to Second Amended and Restated Credit Agreement</w:t>
                      </w:r>
                    </w:p>
                  </w:txbxContent>
                </v:textbox>
              </v:rect>
            </w:pict>
          </mc:Fallback>
        </mc:AlternateContent>
      </w:r>
    </w:p>
    <w:p>
      <w:pPr>
        <w:pStyle w:val="TextBody"/>
        <w:spacing w:before="0" w:after="0"/>
        <w:rPr/>
      </w:pPr>
      <w:r>
        <w:rPr/>
      </w:r>
    </w:p>
    <w:tbl>
      <w:tblPr>
        <w:tblW w:w="2984" w:type="dxa"/>
        <w:jc w:val="left"/>
        <w:tblInd w:w="0" w:type="dxa"/>
        <w:tblCellMar>
          <w:top w:w="28" w:type="dxa"/>
          <w:left w:w="28" w:type="dxa"/>
          <w:bottom w:w="28" w:type="dxa"/>
          <w:right w:w="28" w:type="dxa"/>
        </w:tblCellMar>
      </w:tblPr>
      <w:tblGrid>
        <w:gridCol w:w="956"/>
        <w:gridCol w:w="840"/>
        <w:gridCol w:w="1188"/>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4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24"/>
              </w:rPr>
            </w:pPr>
            <w:r>
              <w:rPr>
                <w:rFonts w:ascii="Arial;sans-serif" w:hAnsi="Arial;sans-serif"/>
                <w:b w:val="false"/>
                <w:color w:val="000000"/>
                <w:sz w:val="24"/>
              </w:rPr>
              <w:t>By:    </w:t>
            </w:r>
          </w:p>
          <w:p>
            <w:pPr>
              <w:pStyle w:val="TableContents"/>
              <w:spacing w:lineRule="auto" w:line="288" w:before="0" w:after="0"/>
              <w:jc w:val="left"/>
              <w:rPr>
                <w:rFonts w:ascii="Arial;sans-serif" w:hAnsi="Arial;sans-serif"/>
                <w:b w:val="false"/>
                <w:color w:val="000000"/>
                <w:sz w:val="24"/>
              </w:rPr>
            </w:pPr>
            <w:r>
              <w:rPr>
                <w:rFonts w:ascii="Arial;sans-serif" w:hAnsi="Arial;sans-serif"/>
                <w:b w:val="false"/>
                <w:color w:val="000000"/>
                <w:sz w:val="24"/>
              </w:rPr>
              <w:t>Name: Michael Gerard</w:t>
            </w:r>
          </w:p>
          <w:p>
            <w:pPr>
              <w:pStyle w:val="TableContents"/>
              <w:spacing w:lineRule="auto" w:line="288" w:before="0" w:after="0"/>
              <w:jc w:val="left"/>
              <w:rPr>
                <w:rFonts w:ascii="Arial;sans-serif" w:hAnsi="Arial;sans-serif"/>
                <w:b w:val="false"/>
                <w:color w:val="000000"/>
                <w:sz w:val="24"/>
              </w:rPr>
            </w:pPr>
            <w:r>
              <w:rPr>
                <w:rFonts w:ascii="Arial;sans-serif" w:hAnsi="Arial;sans-serif"/>
                <w:b w:val="false"/>
                <w:color w:val="000000"/>
                <w:sz w:val="24"/>
              </w:rPr>
              <w:t>Title: Authorized Signatory</w:t>
            </w:r>
          </w:p>
        </w:tc>
      </w:tr>
    </w:tbl>
    <w:tbl>
      <w:tblPr>
        <w:tblW w:w="6248" w:type="dxa"/>
        <w:jc w:val="left"/>
        <w:tblInd w:w="0" w:type="dxa"/>
        <w:tblCellMar>
          <w:top w:w="28" w:type="dxa"/>
          <w:left w:w="28" w:type="dxa"/>
          <w:bottom w:w="28" w:type="dxa"/>
          <w:right w:w="28" w:type="dxa"/>
        </w:tblCellMar>
      </w:tblPr>
      <w:tblGrid>
        <w:gridCol w:w="124"/>
        <w:gridCol w:w="109"/>
        <w:gridCol w:w="109"/>
        <w:gridCol w:w="918"/>
        <w:gridCol w:w="918"/>
        <w:gridCol w:w="918"/>
        <w:gridCol w:w="918"/>
        <w:gridCol w:w="918"/>
        <w:gridCol w:w="13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WELLS FARGO BANK, NATIONAL ASSOCIATION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1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Gerard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Gerard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16840"/>
                <wp:effectExtent l="0" t="0" r="0" b="0"/>
                <wp:wrapNone/>
                <wp:docPr id="78" name="Frame77"/>
                <a:graphic xmlns:a="http://schemas.openxmlformats.org/drawingml/2006/main">
                  <a:graphicData uri="http://schemas.microsoft.com/office/word/2010/wordprocessingShape">
                    <wps:wsp>
                      <wps:cNvSpPr txBox="1"/>
                      <wps:spPr>
                        <a:xfrm>
                          <a:off x="0" y="0"/>
                          <a:ext cx="6692265" cy="116840"/>
                        </a:xfrm>
                        <a:prstGeom prst="rect"/>
                      </wps:spPr>
                      <wps:txb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Seventh Amendment to Second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Signature Page to Seventh Amendment to Second Amended and Restated Credit Agreement</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p>
    <w:p>
      <w:pPr>
        <w:pStyle w:val="TextBody"/>
        <w:spacing w:before="0" w:after="2"/>
        <w:jc w:val="center"/>
        <w:rPr/>
      </w:pPr>
      <w:r>
        <w:rPr/>
      </w:r>
    </w:p>
    <w:p>
      <w:pPr>
        <w:pStyle w:val="TextBody"/>
        <w:spacing w:lineRule="auto" w:line="319" w:before="0" w:after="2"/>
        <w:jc w:val="center"/>
        <w:rPr>
          <w:rFonts w:ascii="Times New Roman;sans-serif" w:hAnsi="Times New Roman;sans-serif"/>
          <w:b/>
          <w:color w:val="000000"/>
          <w:sz w:val="24"/>
        </w:rPr>
      </w:pPr>
      <w:r>
        <w:rPr>
          <w:rFonts w:ascii="Times New Roman;sans-serif" w:hAnsi="Times New Roman;sans-serif"/>
          <w:b/>
          <w:color w:val="000000"/>
          <w:sz w:val="24"/>
        </w:rPr>
        <w:t>IES HOLDINGS,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SECOND AMENDED AND RESTATED EXECUTIVE OFFICER</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SEVERANCE BENEFIT PLAN</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color w:val="000000"/>
          <w:sz w:val="24"/>
        </w:rPr>
        <w:t>1.   PURPOSE AND TERM. </w:t>
      </w:r>
      <w:r>
        <w:rPr>
          <w:color w:val="000000"/>
        </w:rPr>
        <w:t> </w:t>
      </w:r>
      <w:r>
        <w:rPr>
          <w:rFonts w:ascii="Times New Roman;sans-serif" w:hAnsi="Times New Roman;sans-serif"/>
          <w:b w:val="false"/>
          <w:color w:val="000000"/>
          <w:sz w:val="24"/>
        </w:rPr>
        <w:t>The IES Holdings, Inc. (f/k/a Integrated Electrical Services,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Amended and Restated Executive Officer Severance Benefit Plan was initially adopted by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on January 23, 2012, was amended and restated in its entirety as of January 12, 2016 and is hereby further amended and restated in its entirety as of April 29, 2021. The purpose of the IES Holdings, Inc. Second Amended and Restated Executive Officer Severance Benefit Plan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is to provide severance benefits to certain senior executives of the Company and its adopting Affiliates (defined below) in the event the executive incurs a Qualifying Termination (defined below) or the executive’s employment terminates by reason of death or Disability (defined below).</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2.    COVERED EXECUTIVES.</w:t>
      </w:r>
    </w:p>
    <w:p>
      <w:pPr>
        <w:pStyle w:val="TextBody"/>
        <w:spacing w:lineRule="auto" w:line="288" w:before="0" w:after="0"/>
        <w:rPr>
          <w:color w:val="000000"/>
        </w:rPr>
      </w:pPr>
      <w:r>
        <w:rPr>
          <w:color w:val="000000"/>
        </w:rPr>
        <w:t> </w:t>
      </w:r>
    </w:p>
    <w:tbl>
      <w:tblPr>
        <w:tblW w:w="1033" w:type="dxa"/>
        <w:jc w:val="left"/>
        <w:tblInd w:w="0" w:type="dxa"/>
        <w:tblCellMar>
          <w:top w:w="28" w:type="dxa"/>
          <w:left w:w="28" w:type="dxa"/>
          <w:bottom w:w="28" w:type="dxa"/>
          <w:right w:w="28" w:type="dxa"/>
        </w:tblCellMar>
      </w:tblPr>
      <w:tblGrid>
        <w:gridCol w:w="239"/>
        <w:gridCol w:w="210"/>
        <w:gridCol w:w="212"/>
        <w:gridCol w:w="109"/>
        <w:gridCol w:w="109"/>
        <w:gridCol w:w="154"/>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2.01</w:t>
            </w: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120"/>
        <w:ind w:left="0" w:right="0" w:firstLine="72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Automatic Coverage</w:t>
      </w:r>
      <w:r>
        <w:rPr>
          <w:rFonts w:ascii="Times New Roman;sans-serif" w:hAnsi="Times New Roman;sans-serif"/>
          <w:b w:val="false"/>
          <w:color w:val="000000"/>
          <w:sz w:val="24"/>
        </w:rPr>
        <w:t>.  Subject to Section 2.02, each employee who is a Senior Vice President or above of the Company automatically shall be a Covered Executive under this Plan.</w:t>
      </w:r>
    </w:p>
    <w:p>
      <w:pPr>
        <w:pStyle w:val="TextBody"/>
        <w:spacing w:lineRule="auto" w:line="319" w:before="0" w:after="2"/>
        <w:ind w:left="0" w:right="0" w:firstLine="72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Additional Coverage</w:t>
      </w:r>
      <w:r>
        <w:rPr>
          <w:rFonts w:ascii="Times New Roman;sans-serif" w:hAnsi="Times New Roman;sans-serif"/>
          <w:b w:val="false"/>
          <w:color w:val="000000"/>
          <w:sz w:val="24"/>
        </w:rPr>
        <w:t>.  Subject to Section 2.02, any other employee of the Company or a Participating Affiliate (defined below) who is an officer and is designated as covered under the Plan by the Human Resources and Compensation Committee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of the Board also shall be a Covered Executive under this Plan.</w:t>
      </w:r>
    </w:p>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239"/>
        <w:gridCol w:w="210"/>
        <w:gridCol w:w="212"/>
        <w:gridCol w:w="2893"/>
        <w:gridCol w:w="2893"/>
        <w:gridCol w:w="4092"/>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4092"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2.02</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 individual who is otherwise described in Section 2.01(a) or 2.01(b) shall cease to be a Covered Executive if:</w:t>
            </w:r>
          </w:p>
        </w:tc>
      </w:tr>
    </w:tbl>
    <w:p>
      <w:pPr>
        <w:pStyle w:val="TextBody"/>
        <w:spacing w:lineRule="auto" w:line="288" w:before="0" w:after="120"/>
        <w:ind w:left="0" w:right="0" w:firstLine="720"/>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rPr>
        <w:t>he is covered pursuant to Section 2.01(a) above and subsequently, without a termination of employment, ceases to be a Senior Vice President or above of the Company;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he is covered pursuant to Section 2.01(b) above and subsequently, without a termination of employment, ceases to be an officer of the Company or a Participating Affiliate;</w:t>
      </w:r>
    </w:p>
    <w:p>
      <w:pPr>
        <w:pStyle w:val="TextBody"/>
        <w:spacing w:before="0" w:after="2"/>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(c) the Covered Executive’s employment terminates for any reason other than due to a Qualifying Termination or the Covered Executive’s death or Disability; </w:t>
      </w:r>
    </w:p>
    <w:p>
      <w:pPr>
        <w:pStyle w:val="TextBody"/>
        <w:spacing w:lineRule="auto" w:line="288"/>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(d) the Covered Executive has or enters into an individual employment or severance agreement with the Company or an Affiliate that may provide severance benefits to him or her upon termination of employment: or </w:t>
      </w:r>
      <w:r>
        <w:br w:type="page"/>
      </w:r>
    </w:p>
    <w:p>
      <w:pPr>
        <w:pStyle w:val="TextBody"/>
        <w:spacing w:before="0" w:after="20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247015"/>
                <wp:effectExtent l="0" t="0" r="0" b="0"/>
                <wp:wrapNone/>
                <wp:docPr id="79" name="Frame78"/>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319" w:before="0" w:after="2"/>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(e) the Covered Executive does not consent (in a form acceptable to the Company) to be bound by the covenants set forth in Section 9, including with respect to the portion of the Restricted Period (defined below) following the termination of his or her employment for any reason.</w:t>
      </w:r>
    </w:p>
    <w:p>
      <w:pPr>
        <w:pStyle w:val="TextBody"/>
        <w:spacing w:before="0" w:after="2"/>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For purposes of coverage under this Plan, a transfer of a Covered Executive’s employment to a non-Participating Affiliate shall not be deemed effective to terminate his or her coverage hereunder until thirty (30) days after written notice of such transfer has been furnished to the Covered Executive.</w:t>
      </w:r>
    </w:p>
    <w:p>
      <w:pPr>
        <w:pStyle w:val="TextBody"/>
        <w:spacing w:before="0" w:after="2"/>
        <w:rPr/>
      </w:pPr>
      <w:r>
        <w:rPr/>
      </w:r>
    </w:p>
    <w:p>
      <w:pPr>
        <w:pStyle w:val="TextBody"/>
        <w:spacing w:lineRule="auto" w:line="319" w:before="0" w:after="2"/>
        <w:rPr>
          <w:rFonts w:ascii="Times New Roman;sans-serif" w:hAnsi="Times New Roman;sans-serif"/>
          <w:b/>
          <w:color w:val="000000"/>
          <w:sz w:val="24"/>
        </w:rPr>
      </w:pPr>
      <w:r>
        <w:rPr>
          <w:rFonts w:ascii="Times New Roman;sans-serif" w:hAnsi="Times New Roman;sans-serif"/>
          <w:b/>
          <w:color w:val="000000"/>
          <w:sz w:val="24"/>
        </w:rPr>
        <w:t>3.   QUALIFICATION FOR SEVERANCE BENEFITS. </w:t>
      </w:r>
    </w:p>
    <w:p>
      <w:pPr>
        <w:pStyle w:val="TextBody"/>
        <w:spacing w:before="0" w:after="2"/>
        <w:rPr/>
      </w:pPr>
      <w:r>
        <w:rPr/>
      </w:r>
    </w:p>
    <w:tbl>
      <w:tblPr>
        <w:tblW w:w="10539" w:type="dxa"/>
        <w:jc w:val="left"/>
        <w:tblInd w:w="0" w:type="dxa"/>
        <w:tblCellMar>
          <w:top w:w="28" w:type="dxa"/>
          <w:left w:w="28" w:type="dxa"/>
          <w:bottom w:w="28" w:type="dxa"/>
          <w:right w:w="28" w:type="dxa"/>
        </w:tblCellMar>
      </w:tblPr>
      <w:tblGrid>
        <w:gridCol w:w="239"/>
        <w:gridCol w:w="210"/>
        <w:gridCol w:w="212"/>
        <w:gridCol w:w="2889"/>
        <w:gridCol w:w="2889"/>
        <w:gridCol w:w="4100"/>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3.01</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319" w:before="0" w:after="2"/>
              <w:jc w:val="left"/>
              <w:rPr/>
            </w:pPr>
            <w:r>
              <w:rPr>
                <w:rFonts w:ascii="Times New Roman;sans-serif" w:hAnsi="Times New Roman;sans-serif"/>
                <w:b w:val="false"/>
                <w:color w:val="000000"/>
                <w:sz w:val="24"/>
                <w:u w:val="single"/>
              </w:rPr>
              <w:t>Qualifying Terminations</w:t>
            </w:r>
            <w:r>
              <w:rPr>
                <w:rFonts w:ascii="Times New Roman;sans-serif" w:hAnsi="Times New Roman;sans-serif"/>
                <w:b w:val="false"/>
                <w:color w:val="000000"/>
                <w:sz w:val="24"/>
              </w:rPr>
              <w:t>.  In the event that a Covered Executive has a Qualifying Termination, or in the event of a Covered Executive’s termination of employment due to his or her death or Disability, then, subject to Section 3.02, the Company or Participating Affiliate, whichever is the Covered Executive’s employer, shall provide to, or on behalf of, such terminated Covered Executive the severance benefits set forth in Section 4.01, 4.02 or 4.04 of this Plan, as applicable.</w:t>
            </w:r>
          </w:p>
        </w:tc>
      </w:tr>
    </w:tbl>
    <w:tbl>
      <w:tblPr>
        <w:tblW w:w="10539" w:type="dxa"/>
        <w:jc w:val="left"/>
        <w:tblInd w:w="0" w:type="dxa"/>
        <w:tblCellMar>
          <w:top w:w="28" w:type="dxa"/>
          <w:left w:w="28" w:type="dxa"/>
          <w:bottom w:w="28" w:type="dxa"/>
          <w:right w:w="28" w:type="dxa"/>
        </w:tblCellMar>
      </w:tblPr>
      <w:tblGrid>
        <w:gridCol w:w="239"/>
        <w:gridCol w:w="210"/>
        <w:gridCol w:w="212"/>
        <w:gridCol w:w="2891"/>
        <w:gridCol w:w="2891"/>
        <w:gridCol w:w="4096"/>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3.02</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319" w:before="0" w:after="2"/>
              <w:jc w:val="left"/>
              <w:rPr/>
            </w:pPr>
            <w:r>
              <w:rPr>
                <w:rFonts w:ascii="Times New Roman;sans-serif" w:hAnsi="Times New Roman;sans-serif"/>
                <w:b w:val="false"/>
                <w:color w:val="000000"/>
                <w:sz w:val="24"/>
                <w:u w:val="single"/>
              </w:rPr>
              <w:t>Release and Waiver</w:t>
            </w:r>
            <w:r>
              <w:rPr>
                <w:rFonts w:ascii="Times New Roman;sans-serif" w:hAnsi="Times New Roman;sans-serif"/>
                <w:b w:val="false"/>
                <w:color w:val="000000"/>
                <w:sz w:val="24"/>
              </w:rPr>
              <w:t>.  Notwithstanding any other provisions of this Plan to the contrary, unless waived by the Committee with respect to the Covered Executive, in its sole discretion, the Company or Participating Affiliate, as the case may be, shall not provide, or have any obligation to provide, to a Covered Executive any severance payments or benefits under Section 4, other than the Accrued Rights (defined below), upon or following such Covered Executive’s Qualifying Termination or termination of employment due to his or her Disability, unless (i) within twenty-one (21) days (or forty-five (45) days, if necessary to comply with applicable law) from the date of such termination of employment, the Covered Executive timely executes and delivers to the Company the Release (defined below), and (ii) the Covered Executive does not revoke the Release within any applicable revocation period therefor following the Covered Executive’s delivery of the executed Release to the Company.  If the requirements of this Section 3.02 are satisfied, then, subject to Section 5 below, the severance payments and benefits to which the Covered Executive is otherwise entitled to receive under Section 4 shall begin or be made, as applicable, as provided in Section 5.  If the Release requirements of this Section 3.02 are not timely satisfied by the Covered Executive, then no severance payments or benefits, other than the Accrued Rights, shall be due the Covered Executive under this Plan.</w:t>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2"/>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247015"/>
                <wp:effectExtent l="0" t="0" r="0" b="0"/>
                <wp:wrapNone/>
                <wp:docPr id="80" name="Frame79"/>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before="0" w:after="2"/>
        <w:rPr/>
      </w:pPr>
      <w:r>
        <w:rPr/>
      </w:r>
    </w:p>
    <w:p>
      <w:pPr>
        <w:pStyle w:val="TextBody"/>
        <w:spacing w:lineRule="auto" w:line="319" w:before="0" w:after="2"/>
        <w:rPr>
          <w:rFonts w:ascii="Times New Roman;sans-serif" w:hAnsi="Times New Roman;sans-serif"/>
          <w:b/>
          <w:color w:val="000000"/>
          <w:sz w:val="24"/>
        </w:rPr>
      </w:pPr>
      <w:r>
        <w:rPr>
          <w:rFonts w:ascii="Times New Roman;sans-serif" w:hAnsi="Times New Roman;sans-serif"/>
          <w:b/>
          <w:color w:val="000000"/>
          <w:sz w:val="24"/>
        </w:rPr>
        <w:t>4.   SEVERANCE BENEFITS.</w:t>
      </w:r>
    </w:p>
    <w:p>
      <w:pPr>
        <w:pStyle w:val="TextBody"/>
        <w:spacing w:lineRule="auto" w:line="288" w:before="0" w:after="0"/>
        <w:rPr>
          <w:color w:val="696969"/>
        </w:rPr>
      </w:pPr>
      <w:r>
        <w:rPr>
          <w:color w:val="696969"/>
        </w:rPr>
        <w:t> </w:t>
      </w:r>
    </w:p>
    <w:tbl>
      <w:tblPr>
        <w:tblW w:w="10539" w:type="dxa"/>
        <w:jc w:val="left"/>
        <w:tblInd w:w="0" w:type="dxa"/>
        <w:tblCellMar>
          <w:top w:w="28" w:type="dxa"/>
          <w:left w:w="28" w:type="dxa"/>
          <w:bottom w:w="28" w:type="dxa"/>
          <w:right w:w="28" w:type="dxa"/>
        </w:tblCellMar>
      </w:tblPr>
      <w:tblGrid>
        <w:gridCol w:w="239"/>
        <w:gridCol w:w="210"/>
        <w:gridCol w:w="212"/>
        <w:gridCol w:w="2889"/>
        <w:gridCol w:w="2889"/>
        <w:gridCol w:w="4100"/>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4.01</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319" w:before="0" w:after="2"/>
              <w:jc w:val="left"/>
              <w:rPr/>
            </w:pPr>
            <w:r>
              <w:rPr>
                <w:rFonts w:ascii="Times New Roman;sans-serif" w:hAnsi="Times New Roman;sans-serif"/>
                <w:b w:val="false"/>
                <w:color w:val="000000"/>
                <w:sz w:val="24"/>
                <w:u w:val="single"/>
              </w:rPr>
              <w:t>Qualifying Termination prior to a Change in Control</w:t>
            </w:r>
            <w:r>
              <w:rPr>
                <w:rFonts w:ascii="Times New Roman;sans-serif" w:hAnsi="Times New Roman;sans-serif"/>
                <w:b w:val="false"/>
                <w:color w:val="000000"/>
                <w:sz w:val="24"/>
              </w:rPr>
              <w:t>.  If a Covered Executive has a Qualifying Termination prior to a Change in Control (defined below) and satisfies the Release conditions under Section 3.02, then, subject to Section 5, the Covered Executive shall receive the following severance benefits:</w:t>
            </w:r>
          </w:p>
        </w:tc>
      </w:tr>
    </w:tbl>
    <w:tbl>
      <w:tblPr>
        <w:tblW w:w="9972" w:type="dxa"/>
        <w:jc w:val="left"/>
        <w:tblInd w:w="0" w:type="dxa"/>
        <w:tblCellMar>
          <w:top w:w="28" w:type="dxa"/>
          <w:left w:w="28" w:type="dxa"/>
          <w:bottom w:w="28" w:type="dxa"/>
          <w:right w:w="28" w:type="dxa"/>
        </w:tblCellMar>
      </w:tblPr>
      <w:tblGrid>
        <w:gridCol w:w="124"/>
        <w:gridCol w:w="109"/>
        <w:gridCol w:w="109"/>
        <w:gridCol w:w="2821"/>
        <w:gridCol w:w="2821"/>
        <w:gridCol w:w="39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1" w:type="dxa"/>
            <w:tcBorders/>
            <w:shd w:fill="auto" w:val="clear"/>
            <w:vAlign w:val="center"/>
          </w:tcPr>
          <w:p>
            <w:pPr>
              <w:pStyle w:val="TableContents"/>
              <w:spacing w:before="0" w:after="283"/>
              <w:rPr>
                <w:sz w:val="4"/>
                <w:szCs w:val="4"/>
              </w:rPr>
            </w:pPr>
            <w:r>
              <w:rPr>
                <w:sz w:val="4"/>
                <w:szCs w:val="4"/>
              </w:rPr>
            </w:r>
          </w:p>
        </w:tc>
        <w:tc>
          <w:tcPr>
            <w:tcW w:w="2821" w:type="dxa"/>
            <w:tcBorders/>
            <w:shd w:fill="auto" w:val="clear"/>
            <w:vAlign w:val="center"/>
          </w:tcPr>
          <w:p>
            <w:pPr>
              <w:pStyle w:val="TableContents"/>
              <w:spacing w:before="0" w:after="283"/>
              <w:rPr>
                <w:sz w:val="4"/>
                <w:szCs w:val="4"/>
              </w:rPr>
            </w:pPr>
            <w:r>
              <w:rPr>
                <w:sz w:val="4"/>
                <w:szCs w:val="4"/>
              </w:rPr>
            </w:r>
          </w:p>
        </w:tc>
        <w:tc>
          <w:tcPr>
            <w:tcW w:w="39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96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Accrued Rights</w:t>
            </w:r>
            <w:r>
              <w:rPr>
                <w:rFonts w:ascii="Times New Roman;sans-serif" w:hAnsi="Times New Roman;sans-serif"/>
                <w:b w:val="false"/>
                <w:color w:val="000000"/>
                <w:sz w:val="24"/>
              </w:rPr>
              <w:t>.  Without regard to Section 3.02, the Covered Executive’s Accrued Rights.</w:t>
            </w:r>
          </w:p>
        </w:tc>
      </w:tr>
    </w:tbl>
    <w:tbl>
      <w:tblPr>
        <w:tblW w:w="10539" w:type="dxa"/>
        <w:jc w:val="left"/>
        <w:tblInd w:w="0" w:type="dxa"/>
        <w:tblCellMar>
          <w:top w:w="28" w:type="dxa"/>
          <w:left w:w="28" w:type="dxa"/>
          <w:bottom w:w="28" w:type="dxa"/>
          <w:right w:w="28" w:type="dxa"/>
        </w:tblCellMar>
      </w:tblPr>
      <w:tblGrid>
        <w:gridCol w:w="124"/>
        <w:gridCol w:w="109"/>
        <w:gridCol w:w="109"/>
        <w:gridCol w:w="2983"/>
        <w:gridCol w:w="2983"/>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Severance Pay</w:t>
            </w:r>
            <w:r>
              <w:rPr>
                <w:rFonts w:ascii="Times New Roman;sans-serif" w:hAnsi="Times New Roman;sans-serif"/>
                <w:b w:val="false"/>
                <w:color w:val="000000"/>
                <w:sz w:val="24"/>
              </w:rPr>
              <w:t>.  Continued payment of the Covered Executive’s Base Pay (defined below) for twelve (12) months following the date of such termination, payable monthly in accordance with the Company’s normal payroll practices as in effect on the date of termination, but not later than the last business day of each calendar month.</w:t>
            </w:r>
          </w:p>
        </w:tc>
      </w:tr>
    </w:tbl>
    <w:tbl>
      <w:tblPr>
        <w:tblW w:w="10539" w:type="dxa"/>
        <w:jc w:val="left"/>
        <w:tblInd w:w="0" w:type="dxa"/>
        <w:tblCellMar>
          <w:top w:w="28" w:type="dxa"/>
          <w:left w:w="28" w:type="dxa"/>
          <w:bottom w:w="28" w:type="dxa"/>
          <w:right w:w="28" w:type="dxa"/>
        </w:tblCellMar>
      </w:tblPr>
      <w:tblGrid>
        <w:gridCol w:w="124"/>
        <w:gridCol w:w="109"/>
        <w:gridCol w:w="109"/>
        <w:gridCol w:w="2982"/>
        <w:gridCol w:w="2982"/>
        <w:gridCol w:w="42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42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Any unpaid Annual Bonus (defined below) that has been “earned” for the immediately preceding fiscal year plus an Annual Bonus for the current fiscal year, pro rated based on the percentage of the current fiscal year that shall have elapsed through the date of termination.  The amount of any such Annual Bonus(es) shall be as determined by the Committee, including its determination of the extent the performance objectives, if any, for such fiscal year have been achieved.  Such Annual Bonus(es) shall be payable (i) at the same time(s) that the annual bonus(es) for such respective fiscal year(s) are paid to other similar executives of the Company (or Participating Affiliates) or (ii) on the date immediately following the date the Release provided in Section 3.02 becomes irrevocable, whichever shall later occur.</w:t>
            </w:r>
          </w:p>
        </w:tc>
      </w:tr>
    </w:tbl>
    <w:p>
      <w:pPr>
        <w:pStyle w:val="TextBody"/>
        <w:spacing w:lineRule="auto" w:line="319" w:before="0" w:after="120"/>
        <w:ind w:left="0" w:right="0" w:firstLine="450"/>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Incentive/Equity Awards</w:t>
      </w:r>
      <w:r>
        <w:rPr>
          <w:rFonts w:ascii="Times New Roman;sans-serif" w:hAnsi="Times New Roman;sans-serif"/>
          <w:b w:val="false"/>
          <w:color w:val="000000"/>
          <w:sz w:val="24"/>
        </w:rPr>
        <w:t>.  A prorated amount of the Covered Executive’s then outstanding unvested cash incentive awards and equity-based awards, other than an Annual Bonus or Performance Award (defined below), shall vest and payment made thereon, if applicable, on the date immediately following the date the Release provided in Section 3.02 becomes irrevocable.  Prior to such date, any unvested award(s) shall not be forfeited due to the Covered Executive’s termination of employment, notwithstanding anything in the applicable grant agreement(s) to the contrary.  The applicable prorated vested percentage for such an award(s) shall be the percentage of the full vesting period for such award(s) in which the Covered Executive was actively employed by the Company (or Participating Affiliate).  Payment of such prorated vested awards, if any, shall be made on the date immediately following the date the Release provided in Section 3.02 becomes irrevocable.</w:t>
      </w:r>
    </w:p>
    <w:p>
      <w:pPr>
        <w:pStyle w:val="TextBody"/>
        <w:spacing w:lineRule="auto" w:line="288" w:before="0" w:after="2"/>
        <w:rPr/>
      </w:pPr>
      <w:r>
        <w:rPr>
          <w:color w:val="000000"/>
        </w:rPr>
        <w:t>     </w:t>
      </w:r>
      <w:r>
        <w:rPr>
          <w:rFonts w:ascii="Times New Roman;sans-serif" w:hAnsi="Times New Roman;sans-serif"/>
          <w:b w:val="false"/>
          <w:color w:val="000000"/>
          <w:sz w:val="24"/>
        </w:rPr>
        <w:t>A prorated portion of each of the Covered Executive’s then outstanding cash incentive awards or equity-based awards, the payment of which is dependent upon the achievement of performance objectives during a performance period that has not ended as of the Covered Executive’s date of Qualifying Termination (a “</w:t>
      </w:r>
      <w:r>
        <w:rPr>
          <w:rFonts w:ascii="Times New Roman;sans-serif" w:hAnsi="Times New Roman;sans-serif"/>
          <w:b w:val="false"/>
          <w:color w:val="000000"/>
          <w:sz w:val="24"/>
          <w:u w:val="single"/>
        </w:rPr>
        <w:t>Performance Award</w:t>
      </w:r>
      <w:r>
        <w:rPr>
          <w:color w:val="000000"/>
        </w:rPr>
        <w:t>”</w:t>
      </w:r>
      <w:r>
        <w:rPr>
          <w:rFonts w:ascii="Times New Roman;sans-serif" w:hAnsi="Times New Roman;sans-serif"/>
          <w:b w:val="false"/>
          <w:color w:val="000000"/>
          <w:sz w:val="24"/>
        </w:rPr>
        <w:t xml:space="preserve">), </w:t>
      </w:r>
      <w:r>
        <w:br w:type="page"/>
      </w:r>
    </w:p>
    <w:p>
      <w:pPr>
        <w:pStyle w:val="TextBody"/>
        <w:spacing w:before="0" w:after="20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247015"/>
                <wp:effectExtent l="0" t="0" r="0" b="0"/>
                <wp:wrapNone/>
                <wp:docPr id="81" name="Frame80"/>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3</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
        <w:rPr/>
      </w:pPr>
      <w:r>
        <w:rPr>
          <w:rFonts w:ascii="Times New Roman;sans-serif" w:hAnsi="Times New Roman;sans-serif"/>
          <w:b w:val="false"/>
          <w:color w:val="000000"/>
          <w:sz w:val="24"/>
        </w:rPr>
        <w:t>shall vest at the end of the performance period applicable to such award, but only if and to the extent the performance objectives for such performance period have been achieved, as determined by the Committee (the “</w:t>
      </w:r>
      <w:r>
        <w:rPr>
          <w:rFonts w:ascii="Times New Roman;sans-serif" w:hAnsi="Times New Roman;sans-serif"/>
          <w:b w:val="false"/>
          <w:color w:val="000000"/>
          <w:sz w:val="24"/>
          <w:u w:val="single"/>
        </w:rPr>
        <w:t>Performance Amount Achieved</w:t>
      </w:r>
      <w:r>
        <w:rPr>
          <w:color w:val="000000"/>
        </w:rPr>
        <w:t>”</w:t>
      </w:r>
      <w:r>
        <w:rPr>
          <w:rFonts w:ascii="Times New Roman;sans-serif" w:hAnsi="Times New Roman;sans-serif"/>
          <w:b w:val="false"/>
          <w:color w:val="000000"/>
          <w:sz w:val="24"/>
        </w:rPr>
        <w:t>), and the Release provided in Section 3.02 becomes irrevocable.  The applicable prorated vested percentage for any such Performance Award shall be the product of the percentage of the full performance period for such Performance Award in which the Covered Executive was actively employed by the Company (or Participating Affiliate) and the Performance Amount Achieved, if any.  Payment(s) of such Performance Award(s) that become vested, if any, shall be made (i) at the same time(s) the performance award(s) for such performance period(s) are paid to other similar executives of the Company (or Participating Affiliates) or (ii) on the date immediately following the date the Release provided in Section 3.02 becomes irrevocable, whichever shall later occur.</w:t>
      </w:r>
    </w:p>
    <w:p>
      <w:pPr>
        <w:pStyle w:val="TextBody"/>
        <w:spacing w:before="0" w:after="2"/>
        <w:rPr/>
      </w:pPr>
      <w:r>
        <w:rPr/>
      </w:r>
    </w:p>
    <w:p>
      <w:pPr>
        <w:pStyle w:val="TextBody"/>
        <w:spacing w:lineRule="auto" w:line="319" w:before="0" w:after="120"/>
        <w:ind w:left="0" w:right="0" w:firstLine="450"/>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COBRA</w:t>
      </w:r>
      <w:r>
        <w:rPr>
          <w:rFonts w:ascii="Times New Roman;sans-serif" w:hAnsi="Times New Roman;sans-serif"/>
          <w:b w:val="false"/>
          <w:color w:val="000000"/>
          <w:sz w:val="24"/>
        </w:rPr>
        <w:t>.  An amount, paid on the first business day of each month, equal to 100% of the applicable monthly COBRA premium under the Company’s (or Participating Affiliate’s) group health plan for the coverage elected by the Covered Executive and his or her eligible dependents, continued for the lesser of (i) twelve (12) months or (ii) until such COBRA coverage for the Covered Executive (and his or her dependents) terminates. </w:t>
      </w:r>
    </w:p>
    <w:tbl>
      <w:tblPr>
        <w:tblW w:w="10539" w:type="dxa"/>
        <w:jc w:val="left"/>
        <w:tblInd w:w="0" w:type="dxa"/>
        <w:tblCellMar>
          <w:top w:w="28" w:type="dxa"/>
          <w:left w:w="28" w:type="dxa"/>
          <w:bottom w:w="28" w:type="dxa"/>
          <w:right w:w="28" w:type="dxa"/>
        </w:tblCellMar>
      </w:tblPr>
      <w:tblGrid>
        <w:gridCol w:w="239"/>
        <w:gridCol w:w="210"/>
        <w:gridCol w:w="212"/>
        <w:gridCol w:w="2889"/>
        <w:gridCol w:w="2889"/>
        <w:gridCol w:w="4100"/>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4.02</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319" w:before="0" w:after="2"/>
              <w:jc w:val="left"/>
              <w:rPr/>
            </w:pPr>
            <w:r>
              <w:rPr>
                <w:rFonts w:ascii="Times New Roman;sans-serif" w:hAnsi="Times New Roman;sans-serif"/>
                <w:b w:val="false"/>
                <w:color w:val="000000"/>
                <w:sz w:val="24"/>
                <w:u w:val="single"/>
              </w:rPr>
              <w:t>Qualifying Termination on or within twelve (12) months following a Change in Control</w:t>
            </w:r>
            <w:r>
              <w:rPr>
                <w:rFonts w:ascii="Times New Roman;sans-serif" w:hAnsi="Times New Roman;sans-serif"/>
                <w:b w:val="false"/>
                <w:color w:val="000000"/>
                <w:sz w:val="24"/>
              </w:rPr>
              <w:t>.  If a Covered Executive has a Qualifying Termination on or within twelve (12) months following a Change in Control (defined below) and satisfies the Release conditions under Section 3.02, then, subject to Section 5, the Covered Executive shall receive the following severance benefits:</w:t>
            </w:r>
          </w:p>
        </w:tc>
      </w:tr>
    </w:tbl>
    <w:p>
      <w:pPr>
        <w:pStyle w:val="TextBody"/>
        <w:spacing w:lineRule="auto" w:line="288" w:before="0" w:after="0"/>
        <w:ind w:left="0" w:right="0" w:firstLine="45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Accrued Rights</w:t>
      </w:r>
      <w:r>
        <w:rPr>
          <w:rFonts w:ascii="Times New Roman;sans-serif" w:hAnsi="Times New Roman;sans-serif"/>
          <w:b w:val="false"/>
          <w:color w:val="000000"/>
          <w:sz w:val="24"/>
        </w:rPr>
        <w:t xml:space="preserve">.  The Covered Executive’s Accrued Rights. </w:t>
      </w:r>
    </w:p>
    <w:p>
      <w:pPr>
        <w:pStyle w:val="TextBody"/>
        <w:spacing w:before="0" w:after="2"/>
        <w:rPr/>
      </w:pPr>
      <w:r>
        <w:rPr/>
      </w:r>
    </w:p>
    <w:p>
      <w:pPr>
        <w:pStyle w:val="TextBody"/>
        <w:spacing w:lineRule="auto" w:line="288" w:before="0" w:after="2"/>
        <w:ind w:left="0" w:right="0" w:firstLine="45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Severance Pay</w:t>
      </w:r>
      <w:r>
        <w:rPr>
          <w:rFonts w:ascii="Times New Roman;sans-serif" w:hAnsi="Times New Roman;sans-serif"/>
          <w:b w:val="false"/>
          <w:color w:val="000000"/>
          <w:sz w:val="24"/>
        </w:rPr>
        <w:t>.  In a lump sum, an amount equal to two (2) times the Covered Executive’s annual base pay, payable on the date immediately following the date the Release provided in Section 3.02 becomes irrevocable.</w:t>
      </w:r>
    </w:p>
    <w:p>
      <w:pPr>
        <w:pStyle w:val="TextBody"/>
        <w:spacing w:before="0" w:after="2"/>
        <w:rPr/>
      </w:pPr>
      <w:r>
        <w:rPr/>
      </w:r>
    </w:p>
    <w:p>
      <w:pPr>
        <w:pStyle w:val="TextBody"/>
        <w:spacing w:lineRule="auto" w:line="288" w:before="0" w:after="0"/>
        <w:ind w:left="0" w:right="0" w:firstLine="450"/>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In a lump sum, an amount equal to two (2) times the greater of the most recent (i) Annual Bonus paid to the Covered Executive or (ii) Annual Bonus Opportunity (defined below) of the Covered Executive, payable on the date immediately following the date the Release provided in Section 3.02 becomes irrevocable.</w:t>
      </w:r>
    </w:p>
    <w:p>
      <w:pPr>
        <w:pStyle w:val="TextBody"/>
        <w:spacing w:before="0" w:after="2"/>
        <w:rPr/>
      </w:pPr>
      <w:r>
        <w:rPr/>
      </w:r>
    </w:p>
    <w:p>
      <w:pPr>
        <w:pStyle w:val="TextBody"/>
        <w:spacing w:lineRule="auto" w:line="319" w:before="0" w:after="2"/>
        <w:ind w:left="0" w:right="0" w:firstLine="450"/>
        <w:rPr/>
      </w:pPr>
      <w:r>
        <w:rPr>
          <w:color w:val="000000"/>
        </w:rPr>
        <w:t> </w:t>
      </w:r>
      <w:r>
        <w:rPr>
          <w:rFonts w:ascii="Times New Roman;sans-serif" w:hAnsi="Times New Roman;sans-serif"/>
          <w:b w:val="false"/>
          <w:color w:val="000000"/>
          <w:sz w:val="22"/>
        </w:rPr>
        <w:t>(d) </w:t>
      </w:r>
      <w:r>
        <w:rPr>
          <w:rFonts w:ascii="Times New Roman;sans-serif" w:hAnsi="Times New Roman;sans-serif"/>
          <w:b w:val="false"/>
          <w:color w:val="000000"/>
          <w:sz w:val="22"/>
          <w:u w:val="single"/>
        </w:rPr>
        <w:t>Award</w:t>
      </w:r>
      <w:r>
        <w:rPr>
          <w:rFonts w:ascii="Times New Roman;sans-serif" w:hAnsi="Times New Roman;sans-serif"/>
          <w:b w:val="false"/>
          <w:color w:val="000000"/>
          <w:sz w:val="22"/>
        </w:rPr>
        <w:t>s.  All of the Covered Executive’s then outstanding unvested incentive, performance and equity-based awards (including, but not limited to, any unvested options, restricted stock, performance and phantom share units and stock appreciation rights then outstanding under the LTIP or any other equity plan subsequently adopted by the Company) shall vest in full, assuming any vesting requirements in such awards that are based on performance were achieved at maximum levels, and payment made thereon, if applicable, on the date immediately following the date the Release provided in Section 3.02 becomes irrevocable.</w:t>
      </w:r>
      <w:r>
        <w:br w:type="page"/>
      </w:r>
    </w:p>
    <w:p>
      <w:pPr>
        <w:pStyle w:val="TextBody"/>
        <w:spacing w:before="0" w:after="20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247015"/>
                <wp:effectExtent l="0" t="0" r="0" b="0"/>
                <wp:wrapNone/>
                <wp:docPr id="82" name="Frame81"/>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4</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before="0" w:after="2"/>
        <w:rPr/>
      </w:pPr>
      <w:r>
        <w:rPr/>
      </w:r>
    </w:p>
    <w:p>
      <w:pPr>
        <w:pStyle w:val="TextBody"/>
        <w:spacing w:lineRule="auto" w:line="319" w:before="0" w:after="2"/>
        <w:ind w:left="0" w:right="0" w:firstLine="450"/>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COBRA</w:t>
      </w:r>
      <w:r>
        <w:rPr>
          <w:rFonts w:ascii="Times New Roman;sans-serif" w:hAnsi="Times New Roman;sans-serif"/>
          <w:b w:val="false"/>
          <w:color w:val="000000"/>
          <w:sz w:val="22"/>
        </w:rPr>
        <w:t>.  An amount, paid on the first business day of each month, equal to 100% of the applicable monthly COBRA premium under the Company’s (or Participating Affiliate’s) group health plan for the coverage elected by the Covered Executive and his or her eligible dependents, continued for the lesser of (i) twelve (12) months or (ii) until such COBRA coverage for the Covered Executive (and his or her dependents) terminates.</w:t>
      </w:r>
    </w:p>
    <w:p>
      <w:pPr>
        <w:pStyle w:val="TextBody"/>
        <w:spacing w:lineRule="auto" w:line="319" w:before="0" w:after="2"/>
        <w:ind w:left="0" w:right="0" w:firstLine="450"/>
        <w:rPr>
          <w:color w:val="000000"/>
        </w:rPr>
      </w:pPr>
      <w:r>
        <w:rPr>
          <w:color w:val="000000"/>
        </w:rPr>
        <w:t> </w:t>
      </w:r>
    </w:p>
    <w:tbl>
      <w:tblPr>
        <w:tblW w:w="10441" w:type="dxa"/>
        <w:jc w:val="left"/>
        <w:tblInd w:w="0" w:type="dxa"/>
        <w:tblCellMar>
          <w:top w:w="28" w:type="dxa"/>
          <w:left w:w="28" w:type="dxa"/>
          <w:bottom w:w="28" w:type="dxa"/>
          <w:right w:w="28" w:type="dxa"/>
        </w:tblCellMar>
      </w:tblPr>
      <w:tblGrid>
        <w:gridCol w:w="239"/>
        <w:gridCol w:w="210"/>
        <w:gridCol w:w="212"/>
        <w:gridCol w:w="2861"/>
        <w:gridCol w:w="2861"/>
        <w:gridCol w:w="4058"/>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4058"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4.03</w:t>
            </w:r>
            <w:r>
              <w:rPr>
                <w:color w:val="000000"/>
              </w:rPr>
              <w:t>  </w:t>
            </w:r>
          </w:p>
        </w:tc>
        <w:tc>
          <w:tcPr>
            <w:tcW w:w="97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For purposes of the Plan, a Change in Control shall mean any of the following:</w:t>
            </w:r>
          </w:p>
        </w:tc>
      </w:tr>
    </w:tbl>
    <w:tbl>
      <w:tblPr>
        <w:tblW w:w="10539" w:type="dxa"/>
        <w:jc w:val="left"/>
        <w:tblInd w:w="0" w:type="dxa"/>
        <w:tblCellMar>
          <w:top w:w="28" w:type="dxa"/>
          <w:left w:w="28" w:type="dxa"/>
          <w:bottom w:w="28" w:type="dxa"/>
          <w:right w:w="28" w:type="dxa"/>
        </w:tblCellMar>
      </w:tblPr>
      <w:tblGrid>
        <w:gridCol w:w="124"/>
        <w:gridCol w:w="109"/>
        <w:gridCol w:w="109"/>
        <w:gridCol w:w="2984"/>
        <w:gridCol w:w="2984"/>
        <w:gridCol w:w="42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4" w:type="dxa"/>
            <w:tcBorders/>
            <w:shd w:fill="auto" w:val="clear"/>
            <w:vAlign w:val="center"/>
          </w:tcPr>
          <w:p>
            <w:pPr>
              <w:pStyle w:val="TableContents"/>
              <w:spacing w:before="0" w:after="283"/>
              <w:rPr>
                <w:sz w:val="4"/>
                <w:szCs w:val="4"/>
              </w:rPr>
            </w:pPr>
            <w:r>
              <w:rPr>
                <w:sz w:val="4"/>
                <w:szCs w:val="4"/>
              </w:rPr>
            </w:r>
          </w:p>
        </w:tc>
        <w:tc>
          <w:tcPr>
            <w:tcW w:w="2984" w:type="dxa"/>
            <w:tcBorders/>
            <w:shd w:fill="auto" w:val="clear"/>
            <w:vAlign w:val="center"/>
          </w:tcPr>
          <w:p>
            <w:pPr>
              <w:pStyle w:val="TableContents"/>
              <w:spacing w:before="0" w:after="283"/>
              <w:rPr>
                <w:sz w:val="4"/>
                <w:szCs w:val="4"/>
              </w:rPr>
            </w:pPr>
            <w:r>
              <w:rPr>
                <w:sz w:val="4"/>
                <w:szCs w:val="4"/>
              </w:rPr>
            </w:r>
          </w:p>
        </w:tc>
        <w:tc>
          <w:tcPr>
            <w:tcW w:w="42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4"/>
              </w:rPr>
              <w:t>(a)    Any person or any persons acting together which would constitute a “group” for purposes of Section 13(d) of the Exchange Act, other than Tontine Capital Partners L.P. and its affiliates, the Company or any subsidiary, shall “beneficially own” (as defined in Rule 13d-3 under the Securities Exchange Act of 1934, as amended from time to time), directly or indirectly, more than fifty percent (50%) of the ordinary voting power of all classes of capital stock of the Company entitled to vote generally in the election of the Board; or</w:t>
            </w:r>
          </w:p>
        </w:tc>
      </w:tr>
    </w:tbl>
    <w:tbl>
      <w:tblPr>
        <w:tblW w:w="10539" w:type="dxa"/>
        <w:jc w:val="left"/>
        <w:tblInd w:w="0" w:type="dxa"/>
        <w:tblCellMar>
          <w:top w:w="28" w:type="dxa"/>
          <w:left w:w="28" w:type="dxa"/>
          <w:bottom w:w="28" w:type="dxa"/>
          <w:right w:w="28" w:type="dxa"/>
        </w:tblCellMar>
      </w:tblPr>
      <w:tblGrid>
        <w:gridCol w:w="124"/>
        <w:gridCol w:w="109"/>
        <w:gridCol w:w="109"/>
        <w:gridCol w:w="2983"/>
        <w:gridCol w:w="2983"/>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(b)    Current Directors (defined below) shall cease for any reason to constitute at least a majority of the members of the Board (for these purposes, a “</w:t>
            </w:r>
            <w:r>
              <w:rPr>
                <w:rFonts w:ascii="Times New Roman;sans-serif" w:hAnsi="Times New Roman;sans-serif"/>
                <w:b w:val="false"/>
                <w:color w:val="000000"/>
                <w:sz w:val="24"/>
                <w:u w:val="single"/>
              </w:rPr>
              <w:t>Current Director</w:t>
            </w:r>
            <w:r>
              <w:rPr>
                <w:color w:val="000000"/>
              </w:rPr>
              <w:t xml:space="preserve">” </w:t>
            </w:r>
            <w:r>
              <w:rPr>
                <w:rFonts w:ascii="Times New Roman;sans-serif" w:hAnsi="Times New Roman;sans-serif"/>
                <w:b w:val="false"/>
                <w:color w:val="000000"/>
                <w:sz w:val="24"/>
              </w:rPr>
              <w:t>means, as of the date of determination, any person who (1) was a member of the Board on the date that the Company’s Joint Plan of Reorganization under Chapter 11 of the United States Bankruptcy Code became effective or (2) was nominated for election or elected to the Board with the affirmative vote of a majority of the current directors who were members of the Board at the time of such nomination or election), or at any meeting of the stockholders of the Company called for the purpose of electing directors, a majority of the persons nominated by the Board for election as directors shall fail to be elected; or</w:t>
            </w:r>
          </w:p>
        </w:tc>
      </w:tr>
    </w:tbl>
    <w:p>
      <w:pPr>
        <w:pStyle w:val="TextBody"/>
        <w:spacing w:lineRule="auto" w:line="288" w:before="0" w:after="120"/>
        <w:ind w:left="0" w:right="0" w:firstLine="450"/>
        <w:rPr>
          <w:rFonts w:ascii="Times New Roman;sans-serif" w:hAnsi="Times New Roman;sans-serif"/>
          <w:b w:val="false"/>
          <w:color w:val="000000"/>
          <w:sz w:val="24"/>
        </w:rPr>
      </w:pPr>
      <w:r>
        <w:rPr>
          <w:rFonts w:ascii="Times New Roman;sans-serif" w:hAnsi="Times New Roman;sans-serif"/>
          <w:b w:val="false"/>
          <w:color w:val="000000"/>
          <w:sz w:val="24"/>
        </w:rPr>
        <w:t>(c)    The consummation of a sale, lease, exchange or other disposition (in one transaction or a series of transactions) of all or substantially all of the assets of the Company; provided, however,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pStyle w:val="TextBody"/>
        <w:spacing w:lineRule="auto" w:line="288" w:before="0" w:after="0"/>
        <w:rPr>
          <w:color w:val="000000"/>
        </w:rPr>
      </w:pPr>
      <w:r>
        <w:rPr>
          <w:color w:val="000000"/>
        </w:rPr>
        <w:t> </w:t>
      </w:r>
    </w:p>
    <w:p>
      <w:pPr>
        <w:pStyle w:val="TextBody"/>
        <w:spacing w:lineRule="auto" w:line="288" w:before="0" w:after="0"/>
        <w:ind w:left="0" w:right="0" w:firstLine="450"/>
        <w:rPr>
          <w:color w:val="000000"/>
        </w:rPr>
      </w:pPr>
      <w:r>
        <w:rPr>
          <w:color w:val="000000"/>
        </w:rPr>
        <w:t>  </w:t>
      </w:r>
      <w:r>
        <w:rPr>
          <w:rFonts w:ascii="Times New Roman;sans-serif" w:hAnsi="Times New Roman;sans-serif"/>
          <w:b w:val="false"/>
          <w:color w:val="000000"/>
          <w:sz w:val="24"/>
        </w:rPr>
        <w:t>Notwithstanding the above definition, with respect to any payment or acceleration hereunder that is subject to Section 409A of the Internal Revenue Code of 1986, as amended (the “Code”), Change in Control shall mean a “change in control event” within the meaning of Section 409A of the Code and the Treasury Regulations thereunder.</w:t>
      </w:r>
    </w:p>
    <w:p>
      <w:pPr>
        <w:pStyle w:val="TextBody"/>
        <w:spacing w:lineRule="auto" w:line="288" w:before="0" w:after="0"/>
        <w:rPr>
          <w:color w:val="000000"/>
        </w:rPr>
      </w:pPr>
      <w:r>
        <w:rPr>
          <w:color w:val="000000"/>
        </w:rPr>
        <w:t> </w:t>
      </w:r>
    </w:p>
    <w:tbl>
      <w:tblPr>
        <w:tblW w:w="833" w:type="dxa"/>
        <w:jc w:val="left"/>
        <w:tblInd w:w="0" w:type="dxa"/>
        <w:tblCellMar>
          <w:top w:w="28" w:type="dxa"/>
          <w:left w:w="28" w:type="dxa"/>
          <w:bottom w:w="28" w:type="dxa"/>
          <w:right w:w="28" w:type="dxa"/>
        </w:tblCellMar>
      </w:tblPr>
      <w:tblGrid>
        <w:gridCol w:w="124"/>
        <w:gridCol w:w="109"/>
        <w:gridCol w:w="109"/>
        <w:gridCol w:w="143"/>
        <w:gridCol w:w="143"/>
        <w:gridCol w:w="20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91" w:type="dxa"/>
            <w:gridSpan w:val="3"/>
            <w:tcBorders/>
            <w:shd w:fill="auto" w:val="clear"/>
            <w:tcMar>
              <w:top w:w="0" w:type="dxa"/>
              <w:left w:w="0" w:type="dxa"/>
              <w:bottom w:w="0" w:type="dxa"/>
              <w:right w:w="0" w:type="dxa"/>
            </w:tcMar>
            <w:vAlign w:val="center"/>
          </w:tcPr>
          <w:p>
            <w:pPr>
              <w:pStyle w:val="TableContents"/>
              <w:spacing w:lineRule="auto" w:line="319" w:before="0" w:after="2"/>
              <w:jc w:val="left"/>
              <w:rPr>
                <w:color w:val="000000"/>
              </w:rPr>
            </w:pPr>
            <w:r>
              <w:rPr>
                <w:color w:val="000000"/>
              </w:rPr>
              <w:t>      </w:t>
            </w:r>
          </w:p>
        </w:tc>
      </w:tr>
    </w:tbl>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247015"/>
                <wp:effectExtent l="0" t="0" r="0" b="0"/>
                <wp:wrapNone/>
                <wp:docPr id="83" name="Frame82"/>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5</w:t>
                      </w:r>
                    </w:p>
                  </w:txbxContent>
                </v:textbox>
              </v:rect>
            </w:pict>
          </mc:Fallback>
        </mc:AlternateContent>
      </w:r>
    </w:p>
    <w:p>
      <w:pPr>
        <w:pStyle w:val="TextBody"/>
        <w:spacing w:before="0" w:after="2"/>
        <w:rPr/>
      </w:pPr>
      <w:r>
        <w:rPr/>
      </w:r>
    </w:p>
    <w:p>
      <w:pPr>
        <w:pStyle w:val="TextBody"/>
        <w:spacing w:before="0" w:after="2"/>
        <w:jc w:val="right"/>
        <w:rPr/>
      </w:pPr>
      <w:r>
        <w:rPr/>
      </w:r>
    </w:p>
    <w:tbl>
      <w:tblPr>
        <w:tblW w:w="10539" w:type="dxa"/>
        <w:jc w:val="left"/>
        <w:tblInd w:w="0" w:type="dxa"/>
        <w:tblCellMar>
          <w:top w:w="28" w:type="dxa"/>
          <w:left w:w="28" w:type="dxa"/>
          <w:bottom w:w="28" w:type="dxa"/>
          <w:right w:w="28" w:type="dxa"/>
        </w:tblCellMar>
      </w:tblPr>
      <w:tblGrid>
        <w:gridCol w:w="239"/>
        <w:gridCol w:w="210"/>
        <w:gridCol w:w="212"/>
        <w:gridCol w:w="2893"/>
        <w:gridCol w:w="2893"/>
        <w:gridCol w:w="4092"/>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4092"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4.04</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u w:val="single"/>
              </w:rPr>
              <w:t>Death or Disability</w:t>
            </w:r>
            <w:r>
              <w:rPr>
                <w:rFonts w:ascii="Times New Roman;sans-serif" w:hAnsi="Times New Roman;sans-serif"/>
                <w:b w:val="false"/>
                <w:color w:val="000000"/>
                <w:sz w:val="24"/>
              </w:rPr>
              <w:t>.  If a Covered Executive’s employment terminates by reason of death or Disability, the Covered Executive or his or her estate (as the case may be) shall be entitled to receive the following:</w:t>
            </w:r>
          </w:p>
        </w:tc>
      </w:tr>
    </w:tbl>
    <w:tbl>
      <w:tblPr>
        <w:tblW w:w="9972" w:type="dxa"/>
        <w:jc w:val="left"/>
        <w:tblInd w:w="0" w:type="dxa"/>
        <w:tblCellMar>
          <w:top w:w="28" w:type="dxa"/>
          <w:left w:w="28" w:type="dxa"/>
          <w:bottom w:w="28" w:type="dxa"/>
          <w:right w:w="28" w:type="dxa"/>
        </w:tblCellMar>
      </w:tblPr>
      <w:tblGrid>
        <w:gridCol w:w="124"/>
        <w:gridCol w:w="109"/>
        <w:gridCol w:w="109"/>
        <w:gridCol w:w="2821"/>
        <w:gridCol w:w="2821"/>
        <w:gridCol w:w="39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1" w:type="dxa"/>
            <w:tcBorders/>
            <w:shd w:fill="auto" w:val="clear"/>
            <w:vAlign w:val="center"/>
          </w:tcPr>
          <w:p>
            <w:pPr>
              <w:pStyle w:val="TableContents"/>
              <w:spacing w:before="0" w:after="283"/>
              <w:rPr>
                <w:sz w:val="4"/>
                <w:szCs w:val="4"/>
              </w:rPr>
            </w:pPr>
            <w:r>
              <w:rPr>
                <w:sz w:val="4"/>
                <w:szCs w:val="4"/>
              </w:rPr>
            </w:r>
          </w:p>
        </w:tc>
        <w:tc>
          <w:tcPr>
            <w:tcW w:w="2821" w:type="dxa"/>
            <w:tcBorders/>
            <w:shd w:fill="auto" w:val="clear"/>
            <w:vAlign w:val="center"/>
          </w:tcPr>
          <w:p>
            <w:pPr>
              <w:pStyle w:val="TableContents"/>
              <w:spacing w:before="0" w:after="283"/>
              <w:rPr>
                <w:sz w:val="4"/>
                <w:szCs w:val="4"/>
              </w:rPr>
            </w:pPr>
            <w:r>
              <w:rPr>
                <w:sz w:val="4"/>
                <w:szCs w:val="4"/>
              </w:rPr>
            </w:r>
          </w:p>
        </w:tc>
        <w:tc>
          <w:tcPr>
            <w:tcW w:w="39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96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Accrued Rights</w:t>
            </w:r>
            <w:r>
              <w:rPr>
                <w:rFonts w:ascii="Times New Roman;sans-serif" w:hAnsi="Times New Roman;sans-serif"/>
                <w:b w:val="false"/>
                <w:color w:val="000000"/>
                <w:sz w:val="24"/>
              </w:rPr>
              <w:t>.  Without regard to Section 3.02, the Covered Executive’s Accrued Rights.</w:t>
            </w:r>
          </w:p>
        </w:tc>
      </w:tr>
    </w:tbl>
    <w:tbl>
      <w:tblPr>
        <w:tblW w:w="10539" w:type="dxa"/>
        <w:jc w:val="left"/>
        <w:tblInd w:w="0" w:type="dxa"/>
        <w:tblCellMar>
          <w:top w:w="28" w:type="dxa"/>
          <w:left w:w="28" w:type="dxa"/>
          <w:bottom w:w="28" w:type="dxa"/>
          <w:right w:w="28" w:type="dxa"/>
        </w:tblCellMar>
      </w:tblPr>
      <w:tblGrid>
        <w:gridCol w:w="124"/>
        <w:gridCol w:w="109"/>
        <w:gridCol w:w="109"/>
        <w:gridCol w:w="2982"/>
        <w:gridCol w:w="2982"/>
        <w:gridCol w:w="42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42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Any unpaid Annual Bonus that has been “earned” for the immediately preceding fiscal year plus an Annual Bonus for the current fiscal year, pro rated based on the percentage of the current fiscal year that shall have elapsed through the date of termination.  The amount of any such Annual Bonus(es) shall be as determined by the Committee, including its determination of the extent the performance objectives, if any, for such fiscal year have been achieved.  Such Annual Bonus(es) shall be payable (i) at the same time(s) that the annual bonus(es) for such respective fiscal year(s) are paid to other similar executives of the Company (or Participating Affiliates) or (ii) on the date immediately following the date the Release provided in Section 3.02 becomes irrevocable, whichever shall later occur.</w:t>
            </w:r>
          </w:p>
        </w:tc>
      </w:tr>
    </w:tbl>
    <w:tbl>
      <w:tblPr>
        <w:tblW w:w="10539" w:type="dxa"/>
        <w:jc w:val="left"/>
        <w:tblInd w:w="0" w:type="dxa"/>
        <w:tblCellMar>
          <w:top w:w="28" w:type="dxa"/>
          <w:left w:w="28" w:type="dxa"/>
          <w:bottom w:w="28" w:type="dxa"/>
          <w:right w:w="28" w:type="dxa"/>
        </w:tblCellMar>
      </w:tblPr>
      <w:tblGrid>
        <w:gridCol w:w="124"/>
        <w:gridCol w:w="109"/>
        <w:gridCol w:w="109"/>
        <w:gridCol w:w="2987"/>
        <w:gridCol w:w="2987"/>
        <w:gridCol w:w="4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4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Awards</w:t>
            </w:r>
            <w:r>
              <w:rPr>
                <w:rFonts w:ascii="Times New Roman;sans-serif" w:hAnsi="Times New Roman;sans-serif"/>
                <w:b w:val="false"/>
                <w:color w:val="000000"/>
                <w:sz w:val="24"/>
              </w:rPr>
              <w:t>.  All of the Covered Executive’s then outstanding unvested incentive, performance and equity-based awards (including, but not limited to, any unvested options, restricted stock, performance and phantom share units and stock appreciation rights then outstanding under the LTIP or any other equity plan subsequently adopted by the Company) shall vest in full, assuming any vesting requirements in such awards that are based on performance were achieved at maximum levels, and payment made thereon, if applicable, on the date immediately following the date the Release provided in Section 3.02 becomes irrevocable.  Prior to such date, any unvested award(s) shall not be forfeited due to the Covered Executive’s termination of employment, notwithstanding anything in the applicable grant agreement(s) to the contrary; provided, however, any stock options or stock appreciation rights shall continue to be exercisable for the lesser of (i) twelve (12) months following the Covered Executive’s termination or (ii) the term of such awards.</w:t>
            </w:r>
          </w:p>
        </w:tc>
      </w:tr>
    </w:tbl>
    <w:tbl>
      <w:tblPr>
        <w:tblW w:w="10539" w:type="dxa"/>
        <w:jc w:val="left"/>
        <w:tblInd w:w="0" w:type="dxa"/>
        <w:tblCellMar>
          <w:top w:w="28" w:type="dxa"/>
          <w:left w:w="28" w:type="dxa"/>
          <w:bottom w:w="28" w:type="dxa"/>
          <w:right w:w="28" w:type="dxa"/>
        </w:tblCellMar>
      </w:tblPr>
      <w:tblGrid>
        <w:gridCol w:w="124"/>
        <w:gridCol w:w="109"/>
        <w:gridCol w:w="109"/>
        <w:gridCol w:w="2986"/>
        <w:gridCol w:w="2986"/>
        <w:gridCol w:w="42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42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COBRA</w:t>
            </w:r>
            <w:r>
              <w:rPr>
                <w:rFonts w:ascii="Times New Roman;sans-serif" w:hAnsi="Times New Roman;sans-serif"/>
                <w:b w:val="false"/>
                <w:color w:val="000000"/>
                <w:sz w:val="24"/>
              </w:rPr>
              <w:t>.  An amount, paid on the first business day of each month, equal to 100% of the applicable monthly COBRA premium under the Company’s (or Participating Affiliate’s) group health plan for the coverage elected by the Covered Executive and his or her eligible dependents, continued for the lesser of (i) twelve (12) months or (ii) until such COBRA coverage for the Covered Executive (and his or her dependents) terminates.</w:t>
            </w:r>
          </w:p>
        </w:tc>
      </w:tr>
    </w:tbl>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247015"/>
                <wp:effectExtent l="0" t="0" r="0" b="0"/>
                <wp:wrapNone/>
                <wp:docPr id="84" name="Frame83"/>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6</w:t>
                      </w:r>
                    </w:p>
                  </w:txbxContent>
                </v:textbox>
              </v:rect>
            </w:pict>
          </mc:Fallback>
        </mc:AlternateContent>
      </w:r>
    </w:p>
    <w:p>
      <w:pPr>
        <w:pStyle w:val="TextBody"/>
        <w:spacing w:before="0" w:after="2"/>
        <w:rPr/>
      </w:pPr>
      <w:r>
        <w:rPr/>
      </w:r>
    </w:p>
    <w:p>
      <w:pPr>
        <w:pStyle w:val="TextBody"/>
        <w:spacing w:before="0" w:after="2"/>
        <w:jc w:val="right"/>
        <w:rPr/>
      </w:pPr>
      <w:r>
        <w:rPr/>
      </w:r>
    </w:p>
    <w:tbl>
      <w:tblPr>
        <w:tblW w:w="10539" w:type="dxa"/>
        <w:jc w:val="left"/>
        <w:tblInd w:w="0" w:type="dxa"/>
        <w:tblCellMar>
          <w:top w:w="28" w:type="dxa"/>
          <w:left w:w="28" w:type="dxa"/>
          <w:bottom w:w="28" w:type="dxa"/>
          <w:right w:w="28" w:type="dxa"/>
        </w:tblCellMar>
      </w:tblPr>
      <w:tblGrid>
        <w:gridCol w:w="124"/>
        <w:gridCol w:w="109"/>
        <w:gridCol w:w="109"/>
        <w:gridCol w:w="2985"/>
        <w:gridCol w:w="2985"/>
        <w:gridCol w:w="42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42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4"/>
              </w:rPr>
              <w:t>(e)    Any question as to the existence of the Disability of the Covered Executive as to which the Covered Executive and the Company cannot agree shall be determined in writing by a qualified independent physician mutually acceptable to the Covered Executive and the Company.  If the Covered Executive and the Company cannot agree as to a qualified independent physician, each shall appoint such a physician and those two physicians shall select a third who shall make such determination in writing.  The determination of Disability made in writing to the Company and the Covered Executive shall be final and conclusive for all purposes of the Agreement.</w:t>
            </w:r>
          </w:p>
        </w:tc>
      </w:tr>
    </w:tbl>
    <w:tbl>
      <w:tblPr>
        <w:tblW w:w="10539" w:type="dxa"/>
        <w:jc w:val="left"/>
        <w:tblInd w:w="0" w:type="dxa"/>
        <w:tblCellMar>
          <w:top w:w="28" w:type="dxa"/>
          <w:left w:w="28" w:type="dxa"/>
          <w:bottom w:w="28" w:type="dxa"/>
          <w:right w:w="28" w:type="dxa"/>
        </w:tblCellMar>
      </w:tblPr>
      <w:tblGrid>
        <w:gridCol w:w="124"/>
        <w:gridCol w:w="109"/>
        <w:gridCol w:w="109"/>
        <w:gridCol w:w="2984"/>
        <w:gridCol w:w="2984"/>
        <w:gridCol w:w="42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4" w:type="dxa"/>
            <w:tcBorders/>
            <w:shd w:fill="auto" w:val="clear"/>
            <w:vAlign w:val="center"/>
          </w:tcPr>
          <w:p>
            <w:pPr>
              <w:pStyle w:val="TableContents"/>
              <w:spacing w:before="0" w:after="283"/>
              <w:rPr>
                <w:sz w:val="4"/>
                <w:szCs w:val="4"/>
              </w:rPr>
            </w:pPr>
            <w:r>
              <w:rPr>
                <w:sz w:val="4"/>
                <w:szCs w:val="4"/>
              </w:rPr>
            </w:r>
          </w:p>
        </w:tc>
        <w:tc>
          <w:tcPr>
            <w:tcW w:w="2984" w:type="dxa"/>
            <w:tcBorders/>
            <w:shd w:fill="auto" w:val="clear"/>
            <w:vAlign w:val="center"/>
          </w:tcPr>
          <w:p>
            <w:pPr>
              <w:pStyle w:val="TableContents"/>
              <w:spacing w:before="0" w:after="283"/>
              <w:rPr>
                <w:sz w:val="4"/>
                <w:szCs w:val="4"/>
              </w:rPr>
            </w:pPr>
            <w:r>
              <w:rPr>
                <w:sz w:val="4"/>
                <w:szCs w:val="4"/>
              </w:rPr>
            </w:r>
          </w:p>
        </w:tc>
        <w:tc>
          <w:tcPr>
            <w:tcW w:w="42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4"/>
              </w:rPr>
              <w:t>(f)    If a Covered Executive dies after his or her Qualifying Termination or a termination of the Covered Executive’s employment by reason of his or her Disability and prior to the payment of all severance payments and benefits due under this Plan (the Covered Executive shall be deemed to have complied with Section 3.02 if his or her death occurs prior to the end of the period for executing the Release), the remaining payments shall be paid to his or her estate and the COBRA benefits shall continue as provided above.</w:t>
            </w:r>
          </w:p>
        </w:tc>
      </w:tr>
    </w:tbl>
    <w:tbl>
      <w:tblPr>
        <w:tblW w:w="10539" w:type="dxa"/>
        <w:jc w:val="left"/>
        <w:tblInd w:w="0" w:type="dxa"/>
        <w:tblCellMar>
          <w:top w:w="28" w:type="dxa"/>
          <w:left w:w="28" w:type="dxa"/>
          <w:bottom w:w="28" w:type="dxa"/>
          <w:right w:w="28" w:type="dxa"/>
        </w:tblCellMar>
      </w:tblPr>
      <w:tblGrid>
        <w:gridCol w:w="239"/>
        <w:gridCol w:w="210"/>
        <w:gridCol w:w="212"/>
        <w:gridCol w:w="2892"/>
        <w:gridCol w:w="2892"/>
        <w:gridCol w:w="4094"/>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92" w:type="dxa"/>
            <w:tcBorders/>
            <w:shd w:fill="auto" w:val="clear"/>
            <w:vAlign w:val="center"/>
          </w:tcPr>
          <w:p>
            <w:pPr>
              <w:pStyle w:val="TableContents"/>
              <w:spacing w:before="0" w:after="283"/>
              <w:rPr>
                <w:sz w:val="4"/>
                <w:szCs w:val="4"/>
              </w:rPr>
            </w:pPr>
            <w:r>
              <w:rPr>
                <w:sz w:val="4"/>
                <w:szCs w:val="4"/>
              </w:rPr>
            </w:r>
          </w:p>
        </w:tc>
        <w:tc>
          <w:tcPr>
            <w:tcW w:w="2892" w:type="dxa"/>
            <w:tcBorders/>
            <w:shd w:fill="auto" w:val="clear"/>
            <w:vAlign w:val="center"/>
          </w:tcPr>
          <w:p>
            <w:pPr>
              <w:pStyle w:val="TableContents"/>
              <w:spacing w:before="0" w:after="283"/>
              <w:rPr>
                <w:sz w:val="4"/>
                <w:szCs w:val="4"/>
              </w:rPr>
            </w:pPr>
            <w:r>
              <w:rPr>
                <w:sz w:val="4"/>
                <w:szCs w:val="4"/>
              </w:rPr>
            </w:r>
          </w:p>
        </w:tc>
        <w:tc>
          <w:tcPr>
            <w:tcW w:w="409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4.05</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u w:val="single"/>
              </w:rPr>
              <w:t>Parachute Tax Cut-Back</w:t>
            </w:r>
            <w:r>
              <w:rPr>
                <w:rFonts w:ascii="Times New Roman;sans-serif" w:hAnsi="Times New Roman;sans-serif"/>
                <w:b w:val="false"/>
                <w:color w:val="000000"/>
                <w:sz w:val="24"/>
              </w:rPr>
              <w:t>.  Notwithstanding anything in this Plan to the contrary, if the Covered Executive is a “disqualified individual” (as defined in Section 280G(c) of the Code), and the payments and benefits to be provided to Covered Executive under this Plan, together with any other payments and benefits to which the Covered Executive has the right to receive from the Company or any other person, would constitute a “parachute payment” (as defined in Section 280G(b)(2) of the Code), then the payments and benefits to be provided under this Plan either (a) shall be reduced (but not below zero) so that the present value of such total amounts and benefits received by the Covered Executive will be $1.00 less than three (3) times the Covered Executive’s “base amount” (as defined in Section 280G(b)(3) of the Code), so that no portion of the amounts to be received will be subject to the excise tax imposed by Section 4999 of the Code or (b) shall be paid in full, whichever result produces the better “net after-tax” benefit to the Covered Executive (taking into account all applicable taxes, including excise tax under Section 4999 of the Code).  The reduction of payments and benefits hereunder, if applicable, shall be made by reducing, first, payments to be paid in cash hereunder (beginning with such payment that would be made last in time and continuing, to the extent necessary, through to such payment that would be made first in time) and, then, reducing any benefits to be provided hereunder in-kind in a similar order.  The determination as to whether any such reduction in the amount of the payments and benefits provided hereunder is necessary shall be made by the Company in good faith.</w:t>
            </w:r>
          </w:p>
        </w:tc>
      </w:tr>
    </w:tbl>
    <w:p>
      <w:pPr>
        <w:pStyle w:val="TextBody"/>
        <w:spacing w:before="0" w:after="2"/>
        <w:rPr/>
      </w:pPr>
      <w:r>
        <w:rPr/>
      </w:r>
    </w:p>
    <w:p>
      <w:pPr>
        <w:pStyle w:val="TextBody"/>
        <w:spacing w:lineRule="auto" w:line="319" w:before="0" w:after="2"/>
        <w:rPr>
          <w:rFonts w:ascii="Times New Roman;sans-serif" w:hAnsi="Times New Roman;sans-serif"/>
          <w:b/>
          <w:color w:val="000000"/>
          <w:sz w:val="24"/>
        </w:rPr>
      </w:pPr>
      <w:r>
        <w:rPr>
          <w:rFonts w:ascii="Times New Roman;sans-serif" w:hAnsi="Times New Roman;sans-serif"/>
          <w:b/>
          <w:color w:val="000000"/>
          <w:sz w:val="24"/>
        </w:rPr>
        <w:t>5.   TIME OF PAYMENT/SECTION 409A COMPLIANCE.</w:t>
      </w:r>
    </w:p>
    <w:p>
      <w:pPr>
        <w:pStyle w:val="TextBody"/>
        <w:spacing w:lineRule="auto" w:line="288" w:before="0" w:after="0"/>
        <w:rPr>
          <w:color w:val="696969"/>
        </w:rPr>
      </w:pPr>
      <w:r>
        <w:rPr>
          <w:color w:val="696969"/>
        </w:rPr>
        <w:t> </w:t>
      </w:r>
    </w:p>
    <w:tbl>
      <w:tblPr>
        <w:tblW w:w="10539" w:type="dxa"/>
        <w:jc w:val="left"/>
        <w:tblInd w:w="0" w:type="dxa"/>
        <w:tblCellMar>
          <w:top w:w="28" w:type="dxa"/>
          <w:left w:w="28" w:type="dxa"/>
          <w:bottom w:w="28" w:type="dxa"/>
          <w:right w:w="28" w:type="dxa"/>
        </w:tblCellMar>
      </w:tblPr>
      <w:tblGrid>
        <w:gridCol w:w="239"/>
        <w:gridCol w:w="210"/>
        <w:gridCol w:w="212"/>
        <w:gridCol w:w="2891"/>
        <w:gridCol w:w="2891"/>
        <w:gridCol w:w="4096"/>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5.01</w:t>
            </w:r>
            <w:r>
              <w:rPr>
                <w:color w:val="000000"/>
              </w:rPr>
              <w:t>  </w:t>
            </w:r>
          </w:p>
        </w:tc>
        <w:tc>
          <w:tcPr>
            <w:tcW w:w="987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Subject to Section 5.02, the payments due, if any, pursuant to Sections 4.01 and 4.02 hereof shall be made as provided therein.</w:t>
            </w:r>
          </w:p>
        </w:tc>
      </w:tr>
    </w:tbl>
    <w:p>
      <w:pPr>
        <w:pStyle w:val="TextBody"/>
        <w:spacing w:before="0" w:after="200"/>
        <w:rPr/>
      </w:pPr>
      <w:r>
        <w:br w:type="page"/>
      </w: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247015"/>
                <wp:effectExtent l="0" t="0" r="0" b="0"/>
                <wp:wrapNone/>
                <wp:docPr id="85" name="Frame84"/>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7</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color w:val="000000"/>
        </w:rPr>
      </w:pPr>
      <w:r>
        <w:rPr>
          <w:color w:val="000000"/>
        </w:rPr>
        <w:t>   </w:t>
      </w:r>
    </w:p>
    <w:tbl>
      <w:tblPr>
        <w:tblW w:w="2850" w:type="dxa"/>
        <w:jc w:val="left"/>
        <w:tblInd w:w="0" w:type="dxa"/>
        <w:tblCellMar>
          <w:top w:w="28" w:type="dxa"/>
          <w:left w:w="28" w:type="dxa"/>
          <w:bottom w:w="28" w:type="dxa"/>
          <w:right w:w="28" w:type="dxa"/>
        </w:tblCellMar>
      </w:tblPr>
      <w:tblGrid>
        <w:gridCol w:w="239"/>
        <w:gridCol w:w="210"/>
        <w:gridCol w:w="212"/>
        <w:gridCol w:w="640"/>
        <w:gridCol w:w="640"/>
        <w:gridCol w:w="909"/>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5.02</w:t>
            </w: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u w:val="single"/>
              </w:rPr>
              <w:t>409A Compliance</w:t>
            </w:r>
            <w:r>
              <w:rPr>
                <w:rFonts w:ascii="Times New Roman;sans-serif" w:hAnsi="Times New Roman;sans-serif"/>
                <w:b w:val="false"/>
                <w:color w:val="000000"/>
                <w:sz w:val="24"/>
              </w:rPr>
              <w:t>.</w:t>
            </w:r>
          </w:p>
        </w:tc>
      </w:tr>
    </w:tbl>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124"/>
        <w:gridCol w:w="109"/>
        <w:gridCol w:w="109"/>
        <w:gridCol w:w="2985"/>
        <w:gridCol w:w="2985"/>
        <w:gridCol w:w="42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42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Required Delay</w:t>
            </w:r>
            <w:r>
              <w:rPr>
                <w:rFonts w:ascii="Times New Roman;sans-serif" w:hAnsi="Times New Roman;sans-serif"/>
                <w:b w:val="false"/>
                <w:color w:val="000000"/>
                <w:sz w:val="24"/>
              </w:rPr>
              <w:t>.  Notwithstanding anything in the Plan to the contrary concerning the time of payment of any severance benefit, if the Covered Executive is a “specified employee,” as defined in Treas. Reg. § 1.409A-1(i), as of his or her termination of employment, then to the extent an amount payable under the Plan to such Covered Executive upon or as a result of his or her “separation from service” would be subject to the additional tax provided by Section 409A of the Code, such amount shall not be paid to the Covered Executive until the date that is six (6) months after the date of his or her Qualifying Termination (or, if earlier, his or her date of death).  Such delayed payment shall be made in a lump sum on such delayed payment date and shall bear interest at the applicable short-term federal rate (as defined in Section 7872(f)(2)(A) of the Code) as of the date of the termination of employment from the date payment was otherwise to be made under Section 4 and the date the delayed amount is actually paid.  Severance payments and benefits that are not subject to such Section 409A of the Code additional tax shall not be subject to this delay.</w:t>
            </w:r>
          </w:p>
        </w:tc>
      </w:tr>
    </w:tbl>
    <w:tbl>
      <w:tblPr>
        <w:tblW w:w="10539" w:type="dxa"/>
        <w:jc w:val="left"/>
        <w:tblInd w:w="0" w:type="dxa"/>
        <w:tblCellMar>
          <w:top w:w="28" w:type="dxa"/>
          <w:left w:w="28" w:type="dxa"/>
          <w:bottom w:w="28" w:type="dxa"/>
          <w:right w:w="28" w:type="dxa"/>
        </w:tblCellMar>
      </w:tblPr>
      <w:tblGrid>
        <w:gridCol w:w="124"/>
        <w:gridCol w:w="109"/>
        <w:gridCol w:w="109"/>
        <w:gridCol w:w="2984"/>
        <w:gridCol w:w="2984"/>
        <w:gridCol w:w="42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4" w:type="dxa"/>
            <w:tcBorders/>
            <w:shd w:fill="auto" w:val="clear"/>
            <w:vAlign w:val="center"/>
          </w:tcPr>
          <w:p>
            <w:pPr>
              <w:pStyle w:val="TableContents"/>
              <w:spacing w:before="0" w:after="283"/>
              <w:rPr>
                <w:sz w:val="4"/>
                <w:szCs w:val="4"/>
              </w:rPr>
            </w:pPr>
            <w:r>
              <w:rPr>
                <w:sz w:val="4"/>
                <w:szCs w:val="4"/>
              </w:rPr>
            </w:r>
          </w:p>
        </w:tc>
        <w:tc>
          <w:tcPr>
            <w:tcW w:w="2984" w:type="dxa"/>
            <w:tcBorders/>
            <w:shd w:fill="auto" w:val="clear"/>
            <w:vAlign w:val="center"/>
          </w:tcPr>
          <w:p>
            <w:pPr>
              <w:pStyle w:val="TableContents"/>
              <w:spacing w:before="0" w:after="283"/>
              <w:rPr>
                <w:sz w:val="4"/>
                <w:szCs w:val="4"/>
              </w:rPr>
            </w:pPr>
            <w:r>
              <w:rPr>
                <w:sz w:val="4"/>
                <w:szCs w:val="4"/>
              </w:rPr>
            </w:r>
          </w:p>
        </w:tc>
        <w:tc>
          <w:tcPr>
            <w:tcW w:w="42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Separate Payments</w:t>
            </w:r>
            <w:r>
              <w:rPr>
                <w:rFonts w:ascii="Times New Roman;sans-serif" w:hAnsi="Times New Roman;sans-serif"/>
                <w:b w:val="false"/>
                <w:color w:val="000000"/>
                <w:sz w:val="24"/>
              </w:rPr>
              <w:t>.  To the extent permitted under Section 409A of the Code and the applicable Treasury Regulations thereunder, each payment to a Covered Executive under the Plan shall be treated as a “separate payment.”</w:t>
            </w:r>
          </w:p>
        </w:tc>
      </w:tr>
    </w:tbl>
    <w:tbl>
      <w:tblPr>
        <w:tblW w:w="10539" w:type="dxa"/>
        <w:jc w:val="left"/>
        <w:tblInd w:w="0" w:type="dxa"/>
        <w:tblCellMar>
          <w:top w:w="28" w:type="dxa"/>
          <w:left w:w="28" w:type="dxa"/>
          <w:bottom w:w="28" w:type="dxa"/>
          <w:right w:w="28" w:type="dxa"/>
        </w:tblCellMar>
      </w:tblPr>
      <w:tblGrid>
        <w:gridCol w:w="124"/>
        <w:gridCol w:w="109"/>
        <w:gridCol w:w="109"/>
        <w:gridCol w:w="2987"/>
        <w:gridCol w:w="2987"/>
        <w:gridCol w:w="4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4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Reimbursements</w:t>
            </w:r>
            <w:r>
              <w:rPr>
                <w:rFonts w:ascii="Times New Roman;sans-serif" w:hAnsi="Times New Roman;sans-serif"/>
                <w:b w:val="false"/>
                <w:color w:val="000000"/>
                <w:sz w:val="24"/>
              </w:rPr>
              <w:t>.  Any severance payment or benefit under this Plan to which Section 409A of the Code applies that constitutes a reimbursement or the in-kind benefit shall be subject to the following:  (i) the amount of expenses eligible for reimbursement or in-kind benefits provided during the Covered Executive’s taxable year may not affect the expenses eligible for reimbursement, or in-kind benefits to be provided, in any other taxable year (this requirement shall not apply to an arrangement that provides for the reimbursement of expenses referred to in Section 105(b) of the Code); (ii) the reimbursement of an eligible expense shall be made on or before the last day of the Covered Executive’s taxable year following the taxable year in which the expense was incurred; and (iii) the right to reimbursement or to receive an in-kind benefit shall not be subject to liquidation or exchange by the Covered Executive for other payment or benefit.</w:t>
            </w:r>
          </w:p>
        </w:tc>
      </w:tr>
    </w:tbl>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247015"/>
                <wp:effectExtent l="0" t="0" r="0" b="0"/>
                <wp:wrapNone/>
                <wp:docPr id="86" name="Frame85"/>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8</w:t>
                      </w:r>
                    </w:p>
                  </w:txbxContent>
                </v:textbox>
              </v:rect>
            </w:pict>
          </mc:Fallback>
        </mc:AlternateContent>
      </w:r>
    </w:p>
    <w:p>
      <w:pPr>
        <w:pStyle w:val="TextBody"/>
        <w:spacing w:before="0" w:after="2"/>
        <w:rPr/>
      </w:pPr>
      <w:r>
        <w:rPr/>
      </w:r>
    </w:p>
    <w:p>
      <w:pPr>
        <w:pStyle w:val="TextBody"/>
        <w:spacing w:before="0" w:after="2"/>
        <w:jc w:val="right"/>
        <w:rPr/>
      </w:pPr>
      <w:r>
        <w:rPr/>
      </w:r>
    </w:p>
    <w:tbl>
      <w:tblPr>
        <w:tblW w:w="10539" w:type="dxa"/>
        <w:jc w:val="left"/>
        <w:tblInd w:w="0" w:type="dxa"/>
        <w:tblCellMar>
          <w:top w:w="28" w:type="dxa"/>
          <w:left w:w="28" w:type="dxa"/>
          <w:bottom w:w="28" w:type="dxa"/>
          <w:right w:w="28" w:type="dxa"/>
        </w:tblCellMar>
      </w:tblPr>
      <w:tblGrid>
        <w:gridCol w:w="124"/>
        <w:gridCol w:w="109"/>
        <w:gridCol w:w="109"/>
        <w:gridCol w:w="2985"/>
        <w:gridCol w:w="2985"/>
        <w:gridCol w:w="42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42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Timing of Certain Payments</w:t>
            </w:r>
            <w:r>
              <w:rPr>
                <w:rFonts w:ascii="Times New Roman;sans-serif" w:hAnsi="Times New Roman;sans-serif"/>
                <w:b w:val="false"/>
                <w:color w:val="000000"/>
                <w:sz w:val="24"/>
              </w:rPr>
              <w:t>.  Notwithstanding anything in the Plan to the contrary (i) if it is determined that the payment under Section 4.02 (b) is a “substitution” payment under Section 409A of the Code, such payment will be made in the same form and at the same time as the “substituted payment” would have been made; and (ii) if any payments or benefits are conditioned on the Release becoming irrevocable, the first payment shall include all amounts that would otherwise have been paid to the Covered Executive during the period beginning on the date of his or her termination of employment and ending on the payment date if no delay had been imposed. Provided that in the event the potential period for the Release’s irrevocable date straddles two calendar years, the earliest date on which such payment will be made is January 1</w:t>
            </w:r>
            <w:r>
              <w:rPr>
                <w:rFonts w:ascii="Times New Roman;sans-serif" w:hAnsi="Times New Roman;sans-serif"/>
                <w:b/>
                <w:color w:val="000000"/>
                <w:sz w:val="10"/>
              </w:rPr>
              <w:t>st</w:t>
            </w:r>
            <w:r>
              <w:rPr>
                <w:color w:val="000000"/>
              </w:rPr>
              <w:t xml:space="preserve"> </w:t>
            </w:r>
            <w:r>
              <w:rPr>
                <w:rFonts w:ascii="Times New Roman;sans-serif" w:hAnsi="Times New Roman;sans-serif"/>
                <w:b w:val="false"/>
                <w:color w:val="000000"/>
                <w:sz w:val="24"/>
              </w:rPr>
              <w:t>of the year following the Covered Executive’s termination.</w:t>
            </w:r>
          </w:p>
        </w:tc>
      </w:tr>
    </w:tbl>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124"/>
        <w:gridCol w:w="109"/>
        <w:gridCol w:w="109"/>
        <w:gridCol w:w="2982"/>
        <w:gridCol w:w="2982"/>
        <w:gridCol w:w="42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42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409A Compliance</w:t>
            </w:r>
            <w:r>
              <w:rPr>
                <w:rFonts w:ascii="Times New Roman;sans-serif" w:hAnsi="Times New Roman;sans-serif"/>
                <w:b w:val="false"/>
                <w:color w:val="000000"/>
                <w:sz w:val="24"/>
              </w:rPr>
              <w:t>.  The Plan shall be construed to comply with Section 409A of the Code, to the extent applicable, and, in this regard, a “termination of employment” shall mean, and must be, a “separation from service” for purposes of Section 409A of the Code.</w:t>
            </w:r>
          </w:p>
        </w:tc>
      </w:tr>
    </w:tbl>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color w:val="000000"/>
          <w:sz w:val="24"/>
        </w:rPr>
        <w:t>6.</w:t>
      </w:r>
      <w:r>
        <w:rPr>
          <w:color w:val="000000"/>
        </w:rPr>
        <w:t>  </w:t>
      </w:r>
      <w:r>
        <w:rPr>
          <w:rFonts w:ascii="Times New Roman;sans-serif" w:hAnsi="Times New Roman;sans-serif"/>
          <w:b/>
          <w:color w:val="000000"/>
          <w:sz w:val="24"/>
        </w:rPr>
        <w:t>ADMINISTRATION.</w:t>
      </w:r>
    </w:p>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124"/>
        <w:gridCol w:w="109"/>
        <w:gridCol w:w="109"/>
        <w:gridCol w:w="2987"/>
        <w:gridCol w:w="2987"/>
        <w:gridCol w:w="4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4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shall be responsible for the administration of this Plan and shall serve as the Plan’s administrator.  The Company may appoint or employ such persons as it deems necessary to render advice with respect to any responsibility of the Company under this Plan.  The Company shall have the discretionary authority to decide all questions concerning the eligibility of any person to participate in this Plan, the right to and amount of any benefit payable under this Plan to any individual and the date on which any individual ceases to be a Plan participant.  The Company may allocate to any one or more of its employees any responsibility it may have under this Plan.  Any such person who receives full-time pay from the Company or an Affiliate shall receive no compensation from this Plan for his or her services in such capacity (other than expense reimbursements).  Any such person shall not have any fiduciary responsibilities under this Plan.  As Plan administrator, the Company shall maintain records of the Plan’s administration and shall be responsible for the handling, processing and payment of claims for benefits under this Plan.</w:t>
            </w:r>
          </w:p>
        </w:tc>
      </w:tr>
    </w:tbl>
    <w:p>
      <w:pPr>
        <w:pStyle w:val="TextBody"/>
        <w:spacing w:lineRule="auto" w:line="288" w:before="0" w:after="0"/>
        <w:rPr>
          <w:color w:val="000000"/>
        </w:rPr>
      </w:pPr>
      <w:r>
        <w:rPr>
          <w:color w:val="000000"/>
        </w:rPr>
        <w:t> </w:t>
      </w:r>
    </w:p>
    <w:p>
      <w:pPr>
        <w:pStyle w:val="TextBody"/>
        <w:spacing w:lineRule="auto" w:line="288" w:before="0" w:after="0"/>
        <w:ind w:left="0" w:right="0" w:hanging="720"/>
        <w:rPr>
          <w:rFonts w:ascii="Times New Roman;sans-serif" w:hAnsi="Times New Roman;sans-serif"/>
          <w:b/>
          <w:color w:val="000000"/>
          <w:sz w:val="24"/>
        </w:rPr>
      </w:pPr>
      <w:r>
        <w:rPr>
          <w:rFonts w:ascii="Times New Roman;sans-serif" w:hAnsi="Times New Roman;sans-serif"/>
          <w:b/>
          <w:color w:val="000000"/>
          <w:sz w:val="24"/>
        </w:rPr>
        <w:t>7.  CLAIMS PROCEDURE.</w:t>
      </w:r>
    </w:p>
    <w:p>
      <w:pPr>
        <w:pStyle w:val="TextBody"/>
        <w:spacing w:lineRule="auto" w:line="288" w:before="0" w:after="0"/>
        <w:rPr>
          <w:color w:val="000000"/>
        </w:rPr>
      </w:pPr>
      <w:r>
        <w:rPr>
          <w:color w:val="000000"/>
        </w:rPr>
        <w:t> </w:t>
      </w:r>
    </w:p>
    <w:tbl>
      <w:tblPr>
        <w:tblW w:w="7935" w:type="dxa"/>
        <w:jc w:val="left"/>
        <w:tblInd w:w="0" w:type="dxa"/>
        <w:tblCellMar>
          <w:top w:w="28" w:type="dxa"/>
          <w:left w:w="28" w:type="dxa"/>
          <w:bottom w:w="28" w:type="dxa"/>
          <w:right w:w="28" w:type="dxa"/>
        </w:tblCellMar>
      </w:tblPr>
      <w:tblGrid>
        <w:gridCol w:w="239"/>
        <w:gridCol w:w="210"/>
        <w:gridCol w:w="212"/>
        <w:gridCol w:w="2130"/>
        <w:gridCol w:w="2130"/>
        <w:gridCol w:w="3014"/>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3014"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24"/>
              </w:rPr>
              <w:t>7.01</w:t>
            </w:r>
            <w:r>
              <w:rPr>
                <w:color w:val="000000"/>
              </w:rPr>
              <w:t>  </w:t>
            </w:r>
          </w:p>
        </w:tc>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u w:val="single"/>
              </w:rPr>
              <w:t>Claims Procedure (For Benefits Other Than Disability-Related Benefits)</w:t>
            </w:r>
            <w:r>
              <w:rPr>
                <w:rFonts w:ascii="Times New Roman;sans-serif" w:hAnsi="Times New Roman;sans-serif"/>
                <w:b w:val="false"/>
                <w:color w:val="000000"/>
                <w:sz w:val="24"/>
              </w:rPr>
              <w:t>.</w:t>
            </w:r>
          </w:p>
        </w:tc>
      </w:tr>
    </w:tbl>
    <w:tbl>
      <w:tblPr>
        <w:tblW w:w="10539" w:type="dxa"/>
        <w:jc w:val="left"/>
        <w:tblInd w:w="0" w:type="dxa"/>
        <w:tblCellMar>
          <w:top w:w="28" w:type="dxa"/>
          <w:left w:w="28" w:type="dxa"/>
          <w:bottom w:w="28" w:type="dxa"/>
          <w:right w:w="28" w:type="dxa"/>
        </w:tblCellMar>
      </w:tblPr>
      <w:tblGrid>
        <w:gridCol w:w="124"/>
        <w:gridCol w:w="109"/>
        <w:gridCol w:w="109"/>
        <w:gridCol w:w="2985"/>
        <w:gridCol w:w="2985"/>
        <w:gridCol w:w="42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42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Filing a Claim</w:t>
            </w:r>
            <w:r>
              <w:rPr>
                <w:rFonts w:ascii="Times New Roman;sans-serif" w:hAnsi="Times New Roman;sans-serif"/>
                <w:b w:val="false"/>
                <w:color w:val="000000"/>
                <w:sz w:val="24"/>
              </w:rPr>
              <w:t>.  Any Covered Executive or other person claiming an interest in this Plan (the “</w:t>
            </w:r>
            <w:r>
              <w:rPr>
                <w:rFonts w:ascii="Times New Roman;sans-serif" w:hAnsi="Times New Roman;sans-serif"/>
                <w:b w:val="false"/>
                <w:color w:val="000000"/>
                <w:sz w:val="24"/>
                <w:u w:val="single"/>
              </w:rPr>
              <w:t>Claimant</w:t>
            </w:r>
            <w:r>
              <w:rPr>
                <w:color w:val="000000"/>
              </w:rPr>
              <w:t>”</w:t>
            </w:r>
            <w:r>
              <w:rPr>
                <w:rFonts w:ascii="Times New Roman;sans-serif" w:hAnsi="Times New Roman;sans-serif"/>
                <w:b w:val="false"/>
                <w:color w:val="000000"/>
                <w:sz w:val="24"/>
              </w:rPr>
              <w:t>) may file a claim in writing with the Company.  The Company shall review the claim itself or appoint an individual or entity to review the claim.</w:t>
            </w:r>
          </w:p>
        </w:tc>
      </w:tr>
    </w:tbl>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247015"/>
                <wp:effectExtent l="0" t="0" r="0" b="0"/>
                <wp:wrapNone/>
                <wp:docPr id="87" name="Frame86"/>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9</w:t>
                      </w:r>
                    </w:p>
                  </w:txbxContent>
                </v:textbox>
              </v:rect>
            </w:pict>
          </mc:Fallback>
        </mc:AlternateContent>
      </w:r>
    </w:p>
    <w:p>
      <w:pPr>
        <w:pStyle w:val="TextBody"/>
        <w:spacing w:before="0" w:after="2"/>
        <w:rPr/>
      </w:pPr>
      <w:r>
        <w:rPr/>
      </w:r>
    </w:p>
    <w:p>
      <w:pPr>
        <w:pStyle w:val="TextBody"/>
        <w:spacing w:before="0" w:after="2"/>
        <w:jc w:val="right"/>
        <w:rPr/>
      </w:pPr>
      <w:r>
        <w:rPr/>
      </w:r>
    </w:p>
    <w:tbl>
      <w:tblPr>
        <w:tblW w:w="10539" w:type="dxa"/>
        <w:jc w:val="left"/>
        <w:tblInd w:w="0" w:type="dxa"/>
        <w:tblCellMar>
          <w:top w:w="28" w:type="dxa"/>
          <w:left w:w="28" w:type="dxa"/>
          <w:bottom w:w="28" w:type="dxa"/>
          <w:right w:w="28" w:type="dxa"/>
        </w:tblCellMar>
      </w:tblPr>
      <w:tblGrid>
        <w:gridCol w:w="124"/>
        <w:gridCol w:w="109"/>
        <w:gridCol w:w="109"/>
        <w:gridCol w:w="2986"/>
        <w:gridCol w:w="2986"/>
        <w:gridCol w:w="42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42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Claim Decision</w:t>
            </w:r>
            <w:r>
              <w:rPr>
                <w:rFonts w:ascii="Times New Roman;sans-serif" w:hAnsi="Times New Roman;sans-serif"/>
                <w:b w:val="false"/>
                <w:color w:val="000000"/>
                <w:sz w:val="24"/>
              </w:rPr>
              <w:t>. The Claimant shall be notified within ninety (90) days after the claim is filed whether the claim is approved or denied, unless the Company determines that special circumstances beyond the control of the Plan require an extension of time, in which case the Company may have up to an additional ninety (90) days to process the claim.  If the Company determines that an extension of time for processing is required, the Company shall furnish written or electronic notice of the extension to the Claimant before the end of the initial ninety (90)-day period.  Any notice of extension shall describe the special circumstances necessitating the additional time and the date by which the Company expects to render its decision.</w:t>
            </w:r>
          </w:p>
        </w:tc>
      </w:tr>
    </w:tbl>
    <w:tbl>
      <w:tblPr>
        <w:tblW w:w="10539" w:type="dxa"/>
        <w:jc w:val="left"/>
        <w:tblInd w:w="0" w:type="dxa"/>
        <w:tblCellMar>
          <w:top w:w="28" w:type="dxa"/>
          <w:left w:w="28" w:type="dxa"/>
          <w:bottom w:w="28" w:type="dxa"/>
          <w:right w:w="28" w:type="dxa"/>
        </w:tblCellMar>
      </w:tblPr>
      <w:tblGrid>
        <w:gridCol w:w="124"/>
        <w:gridCol w:w="109"/>
        <w:gridCol w:w="109"/>
        <w:gridCol w:w="2986"/>
        <w:gridCol w:w="2986"/>
        <w:gridCol w:w="42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42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Notice of Denial</w:t>
            </w:r>
            <w:r>
              <w:rPr>
                <w:rFonts w:ascii="Times New Roman;sans-serif" w:hAnsi="Times New Roman;sans-serif"/>
                <w:b w:val="false"/>
                <w:color w:val="000000"/>
                <w:sz w:val="24"/>
              </w:rPr>
              <w:t>. If the Company denies the claim, it must provide to the Claimant, in writing or by electronic communication, a notice which includes:</w:t>
            </w:r>
          </w:p>
        </w:tc>
      </w:tr>
    </w:tbl>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   The specific reasons for the denial of the Claimant’s claim;</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(ii)   References to the specific Plan provisions on which the denial of the Claimant’s claim was based;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   If applicable, a description of any additional material or information necessary for the claimant to perfect the claim, and an explanation of why such material or information is necessary;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(iv)   The claims review procedure and the time limits applicable to such procedures, including a statement of the right to bring a civil action under Section 502(a) of ERISA (defined below) following a benefit claim denial on review and institute an arbitration proceeding under Section 12.07. </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124"/>
        <w:gridCol w:w="109"/>
        <w:gridCol w:w="109"/>
        <w:gridCol w:w="2985"/>
        <w:gridCol w:w="2985"/>
        <w:gridCol w:w="42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42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Appeal Procedures</w:t>
            </w:r>
            <w:r>
              <w:rPr>
                <w:rFonts w:ascii="Times New Roman;sans-serif" w:hAnsi="Times New Roman;sans-serif"/>
                <w:b w:val="false"/>
                <w:color w:val="000000"/>
                <w:sz w:val="24"/>
              </w:rPr>
              <w:t>. A request for appeal of a denied claim must be made in writing to the Company within sixty (60) days after receiving notice of denial.  The decision on appeal will be made within sixty (60) days after the Company’s receipt of a request for appeal, unless special circumstances require an extension of time for processing, in which case a decision will be rendered not later than one hundred twenty (120) days after receipt of a request for appeal.  A notice of such an extension must be provided to the Claimant within the initial sixty (60)-day period and must explain the special circumstances and provide an expected date of decision.  The reviewer shall afford the Claimant an opportunity to review and receive, without charge, all relevant documents, information and records and to submit issues and comments in writing to the Company.  The reviewer shall take into account all comments, documents, records and other information submitted by the Claimant relating to the claim regardless of whether the information was submitted or considered in the initial benefit determination.</w:t>
            </w:r>
          </w:p>
        </w:tc>
      </w:tr>
    </w:tbl>
    <w:tbl>
      <w:tblPr>
        <w:tblW w:w="10539" w:type="dxa"/>
        <w:jc w:val="left"/>
        <w:tblInd w:w="0" w:type="dxa"/>
        <w:tblCellMar>
          <w:top w:w="28" w:type="dxa"/>
          <w:left w:w="28" w:type="dxa"/>
          <w:bottom w:w="28" w:type="dxa"/>
          <w:right w:w="28" w:type="dxa"/>
        </w:tblCellMar>
      </w:tblPr>
      <w:tblGrid>
        <w:gridCol w:w="124"/>
        <w:gridCol w:w="109"/>
        <w:gridCol w:w="109"/>
        <w:gridCol w:w="2986"/>
        <w:gridCol w:w="2986"/>
        <w:gridCol w:w="42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42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Notice of Decision on Appeal</w:t>
            </w:r>
            <w:r>
              <w:rPr>
                <w:rFonts w:ascii="Times New Roman;sans-serif" w:hAnsi="Times New Roman;sans-serif"/>
                <w:b w:val="false"/>
                <w:color w:val="000000"/>
                <w:sz w:val="24"/>
              </w:rPr>
              <w:t>. If the Company denies the appeal, it must provide to the Claimant, in writing or by electronic communication, a notice which includes:</w:t>
            </w:r>
          </w:p>
        </w:tc>
      </w:tr>
    </w:tbl>
    <w:p>
      <w:pPr>
        <w:pStyle w:val="TextBody"/>
        <w:spacing w:before="0" w:after="200"/>
        <w:rPr/>
      </w:pPr>
      <w:r>
        <w:br w:type="page"/>
      </w: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247015"/>
                <wp:effectExtent l="0" t="0" r="0" b="0"/>
                <wp:wrapNone/>
                <wp:docPr id="88" name="Frame87"/>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10</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color w:val="000000"/>
        </w:rPr>
      </w:pPr>
      <w:r>
        <w:rPr>
          <w:color w:val="000000"/>
        </w:rPr>
        <w:t> </w:t>
      </w:r>
    </w:p>
    <w:p>
      <w:pPr>
        <w:pStyle w:val="TextBody"/>
        <w:spacing w:lineRule="auto" w:line="288" w:before="0" w:after="0"/>
        <w:ind w:left="0" w:right="0" w:hanging="947"/>
        <w:rPr>
          <w:rFonts w:ascii="Times New Roman;sans-serif" w:hAnsi="Times New Roman;sans-serif"/>
          <w:b w:val="false"/>
          <w:color w:val="000000"/>
          <w:sz w:val="24"/>
        </w:rPr>
      </w:pPr>
      <w:r>
        <w:rPr>
          <w:rFonts w:ascii="Times New Roman;sans-serif" w:hAnsi="Times New Roman;sans-serif"/>
          <w:b w:val="false"/>
          <w:color w:val="000000"/>
          <w:sz w:val="24"/>
        </w:rPr>
        <w:t xml:space="preserve">(i)The specific reason(s) for the denial;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    References to the specific Plan provisions on which such denial is based;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   The claims review procedure and the time limits applicable to such procedures;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(iv)   A statement that the Claimant is entitled to receive (on request and free of charge) reasonable access to and copies of, all documents, records, and other information relevant to the Claimant’s claim for benefits;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   A statement of the Claimant’s right to bring a civil action under Section 502(a) of ERISA and institute an arbitration proceeding under Section 12.07.</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color w:val="000000"/>
          <w:sz w:val="24"/>
        </w:rPr>
        <w:t>7.02   </w:t>
      </w:r>
      <w:r>
        <w:rPr>
          <w:rFonts w:ascii="Times New Roman;sans-serif" w:hAnsi="Times New Roman;sans-serif"/>
          <w:b w:val="false"/>
          <w:color w:val="000000"/>
          <w:sz w:val="24"/>
          <w:u w:val="single"/>
        </w:rPr>
        <w:t>Claims Procedures for Disability-Related Benefits</w:t>
      </w:r>
      <w:r>
        <w:rPr>
          <w:rFonts w:ascii="Times New Roman;sans-serif" w:hAnsi="Times New Roman;sans-serif"/>
          <w:b w:val="false"/>
          <w:color w:val="000000"/>
          <w:sz w:val="24"/>
        </w:rPr>
        <w: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Filing a Claim</w:t>
      </w:r>
      <w:r>
        <w:rPr>
          <w:rFonts w:ascii="Times New Roman;sans-serif" w:hAnsi="Times New Roman;sans-serif"/>
          <w:b w:val="false"/>
          <w:color w:val="000000"/>
          <w:sz w:val="24"/>
        </w:rPr>
        <w:t>. Any Claimant may file a claim in writing with the Company for Disability-related benefits.  The Company shall review the claim itself or appoint an individual or entity to review the claim.</w:t>
      </w:r>
    </w:p>
    <w:p>
      <w:pPr>
        <w:pStyle w:val="TextBody"/>
        <w:spacing w:lineRule="auto" w:line="288" w:before="0" w:after="0"/>
        <w:ind w:left="0" w:right="0" w:firstLine="144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Claim Decision</w:t>
      </w:r>
      <w:r>
        <w:rPr>
          <w:rFonts w:ascii="Times New Roman;sans-serif" w:hAnsi="Times New Roman;sans-serif"/>
          <w:b w:val="false"/>
          <w:color w:val="000000"/>
          <w:sz w:val="24"/>
        </w:rPr>
        <w:t>. The Claimant shall be notified within forty-five (45) days after the claim is filed whether the claim is approved or denied, unless the Company determines that special circumstances beyond the control of the Plan require an extension of time, in which case the Company may have up to two (2) additional thirty (30)-day periods to make a decision.  If the Company determines that an extension of time for processing is required, the Company shall furnish written or electronic notice of the extension to the Claimant before the end of the initial forty-five (45) day period.  Any notice of extension shall describe the special circumstances necessitating the additional time and the date by which the Company expects to render its decision.</w:t>
      </w:r>
    </w:p>
    <w:p>
      <w:pPr>
        <w:pStyle w:val="TextBody"/>
        <w:spacing w:lineRule="auto" w:line="288" w:before="0" w:after="0"/>
        <w:rPr>
          <w:color w:val="000000"/>
        </w:rPr>
      </w:pPr>
      <w:r>
        <w:rPr>
          <w:color w:val="000000"/>
        </w:rPr>
        <w:t> </w:t>
      </w:r>
    </w:p>
    <w:p>
      <w:pPr>
        <w:pStyle w:val="TextBody"/>
        <w:spacing w:lineRule="auto" w:line="319" w:before="0" w:after="240"/>
        <w:ind w:left="0" w:right="0" w:firstLine="720"/>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Notice of Denial</w:t>
      </w:r>
      <w:r>
        <w:rPr>
          <w:rFonts w:ascii="Times New Roman;sans-serif" w:hAnsi="Times New Roman;sans-serif"/>
          <w:b w:val="false"/>
          <w:color w:val="000000"/>
          <w:sz w:val="24"/>
        </w:rPr>
        <w:t>.  If the Company denies the claim, it must provide to the Claimant, in writing or by electronic communication, a notice which includes:</w:t>
      </w:r>
    </w:p>
    <w:p>
      <w:pPr>
        <w:pStyle w:val="TextBody"/>
        <w:spacing w:lineRule="auto" w:line="288" w:before="0" w:after="240"/>
        <w:ind w:left="0" w:right="0" w:firstLine="1080"/>
        <w:rPr>
          <w:rFonts w:ascii="Times New Roman;sans-serif" w:hAnsi="Times New Roman;sans-serif"/>
          <w:b w:val="false"/>
          <w:color w:val="000000"/>
          <w:sz w:val="24"/>
        </w:rPr>
      </w:pPr>
      <w:r>
        <w:rPr>
          <w:rFonts w:ascii="Times New Roman;sans-serif" w:hAnsi="Times New Roman;sans-serif"/>
          <w:b w:val="false"/>
          <w:color w:val="000000"/>
          <w:sz w:val="24"/>
        </w:rPr>
        <w:t>(i)    The specific reason(s) for the denial;</w:t>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(ii)    References to the specific Plan provisions on which such denial is based;</w:t>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(iii)    A description of any additional material or information necessary for the Claimant to perfect his or her claim and an explanation of why such material or information is necessary;</w:t>
      </w:r>
      <w:r>
        <w:br w:type="page"/>
      </w:r>
    </w:p>
    <w:p>
      <w:pPr>
        <w:pStyle w:val="TextBody"/>
        <w:spacing w:before="0" w:after="20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247015"/>
                <wp:effectExtent l="0" t="0" r="0" b="0"/>
                <wp:wrapNone/>
                <wp:docPr id="89" name="Frame88"/>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11</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(iv)    A discussion of the decision that includes the basis for disagreeing with or not following:</w:t>
      </w:r>
    </w:p>
    <w:p>
      <w:pPr>
        <w:pStyle w:val="TextBody"/>
        <w:spacing w:lineRule="auto" w:line="288" w:before="0" w:after="240"/>
        <w:ind w:left="0" w:right="0" w:firstLine="1080"/>
        <w:rPr>
          <w:rFonts w:ascii="Times New Roman;sans-serif" w:hAnsi="Times New Roman;sans-serif"/>
          <w:b w:val="false"/>
          <w:color w:val="000000"/>
          <w:sz w:val="24"/>
        </w:rPr>
      </w:pPr>
      <w:r>
        <w:rPr>
          <w:rFonts w:ascii="Times New Roman;sans-serif" w:hAnsi="Times New Roman;sans-serif"/>
          <w:b w:val="false"/>
          <w:color w:val="000000"/>
          <w:sz w:val="24"/>
        </w:rPr>
        <w:t>(A)    the views presented by health care professionals treating the Claimant and vocational professionals who evaluated the Claimant;</w:t>
      </w:r>
    </w:p>
    <w:p>
      <w:pPr>
        <w:pStyle w:val="TextBody"/>
        <w:spacing w:lineRule="auto" w:line="288" w:before="0" w:after="240"/>
        <w:ind w:left="0" w:right="0" w:firstLine="1080"/>
        <w:rPr>
          <w:rFonts w:ascii="Times New Roman;sans-serif" w:hAnsi="Times New Roman;sans-serif"/>
          <w:b w:val="false"/>
          <w:color w:val="000000"/>
          <w:sz w:val="24"/>
        </w:rPr>
      </w:pPr>
      <w:r>
        <w:rPr>
          <w:rFonts w:ascii="Times New Roman;sans-serif" w:hAnsi="Times New Roman;sans-serif"/>
          <w:b w:val="false"/>
          <w:color w:val="000000"/>
          <w:sz w:val="24"/>
        </w:rPr>
        <w:t>(B)    the views of medical or vocational experts whose advice was obtained on the Plan’s behalf, regardless of whether the advice was relied on in making the benefit denial; and</w:t>
      </w:r>
    </w:p>
    <w:p>
      <w:pPr>
        <w:pStyle w:val="TextBody"/>
        <w:spacing w:lineRule="auto" w:line="288" w:before="0" w:after="240"/>
        <w:ind w:left="0" w:right="0" w:firstLine="1080"/>
        <w:rPr>
          <w:rFonts w:ascii="Times New Roman;sans-serif" w:hAnsi="Times New Roman;sans-serif"/>
          <w:b w:val="false"/>
          <w:color w:val="000000"/>
          <w:sz w:val="24"/>
        </w:rPr>
      </w:pPr>
      <w:r>
        <w:rPr>
          <w:rFonts w:ascii="Times New Roman;sans-serif" w:hAnsi="Times New Roman;sans-serif"/>
          <w:b w:val="false"/>
          <w:color w:val="000000"/>
          <w:sz w:val="24"/>
        </w:rPr>
        <w:t>(C)    a disability determination made by the Social Security Administration, if presented to the Plan;</w:t>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(v)    If the decision was based on medical necessity or experimental treatment (or a similar exclusion or limit), either:</w:t>
      </w:r>
    </w:p>
    <w:p>
      <w:pPr>
        <w:pStyle w:val="TextBody"/>
        <w:spacing w:lineRule="auto" w:line="288" w:before="0" w:after="240"/>
        <w:ind w:left="0" w:right="0" w:firstLine="1080"/>
        <w:rPr>
          <w:rFonts w:ascii="Times New Roman;sans-serif" w:hAnsi="Times New Roman;sans-serif"/>
          <w:b w:val="false"/>
          <w:color w:val="000000"/>
          <w:sz w:val="24"/>
        </w:rPr>
      </w:pPr>
      <w:r>
        <w:rPr>
          <w:rFonts w:ascii="Times New Roman;sans-serif" w:hAnsi="Times New Roman;sans-serif"/>
          <w:b w:val="false"/>
          <w:color w:val="000000"/>
          <w:sz w:val="24"/>
        </w:rPr>
        <w:t>(A)    an explanation of the scientific or clinical judgment for the denial, applying the plan terms to the Claimant’s medical circumstances; or</w:t>
      </w:r>
    </w:p>
    <w:p>
      <w:pPr>
        <w:pStyle w:val="TextBody"/>
        <w:spacing w:lineRule="auto" w:line="288" w:before="0" w:after="240"/>
        <w:ind w:left="0" w:right="0" w:firstLine="1080"/>
        <w:rPr>
          <w:rFonts w:ascii="Times New Roman;sans-serif" w:hAnsi="Times New Roman;sans-serif"/>
          <w:b w:val="false"/>
          <w:color w:val="000000"/>
          <w:sz w:val="24"/>
        </w:rPr>
      </w:pPr>
      <w:r>
        <w:rPr>
          <w:rFonts w:ascii="Times New Roman;sans-serif" w:hAnsi="Times New Roman;sans-serif"/>
          <w:b w:val="false"/>
          <w:color w:val="000000"/>
          <w:sz w:val="24"/>
        </w:rPr>
        <w:t>(B)    a statement that this explanation will be provided free of charge upon request;</w:t>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(vi)    Either the specific internal rules, guidelines, protocols, standards, or other similar criteria of the Plan relied on in making the denial, or notice that such rules, guidelines, protocols, standards, or other similar criteria of the Plan do not exist;</w:t>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(vii)    Notice that the Claimant is entitled to receive (on request and free of charge) reasonable access to and copies of, all documents, records, and other information relevant to the Claimant’s claim for benefits; and</w:t>
      </w:r>
    </w:p>
    <w:p>
      <w:pPr>
        <w:pStyle w:val="TextBody"/>
        <w:spacing w:lineRule="auto" w:line="288" w:before="0" w:after="24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(viii)    A description of the Plan’s appeal procedures and deadlines applicable to these procedures, including a statement of the Claimant’s right to bring a civil action under Section 502(a) of ERISA following a denial on appeal and institute an arbitration proceeding under Section 12.07.</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Claimants are guaranteed the right to present evidence and testimony regarding their claim during the review process.</w:t>
      </w:r>
    </w:p>
    <w:p>
      <w:pPr>
        <w:pStyle w:val="TextBody"/>
        <w:spacing w:lineRule="auto" w:line="288" w:before="0" w:after="240"/>
        <w:ind w:left="0" w:right="0" w:firstLine="720"/>
        <w:jc w:val="both"/>
        <w:rPr/>
      </w:pPr>
      <w:r>
        <w:rPr>
          <w:rFonts w:ascii="Times New Roman;sans-serif" w:hAnsi="Times New Roman;sans-serif"/>
          <w:b w:val="false"/>
          <w:color w:val="000000"/>
          <w:sz w:val="24"/>
          <w:highlight w:val="white"/>
        </w:rPr>
        <w:t>(d)   </w:t>
      </w:r>
      <w:r>
        <w:rPr>
          <w:rFonts w:ascii="Times New Roman;sans-serif" w:hAnsi="Times New Roman;sans-serif"/>
          <w:b w:val="false"/>
          <w:color w:val="000000"/>
          <w:sz w:val="24"/>
          <w:highlight w:val="white"/>
          <w:u w:val="single"/>
        </w:rPr>
        <w:t>Filing an Appeal</w:t>
      </w:r>
      <w:r>
        <w:rPr>
          <w:rFonts w:ascii="Times New Roman;sans-serif" w:hAnsi="Times New Roman;sans-serif"/>
          <w:b w:val="false"/>
          <w:color w:val="000000"/>
          <w:sz w:val="24"/>
          <w:highlight w:val="white"/>
        </w:rPr>
        <w:t>.  A request for appeal of a denied claim must be made in writing to the Company within one hundred eighty (180) days after receiving notice of denial.  The decision on appeal will be made within forty-five (45) days after the Company’s receipt of a request for appeal, unless special circumstances require an extension of time for processing, in which case the Company may have an additional forty-five (45) day period to make a decision.  A notice of such an extension must be provided to the Claimant within the initial forty-five (45) day period and must explain the special circumstances and provide an expected date of decision.</w:t>
      </w:r>
      <w:r>
        <w:br w:type="page"/>
      </w:r>
    </w:p>
    <w:p>
      <w:pPr>
        <w:pStyle w:val="TextBody"/>
        <w:spacing w:before="0" w:after="20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247015"/>
                <wp:effectExtent l="0" t="0" r="0" b="0"/>
                <wp:wrapNone/>
                <wp:docPr id="90" name="Frame89"/>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12</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72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On appeal, the review will consider all submitted information, regardless of whether the information was submitted or consulted in the initial decision.  The review will not provide deference to the initial decision.  The appeal will be conducted by an appropriate named fiduciary, who is not the person who made the initial decision or the subordinate of that person.</w:t>
      </w:r>
    </w:p>
    <w:p>
      <w:pPr>
        <w:pStyle w:val="TextBody"/>
        <w:spacing w:lineRule="auto" w:line="288" w:before="0" w:after="240"/>
        <w:ind w:left="0" w:right="0" w:firstLine="72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For claims involving medical judgment, including decisions about whether a treatment or drug is experimental, investigational, or not medically necessary, the Plan’s named fiduciary will consult with a health care professional who:</w:t>
      </w:r>
    </w:p>
    <w:p>
      <w:pPr>
        <w:pStyle w:val="TextBody"/>
        <w:spacing w:lineRule="auto" w:line="288" w:before="0" w:after="240"/>
        <w:ind w:left="0" w:right="0" w:firstLine="180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    Has appropriate training and experience in the area of medicine involved;</w:t>
      </w:r>
    </w:p>
    <w:p>
      <w:pPr>
        <w:pStyle w:val="TextBody"/>
        <w:spacing w:lineRule="auto" w:line="288" w:before="0" w:after="240"/>
        <w:ind w:left="0" w:right="0" w:firstLine="180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(ii)    Was not consulted during the initial denial; and</w:t>
      </w:r>
    </w:p>
    <w:p>
      <w:pPr>
        <w:pStyle w:val="TextBody"/>
        <w:spacing w:lineRule="auto" w:line="288" w:before="0" w:after="240"/>
        <w:ind w:left="0" w:right="0" w:firstLine="180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(iii)    Is not a subordinate of the person who made the initial denial.</w:t>
      </w:r>
    </w:p>
    <w:p>
      <w:pPr>
        <w:pStyle w:val="TextBody"/>
        <w:spacing w:lineRule="auto" w:line="288" w:before="0" w:after="24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The Company will identify the medical or other experts who were consulted when making the benefit determination, regardless of whether the expert’s advice was relied on in making the determination.</w:t>
      </w:r>
    </w:p>
    <w:p>
      <w:pPr>
        <w:pStyle w:val="TextBody"/>
        <w:spacing w:lineRule="auto" w:line="288" w:before="0" w:after="24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Before a benefit denial is issued on appeal, the Claimant will be provided (free of charge) with any new or additional evidence considered, relied on, or generated by the Plan, insurer, or other person making the benefit determination (or at the direction of the Plan, insurer, or other person) regarding the claim. The Claimant will be provided any new or additional evidence as soon as possible and sufficiently in advance of the date the appeal denial notice is due, so that the Claimant has a reasonable opportunity to respond.</w:t>
      </w:r>
    </w:p>
    <w:p>
      <w:pPr>
        <w:pStyle w:val="TextBody"/>
        <w:spacing w:lineRule="auto" w:line="288" w:before="0" w:after="24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Before a benefit denial is issued on appeal, if the denial is issued based on a new or additional rationale, the Claimant will be provided, free of charge, with the rationale. The Claimant will be provided with the rationale as soon as possible and sufficiently in advance of the date on which the appeal denial notice is due, so that the Claimant has a reasonable opportunity to respond.</w:t>
      </w:r>
    </w:p>
    <w:p>
      <w:pPr>
        <w:pStyle w:val="TextBody"/>
        <w:spacing w:lineRule="auto" w:line="288" w:before="0" w:after="240"/>
        <w:ind w:left="0" w:right="0" w:firstLine="720"/>
        <w:jc w:val="both"/>
        <w:rPr/>
      </w:pPr>
      <w:r>
        <w:rPr>
          <w:rFonts w:ascii="Times New Roman;sans-serif" w:hAnsi="Times New Roman;sans-serif"/>
          <w:b w:val="false"/>
          <w:color w:val="000000"/>
          <w:sz w:val="24"/>
          <w:highlight w:val="white"/>
        </w:rPr>
        <w:t>(e)    </w:t>
      </w:r>
      <w:r>
        <w:rPr>
          <w:rFonts w:ascii="Times New Roman;sans-serif" w:hAnsi="Times New Roman;sans-serif"/>
          <w:b w:val="false"/>
          <w:color w:val="000000"/>
          <w:sz w:val="24"/>
          <w:highlight w:val="white"/>
          <w:u w:val="single"/>
        </w:rPr>
        <w:t>Notice of Decision on Appeal</w:t>
      </w:r>
      <w:r>
        <w:rPr>
          <w:rFonts w:ascii="Times New Roman;sans-serif" w:hAnsi="Times New Roman;sans-serif"/>
          <w:b w:val="false"/>
          <w:color w:val="000000"/>
          <w:sz w:val="24"/>
          <w:highlight w:val="white"/>
        </w:rPr>
        <w:t>.  If the Company denies the appeal, it must provide to the Claimant, in writing or by electronic communication, a notice which includes:</w:t>
      </w:r>
    </w:p>
    <w:p>
      <w:pPr>
        <w:pStyle w:val="TextBody"/>
        <w:spacing w:lineRule="auto" w:line="288" w:before="0" w:after="240"/>
        <w:ind w:left="0" w:right="0" w:firstLine="72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    The specific reason or reasons why the appeal is denied.</w:t>
      </w:r>
    </w:p>
    <w:p>
      <w:pPr>
        <w:pStyle w:val="TextBody"/>
        <w:spacing w:lineRule="auto" w:line="288" w:before="0" w:after="240"/>
        <w:ind w:left="0" w:right="0" w:firstLine="72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(ii)    References to the specific Plan provisions on which the denial is based.</w:t>
      </w:r>
    </w:p>
    <w:p>
      <w:pPr>
        <w:pStyle w:val="TextBody"/>
        <w:spacing w:lineRule="auto" w:line="288" w:before="0" w:after="240"/>
        <w:ind w:left="0" w:right="0" w:firstLine="72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(iii)    A discussion of the decision that includes the basis for disagreeing with or not following:</w:t>
      </w:r>
      <w:r>
        <w:br w:type="page"/>
      </w:r>
    </w:p>
    <w:p>
      <w:pPr>
        <w:pStyle w:val="TextBody"/>
        <w:spacing w:before="0" w:after="20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247015"/>
                <wp:effectExtent l="0" t="0" r="0" b="0"/>
                <wp:wrapNone/>
                <wp:docPr id="91" name="Frame90"/>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13</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108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(A)    the views presented by health care professionals treating the Claimant and vocational professionals who evaluated the Claimant;</w:t>
      </w:r>
    </w:p>
    <w:p>
      <w:pPr>
        <w:pStyle w:val="TextBody"/>
        <w:spacing w:lineRule="auto" w:line="288" w:before="0" w:after="240"/>
        <w:ind w:left="0" w:right="0" w:firstLine="108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(B)    the views of medical or vocational experts whose advice was obtained on the Plan’s behalf in connection with the Claimant’s benefit denial, regardless of whether the advice was relied on in making the benefit denial; and</w:t>
      </w:r>
    </w:p>
    <w:p>
      <w:pPr>
        <w:pStyle w:val="TextBody"/>
        <w:spacing w:lineRule="auto" w:line="288" w:before="0" w:after="240"/>
        <w:ind w:left="0" w:right="0" w:firstLine="108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(C)    a disability determination made by the Social Security Administration regarding the Claimant, if presented to the Plan;</w:t>
      </w:r>
    </w:p>
    <w:p>
      <w:pPr>
        <w:pStyle w:val="TextBody"/>
        <w:spacing w:lineRule="auto" w:line="288" w:before="0" w:after="240"/>
        <w:ind w:left="0" w:right="0" w:firstLine="72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(iv)    If the decision was based on medical necessity or experimental treatment (or a similar exclusion or limit), either:</w:t>
      </w:r>
    </w:p>
    <w:p>
      <w:pPr>
        <w:pStyle w:val="TextBody"/>
        <w:spacing w:lineRule="auto" w:line="288" w:before="0" w:after="240"/>
        <w:ind w:left="0" w:right="0" w:firstLine="108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(A)    an explanation of the scientific or clinical judgment for the denial, applying the Plan terms to the Claimant’s medical circumstances; or</w:t>
      </w:r>
    </w:p>
    <w:p>
      <w:pPr>
        <w:pStyle w:val="TextBody"/>
        <w:spacing w:lineRule="auto" w:line="288" w:before="0" w:after="240"/>
        <w:ind w:left="0" w:right="0" w:firstLine="108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(B)    a statement that this explanation will be provided free of charge upon request;</w:t>
      </w:r>
    </w:p>
    <w:p>
      <w:pPr>
        <w:pStyle w:val="TextBody"/>
        <w:spacing w:lineRule="auto" w:line="288" w:before="0" w:after="240"/>
        <w:ind w:left="0" w:right="0" w:firstLine="81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(v)    Either the specific internal rules, guidelines, protocols, standards, or other similar criteria of the Plan relied on in making the denial, or notice that such rules, guidelines, protocols, standards, or other similar criteria of the plan do not exist; and</w:t>
      </w:r>
    </w:p>
    <w:p>
      <w:pPr>
        <w:pStyle w:val="TextBody"/>
        <w:spacing w:lineRule="auto" w:line="288" w:before="0" w:after="240"/>
        <w:ind w:left="0" w:right="0" w:firstLine="810"/>
        <w:jc w:val="both"/>
        <w:rPr/>
      </w:pPr>
      <w:r>
        <w:rPr>
          <w:rFonts w:ascii="Times New Roman;sans-serif" w:hAnsi="Times New Roman;sans-serif"/>
          <w:b w:val="false"/>
          <w:color w:val="000000"/>
          <w:sz w:val="24"/>
          <w:highlight w:val="white"/>
        </w:rPr>
        <w:t>(vi)    A statement of the Claimant’s right to bring a civil action under Section 502(a) of ERISA, including a description of any contractual limitations period relevant to the right to bring a civil action, with the calendar date on which the contractual limitations period expires for the claim, and the right to institute an arbitration proceeding under Section 12.07.</w:t>
      </w:r>
      <w:r>
        <w:rPr>
          <w:color w:val="000000"/>
        </w:rPr>
        <w:t> </w:t>
      </w:r>
    </w:p>
    <w:p>
      <w:pPr>
        <w:pStyle w:val="TextBody"/>
        <w:spacing w:lineRule="auto" w:line="288" w:before="0" w:after="0"/>
        <w:rPr/>
      </w:pPr>
      <w:r>
        <w:rPr>
          <w:color w:val="000000"/>
        </w:rPr>
        <w:t>   </w:t>
      </w:r>
      <w:r>
        <w:rPr>
          <w:rFonts w:ascii="Times New Roman;sans-serif" w:hAnsi="Times New Roman;sans-serif"/>
          <w:b w:val="false"/>
          <w:color w:val="000000"/>
          <w:sz w:val="24"/>
        </w:rPr>
        <w:t>7.03 </w:t>
      </w:r>
      <w:r>
        <w:rPr>
          <w:rFonts w:ascii="Times New Roman;sans-serif" w:hAnsi="Times New Roman;sans-serif"/>
          <w:b w:val="false"/>
          <w:color w:val="000000"/>
          <w:sz w:val="24"/>
          <w:u w:val="single"/>
        </w:rPr>
        <w:t>Additional Claim Procedure Requirements</w:t>
      </w:r>
      <w:r>
        <w:rPr>
          <w:rFonts w:ascii="Times New Roman;sans-serif" w:hAnsi="Times New Roman;sans-serif"/>
          <w:b w:val="false"/>
          <w:color w:val="000000"/>
          <w:sz w:val="24"/>
        </w:rPr>
        <w:t>. </w:t>
      </w:r>
    </w:p>
    <w:p>
      <w:pPr>
        <w:pStyle w:val="TextBody"/>
        <w:spacing w:before="0" w:after="0"/>
        <w:rPr/>
      </w:pPr>
      <w:r>
        <w:rPr/>
      </w:r>
    </w:p>
    <w:p>
      <w:pPr>
        <w:pStyle w:val="TextBody"/>
        <w:spacing w:lineRule="auto" w:line="319" w:before="0" w:after="240"/>
        <w:ind w:left="0" w:right="0" w:firstLine="108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The Plan shall comply with applicable Department of Labor regulations regarding the manner in which claims shall be processed</w:t>
      </w:r>
      <w:r>
        <w:rPr>
          <w:rFonts w:ascii="Times New Roman;sans-serif" w:hAnsi="Times New Roman;sans-serif"/>
          <w:b w:val="false"/>
          <w:color w:val="000000"/>
          <w:sz w:val="24"/>
          <w:u w:val="single"/>
        </w:rPr>
        <w:t>.</w:t>
      </w:r>
    </w:p>
    <w:p>
      <w:pPr>
        <w:pStyle w:val="TextBody"/>
        <w:spacing w:lineRule="auto" w:line="319" w:before="0" w:after="240"/>
        <w:ind w:left="0" w:right="0" w:firstLine="108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Limitations</w:t>
      </w:r>
      <w:r>
        <w:rPr>
          <w:rFonts w:ascii="Times New Roman;sans-serif" w:hAnsi="Times New Roman;sans-serif"/>
          <w:b w:val="false"/>
          <w:color w:val="000000"/>
          <w:sz w:val="24"/>
        </w:rPr>
        <w:t>.  No claim shall be considered under these claims procedures unless it is filed with the Company within one (1) year after the Claimant knew (or reasonably should have known) of the principal facts on which the claim is based.  Every untimely claim shall be denied by the Company without regard to the merits of the claim.  No legal action (whether arising under Section 502 or Section 510 of ERISA or under any other statute or non-statutory law) may be brought by any Claimant on any matter pertaining to the Plan after the earlier of:</w:t>
      </w:r>
      <w:r>
        <w:br w:type="page"/>
      </w:r>
    </w:p>
    <w:p>
      <w:pPr>
        <w:pStyle w:val="TextBody"/>
        <w:spacing w:before="0" w:after="20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247015"/>
                <wp:effectExtent l="0" t="0" r="0" b="0"/>
                <wp:wrapNone/>
                <wp:docPr id="92" name="Frame91"/>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14</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810"/>
        <w:rPr>
          <w:rFonts w:ascii="Times New Roman;sans-serif" w:hAnsi="Times New Roman;sans-serif"/>
          <w:b w:val="false"/>
          <w:color w:val="000000"/>
          <w:sz w:val="24"/>
        </w:rPr>
      </w:pPr>
      <w:r>
        <w:rPr>
          <w:rFonts w:ascii="Times New Roman;sans-serif" w:hAnsi="Times New Roman;sans-serif"/>
          <w:b w:val="false"/>
          <w:color w:val="000000"/>
          <w:sz w:val="24"/>
        </w:rPr>
        <w:t>(i)    three (3) years after the Claimant knew (or reasonably should have known) of the principal facts on which the claim is based, or</w:t>
      </w:r>
    </w:p>
    <w:p>
      <w:pPr>
        <w:pStyle w:val="TextBody"/>
        <w:spacing w:lineRule="auto" w:line="288" w:before="0" w:after="240"/>
        <w:ind w:left="0" w:right="0" w:firstLine="810"/>
        <w:rPr>
          <w:rFonts w:ascii="Times New Roman;sans-serif" w:hAnsi="Times New Roman;sans-serif"/>
          <w:b w:val="false"/>
          <w:color w:val="000000"/>
          <w:sz w:val="24"/>
        </w:rPr>
      </w:pPr>
      <w:r>
        <w:rPr>
          <w:rFonts w:ascii="Times New Roman;sans-serif" w:hAnsi="Times New Roman;sans-serif"/>
          <w:b w:val="false"/>
          <w:color w:val="000000"/>
          <w:sz w:val="24"/>
        </w:rPr>
        <w:t>(ii)    twelve (12) months after the Claimant has exhausted these claims procedures.</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Knowledge of all facts that a Covered Executive knew (or reasonably should have known) shall be imputed to each Claimant who is or claims to be a beneficiary of the Covered Executive (or otherwise claims to derive an entitlement by reference to a Covered Executive) for the purpose of applying the one (1)-year and three (3)-year periods.</w:t>
      </w:r>
    </w:p>
    <w:p>
      <w:pPr>
        <w:pStyle w:val="TextBody"/>
        <w:spacing w:lineRule="auto" w:line="288" w:before="0" w:after="240"/>
        <w:ind w:left="0" w:right="0" w:firstLine="1080"/>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Exhaustion Required</w:t>
      </w:r>
      <w:r>
        <w:rPr>
          <w:rFonts w:ascii="Times New Roman;sans-serif" w:hAnsi="Times New Roman;sans-serif"/>
          <w:b w:val="false"/>
          <w:color w:val="000000"/>
          <w:sz w:val="24"/>
        </w:rPr>
        <w:t>.  The exhaustion of these administrative procedures is mandatory for resolving every claim and dispute arising under the Plan.  As to such claims and disputes:</w:t>
      </w:r>
    </w:p>
    <w:p>
      <w:pPr>
        <w:pStyle w:val="TextBody"/>
        <w:spacing w:lineRule="auto" w:line="288" w:before="0" w:after="240"/>
        <w:ind w:left="0" w:right="0" w:firstLine="810"/>
        <w:rPr>
          <w:rFonts w:ascii="Times New Roman;sans-serif" w:hAnsi="Times New Roman;sans-serif"/>
          <w:b w:val="false"/>
          <w:color w:val="000000"/>
          <w:sz w:val="24"/>
        </w:rPr>
      </w:pPr>
      <w:r>
        <w:rPr>
          <w:rFonts w:ascii="Times New Roman;sans-serif" w:hAnsi="Times New Roman;sans-serif"/>
          <w:b w:val="false"/>
          <w:color w:val="000000"/>
          <w:sz w:val="24"/>
        </w:rPr>
        <w:t>(i)    no Claimant shall be permitted to commence any legal action relating to any such claim or dispute (whether arising under Section 502 or Section 510 of ERISA or under any other statute or non-statutory law) unless a timely claim has been filed under these claims procedures and these claims procedures have been exhausted in their entirety; and</w:t>
      </w:r>
    </w:p>
    <w:p>
      <w:pPr>
        <w:pStyle w:val="TextBody"/>
        <w:spacing w:lineRule="auto" w:line="288" w:before="0" w:after="240"/>
        <w:ind w:left="0" w:right="0" w:firstLine="810"/>
        <w:rPr>
          <w:rFonts w:ascii="Times New Roman;sans-serif" w:hAnsi="Times New Roman;sans-serif"/>
          <w:b w:val="false"/>
          <w:color w:val="000000"/>
          <w:sz w:val="24"/>
        </w:rPr>
      </w:pPr>
      <w:r>
        <w:rPr>
          <w:rFonts w:ascii="Times New Roman;sans-serif" w:hAnsi="Times New Roman;sans-serif"/>
          <w:b w:val="false"/>
          <w:color w:val="000000"/>
          <w:sz w:val="24"/>
        </w:rPr>
        <w:t>(ii)    in any such legal action all explicit and implicit determinations by the Company (including, but not limited to, determinations as to whether the claim, or a request for review of a denied claim, was timely filed) shall be afforded the maximum deference permitted by law.</w:t>
      </w:r>
    </w:p>
    <w:p>
      <w:pPr>
        <w:pStyle w:val="TextBody"/>
        <w:spacing w:lineRule="auto" w:line="288" w:before="0" w:after="240"/>
        <w:ind w:left="0" w:right="0" w:firstLine="1080"/>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Standard of Review</w:t>
      </w:r>
      <w:r>
        <w:rPr>
          <w:rFonts w:ascii="Times New Roman;sans-serif" w:hAnsi="Times New Roman;sans-serif"/>
          <w:b w:val="false"/>
          <w:color w:val="000000"/>
          <w:sz w:val="24"/>
        </w:rPr>
        <w:t xml:space="preserve">.  </w:t>
      </w:r>
    </w:p>
    <w:p>
      <w:pPr>
        <w:pStyle w:val="TextBody"/>
        <w:spacing w:lineRule="auto" w:line="288" w:before="0" w:after="240"/>
        <w:ind w:left="0" w:right="0" w:firstLine="81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    The Company and all persons determining or reviewing claims have full discretion to determine benefit claims under the Plan.  Any interpretation, determination or other action of such persons will be overturned only if it is arbitrary or capricious or otherwise an abuse of discretion.  Any review of a final decision or action of the persons reviewing a claim shall be based only on such evidence presented to or considered by such persons at the time they made the decision that is the subject of review.</w:t>
      </w:r>
    </w:p>
    <w:p>
      <w:pPr>
        <w:pStyle w:val="TextBody"/>
        <w:spacing w:lineRule="auto" w:line="288" w:before="0" w:after="240"/>
        <w:ind w:left="0" w:right="0" w:firstLine="81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(ii)    In the case of a claim for Disability benefits, the Claimant is not required to file more than two appeals of an adverse benefit determination prior to bringing a civil action under Section 502(a) of ERISA. No mandatory arbitration of adverse benefit determinations will be conducted unless the arbitration is conducted as one of the two appeals required to be filed before the Claimant may bring a civil action under ERISA. If such arbitration is conducted, the Claimant is not precluded from challenging the decision under Section 502(a) of ERISA or other applicable law.</w:t>
      </w:r>
      <w:r>
        <w:br w:type="page"/>
      </w:r>
    </w:p>
    <w:p>
      <w:pPr>
        <w:pStyle w:val="TextBody"/>
        <w:spacing w:before="0" w:after="20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247015"/>
                <wp:effectExtent l="0" t="0" r="0" b="0"/>
                <wp:wrapNone/>
                <wp:docPr id="93" name="Frame92"/>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15</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8.   FUNDING.</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Plan shall not be funded through a trust, an insurance contact or otherwise and all benefit payments due under this Plan shall be payable solely from the general assets of the Company.  A Covered Executive shall not have any claim against any specific assets of the Company and shall be only an unsecured general creditor of the Company with respect to any rights he or she may have under this Plan.</w:t>
      </w:r>
    </w:p>
    <w:p>
      <w:pPr>
        <w:pStyle w:val="TextBody"/>
        <w:spacing w:before="0" w:after="0"/>
        <w:ind w:left="0" w:right="0" w:firstLine="720"/>
        <w:rPr/>
      </w:pPr>
      <w:r>
        <w:rPr/>
      </w:r>
    </w:p>
    <w:p>
      <w:pPr>
        <w:pStyle w:val="TextBody"/>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9.    CONFIDENTIALITY; NON-COMPETITION; NON-SOLICITATION.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9.01    The Covered Executive’s eligibility to participate in the Plan and the Company’s obligation to remit or convey the severance benefits and payments set forth in Section 4 on account of a Qualifying Termination or the Covered Executive’s death or Disability are expressly conditioned on the Covered Executive’s consent to be bound by, and compliance with, the restrictions and covenants set forth in this Section 9.</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9.02    The Covered Executive will not, directly or indirectly, participate in the unauthorized use, disclosure, misappropriation, dissemination or conversion of any Confidential Information (defined below). Specifically, but without limitation, the Covered Executive will not use Confidential Information for his or her sole benefit, or for the benefit of any Person (defined below) or entity in any other way that harms the Company or any Affiliate or diminishes the value of the Confidential Information to the Company or any Affiliate. The Covered Executive will use the specialized training, goodwill, and contacts developed with the customers and contractors of the Company or any Affiliate for the exclusive benefit of the Company or any Affiliate, and agrees not to use these items or this information at any time in a way that would harm the business interests of the Company or any Affiliate. Notwithstanding the foregoing, nothing in this Plan prohibits the Covered Executive from communicating with an appropriate governmental agency or entity regarding a possible violation of federal law or regulation or making disclosures that are protected under any whistleblower provisions of law or regulation. Importantly, the Covered Executive is encouraged to communicate any such concerns directly with the Company. The Covered Executive’s obligations under this Section 9.02 with regard to any particular Confidential Information shall commence immediately upon the Covered Executive first having access to such Confidential Information and shall continue during and after the Covered Executive’s employment with the Company or its Affiliates until such time as such Confidential Information has become public knowledge other than as a result of the breach by the Covered Executive (or of those acting in concert with the Covered Executive or on the Covered Executive’s behalf) of this Section 9.02 or any other confidentiality agreement between the Covered Executive and the Company or any of its Affiliates or any policy of the Company or any of its Affiliates.</w:t>
      </w:r>
    </w:p>
    <w:p>
      <w:pPr>
        <w:pStyle w:val="TextBody"/>
        <w:spacing w:before="0" w:after="0"/>
        <w:ind w:left="0" w:right="0" w:firstLine="720"/>
        <w:rPr/>
      </w:pPr>
      <w:r>
        <w:rPr/>
      </w:r>
    </w:p>
    <w:p>
      <w:pPr>
        <w:pStyle w:val="TextBody"/>
        <w:spacing w:lineRule="auto" w:line="288"/>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9.03    During the term of the Covered Executive’s employment with the Company or an Affiliate and (i) for a period of twelve (12) months following the date of a Qualifying Termination covered by Section 4.01, a Covered Executive’s voluntary resignation of employment other than for Good Reason (defined below), or a termination of the Covered Executive’s employment by reason of his or her Disability covered by Section 4.04, or (ii) for a </w:t>
      </w:r>
      <w:r>
        <w:br w:type="page"/>
      </w:r>
    </w:p>
    <w:p>
      <w:pPr>
        <w:pStyle w:val="TextBody"/>
        <w:spacing w:before="0" w:after="20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247015"/>
                <wp:effectExtent l="0" t="0" r="0" b="0"/>
                <wp:wrapNone/>
                <wp:docPr id="94" name="Frame93"/>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16</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pPr>
      <w:r>
        <w:rPr>
          <w:rFonts w:ascii="Times New Roman;sans-serif" w:hAnsi="Times New Roman;sans-serif"/>
          <w:b w:val="false"/>
          <w:color w:val="000000"/>
          <w:sz w:val="24"/>
        </w:rPr>
        <w:t>period of twenty-four (24) months following the date of a Qualifying Termination covered by Section 4.02 (the period established under either subclause (i) or (ii), as applicable, hereafter called the “</w:t>
      </w:r>
      <w:r>
        <w:rPr>
          <w:rFonts w:ascii="Times New Roman;sans-serif" w:hAnsi="Times New Roman;sans-serif"/>
          <w:b w:val="false"/>
          <w:color w:val="000000"/>
          <w:sz w:val="24"/>
          <w:u w:val="single"/>
        </w:rPr>
        <w:t>Restricted Period</w:t>
      </w:r>
      <w:r>
        <w:rPr>
          <w:color w:val="000000"/>
        </w:rPr>
        <w:t xml:space="preserve">” </w:t>
      </w:r>
      <w:r>
        <w:rPr>
          <w:rFonts w:ascii="Times New Roman;sans-serif" w:hAnsi="Times New Roman;sans-serif"/>
          <w:b w:val="false"/>
          <w:color w:val="000000"/>
          <w:sz w:val="24"/>
        </w:rPr>
        <w:t>and each termination of employment covered by either subclause (i) or (ii), as applicable, hereafter each called a “</w:t>
      </w:r>
      <w:r>
        <w:rPr>
          <w:rFonts w:ascii="Times New Roman;sans-serif" w:hAnsi="Times New Roman;sans-serif"/>
          <w:b w:val="false"/>
          <w:color w:val="000000"/>
          <w:sz w:val="24"/>
          <w:u w:val="single"/>
        </w:rPr>
        <w:t>Termination</w:t>
      </w:r>
      <w:r>
        <w:rPr>
          <w:color w:val="000000"/>
        </w:rPr>
        <w:t>”</w:t>
      </w:r>
      <w:r>
        <w:rPr>
          <w:rFonts w:ascii="Times New Roman;sans-serif" w:hAnsi="Times New Roman;sans-serif"/>
          <w:b w:val="false"/>
          <w:color w:val="000000"/>
          <w:sz w:val="24"/>
        </w:rPr>
        <w:t>), the Covered Executive will not, whether on the Covered Executive’s own behalf or on behalf of or in conjunction with any person, firm, partnership, joint venture, association, corporation or other business organization, entity or enterprise whatsoever (“</w:t>
      </w:r>
      <w:r>
        <w:rPr>
          <w:rFonts w:ascii="Times New Roman;sans-serif" w:hAnsi="Times New Roman;sans-serif"/>
          <w:b w:val="false"/>
          <w:color w:val="000000"/>
          <w:sz w:val="24"/>
          <w:u w:val="single"/>
        </w:rPr>
        <w:t>Person</w:t>
      </w:r>
      <w:r>
        <w:rPr>
          <w:color w:val="000000"/>
        </w:rPr>
        <w:t>”</w:t>
      </w:r>
      <w:r>
        <w:rPr>
          <w:rFonts w:ascii="Times New Roman;sans-serif" w:hAnsi="Times New Roman;sans-serif"/>
          <w:b w:val="false"/>
          <w:color w:val="000000"/>
          <w:sz w:val="24"/>
        </w:rPr>
        <w:t xml:space="preserve">), directly or indirectly solicit or assist in soliciting in competition with the Company, the business of any client or prospective client: </w:t>
      </w:r>
    </w:p>
    <w:p>
      <w:pPr>
        <w:pStyle w:val="TextBody"/>
        <w:spacing w:before="0" w:after="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(a)    with whom the Covered Executive had personal contact or dealings on behalf of the Company during the one year period preceding the Termination;</w:t>
      </w:r>
    </w:p>
    <w:p>
      <w:pPr>
        <w:pStyle w:val="TextBody"/>
        <w:spacing w:before="0" w:after="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 whom employees reporting to the Covered Executive have had personal contact or dealings on behalf of the Company during the one year period immediately preceding the Termination; or </w:t>
      </w:r>
    </w:p>
    <w:p>
      <w:pPr>
        <w:pStyle w:val="TextBody"/>
        <w:spacing w:before="0" w:after="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(c)    for whom the Covered Executive had direct or indirect responsibility during the one year period immediately preceding the Termination.</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9.04    During the Restricted Period, the Covered Executive will not directly or indirectly:</w:t>
      </w:r>
    </w:p>
    <w:p>
      <w:pPr>
        <w:pStyle w:val="TextBody"/>
        <w:spacing w:before="0" w:after="0"/>
        <w:jc w:val="both"/>
        <w:rPr/>
      </w:pPr>
      <w:r>
        <w:rPr/>
      </w:r>
    </w:p>
    <w:p>
      <w:pPr>
        <w:pStyle w:val="TextBody"/>
        <w:spacing w:lineRule="auto" w:line="264" w:before="0" w:after="0"/>
        <w:ind w:left="0" w:right="0" w:firstLine="1080"/>
        <w:jc w:val="both"/>
        <w:rPr/>
      </w:pPr>
      <w:r>
        <w:rPr>
          <w:rFonts w:ascii="Times New Roman;sans-serif" w:hAnsi="Times New Roman;sans-serif"/>
          <w:b w:val="false"/>
          <w:color w:val="000000"/>
          <w:sz w:val="24"/>
        </w:rPr>
        <w:t>(a)    engage in any business that materially competes with any business of the Company or its Affiliates (including, without limitation, businesses which the Company or its Affiliates have specific plans to conduct within twelve (12) months from the effective date of the Termination and as to which the Covered Executive is personally aware of such planning) in any geographical area that is within 100 miles of any geographical area where the Company or its Affiliates manufactures, produces, sells, leases, rents, licenses or otherwise provides its products or services and over which the Covered Executive had substantive responsibilities (a “</w:t>
      </w:r>
      <w:r>
        <w:rPr>
          <w:rFonts w:ascii="Times New Roman;sans-serif" w:hAnsi="Times New Roman;sans-serif"/>
          <w:b w:val="false"/>
          <w:color w:val="000000"/>
          <w:sz w:val="24"/>
          <w:u w:val="single"/>
        </w:rPr>
        <w:t>Competitive Business</w:t>
      </w:r>
      <w:r>
        <w:rPr>
          <w:color w:val="000000"/>
        </w:rPr>
        <w:t>”</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(b)    enter the employ of, or render any services to, any Person (or any division or controlled or controlling affiliate of any Person) who or which engages in a Competitive Business, including a private equity or venture capital firm that has one or more portfolio companies that engage in the Competitive Business provided that the Covered Executive actively participates in the relationship between such fund and the portfolio company or portfolio companies that engage in the Competitive Business;</w:t>
      </w:r>
    </w:p>
    <w:p>
      <w:pPr>
        <w:pStyle w:val="TextBody"/>
        <w:spacing w:before="0" w:after="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(c)    acquire a financial interest in, or otherwise become actively involved with, any Competitive Business, directly or indirectly, as an individual, partner, shareholder, officer, director, principal, agent, trustee or consultant; or</w:t>
      </w:r>
    </w:p>
    <w:p>
      <w:pPr>
        <w:pStyle w:val="TextBody"/>
        <w:spacing w:before="0" w:after="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(d)    interfere with, or attempt to interfere with, business relationships between the Company or any of its Affiliates and customers, clients, suppliers, partners, members or investors of the Company or its Affiliates.</w:t>
      </w:r>
    </w:p>
    <w:p>
      <w:pPr>
        <w:pStyle w:val="TextBody"/>
        <w:spacing w:before="0" w:after="0"/>
        <w:jc w:val="both"/>
        <w:rPr/>
      </w:pPr>
      <w:r>
        <w:rPr/>
      </w:r>
    </w:p>
    <w:p>
      <w:pPr>
        <w:pStyle w:val="TextBody"/>
        <w:spacing w:lineRule="auto" w:line="288"/>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9.05    Notwithstanding anything to the contrary in this Section 9, the Covered Executive may, directly or indirectly, own, solely as an investment, securities of any Person engaged in the </w:t>
      </w:r>
      <w:r>
        <w:br w:type="page"/>
      </w:r>
    </w:p>
    <w:p>
      <w:pPr>
        <w:pStyle w:val="TextBody"/>
        <w:spacing w:before="0" w:after="20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92265" cy="247015"/>
                <wp:effectExtent l="0" t="0" r="0" b="0"/>
                <wp:wrapNone/>
                <wp:docPr id="95" name="Frame94"/>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17</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business of the Company or its Affiliates that is publicly traded on a national stock exchange or on the over-the-counter market if the Covered Executive (i) is not a controlling person of, or a member of a group which controls, such person or (ii) does not, directly or indirectly, own 5% or more of any class of securities of such Person.</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9.06    During the Restricted Period, the Covered Executive will not, whether on the Covered Executive’s own behalf or on behalf of or in conjunction with any Person, directly or indirectly:</w:t>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(a)    solicit or encourage any employee of the Company or its Affiliates to leave the employment of the Company or its Affiliates; or</w:t>
      </w:r>
    </w:p>
    <w:p>
      <w:pPr>
        <w:pStyle w:val="TextBody"/>
        <w:spacing w:before="0" w:after="0"/>
        <w:ind w:left="0" w:right="0" w:firstLine="720"/>
        <w:jc w:val="both"/>
        <w:rPr/>
      </w:pPr>
      <w:r>
        <w:rPr/>
      </w:r>
    </w:p>
    <w:p>
      <w:pPr>
        <w:pStyle w:val="TextBody"/>
        <w:spacing w:lineRule="auto" w:line="264"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(b)    hire any such employee who was employed by the Company or its affiliates as of the date of the Termination or who left the employment of the Company or its affiliates coincident with, or within twelve (12) months prior to or after, the Covered Executive’s Termination.</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9.07    During the Restricted Period, the Covered Executive will not, directly or indirectly, solicit or encourage to cease to work with the Company or its Affiliates any consultant then under contract with the Company or its Affiliates.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9.08    If a final judicial determination is made by a court of competent jurisdiction that the time or territory or any other restriction contained in this Section 9 is an unenforceable restriction against the Covered Executive, the provisions of this Section 9 shall not be rendered void but shall be deemed amended to apply as to such maximum time and territory and to such maximum extent as such court may judicially determine to be enforceable.</w:t>
      </w:r>
    </w:p>
    <w:p>
      <w:pPr>
        <w:pStyle w:val="TextBody"/>
        <w:spacing w:lineRule="auto" w:line="288" w:before="0" w:after="0"/>
        <w:ind w:left="0" w:right="0" w:firstLine="720"/>
        <w:rPr>
          <w:rFonts w:ascii="Times New Roman;sans-serif" w:hAnsi="Times New Roman;sans-serif"/>
          <w:b/>
          <w:color w:val="000000"/>
          <w:sz w:val="24"/>
        </w:rPr>
      </w:pPr>
      <w:r>
        <w:rPr>
          <w:rFonts w:ascii="Times New Roman;sans-serif" w:hAnsi="Times New Roman;sans-serif"/>
          <w:b/>
          <w:color w:val="000000"/>
          <w:sz w:val="24"/>
        </w:rPr>
        <w:t>10.   AMENDMENT AND TERMINATION.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Plan may be amended or terminated, in whole or in part, at any time by a written instrument signed by the President of the Company and approved by the Committee; provided, however, a copy of such action must be furnished to each Covered Executive at least thirty (30) days prior to its effective date or such action shall be deemed null and void for all purposes as to such Covered Executive.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11.   ADOPTION AND WITHDRAWAL BY AFFILIATES.</w:t>
      </w:r>
    </w:p>
    <w:p>
      <w:pPr>
        <w:pStyle w:val="TextBody"/>
        <w:spacing w:lineRule="auto" w:line="288" w:before="0" w:after="0"/>
        <w:rPr>
          <w:color w:val="000000"/>
        </w:rPr>
      </w:pPr>
      <w:r>
        <w:rPr>
          <w:color w:val="000000"/>
        </w:rPr>
        <w:t> </w:t>
      </w:r>
    </w:p>
    <w:p>
      <w:pPr>
        <w:pStyle w:val="TextBody"/>
        <w:spacing w:lineRule="auto" w:line="288"/>
        <w:rPr/>
      </w:pPr>
      <w:r>
        <w:rPr>
          <w:color w:val="000000"/>
        </w:rPr>
        <w:t>   </w:t>
      </w:r>
      <w:r>
        <w:rPr>
          <w:rFonts w:ascii="Times New Roman;sans-serif" w:hAnsi="Times New Roman;sans-serif"/>
          <w:b w:val="false"/>
          <w:color w:val="000000"/>
          <w:sz w:val="24"/>
        </w:rPr>
        <w:t>11.01   </w:t>
      </w:r>
      <w:r>
        <w:rPr>
          <w:rFonts w:ascii="Times New Roman;sans-serif" w:hAnsi="Times New Roman;sans-serif"/>
          <w:b w:val="false"/>
          <w:color w:val="000000"/>
          <w:sz w:val="24"/>
          <w:u w:val="single"/>
        </w:rPr>
        <w:t>Adoption by Affiliates</w:t>
      </w:r>
      <w:r>
        <w:rPr>
          <w:rFonts w:ascii="Times New Roman;sans-serif" w:hAnsi="Times New Roman;sans-serif"/>
          <w:b w:val="false"/>
          <w:color w:val="000000"/>
          <w:sz w:val="24"/>
        </w:rPr>
        <w:t>.  Subject to the prior approval of the Committee, an Affiliate of the Company may adopt this Plan pursuant to appropriate written resolutions of its board of directors and by executing and delivering to the Company an adoption agreement in which the adopting Affiliate agrees to be bound by all of the terms of this Plan with respect to its Covered Executives (each a “</w:t>
      </w:r>
      <w:r>
        <w:rPr>
          <w:rFonts w:ascii="Times New Roman;sans-serif" w:hAnsi="Times New Roman;sans-serif"/>
          <w:b w:val="false"/>
          <w:color w:val="000000"/>
          <w:sz w:val="24"/>
          <w:u w:val="single"/>
        </w:rPr>
        <w:t>Participating Affiliate</w:t>
      </w:r>
      <w:r>
        <w:rPr>
          <w:color w:val="000000"/>
        </w:rPr>
        <w:t>”</w:t>
      </w:r>
      <w:r>
        <w:rPr>
          <w:rFonts w:ascii="Times New Roman;sans-serif" w:hAnsi="Times New Roman;sans-serif"/>
          <w:b w:val="false"/>
          <w:color w:val="000000"/>
          <w:sz w:val="24"/>
        </w:rPr>
        <w:t xml:space="preserve">).  The adoption agreement shall become, as to such adopting Affiliate and its employees, a part of this Plan as then amended or thereafter amended.  It shall not be necessary for the adopting Affiliate to sign or execute the original or amended Plan document.  The effective date of this Plan for any such adopting Affiliate shall be that stated in the adoption agreement, and from and after such effective date, the adopting Affiliate shall assume all the rights, obligations, and liabilities under this Plan. The </w:t>
      </w:r>
      <w:r>
        <w:br w:type="page"/>
      </w:r>
    </w:p>
    <w:p>
      <w:pPr>
        <w:pStyle w:val="TextBody"/>
        <w:spacing w:before="0" w:after="20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92265" cy="247015"/>
                <wp:effectExtent l="0" t="0" r="0" b="0"/>
                <wp:wrapNone/>
                <wp:docPr id="96" name="Frame95"/>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18</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administrative powers and control of the Company, as provided in this Plan, including the sole right to amend, shall not be diminished by reason of participation of any such Affiliate in this Plan.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color w:val="000000"/>
        </w:rPr>
        <w:t> </w:t>
      </w:r>
      <w:r>
        <w:rPr>
          <w:rFonts w:ascii="Times New Roman;sans-serif" w:hAnsi="Times New Roman;sans-serif"/>
          <w:b w:val="false"/>
          <w:color w:val="000000"/>
          <w:sz w:val="24"/>
        </w:rPr>
        <w:t>11.02   </w:t>
      </w:r>
      <w:r>
        <w:rPr>
          <w:rFonts w:ascii="Times New Roman;sans-serif" w:hAnsi="Times New Roman;sans-serif"/>
          <w:b w:val="false"/>
          <w:color w:val="000000"/>
          <w:sz w:val="24"/>
          <w:u w:val="single"/>
        </w:rPr>
        <w:t>Special Provisions by Affiliates</w:t>
      </w:r>
      <w:r>
        <w:rPr>
          <w:rFonts w:ascii="Times New Roman;sans-serif" w:hAnsi="Times New Roman;sans-serif"/>
          <w:b w:val="false"/>
          <w:color w:val="000000"/>
          <w:sz w:val="24"/>
        </w:rPr>
        <w:t>.  With the approval of the Company, an adopting Affiliate may elect to have special provisions apply with respect to its Covered Executives.  Such special provisions, which may differ from the provisions of this Plan which are applicable to employees of other Affiliates, shall be stated in this Plan text or in an Appendix to this Plan.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color w:val="000000"/>
        </w:rPr>
        <w:t> </w:t>
      </w:r>
      <w:r>
        <w:rPr>
          <w:rFonts w:ascii="Times New Roman;sans-serif" w:hAnsi="Times New Roman;sans-serif"/>
          <w:b w:val="false"/>
          <w:color w:val="000000"/>
          <w:sz w:val="24"/>
        </w:rPr>
        <w:t>11.03   </w:t>
      </w:r>
      <w:r>
        <w:rPr>
          <w:rFonts w:ascii="Times New Roman;sans-serif" w:hAnsi="Times New Roman;sans-serif"/>
          <w:b w:val="false"/>
          <w:color w:val="000000"/>
          <w:sz w:val="24"/>
          <w:u w:val="single"/>
        </w:rPr>
        <w:t>Withdrawal</w:t>
      </w:r>
      <w:r>
        <w:rPr>
          <w:rFonts w:ascii="Times New Roman;sans-serif" w:hAnsi="Times New Roman;sans-serif"/>
          <w:b w:val="false"/>
          <w:color w:val="000000"/>
          <w:sz w:val="24"/>
        </w:rPr>
        <w:t>.  Any Affiliate of the Company participating in this Plan may withdraw from this Plan at any time without affecting other Affiliates of the Company by complying with the provisions of this Plan.  The Committee may, in its absolute discretion, terminate an adopting Affiliate’s participation at any time.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12.   MISCELLANEOUS.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color w:val="000000"/>
          <w:sz w:val="24"/>
        </w:rPr>
        <w:t>12.01   </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The payment of severance benefits under this Plan shall not be taken into account to increase any benefits provided (or continued coverage) under any other plan or policy of the Company or any Affiliate, except as otherwise specifically provided in such other plan or policy.</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12.02    </w:t>
      </w:r>
      <w:r>
        <w:rPr>
          <w:rFonts w:ascii="Times New Roman;sans-serif" w:hAnsi="Times New Roman;sans-serif"/>
          <w:b w:val="false"/>
          <w:color w:val="000000"/>
          <w:sz w:val="24"/>
          <w:u w:val="single"/>
        </w:rPr>
        <w:t>No Assignments</w:t>
      </w:r>
      <w:r>
        <w:rPr>
          <w:rFonts w:ascii="Times New Roman;sans-serif" w:hAnsi="Times New Roman;sans-serif"/>
          <w:b w:val="false"/>
          <w:color w:val="000000"/>
          <w:sz w:val="24"/>
        </w:rPr>
        <w:t>.  No benefit payable under this Plan may be assigned, transferred, pledged as a security for indebtedness or otherwise encumbered, or subjected to any legal process for the payment of any claim against a Covered Executive.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12.03   </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This Plan does not create a contract of employment or give any Covered Executive the right to continued employment or change the at-will nature of any employee’s employment with the Company or an Affiliate.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12.04   </w:t>
      </w:r>
      <w:r>
        <w:rPr>
          <w:rFonts w:ascii="Times New Roman;sans-serif" w:hAnsi="Times New Roman;sans-serif"/>
          <w:b w:val="false"/>
          <w:color w:val="000000"/>
          <w:sz w:val="24"/>
          <w:u w:val="single"/>
        </w:rPr>
        <w:t>Savings Clause</w:t>
      </w:r>
      <w:r>
        <w:rPr>
          <w:rFonts w:ascii="Times New Roman;sans-serif" w:hAnsi="Times New Roman;sans-serif"/>
          <w:b w:val="false"/>
          <w:color w:val="000000"/>
          <w:sz w:val="24"/>
        </w:rPr>
        <w:t>.  If any provision of this Plan should be held invalid or unenforceable, such invalidity or unenforceability shall not affect any other provision of this Plan, and this Plan shall be construed and enforced as if such provisions had not been included.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12.05   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Whenever appropriate in this Plan, words used in the singular may be read in the plural; words used in the plural may be read in the  singular;  and  words  importing the masculine gender shall be deemed equally to refer to the feminine or be neutral.  Any reference to a Section shall refer to a Section of this Plan, unless otherwise indicated.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The headings of sections are included solely for convenience of reference, and if there be any conflict between such headings and the text of this Plan, the text shall control.</w:t>
      </w:r>
    </w:p>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247015"/>
                <wp:effectExtent l="0" t="0" r="0" b="0"/>
                <wp:wrapNone/>
                <wp:docPr id="97" name="Frame96"/>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19</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ind w:left="0" w:right="0" w:firstLine="720"/>
        <w:rPr/>
      </w:pPr>
      <w:r>
        <w:rPr>
          <w:rFonts w:ascii="Times New Roman;sans-serif" w:hAnsi="Times New Roman;sans-serif"/>
          <w:b w:val="false"/>
          <w:color w:val="000000"/>
          <w:sz w:val="24"/>
        </w:rPr>
        <w:t>12.06   </w:t>
      </w:r>
      <w:r>
        <w:rPr>
          <w:rFonts w:ascii="Times New Roman;sans-serif" w:hAnsi="Times New Roman;sans-serif"/>
          <w:b w:val="false"/>
          <w:color w:val="000000"/>
          <w:sz w:val="24"/>
          <w:u w:val="single"/>
        </w:rPr>
        <w:t>Choice of Law</w:t>
      </w:r>
      <w:r>
        <w:rPr>
          <w:rFonts w:ascii="Times New Roman;sans-serif" w:hAnsi="Times New Roman;sans-serif"/>
          <w:b w:val="false"/>
          <w:color w:val="000000"/>
          <w:sz w:val="24"/>
        </w:rPr>
        <w:t>.  Except to the extent preempted by federal law, this Plan shall be construed, administered and enforced according to the laws of the state of Texas without regard to conflict of laws principles.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12.07   </w:t>
      </w:r>
      <w:r>
        <w:rPr>
          <w:rFonts w:ascii="Times New Roman;sans-serif" w:hAnsi="Times New Roman;sans-serif"/>
          <w:b w:val="false"/>
          <w:color w:val="000000"/>
          <w:sz w:val="24"/>
          <w:u w:val="single"/>
        </w:rPr>
        <w:t>Arbitration of Disputes</w:t>
      </w:r>
      <w:r>
        <w:rPr>
          <w:rFonts w:ascii="Times New Roman;sans-serif" w:hAnsi="Times New Roman;sans-serif"/>
          <w:b w:val="false"/>
          <w:color w:val="000000"/>
          <w:sz w:val="24"/>
        </w:rPr>
        <w:t>.  Any controversy, dispute or claim arising out of or relating, in any way, to this Plan or a purported breach of the Plan shall be settled through arbitration proceedings conducted in Houston, Texas in accordance with the Commercial Arbitration Rules of the American Arbitration Association.  The matter shall be heard and decided, and awards rendered by, a panel of three arbitrators.  An Employer and the Covered Executive shall each select one arbitrator and the American Arbitration Association shall select the third arbitrator, each of whom shall be on the American Arbitration Association’s national panel of commercial arbitrators.  The award rendered by this arbitration panel shall be final and binding as between the parties hereto and their heirs, executors, administrators, successors and assigns, and judgment on the award may be entered by any court having jurisdiction.  The Covered Executive’s Employer shall pay all arbitration fees, unless the panel makes a factual finding or conclusion that the Covered Executive’s claim in the matter was frivolous.  Likewise, the Covered Executive’s Employer shall pay his or her legal fees in all disputes, other than those deemed frivolous.  The Covered Executive shall be responsible for all of his or her fees and costs along with 50% of all arbitration fees in any matter the arbitrators find frivolous.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12.08   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Company shall require any successor or any entity acquiring substantially all of the assets of the Company to assume the Plan in writing and agree to honor all terms of this Plan.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12.09   </w:t>
      </w:r>
      <w:r>
        <w:rPr>
          <w:rFonts w:ascii="Times New Roman;sans-serif" w:hAnsi="Times New Roman;sans-serif"/>
          <w:b w:val="false"/>
          <w:color w:val="000000"/>
          <w:sz w:val="24"/>
          <w:u w:val="single"/>
        </w:rPr>
        <w:t>Required Clawbacks</w:t>
      </w:r>
      <w:r>
        <w:rPr>
          <w:rFonts w:ascii="Times New Roman;sans-serif" w:hAnsi="Times New Roman;sans-serif"/>
          <w:b w:val="false"/>
          <w:color w:val="000000"/>
          <w:sz w:val="24"/>
        </w:rPr>
        <w:t>.  Notwithstanding anything in this Plan to the contrary, in the event that the Dodd-Frank Wall Street Reform and Consumer Protection Act of 2010 (the “</w:t>
      </w:r>
      <w:r>
        <w:rPr>
          <w:rFonts w:ascii="Times New Roman;sans-serif" w:hAnsi="Times New Roman;sans-serif"/>
          <w:b w:val="false"/>
          <w:color w:val="000000"/>
          <w:sz w:val="24"/>
          <w:u w:val="single"/>
        </w:rPr>
        <w:t>Act</w:t>
      </w:r>
      <w:r>
        <w:rPr>
          <w:color w:val="000000"/>
        </w:rPr>
        <w:t>”</w:t>
      </w:r>
      <w:r>
        <w:rPr>
          <w:rFonts w:ascii="Times New Roman;sans-serif" w:hAnsi="Times New Roman;sans-serif"/>
          <w:b w:val="false"/>
          <w:color w:val="000000"/>
          <w:sz w:val="24"/>
        </w:rPr>
        <w:t>) requires a Covered Executive to repay the Company, or for the Company to recoup from the Covered Executive, any “erroneously awarded” amounts of incentive compensation, then the Company may recoup any such “erroneously awarded” incentive compensation that it has made to the Covered Executive by reducing any severance pay or benefit otherwise due the Covered Executive under this Plan.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12.10   </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A Covered Executive shall not be required to mitigate the amount of any payment or benefit provided for in this Plan by seeking other employment or otherwise, nor shall the amount of any payment or benefit provided for in Plan be reduced by any compensation or benefit earned by the Covered Executive as the result of employment by another employer.  Subject to the foregoing, the benefits under the Plan are in addition to any other benefits to which a Covered Executive is otherwise entitled.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12.11   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All obligations of the Company and a Participating Affiliate under the Plan with respect to a termination of employment occurring before the termination or any amendment of the Plan shall continue and survive such Plan termination or amendment.</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2"/>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247015"/>
                <wp:effectExtent l="0" t="0" r="0" b="0"/>
                <wp:wrapNone/>
                <wp:docPr id="98" name="Frame97"/>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20</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319" w:before="0" w:after="2"/>
        <w:rPr>
          <w:rFonts w:ascii="Times New Roman;sans-serif" w:hAnsi="Times New Roman;sans-serif"/>
          <w:b/>
          <w:color w:val="000000"/>
          <w:sz w:val="24"/>
        </w:rPr>
      </w:pPr>
      <w:r>
        <w:rPr>
          <w:rFonts w:ascii="Times New Roman;sans-serif" w:hAnsi="Times New Roman;sans-serif"/>
          <w:b/>
          <w:color w:val="000000"/>
          <w:sz w:val="24"/>
        </w:rPr>
        <w:t>13. ADMINISTRATIVE INFORMATION.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13.01   </w:t>
      </w:r>
      <w:r>
        <w:rPr>
          <w:rFonts w:ascii="Times New Roman;sans-serif" w:hAnsi="Times New Roman;sans-serif"/>
          <w:b w:val="false"/>
          <w:color w:val="000000"/>
          <w:sz w:val="24"/>
          <w:u w:val="single"/>
        </w:rPr>
        <w:t>Plan Year</w:t>
      </w:r>
      <w:r>
        <w:rPr>
          <w:rFonts w:ascii="Times New Roman;sans-serif" w:hAnsi="Times New Roman;sans-serif"/>
          <w:b w:val="false"/>
          <w:color w:val="000000"/>
          <w:sz w:val="24"/>
        </w:rPr>
        <w:t>.  Each plan year begins on January 1 and ends on December 31 of the same year.  Records concerning this Plan are to be kept on a plan year basis.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13.02   </w:t>
      </w:r>
      <w:r>
        <w:rPr>
          <w:rFonts w:ascii="Times New Roman;sans-serif" w:hAnsi="Times New Roman;sans-serif"/>
          <w:b w:val="false"/>
          <w:color w:val="000000"/>
          <w:sz w:val="24"/>
          <w:u w:val="single"/>
        </w:rPr>
        <w:t>Legal Notices</w:t>
      </w:r>
      <w:r>
        <w:rPr>
          <w:rFonts w:ascii="Times New Roman;sans-serif" w:hAnsi="Times New Roman;sans-serif"/>
          <w:b w:val="false"/>
          <w:color w:val="000000"/>
          <w:sz w:val="24"/>
        </w:rPr>
        <w:t>.  The person designated to receive any legal notices concerning this Plan is:</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IES Holdings, Inc.</w: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c/o Chairman, Human Resources and Compensation</w: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Committee of the Board of Directors</w:t>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4"/>
        </w:rPr>
        <w:t>5433 Westheimer Rd., Suite 500</w: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Houston, TX  77056 </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color w:val="000000"/>
          <w:sz w:val="24"/>
        </w:rPr>
        <w:t>14.</w:t>
      </w:r>
      <w:r>
        <w:rPr>
          <w:color w:val="000000"/>
        </w:rPr>
        <w:t>  </w:t>
      </w:r>
      <w:r>
        <w:rPr>
          <w:rFonts w:ascii="Times New Roman;sans-serif" w:hAnsi="Times New Roman;sans-serif"/>
          <w:b/>
          <w:color w:val="000000"/>
          <w:sz w:val="24"/>
        </w:rPr>
        <w:t>DEFINITIONS.</w:t>
      </w:r>
      <w:r>
        <w:rPr>
          <w:color w:val="000000"/>
        </w:rPr>
        <w:t>  </w:t>
      </w:r>
      <w:r>
        <w:rPr>
          <w:rFonts w:ascii="Times New Roman;sans-serif" w:hAnsi="Times New Roman;sans-serif"/>
          <w:b w:val="false"/>
          <w:color w:val="000000"/>
          <w:sz w:val="24"/>
        </w:rPr>
        <w:t>For purposes of this Plan, the following terms are defined as follows: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Accrued Rights</w:t>
      </w:r>
      <w:r>
        <w:rPr>
          <w:color w:val="000000"/>
        </w:rPr>
        <w:t xml:space="preserve">” </w:t>
      </w:r>
      <w:r>
        <w:rPr>
          <w:rFonts w:ascii="Times New Roman;sans-serif" w:hAnsi="Times New Roman;sans-serif"/>
          <w:b w:val="false"/>
          <w:color w:val="000000"/>
          <w:sz w:val="24"/>
        </w:rPr>
        <w:t>means a Covered Executive’s (i)  earned, but unpaid, annual base salary up to the date of his or her termination of employment, (ii) any accrued, but untaken, vacation time or paid-time off, and (iii) the reimbursement, within sixty (60) days following submission to the Company or Participating Affiliate of appropriate supporting documentation, for any unreimbursed reasonable business expenses properly incurred by the Covered Executive in the performance of his or her duties in accordance with the Company’s or Participating Affiliate’s expense policy prior to the Covered Executive’s termination of employment, provided claims for such reimbursement (accompanied by appropriate supporting documentation) are submitted to the Company or Participating Affiliate within ninety (90) days following the date such expenses were incurred and within thirty (30) days following the Covered Executive’s termination of employment, and (iv) such employee benefits, if any, as to which the Covered Executive may be entitled under the terms of the employee benefit plans of the Company or Participating Affiliate.</w:t>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person or entity, any person or entity, directly or indirectly, controlled by, controlling or under common control with such person or entity.</w:t>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Annual Bonus</w:t>
      </w:r>
      <w:r>
        <w:rPr>
          <w:color w:val="000000"/>
        </w:rPr>
        <w:t xml:space="preserve">” </w:t>
      </w:r>
      <w:r>
        <w:rPr>
          <w:rFonts w:ascii="Times New Roman;sans-serif" w:hAnsi="Times New Roman;sans-serif"/>
          <w:b w:val="false"/>
          <w:color w:val="000000"/>
          <w:sz w:val="24"/>
        </w:rPr>
        <w:t>means incentive compensation payable to a Covered Executive dependent upon the achievement of performance objectives established by the Committee for each fiscal year during such Covered Executive’s employment with the Company or Participating Affiliate.</w:t>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Annual Bonus Opportunity</w:t>
      </w:r>
      <w:r>
        <w:rPr>
          <w:color w:val="000000"/>
        </w:rPr>
        <w:t xml:space="preserve">” </w:t>
      </w:r>
      <w:r>
        <w:rPr>
          <w:rFonts w:ascii="Times New Roman;sans-serif" w:hAnsi="Times New Roman;sans-serif"/>
          <w:b w:val="false"/>
          <w:color w:val="000000"/>
          <w:sz w:val="24"/>
        </w:rPr>
        <w:t>means the target annual bonus opportunity for each fiscal year ending during a Covered Executive’s employment with the Company or Participating Affiliate as set by the Committee, in its sole discretion.</w:t>
      </w:r>
    </w:p>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92265" cy="247015"/>
                <wp:effectExtent l="0" t="0" r="0" b="0"/>
                <wp:wrapNone/>
                <wp:docPr id="99" name="Frame98"/>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21</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ind w:left="0" w:right="0" w:firstLine="1440"/>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Base Pay</w:t>
      </w:r>
      <w:r>
        <w:rPr>
          <w:color w:val="000000"/>
        </w:rPr>
        <w:t xml:space="preserve">” </w:t>
      </w:r>
      <w:r>
        <w:rPr>
          <w:rFonts w:ascii="Times New Roman;sans-serif" w:hAnsi="Times New Roman;sans-serif"/>
          <w:b w:val="false"/>
          <w:color w:val="000000"/>
          <w:sz w:val="24"/>
        </w:rPr>
        <w:t>means a Covered Executive’s annual rate of base salary at his or her Qualifying Termination or, if greater, his or her annual base pay for the fiscal year preceding his or her Qualifying Termination.</w:t>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(i) the Covered Executive’s gross negligence in the performance or intentional nonperformance of any of the Covered Executive’s material duties and responsibilities to the Company or a Participating Affiliate; (ii) the Covered Executive’s dishonesty, theft, embezzlement or fraud with respect to the business, property, reputation or affairs of the Company or a Participating Affiliate; (iii) the Covered Executive’s conviction of, or a plea of other than not guilty to, a felony or a misdemeanor involving moral turpitude; (iv) the Covered Executive’s confirmed drug or alcohol abuse that materially affects the Covered Executive’s service or violates the Company’s or a Participating Affiliate’s drug or alcohol abuse policy; (v) the Covered Executive’s violation of a material Company or a Participating Affiliate’s personnel or similar policy, such policy having been made available to the Covered Executive by the Company or a Participating Affiliate, or a material agreement with the Company or an Affiliate; or (vi) the Covered Executive’s having committed any material violation of any federal or state law regulating securities (without having relied on the advice of the Company’s attorney) or having been the subject of any final order, judicial or administrative, obtained or issued by the Securities and Exchange Commission, for any securities violation involving fraud, including, without limitation, any such order consented to by the Covered Executive in which findings of facts or any legal conclusions establishing liability are neither admitted nor denied.</w:t>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information of any kind, nature, or description, that (i) relates to the Company’s business or the business of Affiliates, (ii) provides the Company or Affiliates economic value or any business advantage, (iii) is not generally known to the public, and (iv) is learned or developed by the Covered Executive as a direct or indirect result of, or during the course of, the Covered Executive’s employment with or work relating to the Company or an Affiliate. Confidential Information includes, but is not limited to, the Company’s or Affiliates’ inventions, intellectual property, trade secrets, proprietary or business information, including, but not limited to, information about or relating in any way to: any customer; business, merchandise, or marketing procedures, processes, or services; hardware; software; research; marketing; developments; products; product lines; design; purchasing; finances and financial affairs; accounting; merchandising; selling or sales; engineering; Company or Affiliate employees, contractors, business partners or business associates; training; business practices; past, present or future acquisitions; potential or target acquisitions; customer lists; customer contact lists; vendor lists; supplier lists; pricing; pricing agreements; merchandise resources; supply resources; service resources; system designs; procedures or manuals; policies; the prices the Company or Affiliates may obtain or have obtained or at which they sell or have sold any services or products; or the name of the Company’s or Affiliates’ personnel and those to whom such personnel reports.</w:t>
      </w:r>
    </w:p>
    <w:p>
      <w:pPr>
        <w:pStyle w:val="TextBody"/>
        <w:spacing w:lineRule="auto" w:line="288" w:before="0" w:after="0"/>
        <w:rPr>
          <w:color w:val="000000"/>
        </w:rPr>
      </w:pPr>
      <w:r>
        <w:rPr>
          <w:color w:val="000000"/>
        </w:rPr>
        <w:t> </w:t>
      </w:r>
    </w:p>
    <w:p>
      <w:pPr>
        <w:pStyle w:val="TextBody"/>
        <w:spacing w:lineRule="auto" w:line="288"/>
        <w:ind w:left="0" w:right="0" w:firstLine="1440"/>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means a physical or mental condition that renders the Covered Executive incapacitated and unable for a period of six (6) consecutive months or for an aggregate of nine (9) months in any twenty-four (24) consecutive month period to substantially perform (with such accommodation, if any, required by applicable law) the Covered Executive’s duties.</w:t>
      </w:r>
      <w:r>
        <w:br w:type="page"/>
      </w:r>
    </w:p>
    <w:p>
      <w:pPr>
        <w:pStyle w:val="TextBody"/>
        <w:spacing w:before="0" w:after="20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92265" cy="247015"/>
                <wp:effectExtent l="0" t="0" r="0" b="0"/>
                <wp:wrapNone/>
                <wp:docPr id="100" name="Frame99"/>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22</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the occurrence of any of the following:</w:t>
      </w:r>
    </w:p>
    <w:p>
      <w:pPr>
        <w:pStyle w:val="TextBody"/>
        <w:spacing w:before="0" w:after="0"/>
        <w:ind w:left="0" w:right="0" w:firstLine="144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(1) a material reduction in his or her duties or responsibilities;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(2) a material reduction in the Covered Executive’s annual rate of base cash compensation;</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(3) a change in the location of a Covered Executive’s principal place of employment by more than fifty (50) miles from the Covered Executive’s principal place of employment immediately prior to such relocation;</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(4) the receipt of a written notice of termination of this Plan or of any amendment to the Plan that would adversely reduce the Covered Executive’s potential severance payments or benefits or his or her coverage under the Plan; or </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(5) a demotion or transfer of the Covered Executive’s employment that results or would result in him or her no longer being a Covered Executive under this Plan.</w:t>
      </w:r>
    </w:p>
    <w:p>
      <w:pPr>
        <w:pStyle w:val="TextBody"/>
        <w:spacing w:before="0" w:after="0"/>
        <w:ind w:left="0" w:right="0" w:firstLine="1440"/>
        <w:rPr/>
      </w:pPr>
      <w:r>
        <w:rPr/>
      </w:r>
    </w:p>
    <w:p>
      <w:pPr>
        <w:pStyle w:val="TextBody"/>
        <w:spacing w:lineRule="auto" w:line="288"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No event or condition described in this Section 14(i) will constitute “Good Reason” unless, (x) within ninety (90) days from the Covered Executive first acquiring actual knowledge of the existence of the Good Reason condition described in this Section 14(i), the Covered Executive provides the Board written notice of his or her intention to terminate employment for Good Reason and the grounds for such termination; (y) such grounds for termination (if susceptible to correction) are not corrected by the Board within thirty (30) days of the Board’s receipt of such notice (or, in the event that such grounds cannot be corrected within such thirty-day (30) period, the Board has not taken all reasonable steps within such thirty-day (30) period to correct such grounds as promptly as practicable thereafter); and (z) the Covered Executive terminates his or her employment with the Company or an Affiliate (if applicable) immediately following the expiration of such thirty-day (30) period.</w:t>
      </w:r>
    </w:p>
    <w:p>
      <w:pPr>
        <w:pStyle w:val="TextBody"/>
        <w:spacing w:before="0" w:after="0"/>
        <w:ind w:left="0" w:right="0" w:firstLine="1440"/>
        <w:rPr/>
      </w:pPr>
      <w:r>
        <w:rPr/>
      </w:r>
    </w:p>
    <w:p>
      <w:pPr>
        <w:pStyle w:val="TextBody"/>
        <w:spacing w:lineRule="auto" w:line="288" w:before="0" w:after="0"/>
        <w:ind w:left="0" w:right="0" w:firstLine="1440"/>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w:t>
      </w:r>
    </w:p>
    <w:p>
      <w:pPr>
        <w:pStyle w:val="TextBody"/>
        <w:spacing w:lineRule="auto" w:line="288" w:before="0" w:after="0"/>
        <w:rPr>
          <w:color w:val="000000"/>
        </w:rPr>
      </w:pPr>
      <w:r>
        <w:rPr>
          <w:color w:val="000000"/>
        </w:rPr>
        <w:t> </w:t>
      </w:r>
    </w:p>
    <w:p>
      <w:pPr>
        <w:pStyle w:val="TextBody"/>
        <w:spacing w:lineRule="auto" w:line="288" w:before="0" w:after="0"/>
        <w:ind w:left="0" w:right="0" w:firstLine="1440"/>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any termination of the Covered Executive’s employment with the Company or an Affiliate (if applicable) either:</w:t>
      </w:r>
    </w:p>
    <w:p>
      <w:pPr>
        <w:pStyle w:val="TextBody"/>
        <w:spacing w:lineRule="auto" w:line="288" w:before="0" w:after="0"/>
        <w:rPr>
          <w:color w:val="000000"/>
        </w:rPr>
      </w:pPr>
      <w:r>
        <w:rPr>
          <w:color w:val="000000"/>
        </w:rPr>
        <w:t> </w:t>
      </w:r>
    </w:p>
    <w:p>
      <w:pPr>
        <w:pStyle w:val="TextBody"/>
        <w:spacing w:lineRule="auto" w:line="288" w:before="0" w:after="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(i) by the Company or the Affiliate other than for Cause; or</w:t>
      </w:r>
    </w:p>
    <w:p>
      <w:pPr>
        <w:pStyle w:val="TextBody"/>
        <w:spacing w:lineRule="auto" w:line="288" w:before="0" w:after="0"/>
        <w:rPr>
          <w:color w:val="000000"/>
        </w:rPr>
      </w:pPr>
      <w:r>
        <w:rPr>
          <w:color w:val="000000"/>
        </w:rPr>
        <w:t> </w:t>
      </w:r>
    </w:p>
    <w:p>
      <w:pPr>
        <w:pStyle w:val="TextBody"/>
        <w:spacing w:lineRule="auto" w:line="288" w:before="0" w:after="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(ii) by the Covered Executive for Good Reason.</w:t>
      </w:r>
    </w:p>
    <w:p>
      <w:pPr>
        <w:pStyle w:val="TextBody"/>
        <w:spacing w:lineRule="auto" w:line="288"/>
        <w:rPr>
          <w:color w:val="000000"/>
        </w:rPr>
      </w:pPr>
      <w:r>
        <w:rPr>
          <w:color w:val="000000"/>
        </w:rPr>
        <w:t> </w:t>
      </w:r>
      <w:r>
        <w:br w:type="page"/>
      </w:r>
    </w:p>
    <w:p>
      <w:pPr>
        <w:pStyle w:val="TextBody"/>
        <w:spacing w:before="0" w:after="20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92265" cy="247015"/>
                <wp:effectExtent l="0" t="0" r="0" b="0"/>
                <wp:wrapNone/>
                <wp:docPr id="101" name="Frame100"/>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23</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ind w:left="0" w:right="0" w:firstLine="1440"/>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means a general waiver and release agreement, in favor of the Company, its Affiliates and related parties in substantially the form attached hereto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adopted this Plan, as amended and restated, effective as April 29, 2021.</w:t>
      </w:r>
    </w:p>
    <w:p>
      <w:pPr>
        <w:pStyle w:val="TextBody"/>
        <w:spacing w:lineRule="auto" w:line="288" w:before="0" w:after="0"/>
        <w:jc w:val="both"/>
        <w:rPr>
          <w:color w:val="000000"/>
        </w:rPr>
      </w:pPr>
      <w:r>
        <w:rPr>
          <w:color w:val="000000"/>
        </w:rPr>
        <w:t> </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4"/>
        </w:rPr>
        <w:t>IES HOLDINGS, INC.</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color w:val="000000"/>
        </w:rPr>
        <w:t>                                     </w:t>
      </w: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Jeffrey L. Gendell</w:t>
      </w:r>
    </w:p>
    <w:p>
      <w:pPr>
        <w:pStyle w:val="TextBody"/>
        <w:spacing w:lineRule="auto" w:line="288" w:before="0" w:after="0"/>
        <w:jc w:val="both"/>
        <w:rPr>
          <w:color w:val="000000"/>
        </w:rPr>
      </w:pPr>
      <w:r>
        <w:rPr>
          <w:color w:val="000000"/>
        </w:rPr>
        <w:t> </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4"/>
        </w:rPr>
        <w:t>Title:   Chairman and CEO</w:t>
      </w:r>
    </w:p>
    <w:p>
      <w:pPr>
        <w:pStyle w:val="TextBody"/>
        <w:spacing w:lineRule="auto" w:line="288" w:before="0" w:after="0"/>
        <w:rPr>
          <w:color w:val="000000"/>
        </w:rPr>
      </w:pPr>
      <w:r>
        <w:rPr>
          <w:color w:val="000000"/>
        </w:rPr>
        <w:t> </w:t>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92265" cy="247015"/>
                <wp:effectExtent l="0" t="0" r="0" b="0"/>
                <wp:wrapNone/>
                <wp:docPr id="102" name="Frame101"/>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24</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333" w:before="0" w:after="2"/>
        <w:rPr>
          <w:rFonts w:ascii="Times New Roman;sans-serif" w:hAnsi="Times New Roman;sans-serif"/>
          <w:b w:val="false"/>
          <w:color w:val="000000"/>
          <w:sz w:val="28"/>
        </w:rPr>
      </w:pPr>
      <w:r>
        <w:rPr>
          <w:rFonts w:ascii="Times New Roman;sans-serif" w:hAnsi="Times New Roman;sans-serif"/>
          <w:b w:val="false"/>
          <w:color w:val="000000"/>
          <w:sz w:val="28"/>
        </w:rPr>
        <w:t>EXHIBIT A</w:t>
      </w:r>
    </w:p>
    <w:p>
      <w:pPr>
        <w:pStyle w:val="TextBody"/>
        <w:spacing w:before="0" w:after="2"/>
        <w:rPr/>
      </w:pPr>
      <w:r>
        <w:rPr/>
      </w:r>
    </w:p>
    <w:p>
      <w:pPr>
        <w:pStyle w:val="TextBody"/>
        <w:spacing w:lineRule="auto" w:line="319" w:before="0" w:after="2"/>
        <w:rPr>
          <w:rFonts w:ascii="Times New Roman;sans-serif" w:hAnsi="Times New Roman;sans-serif"/>
          <w:b/>
          <w:color w:val="000000"/>
          <w:sz w:val="24"/>
        </w:rPr>
      </w:pPr>
      <w:r>
        <w:rPr>
          <w:rFonts w:ascii="Times New Roman;sans-serif" w:hAnsi="Times New Roman;sans-serif"/>
          <w:b/>
          <w:color w:val="000000"/>
          <w:sz w:val="24"/>
        </w:rPr>
        <w:t>IES HOLDINGS, INC.</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WAIVER AND RELEASE AGREEMENT</w:t>
      </w:r>
    </w:p>
    <w:p>
      <w:pPr>
        <w:pStyle w:val="TextBody"/>
        <w:spacing w:lineRule="auto" w:line="288" w:before="0" w:after="240"/>
        <w:ind w:left="0" w:right="0" w:firstLine="720"/>
        <w:jc w:val="both"/>
        <w:rPr/>
      </w:pPr>
      <w:r>
        <w:rPr>
          <w:rFonts w:ascii="Times New Roman;sans-serif" w:hAnsi="Times New Roman;sans-serif"/>
          <w:b/>
          <w:color w:val="000000"/>
          <w:sz w:val="24"/>
        </w:rPr>
        <w:t>THIS WAIVER AND RELEASE AGREEMENT</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Waiver and Release</w:t>
      </w:r>
      <w:r>
        <w:rPr>
          <w:color w:val="000000"/>
        </w:rPr>
        <w:t>”</w:t>
      </w:r>
      <w:r>
        <w:rPr>
          <w:rFonts w:ascii="Times New Roman;sans-serif" w:hAnsi="Times New Roman;sans-serif"/>
          <w:b w:val="false"/>
          <w:color w:val="000000"/>
          <w:sz w:val="24"/>
        </w:rPr>
        <w:t>) is made and entered into by and between IES Holdings, Inc. (f/k/a Integrated Electrical Services,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______________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each referred to collectively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and individually as “</w:t>
      </w:r>
      <w:r>
        <w:rPr>
          <w:rFonts w:ascii="Times New Roman;sans-serif" w:hAnsi="Times New Roman;sans-serif"/>
          <w:b w:val="false"/>
          <w:color w:val="000000"/>
          <w:sz w:val="24"/>
          <w:u w:val="single"/>
        </w:rPr>
        <w:t>Party</w:t>
      </w:r>
      <w:r>
        <w:rPr>
          <w:rFonts w:ascii="Times New Roman;sans-serif" w:hAnsi="Times New Roman;sans-serif"/>
          <w:b w:val="false"/>
          <w:color w:val="000000"/>
          <w:sz w:val="24"/>
        </w:rPr>
        <w:t>.” Capitalized terms used but not defined herein will have the meanings ascribed to them in the IES Holdings, Inc. Second Amended and Restated Executive Officer Severance Benefit Plan, as it may be amended from time to time (the “</w:t>
      </w:r>
      <w:r>
        <w:rPr>
          <w:rFonts w:ascii="Times New Roman;sans-serif" w:hAnsi="Times New Roman;sans-serif"/>
          <w:b w:val="false"/>
          <w:color w:val="000000"/>
          <w:sz w:val="24"/>
          <w:u w:val="single"/>
        </w:rPr>
        <w:t>Severance Plan</w:t>
      </w:r>
      <w:r>
        <w:rPr>
          <w:color w:val="000000"/>
        </w:rPr>
        <w:t>”</w:t>
      </w:r>
      <w:r>
        <w:rPr>
          <w:rFonts w:ascii="Times New Roman;sans-serif" w:hAnsi="Times New Roman;sans-serif"/>
          <w:b w:val="false"/>
          <w:color w:val="000000"/>
          <w:sz w:val="24"/>
        </w:rPr>
        <w:t>). References to the Company in this Waiver and Release shall include a Participating Affiliate, to the extent applicable.</w:t>
      </w:r>
    </w:p>
    <w:p>
      <w:pPr>
        <w:pStyle w:val="TextBody"/>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is a Covered Executive under the Severance Plan and the Board has determined that the Executive is eligible for payments and/or benefits under the terms of the Severance Plan;</w:t>
      </w:r>
    </w:p>
    <w:p>
      <w:pPr>
        <w:pStyle w:val="TextBody"/>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pursuant to the Severance Plan, in consideration of the right to receive payments and/or benefits in accordance with Article 5 of the Severance Plan, the Executive must sign, return and not revoke this Waiver and Release; </w:t>
      </w:r>
    </w:p>
    <w:p>
      <w:pPr>
        <w:pStyle w:val="TextBody"/>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has executed and delivered this Waiver and Release to the Executive for the Executive’s review and consideration as of ______________ the (“</w:t>
      </w:r>
      <w:r>
        <w:rPr>
          <w:rFonts w:ascii="Times New Roman;sans-serif" w:hAnsi="Times New Roman;sans-serif"/>
          <w:b w:val="false"/>
          <w:color w:val="000000"/>
          <w:sz w:val="24"/>
          <w:u w:val="single"/>
        </w:rPr>
        <w:t>Delivery Date</w:t>
      </w:r>
      <w:r>
        <w:rPr>
          <w:color w:val="000000"/>
        </w:rPr>
        <w:t>”</w:t>
      </w:r>
      <w:r>
        <w:rPr>
          <w:rFonts w:ascii="Times New Roman;sans-serif" w:hAnsi="Times New Roman;sans-serif"/>
          <w:b w:val="false"/>
          <w:color w:val="000000"/>
          <w:sz w:val="24"/>
        </w:rPr>
        <w:t>); and</w:t>
      </w:r>
    </w:p>
    <w:p>
      <w:pPr>
        <w:pStyle w:val="TextBody"/>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and the Company each desire to settle all matters related to the Executive’s employment by the Company.</w:t>
      </w:r>
    </w:p>
    <w:p>
      <w:pPr>
        <w:pStyle w:val="TextBody"/>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the mutual covenants and agreements contained in the Severance Plan and in this Waiver and Release, and for other good and valuable consideration, the sufficiency and receipt of which is hereby acknowledged, the Parties agree as follows:</w:t>
      </w:r>
    </w:p>
    <w:p>
      <w:pPr>
        <w:pStyle w:val="TextBody"/>
        <w:spacing w:lineRule="auto" w:line="288"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The Parties agree that the Executive’s employment relationship with the Company, including all other offices and positions the Executive has with the Company and all of its subsidiaries, affiliates, joint ventures, partnerships or any other business enterprises, as well as any office or position as a fiduciary or with any trade group or other industry organization which the Executive holds on behalf of the Company or its subsidiaries or affiliates, shall be automatically terminated effective at ______________ on the ______________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88"/>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Release of Company</w:t>
      </w:r>
      <w:r>
        <w:rPr>
          <w:rFonts w:ascii="Times New Roman;sans-serif" w:hAnsi="Times New Roman;sans-serif"/>
          <w:b w:val="false"/>
          <w:color w:val="000000"/>
          <w:sz w:val="24"/>
        </w:rPr>
        <w:t xml:space="preserve">. This Waiver and Release represents a compromise under Federal Rule of Evidence 408. In consideration for the right to receive the payments and/or benefits under the Severance Plan following the Termination Date in accordance with the terms </w:t>
      </w:r>
      <w:r>
        <w:br w:type="page"/>
      </w:r>
    </w:p>
    <w:p>
      <w:pPr>
        <w:pStyle w:val="TextBody"/>
        <w:spacing w:before="0" w:after="20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92265" cy="247015"/>
                <wp:effectExtent l="0" t="0" r="0" b="0"/>
                <wp:wrapNone/>
                <wp:docPr id="103" name="Frame102"/>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1</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0"/>
        <w:jc w:val="both"/>
        <w:rPr/>
      </w:pPr>
      <w:r>
        <w:rPr>
          <w:rFonts w:ascii="Times New Roman;sans-serif" w:hAnsi="Times New Roman;sans-serif"/>
          <w:b w:val="false"/>
          <w:color w:val="000000"/>
          <w:sz w:val="24"/>
        </w:rPr>
        <w:t>of the Severance Plan and the mutual promises contained in the Severance Plan and in this Waiver and Release, the Executive (on behalf of the Executive, the Executive’s heirs, administrators, representatives, executors, successors and assigns) hereby releases, waives, acquits and forever discharges the Company, its predecessors, successors, parents, shareholders, subsidiaries, assigns, agents, current and former directors, officers, employees, partners, representatives, attorneys, affiliated companies, and all persons acting by, through, under or in concert with the Company (collectively, the “</w:t>
      </w:r>
      <w:r>
        <w:rPr>
          <w:rFonts w:ascii="Times New Roman;sans-serif" w:hAnsi="Times New Roman;sans-serif"/>
          <w:b w:val="false"/>
          <w:color w:val="000000"/>
          <w:sz w:val="24"/>
          <w:u w:val="single"/>
        </w:rPr>
        <w:t>Released Parties</w:t>
      </w:r>
      <w:r>
        <w:rPr>
          <w:color w:val="000000"/>
        </w:rPr>
        <w:t>”</w:t>
      </w:r>
      <w:r>
        <w:rPr>
          <w:rFonts w:ascii="Times New Roman;sans-serif" w:hAnsi="Times New Roman;sans-serif"/>
          <w:b w:val="false"/>
          <w:color w:val="000000"/>
          <w:sz w:val="24"/>
        </w:rPr>
        <w:t>), from any and all demands, rights, disputes, debts, liabilities, obligations, liens, promises, acts, agreements, charges, complaints, claims, controversies, and causes of action of any nature whatsoever, whether statutory, civil, or administrative, that the Executive now has or may have against any of the Released Parties, arising in whole or in part at any time on or prior to the execution of this Waiver and Release, in connection with the Executive’s employment by the Company or the termination thereof.</w:t>
      </w:r>
    </w:p>
    <w:p>
      <w:pPr>
        <w:pStyle w:val="TextBody"/>
        <w:spacing w:before="0" w:after="0"/>
        <w:ind w:left="0" w:right="0" w:firstLine="720"/>
        <w:rPr/>
      </w:pPr>
      <w:r>
        <w:rPr/>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release specifically includes, but is not limited to, any claims of discrimination, harassment, or retaliation of any kind, breach of contract or any implied covenant of good faith and fair dealing, tortious interference with a contract, intentional or negligent infliction of emotional distress, breach of privacy, misrepresentation, defamation, wrongful termination, or breach of fiduciary duty; provided, however, that the foregoing release shall not release the Company from the performance of its obligations under this Waiver and Release.</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Additionally, this release specifically includes, but is not limited to, any claim or cause of action arising under Title VII of the Civil Rights Act of 1964; the Civil Rights Act of 1991; the Americans With Disabilities Act, 42 U.S.C. §§ 1981; [Texas Commission on Human Rights Act; Texas Anti-Retaliation Act; Texas Labor Code §§ 21.001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Texas Labor Code §§ 451.001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[Connecticut Fair Employment Practices Act; Connecticut Family and Medical Leave Act; Connecticut Whistleblower Law; Connecticut Free Speech Law; the anti-retaliation provision of the Connecticut Workers' Compensation Act;] the Employment Retirement Income Security Act of 1974, 29 U.S.C. §§ 1001 </w:t>
      </w:r>
      <w:r>
        <w:rPr>
          <w:rFonts w:ascii="Times New Roman;sans-serif" w:hAnsi="Times New Roman;sans-serif"/>
          <w:b w:val="false"/>
          <w:i/>
          <w:color w:val="000000"/>
          <w:sz w:val="24"/>
        </w:rPr>
        <w:t>et seq.</w:t>
      </w:r>
      <w:r>
        <w:rPr>
          <w:rFonts w:ascii="Times New Roman;sans-serif" w:hAnsi="Times New Roman;sans-serif"/>
          <w:b w:val="false"/>
          <w:color w:val="000000"/>
          <w:sz w:val="24"/>
        </w:rPr>
        <w:t>; the Family and Medical Leave Act; the Fair Labor Standards Act (“</w:t>
      </w:r>
      <w:r>
        <w:rPr>
          <w:rFonts w:ascii="Times New Roman;sans-serif" w:hAnsi="Times New Roman;sans-serif"/>
          <w:b w:val="false"/>
          <w:color w:val="000000"/>
          <w:sz w:val="24"/>
          <w:u w:val="single"/>
        </w:rPr>
        <w:t>FLSA</w:t>
      </w:r>
      <w:r>
        <w:rPr>
          <w:color w:val="000000"/>
        </w:rPr>
        <w:t>”</w:t>
      </w:r>
      <w:r>
        <w:rPr>
          <w:rFonts w:ascii="Times New Roman;sans-serif" w:hAnsi="Times New Roman;sans-serif"/>
          <w:b w:val="false"/>
          <w:color w:val="000000"/>
          <w:sz w:val="24"/>
        </w:rPr>
        <w:t>); the Worker Adjustment and Retraining Notification Act; the Rehabilitation Act of 1973; or any other federal, state or local statute or common law cause of action of similar effect regarding employment related causes of action of employees against their employer.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hereby waives and releases the Executive’s ability or right to participate in any class or collective action against any of the Released Parties in any forum, either as a class representative, party plaintiff, or absent class member, asserting any claims referenced herein. This Waiver and Release includes, but is not limited to, claims arising under the FLSA and any state wage payment law that a court may find to have not otherwise been waived under this Waiver and Release. In such a case, to the extent the claim was not otherwise waived or released, the Executive may assert a claim against any of the Released Parties on the Executive’s own behalf, but the Executive may not do so within or otherwise participate in a class or collective action against the Company or any of the Released Parties.</w:t>
      </w:r>
      <w:r>
        <w:br w:type="page"/>
      </w:r>
    </w:p>
    <w:p>
      <w:pPr>
        <w:pStyle w:val="TextBody"/>
        <w:spacing w:before="0" w:after="20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92265" cy="247015"/>
                <wp:effectExtent l="0" t="0" r="0" b="0"/>
                <wp:wrapNone/>
                <wp:docPr id="104" name="Frame103"/>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2</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Waiver of Certain Claims, Rights or Benefits</w:t>
      </w:r>
      <w:r>
        <w:rPr>
          <w:rFonts w:ascii="Times New Roman;sans-serif" w:hAnsi="Times New Roman;sans-serif"/>
          <w:b w:val="false"/>
          <w:color w:val="000000"/>
          <w:sz w:val="24"/>
        </w:rPr>
        <w:t xml:space="preserve">. Without in any way limiting the generality of Section 2 of this Waiver and Release, by executing this Waiver and Release and accepting the payments and/or benefits under the Severance Plan following the Termination Date, the Executive specifically agrees to release all claims, rights, or benefits the Executive may have for age discrimination arising out of or under the Age Discrimination in Employment Act of 1967, 29 U.S.C. § 621, </w:t>
      </w:r>
      <w:r>
        <w:rPr>
          <w:rFonts w:ascii="Times New Roman;sans-serif" w:hAnsi="Times New Roman;sans-serif"/>
          <w:b w:val="false"/>
          <w:i/>
          <w:color w:val="000000"/>
          <w:sz w:val="24"/>
        </w:rPr>
        <w:t>et seq.</w:t>
      </w:r>
      <w:r>
        <w:rPr>
          <w:rFonts w:ascii="Times New Roman;sans-serif" w:hAnsi="Times New Roman;sans-serif"/>
          <w:b w:val="false"/>
          <w:color w:val="000000"/>
          <w:sz w:val="24"/>
        </w:rPr>
        <w:t>, as currently amended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xml:space="preserve">), or any equivalent or comparable provision of state or local law[, including, but not limited to, the [Texas Commission on Human Rights Act] [Connecticut Fair Employment Practices Act]. </w:t>
      </w:r>
    </w:p>
    <w:p>
      <w:pPr>
        <w:pStyle w:val="TextBody"/>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Acknowledgements and Obligations of the Executive</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Executive represents and acknowledges that in executing this Waiver and Release, the Executive does not rely and has not relied upon any representation or statement made by the Company, or its agents, representatives, or attorneys regarding the subject matter, basis or effect of this Waiver and Release or otherwise, and that the Executive has engaged or had the opportunity to engage an attorney of the Executive’s choosing in the negotiation and execution of this Waiver and Release. The Executive acknowledges that the Executive has the right to consult with counsel of the Executive’s choosing with regard to the review of this Waiver and Release.</w:t>
      </w:r>
    </w:p>
    <w:p>
      <w:pPr>
        <w:pStyle w:val="TextBody"/>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THE EXECUTIVE UNDERSTANDS THAT BY SIGNING AND NOT REVOKING THIS WAIVER AND RELEASE, THE EXECUTIVE IS WAIVING ANY AND ALL RIGHTS OR CLAIMS WHICH THE EXECUTIVE MAY HAVE UNDER THE AGE DISCRIMINATION IN EMPLOYMENT ACT AND/OR THE OLDER WORKERS BENEFIT PROTECTION ACT FOR AGE DISCRIMINATION ARISING FROM EMPLOYMENT WITH THE COMPANY, INCLUDING, WITHOUT LIMITATION, THE RIGHT TO SUE THE COMPANY IN FEDERAL OR STATE COURT FOR AGE DISCRIMINATION. THE EXECUTIVE FURTHER ACKNOWLEDGES THAT THE EXECUTIVE (i) DOES NOT WAIVE ANY CLAIMS OR RIGHTS THAT MAY ARISE AFTER THE DATE THIS WAIVER AND RELEASE IS EXECUTED; (ii) WAIVES CLAIMS OR RIGHTS ONLY IN EXCHANGE FOR CONSIDERATION IN ADDITION TO ANYTHING OF VALUE TO WHICH THE EXECUTIVE IS ALREADY ENTITLED; AND (iii) AGREES THAT THIS WAIVER AND RELEASE IS WRITTEN IN A MANNER CALCULATED TO BE UNDERSTOOD BY THE EXECUTIVE, AND THE EXECUTIVE, IN FACT, UNDERSTANDS THE TERMS, CONTENTS, CONDITIONS AND EFFECTS OF THIS WAIVER AND RELEASE AND HAS ENTERED INTO THIS WAIVER AND RELEASE KNOWINGLY AND VOLUNTARILY.</w:t>
      </w:r>
    </w:p>
    <w:p>
      <w:pPr>
        <w:pStyle w:val="TextBody"/>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Executive acknowledges that the Executive has been fully compensated for all labor and services performed for the Company and has been reimbursed for all business expenses incurred on behalf of the Company through the Termination Date, and that the Company does not owe the Executive any expense reimbursement amounts, or wages, including vacation pay or paid time-off benefits.</w:t>
      </w:r>
      <w:r>
        <w:br w:type="page"/>
      </w:r>
    </w:p>
    <w:p>
      <w:pPr>
        <w:pStyle w:val="TextBody"/>
        <w:spacing w:before="0" w:after="20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692265" cy="247015"/>
                <wp:effectExtent l="0" t="0" r="0" b="0"/>
                <wp:wrapNone/>
                <wp:docPr id="105" name="Frame104"/>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3</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anything contained in this Waiver and Release to the contrary, this Waiver and Release does not waive, release, or discharge: (i) any right to file an administrative charge or complaint with, or testify, assist, or participate in an investigation, hearing, or proceeding conducted by, the Equal Employment Opportunity Commission, [the Texas Workforce Commission] [the Connecticut Department of Labor], or other similar federal or state administrative agencies, although the Executive waives any right to monetary relief related to any filed charge or administrative complaint; (ii) claims that cannot be waived by law, such as claims for unemployment benefit rights and workers’ compensation; (iii) claims for indemnity under any indemnification agreement with the Company or under its organizational documents, as provided by applicable state law or under any applicable insurance policy with respect to the Executive’s liability as an employee, director or officer of the Company or its affiliates; (iv) claims that the Executive may have as an employee participating in the Company’s qualified retirement plan; (v) the Executive’s right to receive award or monetary recovery pursuant to the Securities and Exchange Commission’s whistleblower program; and (vi) the Executive’s ability to challenge the validity of this Waiver and Release under the ADEA and the Older Workers Benefit Protection Act of 1990 (29 U.S.C. §§ 621 </w:t>
      </w:r>
      <w:r>
        <w:rPr>
          <w:rFonts w:ascii="Times New Roman;sans-serif" w:hAnsi="Times New Roman;sans-serif"/>
          <w:b w:val="false"/>
          <w:i/>
          <w:color w:val="000000"/>
          <w:sz w:val="24"/>
        </w:rPr>
        <w:t>et seq</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Executive represents and warrants that the Executive has returned to the Company, by no later than the date the Executive executes this Waiver and Release, all Company property and confidential information, including, without limitation, all expense reports, notes, memoranda, records, documents, employment manuals, credit cards, keys, pass keys, computers, electronic media (including flash drives), office equipment and sales records and data, together with any and all other information or property, no matter how produced, reproduced or maintained, kept by the Executive in his possession and pertaining to the business of the Company.</w:t>
      </w:r>
    </w:p>
    <w:p>
      <w:pPr>
        <w:pStyle w:val="TextBody"/>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Executive acknowledges and agrees the Executive is subject to restrictive covenants set forth in Section 9 of the Severance Plan, which sets forth certain obligations of the Executive which remain in effect following the Termination Date, and nothing in this Waiver and Release shall modify such ongoing obligations, the continued performance of which by the Executive are a condition of the Company’s obligations hereunder and under the Severance Plan.</w:t>
      </w:r>
    </w:p>
    <w:p>
      <w:pPr>
        <w:pStyle w:val="TextBody"/>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Executive acknowledges that neither the Company nor anyone on its behalf has made any representations, warranties, or promises of any kind regarding the tax consequences of the payment of proceeds referenced herein. Except for amounts withheld by the Company, the Executive understands and agrees that the Executive will be responsible for paying any taxes, interest, penalties, or other amounts due on the payments. The Executive further agrees to indemnify the Company for, and hold it harmless from, any additional taxes, interest, penalties, or other amounts for which the Company may later be held liable as a result of any failure by the Executive to comply with the Executive’s obligations under this Section, including costs and attorneys’ fees reasonably incurred by the Company in recovering such amounts from the Executive.</w:t>
      </w:r>
      <w:r>
        <w:br w:type="page"/>
      </w:r>
    </w:p>
    <w:p>
      <w:pPr>
        <w:pStyle w:val="TextBody"/>
        <w:spacing w:before="0" w:after="20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92265" cy="247015"/>
                <wp:effectExtent l="0" t="0" r="0" b="0"/>
                <wp:wrapNone/>
                <wp:docPr id="106" name="Frame105"/>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4</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Executive represents that the Executive has not filed any complaints, claims, or actions against the Company with any state, federal, or local agency or court, or that if the Executive has, the Executive agrees to withdraw and dismiss with prejudice (or cause to be withdrawn and dismissed with prejudice) any complaint, claim, action, or charge filed with any state, federal, or local agency or court. The Executive further agrees that no other person or entity may bring any claim on the Executive’s behalf falling within the terms of this Waiver and Release and that, should any such claim be brought on the Executive’s behalf, the Executive will cooperate with the Company and/or any other of the Released Parties that may be affected and its or their attorneys, in seeking a prompt dismissal of that claim. The Executive acknowledges and affirmatively states the Executive knows of no facts which may lead to or support any complaints, claims, actions, or charges against the Company in or through any state, federal, or local agency or court.</w:t>
      </w:r>
    </w:p>
    <w:p>
      <w:pPr>
        <w:pStyle w:val="TextBody"/>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Executive agrees the Released Parties are not obligated, now or in the future, to offer employment to the Executive or to accept services or the performance of work from the Executive directly or indirectly. The Executive knowingly and voluntarily waives all rights, if any, the Executive may have under federal and/or state law to re-hire by, or reinstatement of employment with any of the Released Parties.</w:t>
      </w:r>
    </w:p>
    <w:p>
      <w:pPr>
        <w:pStyle w:val="TextBody"/>
        <w:spacing w:lineRule="auto" w:line="288"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Executive agrees to reasonably cooperate with the Company and use the Executive’s best efforts in responding to all reasonable requests by the Company for assistance and advice relating to matters and procedures in which the Executive was involved. The Executive also covenants to cooperate in defending or prosecuting any claim or other action which arises, whether civil, criminal, administrative or investigative, in which the Executive participation is required in the best judgment of the Company by reason of the Executive’s former employment with the Company. Upon the Company’s request, the Executive will use the Executive’s best efforts to attend hearings and trials, to assist in effectuating settlements, and to assist in the procuring of witnesses, producing evidence, and in the defense or prosecution of said claims or other actions.</w:t>
      </w:r>
    </w:p>
    <w:p>
      <w:pPr>
        <w:pStyle w:val="TextBody"/>
        <w:spacing w:lineRule="auto" w:line="288"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The Executive represents and warrants that, with respect to the Company’s equity securities, any and all transactions reportable under Section 16 of the Securities Exchange Act of 1934, as amended, that occurred on or prior to the Termination Date have been timely and properly reported by Executive to the Company in accordance with the Company’s policies and procedures.</w:t>
      </w:r>
    </w:p>
    <w:p>
      <w:pPr>
        <w:pStyle w:val="TextBody"/>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Executive agrees not to divulge or release this Waiver and Release or its contents, except to the Executive’s attorneys, financial advisors, or immediate family, provided they agree to keep this Waiver and Release and its contents confidential, or in response to a valid subpoena or court order.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Nothing herein is intended to be or will be construed to prevent, impede, or interfere with the Executive’s right to respond accurately and fully to any question, inquiry, or request for information regarding the Company or Released Parties or his or her employment </w:t>
      </w:r>
      <w:r>
        <w:br w:type="page"/>
      </w:r>
    </w:p>
    <w:p>
      <w:pPr>
        <w:pStyle w:val="TextBody"/>
        <w:spacing w:before="0" w:after="20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92265" cy="247015"/>
                <wp:effectExtent l="0" t="0" r="0" b="0"/>
                <wp:wrapNone/>
                <wp:docPr id="107" name="Frame106"/>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5</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 the Company or Released Parties when required by legal process, or from initiating communications directly with, or responding to any inquiry from, or providing truthful testimony and information to, any Federal, State, or other regulatory authority in the course of an investigation or proceeding authorized by law and carried out by such agency. The Executive is not required to contact the Company or Released Parties regarding the subject matter of any such communications before they engage in such communications. However, the Executive cannot disclose to anyone confidential communications and documents that are protected by the Company’s or Released Parties’ attorney-client privilege or work product protection. </w:t>
      </w:r>
    </w:p>
    <w:p>
      <w:pPr>
        <w:pStyle w:val="TextBody"/>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Defend Trade Secrets Act</w:t>
      </w:r>
      <w:r>
        <w:rPr>
          <w:rFonts w:ascii="Times New Roman;sans-serif" w:hAnsi="Times New Roman;sans-serif"/>
          <w:b w:val="false"/>
          <w:color w:val="000000"/>
          <w:sz w:val="24"/>
        </w:rPr>
        <w:t>. The Executive is hereby notified that under the Defend Trade Secrets Act: (a) no individual will be held criminally or civilly liable under federal or state trade secret law for disclosure of a trade secret (as defined in the Economic Espionage Act) that is made in: (i) confidence to a federal, state, or local government official, either directly or indirectly, or to an attorney, and made solely for the purpose of reporting or investigating a suspected violation of law; or (ii) a complaint or other document filed in a lawsuit or other proceeding, if such filing is made under seal so that it is not made public;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spacing w:lineRule="auto" w:line="288" w:before="0" w:after="240"/>
        <w:ind w:left="0" w:right="0" w:firstLine="720"/>
        <w:jc w:val="both"/>
        <w:rPr/>
      </w:pPr>
      <w:r>
        <w:rPr>
          <w:rFonts w:ascii="Palatino Linotype;sans-serif" w:hAnsi="Palatino Linotype;sans-serif"/>
          <w:b w:val="false"/>
          <w:color w:val="000000"/>
          <w:sz w:val="20"/>
        </w:rPr>
        <w:t>7.</w:t>
      </w:r>
      <w:r>
        <w:rPr>
          <w:rFonts w:ascii="Times New Roman;sans-serif" w:hAnsi="Times New Roman;sans-serif"/>
          <w:b w:val="false"/>
          <w:color w:val="000000"/>
          <w:sz w:val="24"/>
          <w:u w:val="single"/>
        </w:rPr>
        <w:t>Time Period for Enforceability/Revocation of Agreement</w:t>
      </w:r>
      <w:r>
        <w:rPr>
          <w:rFonts w:ascii="Times New Roman;sans-serif" w:hAnsi="Times New Roman;sans-serif"/>
          <w:b w:val="false"/>
          <w:color w:val="000000"/>
          <w:sz w:val="24"/>
        </w:rPr>
        <w:t>. The Company’s obligations under this Waiver and Release are contingent upon the Executive executing and delivering this Waiver and Release to the Company. The Executive may take up to [twenty-one (21)/forty-five (45)] days from the Delivery Date (the “</w:t>
      </w:r>
      <w:r>
        <w:rPr>
          <w:rFonts w:ascii="Times New Roman;sans-serif" w:hAnsi="Times New Roman;sans-serif"/>
          <w:b w:val="false"/>
          <w:color w:val="000000"/>
          <w:sz w:val="24"/>
          <w:u w:val="single"/>
        </w:rPr>
        <w:t>Consideration Period</w:t>
      </w:r>
      <w:r>
        <w:rPr>
          <w:color w:val="000000"/>
        </w:rPr>
        <w:t>”</w:t>
      </w:r>
      <w:r>
        <w:rPr>
          <w:rFonts w:ascii="Times New Roman;sans-serif" w:hAnsi="Times New Roman;sans-serif"/>
          <w:b w:val="false"/>
          <w:color w:val="000000"/>
          <w:sz w:val="24"/>
        </w:rPr>
        <w:t>) to consider this Waiver and Release prior to executing it. The Executive may execute and deliver this Waiver and Release at any time during the Consideration Period. Any changes made to this Waiver and Release after the Delivery Date will not restart the running of the Consideration Period. Any execution and delivery of this Waiver and Release by the Executive after the expiration of the Consideration Period shall be unenforceable, and the Company shall not be bound thereby. The Executive shall have seven (7) days after execution of this Waiver and Release to revoke (“</w:t>
      </w:r>
      <w:r>
        <w:rPr>
          <w:rFonts w:ascii="Times New Roman;sans-serif" w:hAnsi="Times New Roman;sans-serif"/>
          <w:b w:val="false"/>
          <w:color w:val="000000"/>
          <w:sz w:val="24"/>
          <w:u w:val="single"/>
        </w:rPr>
        <w:t>Revocation Period</w:t>
      </w:r>
      <w:r>
        <w:rPr>
          <w:color w:val="000000"/>
        </w:rPr>
        <w:t>”</w:t>
      </w:r>
      <w:r>
        <w:rPr>
          <w:rFonts w:ascii="Times New Roman;sans-serif" w:hAnsi="Times New Roman;sans-serif"/>
          <w:b w:val="false"/>
          <w:color w:val="000000"/>
          <w:sz w:val="24"/>
        </w:rPr>
        <w:t xml:space="preserve">) the Executive’s consent to this Waiver and Release by executing and delivering a written notice of revocation to the Company in accordance with the Notice provision of the Severance Plan. No such revocation by the Executive shall be effective unless it is in writing and signed by the Executive and received by the Company prior to the expiration of the Revocation Period. Upon delivery of a notice of revocation to the Company, the obligations of the Parties under this Waiver and Release shall be void and unenforceable, with the exception of the Executive’s obligation to keep this Waiver and Release confidential under Section 5 of this Waiver and Release. </w:t>
      </w:r>
    </w:p>
    <w:p>
      <w:pPr>
        <w:pStyle w:val="TextBody"/>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Waiver and Release shall become effective as of the date on which it is executed by the Executive, provided that it is also signed by the Company and provided that the Executive does not timely revoke this Waiver and Release in accordance with the provisions of Section 7 of this Waiver and Release.</w:t>
      </w:r>
      <w:r>
        <w:br w:type="page"/>
      </w:r>
    </w:p>
    <w:p>
      <w:pPr>
        <w:pStyle w:val="TextBody"/>
        <w:spacing w:before="0" w:after="20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692265" cy="247015"/>
                <wp:effectExtent l="0" t="0" r="0" b="0"/>
                <wp:wrapNone/>
                <wp:docPr id="108" name="Frame107"/>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6</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Governing Law, Jurisdiction &amp; Venue</w:t>
      </w:r>
      <w:r>
        <w:rPr>
          <w:rFonts w:ascii="Times New Roman;sans-serif" w:hAnsi="Times New Roman;sans-serif"/>
          <w:b w:val="false"/>
          <w:color w:val="000000"/>
          <w:sz w:val="24"/>
        </w:rPr>
        <w:t>. This Waiver and Release, and any and all interactions between the Parties arising under or resulting from this Waiver and Release, is governed by and construed in accordance with the laws of the State of Texas, exclusive of its choice of law principles. Each Party irrevocably consents to the personal jurisdiction of the state or federal courts located in [Harris County, Texas] with regard to any dispute arising out of or relating to this Waiver and Release. All payments due hereunder and all obligations performable hereunder shall be payable and performable at the offices of the Company in Houston, Texas. The Executive represents to the Company that the Executive has not filed any charge or complaint, nor initiated any other proceedings, against the Company or any of its employees or agents, with any governmental entity or court.</w:t>
      </w:r>
    </w:p>
    <w:p>
      <w:pPr>
        <w:pStyle w:val="TextBody"/>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Injunctive Relief</w:t>
      </w:r>
      <w:r>
        <w:rPr>
          <w:rFonts w:ascii="Times New Roman;sans-serif" w:hAnsi="Times New Roman;sans-serif"/>
          <w:b w:val="false"/>
          <w:color w:val="000000"/>
          <w:sz w:val="24"/>
        </w:rPr>
        <w:t>. Notwithstanding any other term of this Waiver and Release, it is expressly agreed that a breach of this Waiver and Release will cause irreparable harm to the Company and that a remedy at law would be inadequate. Therefore, in addition to any and all remedies available at law, the Company will be entitled to injunctive and/or other equitable remedies in the event of any threatened or actual violation of any of the provisions of this Waiver and Release.</w:t>
      </w:r>
    </w:p>
    <w:p>
      <w:pPr>
        <w:pStyle w:val="TextBody"/>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Severance Plan and this Waiver and Release comprise the entire agreement between the Parties pertaining to the matters encompassed therein and herein, and supersede any other agreement, written or oral, that may exist between them relating to the matters encompassed therein and herein, except that this Waiver and Release does not in any way supersede or alter covenants not to compete, non-disclosure or non-solicitation agreements, or confidentiality agreements that may exist between the Executive and the Company.</w:t>
      </w:r>
    </w:p>
    <w:p>
      <w:pPr>
        <w:pStyle w:val="TextBody"/>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Waiver and Release is found to be illegal or unenforceable, such finding shall not invalidate the remainder of this Waiver and Release, and that provision shall be deemed to be severed or modified to the minimum extent necessary to equitably adjust the Parties’ respective rights and obligations under this Waiver and Release.</w:t>
      </w:r>
    </w:p>
    <w:p>
      <w:pPr>
        <w:pStyle w:val="TextBody"/>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Execution</w:t>
      </w:r>
      <w:r>
        <w:rPr>
          <w:rFonts w:ascii="Times New Roman;sans-serif" w:hAnsi="Times New Roman;sans-serif"/>
          <w:b w:val="false"/>
          <w:color w:val="000000"/>
          <w:sz w:val="24"/>
        </w:rPr>
        <w:t>. This Waiver and Release may be executed in multiple counterparts, each of which will be deemed an original for all purposes. Facsimile of pdf copies of signatures to this Waiver and Release are as valid as original signatures.</w:t>
      </w:r>
    </w:p>
    <w:p>
      <w:pPr>
        <w:pStyle w:val="TextBody"/>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Consideration of Medicare’s Interests</w:t>
      </w:r>
      <w:r>
        <w:rPr>
          <w:rFonts w:ascii="Times New Roman;sans-serif" w:hAnsi="Times New Roman;sans-serif"/>
          <w:b w:val="false"/>
          <w:color w:val="000000"/>
          <w:sz w:val="24"/>
        </w:rPr>
        <w:t>. The Executive affirms, covenants, and warrants that the Executive is not a Medicare beneficiary and is not currently receiving, has not received in the past, will not have received at the time of execution of this Waiver and Release or payment hereunder, to the extent applicable, is not entitled to, is not eligible for, and has not applied for or sought Social Security Disability or Medicare benefits. In the event any statement in the preceding sentence is incorrect (for example, but not limited to, if the Executive is a Medicare beneficiary, etc.), the following sentences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the remaining sentences of this paragraph) apply. The Executive affirms, covenants, and warrants the Executive has made no claim for illness or injury against, nor is the Executive aware of any facts supporting any claim against, the Released Parties under which the Released Parties could be liable for medical expenses incurred by the Executive before or after the execution of this Waiver and Release. Furthermore, the Executive is aware of no medical expenses which Medicare has paid and for </w:t>
      </w:r>
      <w:r>
        <w:br w:type="page"/>
      </w:r>
    </w:p>
    <w:p>
      <w:pPr>
        <w:pStyle w:val="TextBody"/>
        <w:spacing w:before="0" w:after="20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92265" cy="247015"/>
                <wp:effectExtent l="0" t="0" r="0" b="0"/>
                <wp:wrapNone/>
                <wp:docPr id="109" name="Frame108"/>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7</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jc w:val="both"/>
        <w:rPr/>
      </w:pPr>
      <w:r>
        <w:rPr>
          <w:rFonts w:ascii="Times New Roman;sans-serif" w:hAnsi="Times New Roman;sans-serif"/>
          <w:b w:val="false"/>
          <w:color w:val="000000"/>
          <w:sz w:val="24"/>
        </w:rPr>
        <w:t xml:space="preserve">which the Released Parties are or could be liable now or in the future. The Executive agrees and affirms that, to the best of the Executive’s knowledge, no liens of any governmental entities, including those for Medicare conditional payments, exist. The Executive will indemnify, defend, and hold the Released Parties harmless from Medicare claims, liens, damages, conditional payments, and rights to payment, if any, including attorneys’ fees, and the Executive further agrees to waive any and all future private causes of action for damages pursuant to 42 U.S.C. § 1395y(b)(3)(A) </w:t>
      </w:r>
      <w:r>
        <w:rPr>
          <w:rFonts w:ascii="Times New Roman;sans-serif" w:hAnsi="Times New Roman;sans-serif"/>
          <w:b w:val="false"/>
          <w:i/>
          <w:color w:val="000000"/>
          <w:sz w:val="24"/>
        </w:rPr>
        <w:t>et seq</w:t>
      </w:r>
      <w:r>
        <w:rPr>
          <w:rFonts w:ascii="Times New Roman;sans-serif" w:hAnsi="Times New Roman;sans-serif"/>
          <w:b w:val="false"/>
          <w:color w:val="000000"/>
          <w:sz w:val="24"/>
        </w:rPr>
        <w:t>.</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ON NEXT PAGE]</w:t>
      </w:r>
    </w:p>
    <w:p>
      <w:pPr>
        <w:pStyle w:val="TextBody"/>
        <w:spacing w:before="0" w:after="240"/>
        <w:jc w:val="both"/>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92265" cy="247015"/>
                <wp:effectExtent l="0" t="0" r="0" b="0"/>
                <wp:wrapNone/>
                <wp:docPr id="110" name="Frame109"/>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8</w:t>
                      </w:r>
                    </w:p>
                  </w:txbxContent>
                </v:textbox>
              </v:rect>
            </w:pict>
          </mc:Fallback>
        </mc:AlternateContent>
      </w:r>
    </w:p>
    <w:p>
      <w:pPr>
        <w:pStyle w:val="TextBody"/>
        <w:spacing w:before="0" w:after="2"/>
        <w:rPr/>
      </w:pPr>
      <w:r>
        <w:rPr/>
      </w:r>
    </w:p>
    <w:p>
      <w:pPr>
        <w:pStyle w:val="TextBody"/>
        <w:spacing w:before="0" w:after="2"/>
        <w:jc w:val="right"/>
        <w:rPr/>
      </w:pPr>
      <w:r>
        <w:rPr/>
      </w:r>
    </w:p>
    <w:p>
      <w:pPr>
        <w:pStyle w:val="TextBody"/>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THE EXECUTIVE’S SIGNATURE BELOW MEANS THAT THE EXECUTIVE HAS READ THIS WAIVER AND RELEASE AND AGREES AND CONSENTS TO ALL THE TERMS AND CONDITIONS CONTAINED HEREIN.</w: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IES HOLDINGS, INC.                    THE EXECUTIVE</w: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pPr>
      <w:r>
        <w:rPr>
          <w:rFonts w:ascii="Times New Roman;sans-serif" w:hAnsi="Times New Roman;sans-serif"/>
          <w:b w:val="false"/>
          <w:color w:val="000000"/>
          <w:sz w:val="24"/>
        </w:rPr>
        <w:t>By:</w:t>
      </w:r>
      <w:r>
        <w:rPr>
          <w:color w:val="000000"/>
          <w:u w:val="single"/>
        </w:rPr>
        <w:t>                    </w:t>
      </w:r>
      <w:r>
        <w:rPr>
          <w:color w:val="000000"/>
        </w:rPr>
        <w:t>            </w:t>
      </w:r>
      <w:r>
        <w:rPr>
          <w:color w:val="000000"/>
          <w:u w:val="single"/>
        </w:rPr>
        <w:t>                    </w:t>
      </w:r>
    </w:p>
    <w:p>
      <w:pPr>
        <w:pStyle w:val="TextBody"/>
        <w:spacing w:lineRule="auto" w:line="288" w:before="0" w:after="0"/>
        <w:jc w:val="both"/>
        <w:rPr/>
      </w:pPr>
      <w:r>
        <w:rPr>
          <w:color w:val="000000"/>
        </w:rPr>
        <w:t>                                </w:t>
      </w:r>
      <w:r>
        <w:rPr>
          <w:color w:val="000000"/>
          <w:u w:val="single"/>
        </w:rPr>
        <w:t>                    </w:t>
      </w:r>
    </w:p>
    <w:p>
      <w:pPr>
        <w:pStyle w:val="TextBody"/>
        <w:spacing w:lineRule="auto" w:line="288" w:before="0" w:after="0"/>
        <w:jc w:val="both"/>
        <w:rPr/>
      </w:pPr>
      <w:r>
        <w:rPr>
          <w:rFonts w:ascii="Times New Roman;sans-serif" w:hAnsi="Times New Roman;sans-serif"/>
          <w:b w:val="false"/>
          <w:color w:val="000000"/>
          <w:sz w:val="24"/>
        </w:rPr>
        <w:t>Its:</w:t>
      </w:r>
      <w:r>
        <w:rPr>
          <w:color w:val="000000"/>
          <w:u w:val="single"/>
        </w:rPr>
        <w:t>                    </w:t>
      </w:r>
      <w:r>
        <w:rPr>
          <w:color w:val="000000"/>
        </w:rPr>
        <w:t>            </w:t>
      </w:r>
    </w:p>
    <w:p>
      <w:pPr>
        <w:pStyle w:val="TextBody"/>
        <w:spacing w:lineRule="auto" w:line="288" w:before="0" w:after="0"/>
        <w:jc w:val="both"/>
        <w:rPr/>
      </w:pPr>
      <w:r>
        <w:rPr>
          <w:color w:val="000000"/>
        </w:rPr>
        <w:t>                                </w:t>
      </w:r>
      <w:r>
        <w:rPr>
          <w:rFonts w:ascii="Times New Roman;sans-serif" w:hAnsi="Times New Roman;sans-serif"/>
          <w:b w:val="false"/>
          <w:color w:val="000000"/>
          <w:sz w:val="24"/>
        </w:rPr>
        <w:t xml:space="preserve">Dated: </w:t>
      </w:r>
      <w:r>
        <w:rPr>
          <w:color w:val="000000"/>
          <w:u w:val="single"/>
        </w:rPr>
        <w:t>                    </w:t>
      </w:r>
    </w:p>
    <w:p>
      <w:pPr>
        <w:pStyle w:val="TextBody"/>
        <w:spacing w:lineRule="auto" w:line="288"/>
        <w:jc w:val="both"/>
        <w:rPr/>
      </w:pPr>
      <w:r>
        <w:rPr>
          <w:rFonts w:ascii="Times New Roman;sans-serif" w:hAnsi="Times New Roman;sans-serif"/>
          <w:b w:val="false"/>
          <w:color w:val="000000"/>
          <w:sz w:val="24"/>
        </w:rPr>
        <w:t>Dated:</w:t>
      </w:r>
      <w:r>
        <w:rPr>
          <w:color w:val="000000"/>
          <w:u w:val="single"/>
        </w:rPr>
        <w:t>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92265" cy="247015"/>
                <wp:effectExtent l="0" t="0" r="0" b="0"/>
                <wp:wrapNone/>
                <wp:docPr id="111" name="Frame110"/>
                <a:graphic xmlns:a="http://schemas.openxmlformats.org/drawingml/2006/main">
                  <a:graphicData uri="http://schemas.microsoft.com/office/word/2010/wordprocessingShape">
                    <wps:wsp>
                      <wps:cNvSpPr txBox="1"/>
                      <wps:spPr>
                        <a:xfrm>
                          <a:off x="0" y="0"/>
                          <a:ext cx="6692265" cy="247015"/>
                        </a:xfrm>
                        <a:prstGeom prst="rect"/>
                      </wps:spPr>
                      <wps:txb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120" w:after="120"/>
                        <w:jc w:val="center"/>
                        <w:rPr>
                          <w:rFonts w:ascii="Calibri;sans-serif" w:hAnsi="Calibri;sans-serif"/>
                          <w:b w:val="false"/>
                          <w:color w:val="000000"/>
                          <w:sz w:val="22"/>
                        </w:rPr>
                      </w:pPr>
                      <w:r>
                        <w:rPr>
                          <w:rFonts w:ascii="Calibri;sans-serif" w:hAnsi="Calibri;sans-serif"/>
                          <w:b w:val="false"/>
                          <w:color w:val="000000"/>
                          <w:sz w:val="22"/>
                        </w:rPr>
                        <w:t>9</w:t>
                      </w:r>
                    </w:p>
                  </w:txbxContent>
                </v:textbox>
              </v:rect>
            </w:pict>
          </mc:Fallback>
        </mc:AlternateContent>
      </w:r>
    </w:p>
    <w:p>
      <w:pPr>
        <w:pStyle w:val="TextBody"/>
        <w:spacing w:before="0" w:after="0"/>
        <w:rPr/>
      </w:pPr>
      <w:r>
        <w:rPr/>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L. Gendell,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Quarterly Report on Form 10-Q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April 30, 2021 </w:t>
      </w:r>
    </w:p>
    <w:tbl>
      <w:tblPr>
        <w:tblW w:w="4871" w:type="dxa"/>
        <w:jc w:val="left"/>
        <w:tblInd w:w="0" w:type="dxa"/>
        <w:tblCellMar>
          <w:top w:w="28" w:type="dxa"/>
          <w:left w:w="28" w:type="dxa"/>
          <w:bottom w:w="28" w:type="dxa"/>
          <w:right w:w="28" w:type="dxa"/>
        </w:tblCellMar>
      </w:tblPr>
      <w:tblGrid>
        <w:gridCol w:w="124"/>
        <w:gridCol w:w="109"/>
        <w:gridCol w:w="109"/>
        <w:gridCol w:w="1325"/>
        <w:gridCol w:w="1325"/>
        <w:gridCol w:w="18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/s/  </w:t>
            </w:r>
            <w:r>
              <w:rPr>
                <w:rFonts w:ascii="Times New Roman;sans-serif" w:hAnsi="Times New Roman;sans-serif"/>
                <w:b w:val="false"/>
                <w:color w:val="000000"/>
                <w:sz w:val="18"/>
              </w:rPr>
              <w:t>JEFFREY L. GENDELL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as Principal Executive Officer</w:t>
            </w:r>
          </w:p>
          <w:p>
            <w:pPr>
              <w:pStyle w:val="TableContents"/>
              <w:spacing w:lineRule="auto" w:line="288" w:before="0" w:after="0"/>
              <w:jc w:val="center"/>
              <w:rPr>
                <w:color w:val="000000"/>
              </w:rPr>
            </w:pPr>
            <w:r>
              <w:rPr>
                <w:color w:val="000000"/>
              </w:rPr>
              <w:t> </w:t>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92265" cy="175260"/>
                <wp:effectExtent l="0" t="0" r="0" b="0"/>
                <wp:wrapNone/>
                <wp:docPr id="112" name="Frame11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Tracy A. McLauchlin,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Quarterly Report on Form 10-Q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2021 </w:t>
      </w:r>
    </w:p>
    <w:tbl>
      <w:tblPr>
        <w:tblW w:w="5322" w:type="dxa"/>
        <w:jc w:val="left"/>
        <w:tblInd w:w="0" w:type="dxa"/>
        <w:tblCellMar>
          <w:top w:w="28" w:type="dxa"/>
          <w:left w:w="28" w:type="dxa"/>
          <w:bottom w:w="28" w:type="dxa"/>
          <w:right w:w="28" w:type="dxa"/>
        </w:tblCellMar>
      </w:tblPr>
      <w:tblGrid>
        <w:gridCol w:w="124"/>
        <w:gridCol w:w="109"/>
        <w:gridCol w:w="109"/>
        <w:gridCol w:w="1458"/>
        <w:gridCol w:w="1458"/>
        <w:gridCol w:w="20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Principal Financial Officer</w:t>
            </w:r>
          </w:p>
          <w:p>
            <w:pPr>
              <w:pStyle w:val="TableContents"/>
              <w:spacing w:lineRule="auto" w:line="288" w:before="0" w:after="0"/>
              <w:jc w:val="center"/>
              <w:rPr>
                <w:color w:val="000000"/>
              </w:rPr>
            </w:pPr>
            <w:r>
              <w:rPr>
                <w:color w:val="000000"/>
              </w:rPr>
              <w:t> </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92265" cy="175260"/>
                <wp:effectExtent l="0" t="0" r="0" b="0"/>
                <wp:wrapNone/>
                <wp:docPr id="113" name="Frame11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Quarterly Report of IES Holdings, Inc. (the “Company”) on Form 10-Q for the period ending March 31, 2021 (the “Report”), I, Jeffrey L. Gendell, Chief Executive Officer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40" w:after="283"/>
        <w:jc w:val="both"/>
        <w:rPr/>
      </w:pPr>
      <w:r>
        <w:rPr/>
      </w:r>
    </w:p>
    <w:p>
      <w:pPr>
        <w:pStyle w:val="TextBody"/>
        <w:spacing w:before="0" w:after="0"/>
        <w:ind w:left="0" w:right="0" w:firstLine="720"/>
        <w:jc w:val="both"/>
        <w:rPr/>
      </w:pPr>
      <w:r>
        <w:rPr/>
      </w:r>
    </w:p>
    <w:tbl>
      <w:tblPr>
        <w:tblW w:w="6775" w:type="dxa"/>
        <w:jc w:val="left"/>
        <w:tblInd w:w="0" w:type="dxa"/>
        <w:tblCellMar>
          <w:top w:w="28" w:type="dxa"/>
          <w:left w:w="28" w:type="dxa"/>
          <w:bottom w:w="28" w:type="dxa"/>
          <w:right w:w="28" w:type="dxa"/>
        </w:tblCellMar>
      </w:tblPr>
      <w:tblGrid>
        <w:gridCol w:w="222"/>
        <w:gridCol w:w="195"/>
        <w:gridCol w:w="195"/>
        <w:gridCol w:w="195"/>
        <w:gridCol w:w="195"/>
        <w:gridCol w:w="195"/>
        <w:gridCol w:w="195"/>
        <w:gridCol w:w="195"/>
        <w:gridCol w:w="195"/>
        <w:gridCol w:w="134"/>
        <w:gridCol w:w="134"/>
        <w:gridCol w:w="136"/>
        <w:gridCol w:w="1342"/>
        <w:gridCol w:w="1342"/>
        <w:gridCol w:w="1905"/>
      </w:tblGrid>
      <w:tr>
        <w:trPr/>
        <w:tc>
          <w:tcPr>
            <w:tcW w:w="22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r>
      <w:tr>
        <w:trPr/>
        <w:tc>
          <w:tcPr>
            <w:tcW w:w="178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r>
        <w:trPr/>
        <w:tc>
          <w:tcPr>
            <w:tcW w:w="178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178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 </w:t>
            </w:r>
            <w:r>
              <w:rPr>
                <w:rFonts w:ascii="Times New Roman;sans-serif" w:hAnsi="Times New Roman;sans-serif"/>
                <w:b w:val="false"/>
                <w:color w:val="000000"/>
                <w:sz w:val="20"/>
              </w:rPr>
              <w:t>Chief Executive Officer as Principal Executive Officer</w:t>
            </w:r>
          </w:p>
          <w:p>
            <w:pPr>
              <w:pStyle w:val="TableContents"/>
              <w:spacing w:before="0" w:after="0"/>
              <w:jc w:val="center"/>
              <w:rPr/>
            </w:pPr>
            <w:r>
              <w:rPr/>
            </w:r>
          </w:p>
        </w:tc>
      </w:tr>
      <w:tr>
        <w:trPr/>
        <w:tc>
          <w:tcPr>
            <w:tcW w:w="612"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5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92265" cy="175260"/>
                <wp:effectExtent l="0" t="0" r="0" b="0"/>
                <wp:wrapNone/>
                <wp:docPr id="114" name="Frame11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Quarterly Report of IES Holdings, Inc. (the “Company”) on Form 10-Q for the period ending March 31, 2021 (the “Report”), I, Tracy A. McLauchlin, Senior Vice President, Chief Financial Officer and Treasurer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ind w:left="0" w:right="0" w:firstLine="720"/>
        <w:jc w:val="both"/>
        <w:rPr/>
      </w:pPr>
      <w:r>
        <w:rPr/>
      </w:r>
    </w:p>
    <w:tbl>
      <w:tblPr>
        <w:tblW w:w="7168" w:type="dxa"/>
        <w:jc w:val="left"/>
        <w:tblInd w:w="0" w:type="dxa"/>
        <w:tblCellMar>
          <w:top w:w="28" w:type="dxa"/>
          <w:left w:w="28" w:type="dxa"/>
          <w:bottom w:w="28" w:type="dxa"/>
          <w:right w:w="28" w:type="dxa"/>
        </w:tblCellMar>
      </w:tblPr>
      <w:tblGrid>
        <w:gridCol w:w="167"/>
        <w:gridCol w:w="147"/>
        <w:gridCol w:w="147"/>
        <w:gridCol w:w="147"/>
        <w:gridCol w:w="147"/>
        <w:gridCol w:w="147"/>
        <w:gridCol w:w="147"/>
        <w:gridCol w:w="147"/>
        <w:gridCol w:w="147"/>
        <w:gridCol w:w="147"/>
        <w:gridCol w:w="147"/>
        <w:gridCol w:w="147"/>
        <w:gridCol w:w="134"/>
        <w:gridCol w:w="134"/>
        <w:gridCol w:w="136"/>
        <w:gridCol w:w="774"/>
        <w:gridCol w:w="774"/>
        <w:gridCol w:w="774"/>
        <w:gridCol w:w="774"/>
        <w:gridCol w:w="774"/>
        <w:gridCol w:w="1110"/>
      </w:tblGrid>
      <w:tr>
        <w:trPr/>
        <w:tc>
          <w:tcPr>
            <w:tcW w:w="1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178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1784"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1784"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Principal Financial Officer</w:t>
            </w:r>
          </w:p>
        </w:tc>
      </w:tr>
      <w:tr>
        <w:trPr/>
        <w:tc>
          <w:tcPr>
            <w:tcW w:w="461"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2322" w:type="dxa"/>
            <w:gridSpan w:val="3"/>
            <w:tcBorders/>
            <w:shd w:fill="auto" w:val="clear"/>
            <w:vAlign w:val="center"/>
          </w:tcPr>
          <w:p>
            <w:pPr>
              <w:pStyle w:val="TableContents"/>
              <w:spacing w:before="0" w:after="283"/>
              <w:rPr>
                <w:sz w:val="4"/>
                <w:szCs w:val="4"/>
              </w:rPr>
            </w:pPr>
            <w:r>
              <w:rPr>
                <w:sz w:val="4"/>
                <w:szCs w:val="4"/>
              </w:rPr>
            </w:r>
          </w:p>
        </w:tc>
        <w:tc>
          <w:tcPr>
            <w:tcW w:w="265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92265" cy="175260"/>
                <wp:effectExtent l="0" t="0" r="0" b="0"/>
                <wp:wrapNone/>
                <wp:docPr id="115" name="Frame11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 w:name="Palatino Linotype">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048268/000119312516674386/d211495dex31.htm" TargetMode="External"/><Relationship Id="rId4" Type="http://schemas.openxmlformats.org/officeDocument/2006/relationships/hyperlink" Target="http://www.sec.gov/Archives/edgar/data/1048268/000119312513026383/d474722dex31.htm" TargetMode="External"/><Relationship Id="rId5" Type="http://schemas.openxmlformats.org/officeDocument/2006/relationships/hyperlink" Target="http://www.sec.gov/Archives/edgar/data/1048268/000119312516789187/d310826dex41.htm" TargetMode="External"/><Relationship Id="rId6" Type="http://schemas.openxmlformats.org/officeDocument/2006/relationships/hyperlink" Target="http://www.sec.gov/Archives/edgar/data/1048268/000119312516763155/d487615d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77</Pages>
  <Words>50988</Words>
  <CharactersWithSpaces>323224</CharactersWithSpaces>
  <Paragraphs>3697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