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10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80390" cy="3060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0390" cy="30607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IES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2270"/>
        <w:gridCol w:w="60"/>
        <w:gridCol w:w="1130"/>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1005"/>
            <w:bookmarkEnd w:id="6"/>
            <w:r>
              <w:rPr>
                <w:rFonts w:ascii="Times New Roman;Times;Serif" w:hAnsi="Times New Roman;Times;Serif"/>
                <w:b/>
                <w:i w:val="false"/>
                <w:caps w:val="false"/>
                <w:smallCaps w:val="false"/>
                <w:sz w:val="20"/>
              </w:rPr>
              <w:t>001-13783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76-0542208</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13131 Dairy Ashford Road, </w:t>
      </w:r>
      <w:bookmarkStart w:id="9" w:name="xdx_906_edei--EntityAddressCityOrTown_c2"/>
      <w:bookmarkEnd w:id="9"/>
      <w:r>
        <w:rPr>
          <w:rFonts w:ascii="Times New Roman;Times;Serif" w:hAnsi="Times New Roman;Times;Serif"/>
          <w:b/>
          <w:i w:val="false"/>
          <w:caps w:val="false"/>
          <w:smallCaps w:val="false"/>
          <w:sz w:val="20"/>
        </w:rPr>
        <w:t xml:space="preserve">Suite 500 Sugar Land, </w:t>
      </w:r>
      <w:bookmarkStart w:id="10" w:name="xdx_900_edei--EntityAddressStateOrProvin"/>
      <w:bookmarkEnd w:id="10"/>
      <w:r>
        <w:rPr>
          <w:rFonts w:ascii="Times New Roman;Times;Serif" w:hAnsi="Times New Roman;Times;Serif"/>
          <w:b/>
          <w:i w:val="false"/>
          <w:caps w:val="false"/>
          <w:smallCaps w:val="false"/>
          <w:sz w:val="20"/>
        </w:rPr>
        <w:t xml:space="preserve">Texas </w:t>
      </w:r>
      <w:bookmarkStart w:id="11" w:name="xdx_90A_edei--EntityAddressPostalZipCode"/>
      <w:bookmarkEnd w:id="11"/>
      <w:r>
        <w:rPr>
          <w:rFonts w:ascii="Times New Roman;Times;Serif" w:hAnsi="Times New Roman;Times;Serif"/>
          <w:b/>
          <w:i w:val="false"/>
          <w:caps w:val="false"/>
          <w:smallCaps w:val="false"/>
          <w:sz w:val="20"/>
        </w:rPr>
        <w:t xml:space="preserve">77478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3_edei--CityAreaCode_c20261005__20"/>
      <w:bookmarkEnd w:id="12"/>
      <w:r>
        <w:rPr>
          <w:rFonts w:ascii="Times New Roman;Times;Serif" w:hAnsi="Times New Roman;Times;Serif"/>
          <w:b/>
          <w:i w:val="false"/>
          <w:caps w:val="false"/>
          <w:smallCaps w:val="false"/>
          <w:sz w:val="20"/>
        </w:rPr>
        <w:t xml:space="preserve">(713) </w:t>
      </w:r>
      <w:bookmarkStart w:id="13" w:name="xdx_906_edei--LocalPhoneNumber_c20261005"/>
      <w:bookmarkEnd w:id="13"/>
      <w:r>
        <w:rPr>
          <w:rFonts w:ascii="Times New Roman;Times;Serif" w:hAnsi="Times New Roman;Times;Serif"/>
          <w:b/>
          <w:i w:val="false"/>
          <w:caps w:val="false"/>
          <w:smallCaps w:val="false"/>
          <w:sz w:val="20"/>
        </w:rPr>
        <w:t xml:space="preserve">860-1500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4" w:name="xdx_90D_edei--WrittenCommunications_c202"/>
            <w:bookmarkEnd w:id="14"/>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A_edei--SolicitingMaterial_c202610"/>
            <w:bookmarkEnd w:id="15"/>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 (b))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IssuerTende"/>
            <w:bookmarkEnd w:id="17"/>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 (c))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415"/>
        <w:gridCol w:w="60"/>
        <w:gridCol w:w="3710"/>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1_edei--Security12bTitle_c20261005"/>
            <w:bookmarkEnd w:id="18"/>
            <w:r>
              <w:rPr>
                <w:rFonts w:ascii="Times New Roman;Times;Serif" w:hAnsi="Times New Roman;Times;Serif"/>
                <w:b/>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2_edei--TradingSymbol_c20261005__2"/>
            <w:bookmarkEnd w:id="19"/>
            <w:r>
              <w:rPr>
                <w:rFonts w:ascii="Times New Roman;Times;Serif" w:hAnsi="Times New Roman;Times;Serif"/>
                <w:b/>
                <w:i w:val="false"/>
                <w:caps w:val="false"/>
                <w:smallCaps w:val="false"/>
                <w:sz w:val="20"/>
              </w:rPr>
              <w:t>IESC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4_edei--SecurityExchangeName_c2026"/>
            <w:bookmarkEnd w:id="20"/>
            <w:r>
              <w:rPr>
                <w:rFonts w:ascii="Times New Roman;Times;Serif" w:hAnsi="Times New Roman;Times;Serif"/>
                <w:b/>
                <w:i w:val="false"/>
                <w:caps w:val="false"/>
                <w:smallCaps w:val="false"/>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IES Holdings, Inc., a Delaware corporation (“IES” or the “Company”) entered into Amendment No. 2 to Fourth Amended and Restated Credit Agreement and Amendment No. 1 to Amended and Restated Guaranty and Security Agreement (the “Amendment”), which amends the Fourth Amended and Restated Credit Agreement dated January 21, 2025 (as previously amended, the “Credit Agreement”) by and among the Company and each of the other borrowers and guarantors named therein with Wells Fargo Bank, National Association, as administrative agent, swingline lender and issuing lender, BOKF, NA d/b/a Bank of Texas, Zions Bancorporation, N.A. d/b/a Amegy Bank, and Texas Capital Bank as co-documentation agents, Wells Fargo Securities LLC, Fifth Third Bank, National Association, The Huntington National Bank, PNC Capital Markets, LLC, as joint lead arrangers and joint bookrunners and other financial institutions party thereto as lenders.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Amendment, (i) the Company’s borrowing capacity increased to $700 million of which $200 million is in the form of a term loan facility and $500 million is in the form of a revolving credit facility, and (ii) the subsidiaries acquired pursuant to the Transactions (as defined below) were joined as guarantors to the Credit Agreement.</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Amendment,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IES announced that its wholly owned subsidiary, IES OpCo Holdings, Inc. (“OpCo”), completed its previously announced acquisition of approximately 91.21% of the issued and outstanding shares of common stock (the “Transferred Shares”) of DBM Global, Inc., a Delaware corporation (the “Target”), in exchange for the Stock Consideration and Seller Cash Consideration (each as defined in the Transaction Agreement (defined below)) (the “Acquisition”). Immediately following the Acquisition, IES Merger Sub, Inc. (“Merger Sub”), a Delaware corporation and wholly owned subsidiary of OpCo, merged with and into the Target pursuant to Section 253 of the Delaware General Corporation Law, with the Target surviving as a wholly owned indirect subsidiary of IES through OpCo (the “Merger,” and together with the Acquisition,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were completed on the terms set forth in that certain Transaction Agreement dated as of August 7, 2026 (the “Transaction Agreement”) by and among IES, Merger Sub, INNOVATE Corp., a Delaware corporation (“INNOVATE”), and DBM Global Intermediate Holdco Inc.,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consideration of approximately $691 million (the “Purchase Price”) consisted of approximately $545 million in cash and 430,974 shares of IES common stock (as adjusted for IES’s two-for-one stock split effected on August 21, 2026) valued at approximately $146 million based on the closing price of IES common stock on October 2, 2026, subject to customary net working capital and other post-closing adjustments. The cash consideration includes a $35 million payment to INNOVATE in respect of the estimated cost to INNOVATE of participating in a joint election under Section 338(h)(10) of the Internal Revenue Code. IES funded the cash consideration with cash on hand and $525 million of borrowings under the Credit Agreement, as amended by the Amendment described in Item 1.01.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Transactions and the Transaction Agreement do not purport to be complete and are qualified in their entirety by reference to the Transaction Agreement which was filed as Exhibit 2.1 to the Registrant’s Current Report on Form 8-K filed August 11, 2026,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IES issued a press release announcing the closing of the Transactions as described above under Item 2.01.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 Acquired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required by this item will be filed with the SEC by amendment as soon as practicable, but not later than 71 days after the date on which this Current Report on Form 8-K is required to be filed.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required by this item will be filed with the SEC by amendment as soon as practicable, but not later than 71 days after the date on which this Current Report on Form 8-K is required to be filed.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3"/>
        <w:gridCol w:w="60"/>
        <w:gridCol w:w="9332"/>
      </w:tblGrid>
      <w:tr>
        <w:trPr/>
        <w:tc>
          <w:tcPr>
            <w:tcW w:w="813"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Transaction Agreement, dated August 7, 2026 (incorporated by reference to Exhibit 2.1 to the Current Report on Form 8-K filed on August 11, 2026).</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shd w:fill="FFFF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 dated October 5, 2026, by and among IES Holdings, Inc., each of the other borrowers and guarantors named therein with Wells Fargo Bank, National Association, as administrative agent, swingline lender and issuing lender, BOKF, NA d/b/a Bank of Texas, Zions Bancorporation, N.A. d/b/a Amegy Bank, and Texas Capital Bank as co-documentation agents, Wells Fargo Securities, LLC, Fifth Third Bank, National Association, The Huntington National Bank, PNC Capital Markets LLC, as joint lead arrangers and joint bookrunners and other financial institutions party thereto as lenders (filed herewith).</w:t>
              </w:r>
            </w:hyperlink>
          </w:p>
        </w:tc>
      </w:tr>
      <w:tr>
        <w:trPr/>
        <w:tc>
          <w:tcPr>
            <w:tcW w:w="8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October 5, 2026.</w:t>
              </w:r>
            </w:hyperlink>
          </w:p>
        </w:tc>
      </w:tr>
      <w:tr>
        <w:trPr/>
        <w:tc>
          <w:tcPr>
            <w:tcW w:w="8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with this Current Report.</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exhibits, schedules or similar attachments to this exhibit have been omitted in accordance with Item 601(a)(5) of Regulation S-K. The registrant hereby agrees to furnish supplementally to the Securities and Exchange Commission upon request a copy of any omitted schedule or attachment to this exhibit.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1820"/>
        <w:gridCol w:w="545"/>
        <w:gridCol w:w="5960"/>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65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IES HOLDINGS, INC.</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tc>
        <w:tc>
          <w:tcPr>
            <w:tcW w:w="5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59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Mary K. Newman </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K. Newman</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Vice President, Chief Administrative Officer and General Counsel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10-1.htm"/>
      <w:bookmarkStart w:id="23" w:name="ksex10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smallCaps/>
          <w:sz w:val="22"/>
        </w:rPr>
      </w:pPr>
      <w:r>
        <w:rPr>
          <w:rFonts w:ascii="Times New Roman;Times;Serif" w:hAnsi="Times New Roman;Times;Serif"/>
          <w:b/>
          <w:i w:val="false"/>
          <w:smallCaps/>
          <w:sz w:val="22"/>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 FOURTH AMENDED AND RESTATED CREDIT AGREEMENT AND AMENDMENT NO. 1 TO AMENDED AND RESTATED GUARANTY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FOURTH AMENDED AND RESTATED CREDIT AGREEMENT AND AMENDMENT NO. 1 TO AMENDED AND RESTATED GUARANTY AND SECURITY AGREEMENT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effective as of October 5, 2026 (the “</w:t>
      </w:r>
      <w:r>
        <w:rPr>
          <w:rFonts w:ascii="Times New Roman;Times;Serif" w:hAnsi="Times New Roman;Times;Serif"/>
          <w:b w:val="false"/>
          <w:i w:val="false"/>
          <w:caps w:val="false"/>
          <w:smallCaps w:val="false"/>
          <w:sz w:val="20"/>
          <w:u w:val="single"/>
        </w:rPr>
        <w:t>Amendment No. 2 Effective Date</w:t>
      </w:r>
      <w:r>
        <w:rPr>
          <w:rFonts w:ascii="Times New Roman;Times;Serif" w:hAnsi="Times New Roman;Times;Serif"/>
          <w:b w:val="false"/>
          <w:i w:val="false"/>
          <w:caps w:val="false"/>
          <w:smallCaps w:val="false"/>
          <w:sz w:val="20"/>
        </w:rPr>
        <w:t>”), is among IES Holdings, Inc., a Delaware corporation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the Subsidiaries of Holdings party hereto as Borrowers (together with Holdings, each a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Subsidiaries of Holdings party hereto as Guarantors (together with Holdings, each a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the Lenders (as defined below) party hereto, and Wells Fargo Bank, National Association, as administrative agent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issuing lender and swingline lender (in such capacities, “</w:t>
      </w:r>
      <w:r>
        <w:rPr>
          <w:rFonts w:ascii="Times New Roman;Times;Serif" w:hAnsi="Times New Roman;Times;Serif"/>
          <w:b w:val="false"/>
          <w:i w:val="false"/>
          <w:caps w:val="false"/>
          <w:smallCaps w:val="false"/>
          <w:sz w:val="20"/>
          <w:u w:val="single"/>
        </w:rPr>
        <w:t>Issuing Lender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WHEREAS, the Borrower, the Administrative Agent, Wells Fargo Bank, National Association, as Issuing lender and as Swingline Lender, and the financial institutions party thereto from time to time as lenders (including each New Lender (as defined below))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are parties to that certain Fourth Amended and Restated Credit Agreement, dated as of January 21, 2025,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and the Existing Credit Agreement as amended by this Amendment and as otherwise amended, restated, amended and restated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the defined terms of which are used herein unless otherwise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WHEREAS, the Borrowers and the Guarantors are party to that certain Amended and Restated Guaranty and Security Agreement, dated as of January 21, 2025 (as amended, restated, supplemented or otherwise modified from time to time prior to the date hereof, the “</w:t>
      </w:r>
      <w:r>
        <w:rPr>
          <w:rFonts w:ascii="Times New Roman;Times;Serif" w:hAnsi="Times New Roman;Times;Serif"/>
          <w:b w:val="false"/>
          <w:i w:val="false"/>
          <w:caps w:val="false"/>
          <w:smallCaps w:val="false"/>
          <w:sz w:val="20"/>
          <w:u w:val="single"/>
        </w:rPr>
        <w:t>Existing Guaranty</w:t>
      </w:r>
      <w:r>
        <w:rPr>
          <w:rFonts w:ascii="Times New Roman;Times;Serif" w:hAnsi="Times New Roman;Times;Serif"/>
          <w:b w:val="false"/>
          <w:i w:val="false"/>
          <w:caps w:val="false"/>
          <w:smallCaps w:val="false"/>
          <w:sz w:val="20"/>
        </w:rPr>
        <w:t>,” and the Existing Guaranty as amended by this Amendment and as otherwise amended, restated, amended and restated or otherwise modified from time to time, the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in favor of the Administrative Agent, for the benefit of the Secured Parties (as defined in the Existing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WHEREAS, pursuant to that certain Transaction Agreement, dated as of August 7, 2026 (the “</w:t>
      </w:r>
      <w:r>
        <w:rPr>
          <w:rFonts w:ascii="Times New Roman;Times;Serif" w:hAnsi="Times New Roman;Times;Serif"/>
          <w:b w:val="false"/>
          <w:i w:val="false"/>
          <w:caps w:val="false"/>
          <w:smallCaps w:val="false"/>
          <w:sz w:val="20"/>
          <w:u w:val="single"/>
        </w:rPr>
        <w:t>DBM Acquisition Agreement</w:t>
      </w:r>
      <w:r>
        <w:rPr>
          <w:rFonts w:ascii="Times New Roman;Times;Serif" w:hAnsi="Times New Roman;Times;Serif"/>
          <w:b w:val="false"/>
          <w:i w:val="false"/>
          <w:caps w:val="false"/>
          <w:smallCaps w:val="false"/>
          <w:sz w:val="20"/>
        </w:rPr>
        <w:t>”), by and among Holdings, Innovate Corp., a Delaware corporation (“</w:t>
      </w:r>
      <w:r>
        <w:rPr>
          <w:rFonts w:ascii="Times New Roman;Times;Serif" w:hAnsi="Times New Roman;Times;Serif"/>
          <w:b w:val="false"/>
          <w:i w:val="false"/>
          <w:caps w:val="false"/>
          <w:smallCaps w:val="false"/>
          <w:sz w:val="20"/>
          <w:u w:val="single"/>
        </w:rPr>
        <w:t>Innovate</w:t>
      </w:r>
      <w:r>
        <w:rPr>
          <w:rFonts w:ascii="Times New Roman;Times;Serif" w:hAnsi="Times New Roman;Times;Serif"/>
          <w:b w:val="false"/>
          <w:i w:val="false"/>
          <w:caps w:val="false"/>
          <w:smallCaps w:val="false"/>
          <w:sz w:val="20"/>
        </w:rPr>
        <w:t>”), DBM Global Intermediate Holdco Inc., a Delaware corporation (“</w:t>
      </w:r>
      <w:r>
        <w:rPr>
          <w:rFonts w:ascii="Times New Roman;Times;Serif" w:hAnsi="Times New Roman;Times;Serif"/>
          <w:b w:val="false"/>
          <w:i w:val="false"/>
          <w:caps w:val="false"/>
          <w:smallCaps w:val="false"/>
          <w:sz w:val="20"/>
          <w:u w:val="single"/>
        </w:rPr>
        <w:t>DBM</w:t>
      </w:r>
      <w:r>
        <w:rPr>
          <w:rFonts w:ascii="Times New Roman;Times;Serif" w:hAnsi="Times New Roman;Times;Serif"/>
          <w:b w:val="false"/>
          <w:i w:val="false"/>
          <w:caps w:val="false"/>
          <w:smallCaps w:val="false"/>
          <w:sz w:val="20"/>
        </w:rPr>
        <w:t>” and together with Innovate,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IES Merger Sub, Inc., a Delaware corporation and indirect wholly owned Subsidiary of Holdings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Holdings (directly or indirectly through Merger Sub) has agreed to purchase all of the Equity Interests of DBM Global Inc. (the “</w:t>
      </w:r>
      <w:r>
        <w:rPr>
          <w:rFonts w:ascii="Times New Roman;Times;Serif" w:hAnsi="Times New Roman;Times;Serif"/>
          <w:b w:val="false"/>
          <w:i w:val="false"/>
          <w:caps w:val="false"/>
          <w:smallCaps w:val="false"/>
          <w:sz w:val="20"/>
          <w:u w:val="single"/>
        </w:rPr>
        <w:t>Acquired Company</w:t>
      </w:r>
      <w:r>
        <w:rPr>
          <w:rFonts w:ascii="Times New Roman;Times;Serif" w:hAnsi="Times New Roman;Times;Serif"/>
          <w:b w:val="false"/>
          <w:i w:val="false"/>
          <w:caps w:val="false"/>
          <w:smallCaps w:val="false"/>
          <w:sz w:val="20"/>
        </w:rPr>
        <w:t>”) on the date hereof (the “</w:t>
      </w:r>
      <w:r>
        <w:rPr>
          <w:rFonts w:ascii="Times New Roman;Times;Serif" w:hAnsi="Times New Roman;Times;Serif"/>
          <w:b w:val="false"/>
          <w:i w:val="false"/>
          <w:caps w:val="false"/>
          <w:smallCaps w:val="false"/>
          <w:sz w:val="20"/>
          <w:u w:val="single"/>
        </w:rPr>
        <w:t>DBM Acquisition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WHEREAS, pursuant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of the Existing Credit Agreement, the Borrowers have requested (i) an Incremental Revolving Credit Facility Increase in an aggregate principal amount equal to $200,000,000 (the “</w:t>
      </w:r>
      <w:r>
        <w:rPr>
          <w:rFonts w:ascii="Times New Roman;Times;Serif" w:hAnsi="Times New Roman;Times;Serif"/>
          <w:b w:val="false"/>
          <w:i w:val="false"/>
          <w:caps w:val="false"/>
          <w:smallCaps w:val="false"/>
          <w:sz w:val="20"/>
          <w:u w:val="single"/>
        </w:rPr>
        <w:t>Amendment No. 2 Revolver Increase</w:t>
      </w:r>
      <w:r>
        <w:rPr>
          <w:rFonts w:ascii="Times New Roman;Times;Serif" w:hAnsi="Times New Roman;Times;Serif"/>
          <w:b w:val="false"/>
          <w:i w:val="false"/>
          <w:caps w:val="false"/>
          <w:smallCaps w:val="false"/>
          <w:sz w:val="20"/>
        </w:rPr>
        <w:t>”) and (ii) an Incremental Term Loan in an aggregate principal amount equal to $200,000,000 (the “</w:t>
      </w:r>
      <w:r>
        <w:rPr>
          <w:rFonts w:ascii="Times New Roman;Times;Serif" w:hAnsi="Times New Roman;Times;Serif"/>
          <w:b w:val="false"/>
          <w:i w:val="false"/>
          <w:caps w:val="false"/>
          <w:smallCaps w:val="false"/>
          <w:sz w:val="20"/>
          <w:u w:val="single"/>
        </w:rPr>
        <w:t>Incremental Term Loan-1</w:t>
      </w:r>
      <w:r>
        <w:rPr>
          <w:rFonts w:ascii="Times New Roman;Times;Serif" w:hAnsi="Times New Roman;Times;Serif"/>
          <w:b w:val="false"/>
          <w:i w:val="false"/>
          <w:caps w:val="false"/>
          <w:smallCaps w:val="false"/>
          <w:sz w:val="20"/>
        </w:rPr>
        <w:t>” and together with the Amendment No. 2 Revolver Increase, the “</w:t>
      </w:r>
      <w:r>
        <w:rPr>
          <w:rFonts w:ascii="Times New Roman;Times;Serif" w:hAnsi="Times New Roman;Times;Serif"/>
          <w:b w:val="false"/>
          <w:i w:val="false"/>
          <w:caps w:val="false"/>
          <w:smallCaps w:val="false"/>
          <w:sz w:val="20"/>
          <w:u w:val="single"/>
        </w:rPr>
        <w:t>Incremental Increase</w:t>
      </w:r>
      <w:r>
        <w:rPr>
          <w:rFonts w:ascii="Times New Roman;Times;Serif" w:hAnsi="Times New Roman;Times;Serif"/>
          <w:b w:val="false"/>
          <w:i w:val="false"/>
          <w:caps w:val="false"/>
          <w:smallCaps w:val="false"/>
          <w:sz w:val="20"/>
        </w:rPr>
        <w:t>”), in each case in accordance with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WHEREAS the parties hereto have agreed, subject to the terms and conditions set forth herein, to amend the Existing Guaranty and the Existing Credit Agreement to provide for the Incremental Increase and such other amendments as specifically set forth herein.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Now Therefore</w:t>
      </w:r>
      <w:r>
        <w:rPr>
          <w:rFonts w:ascii="Times New Roman;Times;Serif" w:hAnsi="Times New Roman;Times;Serif"/>
          <w:b w:val="false"/>
          <w:i w:val="false"/>
          <w:caps w:val="false"/>
          <w:smallCaps w:val="false"/>
          <w:sz w:val="20"/>
        </w:rPr>
        <w:t>, in consideration of the premises and the mutual covenants, representations and warranties contained herein, and for other good and valuable consideration, the receipt and sufficiency of which are hereby acknowledged,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Amendment, each of the terms defined in the opening paragraph and the Recitals above shall have the meanings assigned to such terms therein. Each term defined in the Credit Agreement and used herein without definition shall have the meaning assigned to such term in the Credit Agreement, unless expressly provided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i w:val="false"/>
          <w:caps w:val="false"/>
          <w:smallCaps w:val="false"/>
          <w:sz w:val="20"/>
          <w:u w:val="single"/>
        </w:rPr>
        <w:t>Other Definitional Provisions</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as used in this Amendment shall be deemed to be followed by the phrase “without limitation”. The word “will” as used in this Amendment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restated or otherwise modified (subject to any restrictions on such amendments, supplements or modifications set forth in the Loan Documents), (b)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Loan Documents), (d) the words “herein”, “hereof” and “hereunder”, and words of similar import as used in this Amendment, shall be construed to refer to this Amendment in its entirety and not to any particular provision hereof, (e) with respect to the determination of any time period, the word “from” as used in this Amendment means “from and including” and the word “to” means “to and including,” and (f) any reference herein to Articles, Sections, Annexes, Exhibits and Schedules shall be construed to refer to Articles and Sections of, and Annexes, Exhibits and Schedules to, this Amendment. No provision of this Amendment or any other Loan Document shall be interpreted or construed against any Person solely because such Person or its legal representative drafted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i w:val="false"/>
          <w:caps w:val="false"/>
          <w:smallCaps w:val="false"/>
          <w:sz w:val="20"/>
          <w:u w:val="single"/>
        </w:rPr>
        <w:t>Amendments to the Credit Agreement</w:t>
      </w:r>
      <w:r>
        <w:rPr>
          <w:rFonts w:ascii="Times New Roman;Times;Serif" w:hAnsi="Times New Roman;Times;Serif"/>
          <w:b w:val="false"/>
          <w:i w:val="false"/>
          <w:caps w:val="false"/>
          <w:smallCaps w:val="false"/>
          <w:sz w:val="20"/>
        </w:rPr>
        <w:t>. Effective as of the Amendment No. 2 Effective Date, the Existing Credit Agreement is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body of the Existing Credit Agreement is hereby amended (i) to delete red or green stricken text (indicated textually in the same manner as the following examples: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color w:val="00B050"/>
          <w:sz w:val="20"/>
        </w:rPr>
        <w:t>stricken text</w:t>
      </w:r>
      <w:r>
        <w:rPr>
          <w:rFonts w:ascii="Times New Roman;Times;Serif" w:hAnsi="Times New Roman;Times;Serif"/>
          <w:b w:val="false"/>
          <w:i w:val="false"/>
          <w:caps w:val="false"/>
          <w:smallCaps w:val="false"/>
          <w:sz w:val="20"/>
        </w:rPr>
        <w:t xml:space="preserve">) and (ii) to add the blue or green double-underlined text (indicated textually in the same manner as the following examples: </w:t>
      </w:r>
      <w:r>
        <w:rPr>
          <w:rFonts w:ascii="Times New Roman;Times;Serif" w:hAnsi="Times New Roman;Times;Serif"/>
          <w:b w:val="false"/>
          <w:i w:val="false"/>
          <w:caps w:val="false"/>
          <w:smallCaps w:val="false"/>
          <w:color w:val="0070C0"/>
          <w:sz w:val="20"/>
          <w:u w:val="single"/>
        </w:rPr>
        <w:t>double-underlined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B050"/>
          <w:sz w:val="20"/>
          <w:u w:val="single"/>
        </w:rPr>
        <w:t>double-underlined text</w:t>
      </w:r>
      <w:r>
        <w:rPr>
          <w:rFonts w:ascii="Times New Roman;Times;Serif" w:hAnsi="Times New Roman;Times;Serif"/>
          <w:b w:val="false"/>
          <w:i w:val="false"/>
          <w:caps w:val="false"/>
          <w:smallCaps w:val="false"/>
          <w:sz w:val="20"/>
        </w:rPr>
        <w:t xml:space="preserve">), in each case, as set forth in the conformed copy of the Credit Agreement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Surety Bonds; Bonded 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Commitments and Commitment Percentages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6.8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 xml:space="preserve">) to the Credit Agreement are hereby amended and restated and replaced in their entirety as set forth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attached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Exhibits to the Credit Agreement are hereby amended to insert a new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Form of Term Loan Note</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i w:val="false"/>
          <w:caps w:val="false"/>
          <w:smallCaps w:val="false"/>
          <w:sz w:val="20"/>
          <w:u w:val="single"/>
        </w:rPr>
        <w:t>Amendment to the Amended and Restated Guaranty and Security Agreement</w:t>
      </w:r>
      <w:r>
        <w:rPr>
          <w:rFonts w:ascii="Times New Roman;Times;Serif" w:hAnsi="Times New Roman;Times;Serif"/>
          <w:b w:val="false"/>
          <w:i w:val="false"/>
          <w:caps w:val="false"/>
          <w:smallCaps w:val="false"/>
          <w:sz w:val="20"/>
        </w:rPr>
        <w:t xml:space="preserve">. Effective as of the Amendment No. 2 Effective Date, Article II of the Existing Guaranty is hereby amended to add the following new </w:t>
      </w:r>
      <w:r>
        <w:rPr>
          <w:rFonts w:ascii="Times New Roman;Times;Serif" w:hAnsi="Times New Roman;Times;Serif"/>
          <w:b w:val="false"/>
          <w:i w:val="false"/>
          <w:caps w:val="false"/>
          <w:smallCaps w:val="false"/>
          <w:sz w:val="20"/>
          <w:u w:val="single"/>
        </w:rPr>
        <w:t>Sections 2.07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2.08</w:t>
      </w:r>
      <w:r>
        <w:rPr>
          <w:rFonts w:ascii="Times New Roman;Times;Serif" w:hAnsi="Times New Roman;Times;Serif"/>
          <w:b w:val="false"/>
          <w:i w:val="false"/>
          <w:caps w:val="false"/>
          <w:smallCaps w:val="false"/>
          <w:sz w:val="20"/>
        </w:rPr>
        <w:t xml:space="preserve"> at the end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Maximum Liability of Kentucky Guarantors</w:t>
      </w:r>
      <w:r>
        <w:rPr>
          <w:rFonts w:ascii="Times New Roman;Times;Serif" w:hAnsi="Times New Roman;Times;Serif"/>
          <w:b w:val="false"/>
          <w:i w:val="false"/>
          <w:caps w:val="false"/>
          <w:smallCaps w:val="false"/>
          <w:sz w:val="20"/>
        </w:rPr>
        <w:t>. Notwithstanding any other provision of this Article II, pursuant to Kentucky Revised Statute 371.065, the amount guaranteed by each of Midwest Environmental, Inc. and Titan Fabricators, Inc. (each, a “</w:t>
      </w:r>
      <w:r>
        <w:rPr>
          <w:rFonts w:ascii="Times New Roman;Times;Serif" w:hAnsi="Times New Roman;Times;Serif"/>
          <w:b w:val="false"/>
          <w:i w:val="false"/>
          <w:caps w:val="false"/>
          <w:smallCaps w:val="false"/>
          <w:sz w:val="20"/>
          <w:u w:val="single"/>
        </w:rPr>
        <w:t>Kentucky Guarantor</w:t>
      </w:r>
      <w:r>
        <w:rPr>
          <w:rFonts w:ascii="Times New Roman;Times;Serif" w:hAnsi="Times New Roman;Times;Serif"/>
          <w:b w:val="false"/>
          <w:i w:val="false"/>
          <w:caps w:val="false"/>
          <w:smallCaps w:val="false"/>
          <w:sz w:val="20"/>
        </w:rPr>
        <w:t>”) hereunder shall be limited to a maximum amount of $1,000,000,000, plus accrued but unpaid interest thereon, insurance premiums paid by the Administrative Agent or any Lender, all taxes and assessments due, and unpaid fees, charges and costs of collecting the Secured Obligations, including reasonable attorney’s fees, and any and all costs and expenses provided for in the Loan Documents (in each case, the “</w:t>
      </w:r>
      <w:r>
        <w:rPr>
          <w:rFonts w:ascii="Times New Roman;Times;Serif" w:hAnsi="Times New Roman;Times;Serif"/>
          <w:b w:val="false"/>
          <w:i w:val="false"/>
          <w:caps w:val="false"/>
          <w:smallCaps w:val="false"/>
          <w:sz w:val="20"/>
          <w:u w:val="single"/>
        </w:rPr>
        <w:t>Maximum Liability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such maximum amount, such Maximum Liability would not render such Kentucky Guarantor’s obligations hereunder subject to avoidance under Section 548 of the Bankruptcy Code or under any applicable state Uniform Voidable Transactions Act, Uniform Fraudulent Transfer Act, Uniform Fraudulent Conveyance Act or comparable laws. In determining the Maximum Liability, if any, on the amount of a Kentucky Guarantor’s obligations hereunder pursuant to the preceding sentence, it is the intention of the parties hereto that all rights of subrogation, indemnification and contribution which such Kentucky Guarantor may have under this Agreement, any other agreement or applicable law shall be taken into account.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Termination of Kentucky Guarantors’ Guaranty</w:t>
      </w:r>
      <w:r>
        <w:rPr>
          <w:rFonts w:ascii="Times New Roman;Times;Serif" w:hAnsi="Times New Roman;Times;Serif"/>
          <w:b w:val="false"/>
          <w:i w:val="false"/>
          <w:caps w:val="false"/>
          <w:smallCaps w:val="false"/>
          <w:sz w:val="20"/>
        </w:rPr>
        <w:t>. The guaranty of each Kentucky Guarantor under this Article II shall terminate: (i) on January 21, 2030, provided that the Secured Obligations guaranteed by such Kentucky Guarantor are paid in full on such date; (ii) on the date the Secured Obligations guaranteed by such Kentucky Guarantor are satisfied in full, if such full satisfaction occurs prior to January 21, 2030; or (iii) on the date the Secured Obligations guaranteed by such Kentucky Guarantor are paid in full, if such Secured Obligations are not satisfied on or before January 21, 2030.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i w:val="false"/>
          <w:caps w:val="false"/>
          <w:smallCaps w:val="false"/>
          <w:sz w:val="20"/>
          <w:u w:val="single"/>
        </w:rPr>
        <w:t>Facility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the Existing Credit Agreement or the Credit Agreement, each party hereto agrees (i) that on the Amendment No. 2 Effective Date, the Loans and Commitments of the Lenders shall be as set forth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xml:space="preserve"> to the Credit Agreement attached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 and as described herein and in the Credit Agreement, (ii) that any requisite assignments, payments and prepayments to effect such Loans and Commitments shall be deemed to be made in such amounts among the Lenders and from each Lender to each other Lender, with the same force and effect as if such assignments were evidenced by applicable Assignment and Assumptions under the Credit Agreement or otherwise and (iii) to any adjustments to be made to the Register to effectuate any such reallocations, assignments, payments and prepayments. In connection therewith, any reallocation among the applicable Lenders resulting from the adjustments of the Loans and Commitments shall all occur on the Amendment No. 2 Effective Date in connection with this Amendment (the “</w:t>
      </w:r>
      <w:r>
        <w:rPr>
          <w:rFonts w:ascii="Times New Roman;Times;Serif" w:hAnsi="Times New Roman;Times;Serif"/>
          <w:b w:val="false"/>
          <w:i w:val="false"/>
          <w:caps w:val="false"/>
          <w:smallCaps w:val="false"/>
          <w:sz w:val="20"/>
          <w:u w:val="single"/>
        </w:rPr>
        <w:t>Facility Adjustments</w:t>
      </w:r>
      <w:r>
        <w:rPr>
          <w:rFonts w:ascii="Times New Roman;Times;Serif" w:hAnsi="Times New Roman;Times;Serif"/>
          <w:b w:val="false"/>
          <w:i w:val="false"/>
          <w:caps w:val="false"/>
          <w:smallCaps w:val="false"/>
          <w:sz w:val="20"/>
        </w:rPr>
        <w:t xml:space="preserve">”). Notwithstanding anything to the contrary in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xml:space="preserve"> of the Existing Credit Agreement or this Amendment, no other documents or instruments, including any Assignment and Assumption, shall be required to be executed in connection with these assignments, payments and prepayments (all of which requirements are hereby waived), and such assignments shall be deemed to be made with all applicable representations, warranties and covenants as if evidenced by an Assignment and Assumption. On the Amendment No. 2 Effective Date, the Lenders shall make full cash settlement with each other through the Administrative Agent (including in the form of non-pro rata funding by any Lender that has increased its Commitment and/or Loans as of the Amendment No. 2 Effective Date), and the Administrative Agent may make such adjustments between and among the applicable Lenders as are reasonably necessary to effectuate the Facility Adjustments, in each case as the Administrative Agent may direct or approve, with respect to all assignments, reallocations and other changes in Commitments and Loans, so that the outstanding Loans and Commitments are as set forth on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 xml:space="preserve"> to the Credit Agreement attached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hereto as of the Amendment No. 2 Effective Date.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hereto hereby agree that (i) this Amendment constitutes a request for an Incremental Increase pursuant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of the Credit Agreement and (ii) the parties hereto hereby waive any prior notice required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the Facility Adjustments, and any prepayment, repayment or reallocation of Loans on the Amendment No. 2 Effective Date as provided herein, each Lender party hereto hereby waives any requirement to pay any additional amounts required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of the Existing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Amendment No. 2 Effective Date, the Administrative Agent shall (to the extent received from the Borrowers) make payment in respect of accrued interest on the Revolving Credit Commitments (as defined in the Existing Credit Agreement) that are reallocated pursuant to the Facility Adjustments, to the extent accrued prior to the Amendment No. 2 Effective Date, to the holder of such Revolving Credit Commitments (as defined in the Existing Credit Agreement) immediately prior to the Facility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Credit Party hereby represents and warrants, as of the date hereof,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after giving effect to this Amendment, the representations and warranties contained in the Credit Agreement and the representations and warranties contained in each of the other Loan Documents are true and correct in all material respects (except to the extent any such representations and warranties are already qualified by materiality, Material Adverse Effect or a similar qualification, in which case such representations and warranties shall be true and correct in all respects) on and as of the date hereof, as though made on and as of such date (except for any such representation and warranty that by its terms is made only as of an earlier date, which representation and warranty shall remain true and correct in all material respects as of such earlier date, except to the extent any such representations and warranties are already qualified by materiality, Material Adverse Effect or a similar qualification, in which case such representations and warranties shall be true and correct in all respects as of such earlier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this Amendment, no Default or Event of Default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performance of this Amendment by each Credit Party are within its corporate, partnership, or limited liability company power and authority, as applicable, and have been duly authorized by all necessary corporate, partnership, or limited liability company action,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constitutes the legal, valid and binding obligation of each Credit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consents, licenses and approvals required from any Governmental Authority or any third Person in connection with the execution, delivery, performance, validity and enforceability of this Amendment;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action, suit, investigation or other proceeding by or before any arbitrator or any Governmental Authority is threatened or pending and no preliminary or permanent injunction or order by a state or federal court has been entered in connection with this Amendment or any other Loan Document.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i w:val="false"/>
          <w:caps w:val="false"/>
          <w:smallCaps w:val="false"/>
          <w:sz w:val="20"/>
          <w:u w:val="single"/>
        </w:rPr>
        <w:t>Conditions to Amendment No. 2 Effective Date</w:t>
      </w:r>
      <w:r>
        <w:rPr>
          <w:rFonts w:ascii="Times New Roman;Times;Serif" w:hAnsi="Times New Roman;Times;Serif"/>
          <w:b w:val="false"/>
          <w:i w:val="false"/>
          <w:caps w:val="false"/>
          <w:smallCaps w:val="false"/>
          <w:sz w:val="20"/>
        </w:rPr>
        <w:t>. This Amendment shall become effective on the Amendment No. 2 Effective Date and enforceable against the parties hereto upon the occurrence of the following conditions which may occur prior to or concurrently with the closing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The Administrative Agent shall have received the following, each in form and substance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Amendment executed by duly authorized officers of each Credit Party, the Administrative Agent, each Lender with a commitment to the Incremental Increase and the Lenders constituting the Required Lenders;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Notice of Borrowing executed by the Administrative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Joinder Agreement with respect to the Acquired Company and each of its Subsidiaries that shall be required to become a Credit Party pursuant to Section 7.14 of the Credit Agreement (collectively, the “</w:t>
      </w:r>
      <w:r>
        <w:rPr>
          <w:rFonts w:ascii="Times New Roman;Times;Serif" w:hAnsi="Times New Roman;Times;Serif"/>
          <w:b w:val="false"/>
          <w:i w:val="false"/>
          <w:caps w:val="false"/>
          <w:smallCaps w:val="false"/>
          <w:sz w:val="20"/>
          <w:u w:val="single"/>
        </w:rPr>
        <w:t>New Credit Parties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Surety Intercreditor with respect to each Surety Bond of the New Credit Parties that shall remain in place after the Amendment No. 2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certificate of a Responsible Officer of each Credit Party certifying as to the incumbency and genuineness of the signature of each officer of such Credit Party executing this Amendment or any other Loan Documents to which it is a party and certifying that attached thereto is a true, correct and complete copy of (A) the articles or certificate of incorporation or formation (or equivalent), as applicable, of such Credit Party and all amendments thereto, certified as of a recent date by the appropriate Governmental Authority in its jurisdiction of incorporation, organization or formation (or equivalent), as applicable, or certifying as to no change since the previous delivery of the same to the Administrative Agent, (B) the bylaws or governing documents of such Credit Party as in effect on the Amendment No. 2 Effective Date, or certifying as to no change since the previous delivery of the same to the Administrative Agent, (C) resolutions duly adopted by the board of directors (or other governing body) of such Credit Party authorizing and approving the transactions contemplated hereunder and the execution, delivery and performance of this Amendment and the other Loan Documents to which it is a party, and (D) each certificate required to be delivered pursuant to clause (vi)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certificates as of a recent date of the good standing of each Credit Party under the laws of its jurisdiction of incorporation, organization or formation (or equivalent), as applicable, and, to the extent requested by the Administrative Agent, each other jurisdiction where such Credit Party is qualified to do business and, to the extent available, a certificate of the relevant taxing authorities of such jurisdictions certifying that such Credit Party has filed all required tax returns and owes no delinquent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Compliance Certificate demonstrating that the Borrowers are in compliance with the financial covenants set forth in Section 8.14 of the Credit Agreement based on the financial statements for the most recently completed Reference Period, both before and after giving effect on a Pro Forma Basis to the incurrence of the Incremental Increase (and assuming that the Amendment No. 2 Revolver Increase is fully drawn) and the DBM Acquisition, refinancing of Indebtedness or other event consummated in connection therewith giving rise to a Pro Forma Basis adjustment;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results of a Lien search, in form and substance reasonably satisfactory thereto, made against the Credit Parties, the Seller and the Acquired Company and its Subsidiaries under the Uniform Commercial Code (or applicable judicial docket) as in effect in each jurisdiction in which filings or recordations under the applicable Uniform Commercial Code should be made to evidence or perfect security interests in all assets of such Credit Party, indicating among other things that the assets of each such Credit Party are free and clear of any Lien (except for Permitted Liens);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opinions of counsel to the Credit Parties, including opinions of special counsel and local counsel as may be reasonably requested by the Administrative Agent, addressed to the Administrative Agent and the Lenders with respect to the Credit Parties and the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Collateral Matters for New Credit Parties</w:t>
      </w:r>
      <w:r>
        <w:rPr>
          <w:rFonts w:ascii="Times New Roman;Times;Serif" w:hAnsi="Times New Roman;Times;Serif"/>
          <w:b w:val="false"/>
          <w:i w:val="false"/>
          <w:caps w:val="false"/>
          <w:smallCaps w:val="false"/>
          <w:sz w:val="20"/>
        </w:rPr>
        <w:t>. The Administrative Agent shall have received the following for each of the New Credit Parties, each in form and substance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the limitations and qualifications in the Security Documents, all filings and recordations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in tangible form that is pledged pursuant to the Security Documents together with an undated allonge for each such promissory note duly executed in blank by the holder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security agreements duly executed by the applicable New Credit Parties for all federally registered copyrights, copyright applications, patents, patent applications, trademarks and trademark applications included in the Collateral, in each case in proper form for filing with the U.S. Patent and Trademark Office or U.S. Copyright Office, as applicable;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documents reasonably requested by the Administrative Agent or as required by the terms of the Security Documents to evidence its security interest in the Collateral.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Since July 4, 2026, there has not occurred any event, change or development that would reasonably be expected to have a Material Adverse Effect (as defined in the DBM Acquisition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DBM Acquisition</w:t>
      </w:r>
      <w:r>
        <w:rPr>
          <w:rFonts w:ascii="Times New Roman;Times;Serif" w:hAnsi="Times New Roman;Times;Serif"/>
          <w:b w:val="false"/>
          <w:i w:val="false"/>
          <w:caps w:val="false"/>
          <w:smallCaps w:val="false"/>
          <w:sz w:val="20"/>
        </w:rPr>
        <w:t xml:space="preserve">. The Administrative Agent will have received, in form and substance reasonably satisfactory to the Administrative Agent, true and correct fully-executed copies of documentation for the DBM Acquisition and other aspects of the Transactions (as defined below), including the DBM Acquisition Agreement and all exhibits and schedules thereto. The Transactions shall be consummated substantially concurrently with the initial funding of the Incremental Increase in accordance with Applicable Law and on the terms described in this Amendment and in the DBM Acquisition Agreement without giving effect to any waiver, modification or consent thereunder that is materially adverse to the interests of the Lenders (as reasonably determined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increase in the purchase price shall be deemed to be not materially adverse to the interests of the Lenders so long as such increase is not funded with additional Indebtedness (other than Revolving Credit Loans drawn under the Existing Credit Agreement), (b) any decrease in the purchase price paid in connection with the DBM Acquisition shall not be materially adverse to the interests of the Lenders so long as (i) such decrease is less than 10% of the purchase price paid in respect of the DBM Acquisition or (ii) 100% of such decrease is applied to reduce the amount of the Incremental Term Loan on a dollar-for-dollar basis, and (c) any adverse amendment to, consent or waiver of, or other modification to (i) the definition of “Material Adverse Effect” (as defined in the DBM Acquisition Agreement) (including the approval by Holdings of any act that would otherwise be a “Material Adverse Effect” as set forth therein), or (ii) any of the third party beneficiary rights or related provisions of the DBM Acquisition Agreement applicable to the Lenders shall be deemed to be materially adverse to the interests of the Lenders. As used herein, the term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collectively, the DBM Acquisition, the funding of the Incremental Increase on the Amendment No. 2 Effective Date and the payment of fees, commissions and expenses in connection with each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Financials</w:t>
      </w:r>
      <w:r>
        <w:rPr>
          <w:rFonts w:ascii="Times New Roman;Times;Serif" w:hAnsi="Times New Roman;Times;Serif"/>
          <w:b w:val="false"/>
          <w:i w:val="false"/>
          <w:caps w:val="false"/>
          <w:smallCaps w:val="false"/>
          <w:sz w:val="20"/>
        </w:rPr>
        <w:t>. The Administrative Agent shall have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Holdings and its Subsidiaries, (i) audited Consolidated balance sheets and related Consolidated statements of income, shareholder’s equity and cash flows for the three most recently completed fiscal years ended at least 90 days prior to the Amendment No. 2 Effective Date and (ii) unaudited Consolidated balance sheets and related Consolidated statements of income and cash flows for each interim fiscal quarter ended since the last audited financial statements and at least 45 days prior to the Amendment No. 2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the Acquired Company and its Subsidiaries, (i) audited Consolidated balance sheets and related Consolidated statements of income, shareholder’s equity and cash flows for the three most recently completed fiscal years ended at least 90 days prior to the Amendment No. 2 Effective Date and (ii) unaudited Consolidated balance sheets and related Consolidated statements of income and cash flows for each interim fiscal quarter ended since the last audited financial statements and at least 45 days prior to the Amendment No. 2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pro forma Consolidated balance sheet and related pro forma Consolidated statements of income and cash flows of Holdings for the fiscal year most recently ended for which audited financial statements are provided and for the four-quarter period ending on the last day of the most recent fiscal quarter ending at least 45 days before the Amendment No. 2 Effective Date, prepared after giving pro forma effect to each element of the Transactions (in accordance with Regulation S-X under the Securities Act of 1933, as amended, and including other adjustments reasonably acceptable to the Administrative) as if the Transactions had occurred on the last day of such four-quarter period (in the case of such balance sheet) or at the beginning of such period (in the case of such other financial statements);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projections prepared by management of balance sheets, income statements and cash flow statements of Holdings and its Subsidiaries, in form and substance reasonably acceptable to the Administrative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quality of earnings report prepared by management of Holdings in connection with the Transactions;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certificate from the chief financial officer of Holdings with respect to solvency (on a Consolidated basis) of the Borrowers and their Subsidiaries as of the Amendment No. 2 Effective Date after giving effect to the Transactions.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PATRIOT Act,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and the Lenders shall have received, at least five (5) Business Days prior to the Amendment No. 2 Effective Date, all documentation and other information requested by the Administrative Agent or any Lender or required by regulatory authorities in order for the Administrative Agent and the Lenders to comply with requirements of any Anti-Money Laundering Laws, including the PATRIOT Act and any applicable “know your customer” rules and regulations.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Credit Party or Subsidiary thereof that qualifies as a “legal entity customer” under the Beneficial Ownership Regulation shall have delivered to the Administrative Agent, and directly to any Lender requesting the same, a Beneficial Ownership Certification in relation to such Credit Party or such Subsidiary, in each case, at least ten (10) Business Days prior to the Amendment No. 2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Holdings shall have paid all reasonable and documented fees and expenses due and payable under the Loan Documents, including the fees and expenses of the Administrative Agent’s outside legal counsel payable in accordance with Section 11.3 of the Credit Agreement pursuant to all invoices presented for payment prior to the Amendment No. 2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Specified Purchase Agreement Representations will be true and correct and the Specified Representations will be true and correct in all material respects (or if qualified by materiality or material adverse effect, in all respects). As used herein, (A) “</w:t>
      </w:r>
      <w:r>
        <w:rPr>
          <w:rFonts w:ascii="Times New Roman;Times;Serif" w:hAnsi="Times New Roman;Times;Serif"/>
          <w:b w:val="false"/>
          <w:i w:val="false"/>
          <w:caps w:val="false"/>
          <w:smallCaps w:val="false"/>
          <w:sz w:val="20"/>
          <w:u w:val="single"/>
        </w:rPr>
        <w:t>Specified Purchase Agreement Representations</w:t>
      </w:r>
      <w:r>
        <w:rPr>
          <w:rFonts w:ascii="Times New Roman;Times;Serif" w:hAnsi="Times New Roman;Times;Serif"/>
          <w:b w:val="false"/>
          <w:i w:val="false"/>
          <w:caps w:val="false"/>
          <w:smallCaps w:val="false"/>
          <w:sz w:val="20"/>
        </w:rPr>
        <w:t>” means the representations and warranties made by the Acquired Company and/or the Seller or its subsidiaries or affiliates or with respect to the Acquired Company, its subsidiaries or its business in the DBM Acquisition Agreement as are material to the interests of the Lenders, but only to the extent that Holdings or its Subsidiaries have the right to terminate its or their respective obligations under the DBM Acquisition Agreement or otherwise decline to close the Acquisition as a result of a breach of any such representations and warranties or any such representations and warranties not being accurate (in each case, determined without regard to any notice requirement) and (B) “</w:t>
      </w:r>
      <w:r>
        <w:rPr>
          <w:rFonts w:ascii="Times New Roman;Times;Serif" w:hAnsi="Times New Roman;Times;Serif"/>
          <w:b w:val="false"/>
          <w:i w:val="false"/>
          <w:caps w:val="false"/>
          <w:smallCaps w:val="false"/>
          <w:sz w:val="20"/>
          <w:u w:val="single"/>
        </w:rPr>
        <w:t>Specified Representations</w:t>
      </w:r>
      <w:r>
        <w:rPr>
          <w:rFonts w:ascii="Times New Roman;Times;Serif" w:hAnsi="Times New Roman;Times;Serif"/>
          <w:b w:val="false"/>
          <w:i w:val="false"/>
          <w:caps w:val="false"/>
          <w:smallCaps w:val="false"/>
          <w:sz w:val="20"/>
        </w:rPr>
        <w:t xml:space="preserve">” means the representations and warranties in each of the following Sections of the Credit Agreement: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xml:space="preserve"> (in each case of </w:t>
      </w:r>
      <w:r>
        <w:rPr>
          <w:rFonts w:ascii="Times New Roman;Times;Serif" w:hAnsi="Times New Roman;Times;Serif"/>
          <w:b w:val="false"/>
          <w:i w:val="false"/>
          <w:caps w:val="false"/>
          <w:smallCaps w:val="false"/>
          <w:sz w:val="20"/>
          <w:u w:val="single"/>
        </w:rPr>
        <w:t>Sections 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6.4(b)</w:t>
      </w:r>
      <w:r>
        <w:rPr>
          <w:rFonts w:ascii="Times New Roman;Times;Serif" w:hAnsi="Times New Roman;Times;Serif"/>
          <w:b w:val="false"/>
          <w:i w:val="false"/>
          <w:caps w:val="false"/>
          <w:smallCaps w:val="false"/>
          <w:sz w:val="20"/>
        </w:rPr>
        <w:t xml:space="preserve">, relating to the entering into and performance of the Amendment and the incurrence of the Indebtedness hereunder), </w:t>
      </w:r>
      <w:r>
        <w:rPr>
          <w:rFonts w:ascii="Times New Roman;Times;Serif" w:hAnsi="Times New Roman;Times;Serif"/>
          <w:b w:val="false"/>
          <w:i w:val="false"/>
          <w:caps w:val="false"/>
          <w:smallCaps w:val="false"/>
          <w:sz w:val="20"/>
          <w:u w:val="single"/>
        </w:rPr>
        <w:t>Section 6.4(c)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6.16</w:t>
      </w:r>
      <w:r>
        <w:rPr>
          <w:rFonts w:ascii="Times New Roman;Times;Serif" w:hAnsi="Times New Roman;Times;Serif"/>
          <w:b w:val="false"/>
          <w:i w:val="false"/>
          <w:caps w:val="false"/>
          <w:smallCaps w:val="false"/>
          <w:sz w:val="20"/>
        </w:rPr>
        <w:t xml:space="preserve"> (as of the Amendment No. 2 Effective Date and after giving effect to the Transactions),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6.19</w:t>
      </w:r>
      <w:r>
        <w:rPr>
          <w:rFonts w:ascii="Times New Roman;Times;Serif" w:hAnsi="Times New Roman;Times;Serif"/>
          <w:b w:val="false"/>
          <w:i w:val="false"/>
          <w:caps w:val="false"/>
          <w:smallCaps w:val="false"/>
          <w:sz w:val="20"/>
        </w:rPr>
        <w:t xml:space="preserve"> (relating to the use of proceeds not being in violation thereof) and </w:t>
      </w:r>
      <w:r>
        <w:rPr>
          <w:rFonts w:ascii="Times New Roman;Times;Serif" w:hAnsi="Times New Roman;Times;Serif"/>
          <w:b w:val="false"/>
          <w:i w:val="false"/>
          <w:caps w:val="false"/>
          <w:smallCaps w:val="false"/>
          <w:sz w:val="20"/>
          <w:u w:val="single"/>
        </w:rPr>
        <w:t>Section 6.21</w:t>
      </w:r>
      <w:r>
        <w:rPr>
          <w:rFonts w:ascii="Times New Roman;Times;Serif" w:hAnsi="Times New Roman;Times;Serif"/>
          <w:b w:val="false"/>
          <w:i w:val="false"/>
          <w:caps w:val="false"/>
          <w:smallCaps w:val="false"/>
          <w:sz w:val="20"/>
        </w:rPr>
        <w:t xml:space="preserve"> (limited to the last sentence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7, to the extent the security interests that may be perfected by (x) the filing of a financing statement under the Uniform Commercial Code, (y) the delivery of certificates evidencing the equity securities required to be pledged pursuant to this Amendment and (z) the filing of short-form security agreements with the United States Patent and Trademark Office or the United States Copyright Office, as applicable) are not or cannot be perfected on the Amendment No. 2 Effective Date after the Borrowers use of commercially reasonable efforts to do so, then the perfection of such security interests shall not constitute a condition precedent to the incurrence of the Incremental Increase, but instead shall be required to be perfected within 30 days after the Amendment No. 2 Effective Date (or such later date as may be approved by the Administrative Agent in its sole discretion).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i w:val="false"/>
          <w:caps w:val="false"/>
          <w:smallCaps w:val="false"/>
          <w:sz w:val="20"/>
          <w:u w:val="single"/>
        </w:rPr>
        <w:t>Acknowledgments and Agreements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acknowledges that, on the date hereof, all outstanding Indebtedness is payable in accordance with its terms, and each Credit Party waives any defense, offset, counterclaim or recoupment (other than a defense of payment or performance)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the Administrative Agent, and each Lender party hereto do hereby adopt, ratify, and confirm the Existing Credit Agreement, as amended by this Amendment, and acknowledge and agree that the Existing Credit Agreement, as so amended, is and remains in full force and effect, and acknowledge and agree that their respective liabilities and obligations under the Existing Credit Agreement, as so amended, the Guaranty Agreement, as so amended, the Security Documents and the other Loan Documents are not impaired in any respect by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herein shall constitute a waiver or relinquishment of (i) any Default or Event of Default under any of the Loan Documents, as amended hereby, (ii) any of the agreements, terms or conditions contained in any of the Loan Documents, as amended hereby, (iii) any rights or remedies of the Administrative Agent or any Lender with respect to the Loan Documents, or (iv) the rights of the Administrative Agent, the Issuing Lender, or any Lender to collect the full amounts owing to them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Amendment No. 2 Effective Date, all references to the Existing Credit Agreement shall mean the Existing Credit Agreement, as amended by Sections 3 and 4 of this Amendment. This Amendment is a Loan Document for the purposes of the provisions of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i w:val="false"/>
          <w:caps w:val="false"/>
          <w:smallCaps w:val="false"/>
          <w:sz w:val="20"/>
          <w:u w:val="single"/>
        </w:rPr>
        <w:t>Reaffirmation of Security Documents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Credit Party hereby (a) reaffirms the terms of its obligations (and the security interests granted by it) under each Security Document to which it is a party, and agrees that each such Security Document will continue in full force and effect to secure the Indebtedness as the same may be amended, extended, supplemented, or otherwise modified from time to time, and (b) acknowledges, represents, warrants and agrees that the Liens and security interests granted by it pursuant to the Security Documents are valid, enforceable and subsisting and create a security interest to secure the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i w:val="false"/>
          <w:caps w:val="false"/>
          <w:smallCaps w:val="false"/>
          <w:sz w:val="20"/>
          <w:u w:val="single"/>
        </w:rPr>
        <w:t>Reaffirmation of the Guaranty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Without in any way limiting the generality of Section 9 hereof, each Guarantor hereby ratifies, confirms, acknowledges and agrees that its obligations under the Guaranty Agreement are in full force and effect and that such Guarantor continues to unconditionally and irrevocably guarantee the full and punctual payment, when due, whether at stated maturity or earlier by acceleration or otherwise, all of the Indebtedness, as such Indebtedness may have been amended, extended or modified by this Amendment, and its execution and delivery of this Amendment does not indicate or establish an approval or consent requirement by such Guarantor under the Guaranty Agreement, in connection with the execution and delivery of amendments, consents or waivers to the Credit Agreement or any of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Amendment may be signed in any number of counterparts and by different parties hereto in separate counterparts, each of which when so executed shall be deemed to be an original and all of which, taken together, constitute one and the same agreement. Delivery of an executed counterpart of a signature page of this Amendment by facsimile or by e-mail “PDF” copy shall be effective as delivery of a manually executed counterpart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Amendment shall be binding upon and inure to the benefit of the parties hereto and their respective successors and assigns permitted pursuant to the Credit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i w:val="false"/>
          <w:caps w:val="false"/>
          <w:smallCaps w:val="false"/>
          <w:sz w:val="20"/>
          <w:u w:val="single"/>
        </w:rPr>
        <w:t>Invalidity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that any one or more of the provisions contained in this Amendment shall be held invalid, illegal or unenforceable in any respect under any applicable law, the validity, legality, and enforceability of the remaining provisions contained herein shall not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i w:val="false"/>
          <w:caps w:val="false"/>
          <w:smallCaps w:val="false"/>
          <w:sz w:val="20"/>
          <w:u w:val="single"/>
        </w:rPr>
        <w:t>Governing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Amendment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 xml:space="preserve">. THIS WRITTEN AGREEMENT AND THE OTHER LOAN DOCUMENTS REPRESENT THE FINAL AGREEMENT AMONG THE PARTIES AND MAY NOT BE CONTRADICTED BY EVIDENCE OF PRIOR, CONTEMPORANEOUS, OR SUBSEQUENT ORAL AGREEMENTS OF THE PARTIES.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ARE NO UNWRITTEN ORAL AGREEMENTS AMONG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i w:val="false"/>
          <w:caps w:val="false"/>
          <w:smallCaps w:val="false"/>
          <w:sz w:val="20"/>
          <w:u w:val="single"/>
        </w:rPr>
        <w:t>New Lender Joinder</w:t>
      </w:r>
      <w:r>
        <w:rPr>
          <w:rFonts w:ascii="Times New Roman;Times;Serif" w:hAnsi="Times New Roman;Times;Serif"/>
          <w:b w:val="false"/>
          <w:i w:val="false"/>
          <w:caps w:val="false"/>
          <w:smallCaps w:val="false"/>
          <w:sz w:val="20"/>
        </w:rPr>
        <w:t>. By its execution of this Amendment, each Person executing this Amendment as a “New Lender” that was not a “Lender” (as defined in the Existing Credit Agreement) immediately prior to the Amendment No. 2 Effective Date (each such Lender, a “</w:t>
      </w:r>
      <w:r>
        <w:rPr>
          <w:rFonts w:ascii="Times New Roman;Times;Serif" w:hAnsi="Times New Roman;Times;Serif"/>
          <w:b w:val="false"/>
          <w:i w:val="false"/>
          <w:caps w:val="false"/>
          <w:smallCaps w:val="false"/>
          <w:sz w:val="20"/>
          <w:u w:val="single"/>
        </w:rPr>
        <w:t>New Lender</w:t>
      </w:r>
      <w:r>
        <w:rPr>
          <w:rFonts w:ascii="Times New Roman;Times;Serif" w:hAnsi="Times New Roman;Times;Serif"/>
          <w:b w:val="false"/>
          <w:i w:val="false"/>
          <w:caps w:val="false"/>
          <w:smallCaps w:val="false"/>
          <w:sz w:val="20"/>
        </w:rPr>
        <w:t>”) hereby acknowledges, agrees and confirms that, on and after the Amendment No. 2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will be deemed to be a party to the Credit Agreement as a “Lender”, “Revolving Credit Lender” and a “Term Loan Lender” for all purposes of the Credit Agreement and the other Loan Documents, and shall have all of the obligations of, and shall be entitled to the benefits of, a Lender and a Term Loan Lender under the Credit Agreement as if it had executed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will be bound by all of the terms, provisions and conditions contained in the Credit Agreement and the other Loan Documents and it will perform in accordance with their terms all of the obligations which by the terms of the Loan Documents are required to be performed by it as a Lender, Revolving Credit Lender and a Term Loan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it has received a copy of the Credit Agreement, copies of the most recent financial statements delivered pursuant to </w:t>
      </w:r>
      <w:r>
        <w:rPr>
          <w:rFonts w:ascii="Times New Roman;Times;Serif" w:hAnsi="Times New Roman;Times;Serif"/>
          <w:b w:val="false"/>
          <w:i w:val="false"/>
          <w:caps w:val="false"/>
          <w:smallCaps w:val="false"/>
          <w:sz w:val="20"/>
          <w:u w:val="single"/>
        </w:rPr>
        <w:t xml:space="preserve">Section 7.1 </w:t>
      </w:r>
      <w:r>
        <w:rPr>
          <w:rFonts w:ascii="Times New Roman;Times;Serif" w:hAnsi="Times New Roman;Times;Serif"/>
          <w:b w:val="false"/>
          <w:i w:val="false"/>
          <w:caps w:val="false"/>
          <w:smallCaps w:val="false"/>
          <w:sz w:val="20"/>
        </w:rPr>
        <w:t>thereof and such other documents and information as it deems appropriate, independently and without reliance upon the Administrative Agent, the Arrangers, any other Lender or any of their respective Affiliates, to make its own credit analysis and decision to enter into this Amendment and become a Lender, Revolving Credit Lender and a Term Loan Lender under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will, independently and without reliance upon the Administrative Agent, any Arranger, any other Lender or any of their respective Affiliates, and based on such documents and information as it shall from time to time deem appropriate, continue to make its own decisions in taking or not taking action under or based upon the Credit Agreement, any other Loan Document or any related agreement or any document furnished hereunder or thereunder;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will provide any additional documentation to evidence its status as a Lender, Revolving Credit Lender and a Term Loan Lender as of the Amendment No. 2 Effective Date as required to be delivered by it pursuant to the terms of the Credit Agreement or as requested by the Administrative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BEGIN ON NEXT PAGE]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executed by their respective officers thereunto duly authorized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569" w:type="dxa"/>
        <w:jc w:val="left"/>
        <w:tblInd w:w="0" w:type="dxa"/>
        <w:tblLayout w:type="fixed"/>
        <w:tblCellMar>
          <w:top w:w="0" w:type="dxa"/>
          <w:left w:w="0" w:type="dxa"/>
          <w:bottom w:w="0" w:type="dxa"/>
          <w:right w:w="0" w:type="dxa"/>
        </w:tblCellMar>
      </w:tblPr>
      <w:tblGrid>
        <w:gridCol w:w="75"/>
        <w:gridCol w:w="357"/>
        <w:gridCol w:w="5137"/>
      </w:tblGrid>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BORROWERS AND GUARANTORS:</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HOLDINGS,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IES OPCO HOL</w:t>
            </w:r>
            <w:r>
              <w:rPr>
                <w:rFonts w:ascii="Times New Roman;Times;Serif" w:hAnsi="Times New Roman;Times;Serif"/>
                <w:caps/>
              </w:rPr>
              <w:t>DINGS,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IES SHARED SERVICES,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FABRICATION HOLDINGS, LLC</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Vice President &amp; Chief Financial Officer</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IES Commercial,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TX RE, LLC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COMMUNICATIONS, LLC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NEXT ELECTRIC, LLC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FOUR POINT DYNAMICS, LLC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QYPSYS, LLC</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Aerial Lighting &amp; Electric,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arrow engine company</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Greiner Industries,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GULF ISLAND FABRICATION,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IES Residential,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IES Subsidiary Holdings,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k.e.p. electric,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Magnetech Industrial Services,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Southern Industrial Sales and Services,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Technibus,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Wedlake Fabricating,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IES INFRASTRUCTURE SOLUTIONS, LLC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CALUMET ARMATURE AND ELECTRIC, L.L.C.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BAYONET PLUMBING, HEATING &amp; AIR-CONDITIONING, </w:t>
            </w:r>
            <w:r>
              <w:rPr>
                <w:rFonts w:ascii="Times New Roman;Times;Serif" w:hAnsi="Times New Roman;Times;Serif"/>
                <w:caps/>
              </w:rPr>
              <w:t>LLC</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&amp; Chief Financial Officer</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360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49" w:type="dxa"/>
        <w:jc w:val="left"/>
        <w:tblInd w:w="0" w:type="dxa"/>
        <w:tblLayout w:type="fixed"/>
        <w:tblCellMar>
          <w:top w:w="0" w:type="dxa"/>
          <w:left w:w="0" w:type="dxa"/>
          <w:bottom w:w="0" w:type="dxa"/>
          <w:right w:w="0" w:type="dxa"/>
        </w:tblCellMar>
      </w:tblPr>
      <w:tblGrid>
        <w:gridCol w:w="75"/>
        <w:gridCol w:w="341"/>
        <w:gridCol w:w="4133"/>
      </w:tblGrid>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EDMONSON ELECTRIC,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FREEMAN ENCLOSURE SYSTEMS,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ENCLOSURE SOLUTIONS AND SERVICES,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 POWER AND CONTROL SYSTEMS,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WISCONSIN HEAVY FABRICATION,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ENGLOBAL AUTOMATION,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WORKS,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SERVICES,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SHIPYARDS, LLC</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&amp; Chief Financial Officer</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Integrated Electrical Finance, Inc.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INVESTMENTS,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FL RE,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OK RE,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PA RE,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SC RE,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LA RE, LLC</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rPr>
            </w:pPr>
            <w:r>
              <w:rPr>
                <w:caps/>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MANAGEMENT LP</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INTEGRATED ELECTRICAL FINANCE, INC.,</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ind w:left="360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360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94" w:type="dxa"/>
        <w:jc w:val="left"/>
        <w:tblInd w:w="0" w:type="dxa"/>
        <w:tblLayout w:type="fixed"/>
        <w:tblCellMar>
          <w:top w:w="0" w:type="dxa"/>
          <w:left w:w="0" w:type="dxa"/>
          <w:bottom w:w="0" w:type="dxa"/>
          <w:right w:w="0" w:type="dxa"/>
        </w:tblCellMar>
      </w:tblPr>
      <w:tblGrid>
        <w:gridCol w:w="75"/>
        <w:gridCol w:w="380"/>
        <w:gridCol w:w="8039"/>
      </w:tblGrid>
      <w:tr>
        <w:trPr/>
        <w:tc>
          <w:tcPr>
            <w:tcW w:w="75" w:type="dxa"/>
            <w:tcBorders/>
            <w:vAlign w:val="center"/>
          </w:tcPr>
          <w:p>
            <w:pPr>
              <w:pStyle w:val="TableContents"/>
              <w:bidi w:val="0"/>
              <w:spacing w:before="0" w:after="283"/>
              <w:jc w:val="left"/>
              <w:rPr/>
            </w:pPr>
            <w:r>
              <w:rPr/>
              <w:t> </w:t>
            </w:r>
          </w:p>
        </w:tc>
        <w:tc>
          <w:tcPr>
            <w:tcW w:w="84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GUARANTORS:</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1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KEY ELECTRICAL SUPPLY, INC.</w:t>
            </w:r>
          </w:p>
        </w:tc>
      </w:tr>
      <w:tr>
        <w:trPr/>
        <w:tc>
          <w:tcPr>
            <w:tcW w:w="75" w:type="dxa"/>
            <w:tcBorders/>
            <w:vAlign w:val="center"/>
          </w:tcPr>
          <w:p>
            <w:pPr>
              <w:pStyle w:val="TableContents"/>
              <w:bidi w:val="0"/>
              <w:spacing w:before="0" w:after="283"/>
              <w:jc w:val="left"/>
              <w:rPr/>
            </w:pPr>
            <w:r>
              <w:rPr/>
              <w:t> </w:t>
            </w:r>
          </w:p>
        </w:tc>
        <w:tc>
          <w:tcPr>
            <w:tcW w:w="841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IES CONSOLIDATION, LLC</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Tracy McLauchlin</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GULF MARINE FABRICATORS GENERAL PARTNER,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GULF MARINE FABRICATORS LIMITED PARTNER,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GULF ISLAND RESOURCES,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GIFI PROPERTIES,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DBM Vircon Services (USA)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ConnectionAI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Innovative Structural Systems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DBM Global Holdings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DBM Global - North America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Aitken Manufacturing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On-Time Steel Management Holding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Quincy Joist Company</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Schuff Steel Management Company - Southwest,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Banker Steel Construction,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Schuff Premier Services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Schuff Steel Company</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Derr and Isbell Construction,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Lynchburg Freight &amp; Specialty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US Erectors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Innovative Engineering Solutions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Memco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NYC Constructors,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NYCC Construction Services, LLC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US Construction Services,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CB-HORN HOLDINGS,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GrayWolf Industrial,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GrayWolf Integrated Construction Company</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M. Industrial Mechanical,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Midwest Environmental,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Milco National Constructors,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GrayWolf Integrated Construction Company-Southeast,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GrayWolf Modular,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Titan Fabricators,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Addison Structural Services, Inc.</w:t>
            </w:r>
          </w:p>
        </w:tc>
      </w:tr>
      <w:tr>
        <w:trPr/>
        <w:tc>
          <w:tcPr>
            <w:tcW w:w="75" w:type="dxa"/>
            <w:tcBorders/>
            <w:vAlign w:val="center"/>
          </w:tcPr>
          <w:p>
            <w:pPr>
              <w:pStyle w:val="TableContents"/>
              <w:bidi w:val="0"/>
              <w:spacing w:before="0" w:after="283"/>
              <w:jc w:val="left"/>
              <w:rPr>
                <w:caps/>
              </w:rPr>
            </w:pPr>
            <w:r>
              <w:rPr>
                <w:caps/>
              </w:rPr>
              <w:t> </w:t>
            </w:r>
          </w:p>
        </w:tc>
        <w:tc>
          <w:tcPr>
            <w:tcW w:w="8419"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DBM Global Inc.</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Tracy McLauchlin</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Vice President &amp; Chief Financial Officer</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MARINE FABRICATORS, L.P.</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3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GULF MARINE FABRICATORS GENERAL PARTNER, L.L.C., its General Partner</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Tracy McLauchlin</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0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&amp; Chief Financial Officer</w:t>
            </w:r>
          </w:p>
        </w:tc>
      </w:tr>
    </w:tbl>
    <w:p>
      <w:pPr>
        <w:pStyle w:val="TextBody"/>
        <w:bidi w:val="0"/>
        <w:spacing w:before="0" w:after="0"/>
        <w:ind w:left="0" w:right="0" w:hanging="0"/>
        <w:jc w:val="left"/>
        <w:rPr>
          <w:caps/>
        </w:rPr>
      </w:pPr>
      <w:r>
        <w:rPr>
          <w:caps/>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320"/>
        <w:jc w:val="left"/>
        <w:rPr>
          <w:caps w:val="false"/>
          <w:smallCaps w:val="false"/>
        </w:rPr>
      </w:pPr>
      <w:r>
        <w:rPr>
          <w:caps w:val="false"/>
          <w:smallCaps w:val="false"/>
        </w:rPr>
        <w:t> </w:t>
      </w:r>
    </w:p>
    <w:tbl>
      <w:tblPr>
        <w:tblW w:w="7549" w:type="dxa"/>
        <w:jc w:val="left"/>
        <w:tblInd w:w="0" w:type="dxa"/>
        <w:tblLayout w:type="fixed"/>
        <w:tblCellMar>
          <w:top w:w="0" w:type="dxa"/>
          <w:left w:w="0" w:type="dxa"/>
          <w:bottom w:w="0" w:type="dxa"/>
          <w:right w:w="0" w:type="dxa"/>
        </w:tblCellMar>
      </w:tblPr>
      <w:tblGrid>
        <w:gridCol w:w="75"/>
        <w:gridCol w:w="1917"/>
        <w:gridCol w:w="5557"/>
      </w:tblGrid>
      <w:tr>
        <w:trPr/>
        <w:tc>
          <w:tcPr>
            <w:tcW w:w="75" w:type="dxa"/>
            <w:tcBorders/>
            <w:vAlign w:val="center"/>
          </w:tcPr>
          <w:p>
            <w:pPr>
              <w:pStyle w:val="TableContents"/>
              <w:bidi w:val="0"/>
              <w:spacing w:before="0" w:after="283"/>
              <w:jc w:val="left"/>
              <w:rPr/>
            </w:pPr>
            <w:r>
              <w:rPr/>
              <w:t> </w:t>
            </w:r>
          </w:p>
        </w:tc>
        <w:tc>
          <w:tcPr>
            <w:tcW w:w="74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LENDERS:</w:t>
            </w:r>
          </w:p>
        </w:tc>
      </w:tr>
      <w:tr>
        <w:trPr/>
        <w:tc>
          <w:tcPr>
            <w:tcW w:w="75" w:type="dxa"/>
            <w:tcBorders/>
            <w:vAlign w:val="center"/>
          </w:tcPr>
          <w:p>
            <w:pPr>
              <w:pStyle w:val="TableContents"/>
              <w:bidi w:val="0"/>
              <w:spacing w:before="0" w:after="283"/>
              <w:jc w:val="left"/>
              <w:rPr/>
            </w:pPr>
            <w:r>
              <w:rPr/>
              <w:t> </w:t>
            </w:r>
          </w:p>
        </w:tc>
        <w:tc>
          <w:tcPr>
            <w:tcW w:w="74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BANK, NATIONAL ASSOCIATION, as Administrative Agent and a Lender</w:t>
            </w:r>
          </w:p>
        </w:tc>
      </w:tr>
      <w:tr>
        <w:trPr/>
        <w:tc>
          <w:tcPr>
            <w:tcW w:w="75" w:type="dxa"/>
            <w:tcBorders/>
            <w:vAlign w:val="center"/>
          </w:tcPr>
          <w:p>
            <w:pPr>
              <w:pStyle w:val="TableContents"/>
              <w:bidi w:val="0"/>
              <w:spacing w:before="0" w:after="283"/>
              <w:jc w:val="left"/>
              <w:rPr/>
            </w:pPr>
            <w:r>
              <w:rPr/>
              <w:t> </w:t>
            </w:r>
          </w:p>
        </w:tc>
        <w:tc>
          <w:tcPr>
            <w:tcW w:w="1917"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Benita V. Reyes</w:t>
            </w:r>
          </w:p>
        </w:tc>
      </w:tr>
      <w:tr>
        <w:trPr/>
        <w:tc>
          <w:tcPr>
            <w:tcW w:w="75" w:type="dxa"/>
            <w:tcBorders/>
            <w:vAlign w:val="center"/>
          </w:tcPr>
          <w:p>
            <w:pPr>
              <w:pStyle w:val="TableContents"/>
              <w:bidi w:val="0"/>
              <w:spacing w:before="0" w:after="283"/>
              <w:jc w:val="left"/>
              <w:rPr/>
            </w:pPr>
            <w:r>
              <w:rPr/>
              <w:t> </w:t>
            </w:r>
          </w:p>
        </w:tc>
        <w:tc>
          <w:tcPr>
            <w:tcW w:w="1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Benita V. Reyes</w:t>
            </w:r>
          </w:p>
        </w:tc>
      </w:tr>
      <w:tr>
        <w:trPr/>
        <w:tc>
          <w:tcPr>
            <w:tcW w:w="75" w:type="dxa"/>
            <w:tcBorders/>
            <w:vAlign w:val="center"/>
          </w:tcPr>
          <w:p>
            <w:pPr>
              <w:pStyle w:val="TableContents"/>
              <w:bidi w:val="0"/>
              <w:spacing w:before="0" w:after="283"/>
              <w:jc w:val="left"/>
              <w:rPr/>
            </w:pPr>
            <w:r>
              <w:rPr/>
              <w:t> </w:t>
            </w:r>
          </w:p>
        </w:tc>
        <w:tc>
          <w:tcPr>
            <w:tcW w:w="1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Titles:</w:t>
            </w:r>
          </w:p>
        </w:tc>
        <w:tc>
          <w:tcPr>
            <w:tcW w:w="5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firstLine="432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firstLine="43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24" w:type="dxa"/>
        <w:jc w:val="left"/>
        <w:tblInd w:w="0" w:type="dxa"/>
        <w:tblLayout w:type="fixed"/>
        <w:tblCellMar>
          <w:top w:w="0" w:type="dxa"/>
          <w:left w:w="0" w:type="dxa"/>
          <w:bottom w:w="0" w:type="dxa"/>
          <w:right w:w="0" w:type="dxa"/>
        </w:tblCellMar>
      </w:tblPr>
      <w:tblGrid>
        <w:gridCol w:w="75"/>
        <w:gridCol w:w="1143"/>
        <w:gridCol w:w="40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BANK, NATIONAL ASSOCIATION, as a Lender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tcBorders/>
            <w:vAlign w:val="center"/>
          </w:tcPr>
          <w:p>
            <w:pPr>
              <w:pStyle w:val="TableContents"/>
              <w:bidi w:val="0"/>
              <w:spacing w:before="0" w:after="283"/>
              <w:jc w:val="left"/>
              <w:rPr>
                <w:caps w:val="false"/>
                <w:smallCaps w:val="false"/>
              </w:rPr>
            </w:pPr>
            <w:r>
              <w:rPr>
                <w:caps w:val="false"/>
                <w:smallCaps w:val="false"/>
              </w:rPr>
              <w:t> </w:t>
            </w:r>
          </w:p>
        </w:tc>
        <w:tc>
          <w:tcPr>
            <w:tcW w:w="4006"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Brandon Vermillion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Vermillion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9" w:type="dxa"/>
        <w:jc w:val="left"/>
        <w:tblInd w:w="0" w:type="dxa"/>
        <w:tblLayout w:type="fixed"/>
        <w:tblCellMar>
          <w:top w:w="0" w:type="dxa"/>
          <w:left w:w="0" w:type="dxa"/>
          <w:bottom w:w="0" w:type="dxa"/>
          <w:right w:w="0" w:type="dxa"/>
        </w:tblCellMar>
      </w:tblPr>
      <w:tblGrid>
        <w:gridCol w:w="75"/>
        <w:gridCol w:w="1122"/>
        <w:gridCol w:w="4612"/>
      </w:tblGrid>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pnc BANK, national association, </w:t>
            </w:r>
            <w:r>
              <w:rPr>
                <w:rFonts w:ascii="Times New Roman;Times;Serif" w:hAnsi="Times New Roman;Times;Serif"/>
                <w:sz w:val="20"/>
              </w:rPr>
              <w:t>as a Lender and New Lender</w:t>
            </w:r>
          </w:p>
        </w:tc>
      </w:tr>
      <w:tr>
        <w:trPr/>
        <w:tc>
          <w:tcPr>
            <w:tcW w:w="75"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4612"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Nicolas Garcia Bolanos</w:t>
            </w:r>
          </w:p>
        </w:tc>
      </w:tr>
      <w:tr>
        <w:trPr/>
        <w:tc>
          <w:tcPr>
            <w:tcW w:w="75"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Garcia Bolanos</w:t>
            </w:r>
          </w:p>
        </w:tc>
      </w:tr>
      <w:tr>
        <w:trPr/>
        <w:tc>
          <w:tcPr>
            <w:tcW w:w="75"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1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49" w:type="dxa"/>
        <w:jc w:val="left"/>
        <w:tblInd w:w="0" w:type="dxa"/>
        <w:tblLayout w:type="fixed"/>
        <w:tblCellMar>
          <w:top w:w="0" w:type="dxa"/>
          <w:left w:w="0" w:type="dxa"/>
          <w:bottom w:w="0" w:type="dxa"/>
          <w:right w:w="0" w:type="dxa"/>
        </w:tblCellMar>
      </w:tblPr>
      <w:tblGrid>
        <w:gridCol w:w="75"/>
        <w:gridCol w:w="1333"/>
        <w:gridCol w:w="4341"/>
      </w:tblGrid>
      <w:tr>
        <w:trPr/>
        <w:tc>
          <w:tcPr>
            <w:tcW w:w="75" w:type="dxa"/>
            <w:tcBorders/>
            <w:vAlign w:val="center"/>
          </w:tcPr>
          <w:p>
            <w:pPr>
              <w:pStyle w:val="TableContents"/>
              <w:bidi w:val="0"/>
              <w:spacing w:before="0" w:after="283"/>
              <w:jc w:val="left"/>
              <w:rPr/>
            </w:pPr>
            <w:r>
              <w:rPr/>
              <w:t> </w:t>
            </w:r>
          </w:p>
        </w:tc>
        <w:tc>
          <w:tcPr>
            <w:tcW w:w="5674" w:type="dxa"/>
            <w:gridSpan w:val="2"/>
            <w:tcBorders/>
            <w:vAlign w:val="center"/>
          </w:tcPr>
          <w:p>
            <w:pPr>
              <w:pStyle w:val="TableContents"/>
              <w:bidi w:val="0"/>
              <w:spacing w:before="0" w:after="283"/>
              <w:jc w:val="left"/>
              <w:rPr/>
            </w:pPr>
            <w:r>
              <w:rPr>
                <w:rFonts w:ascii="Times New Roman;Times;Serif" w:hAnsi="Times New Roman;Times;Serif"/>
                <w:caps/>
                <w:sz w:val="20"/>
              </w:rPr>
              <w:t>The Huntington national BANK</w:t>
            </w:r>
            <w:r>
              <w:rPr>
                <w:rFonts w:ascii="Times New Roman;Times;Serif" w:hAnsi="Times New Roman;Times;Serif"/>
                <w:sz w:val="20"/>
              </w:rPr>
              <w:t>, as a Lender and New Lender</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4341"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Janet Wheeler</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Janet Wheeler</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882"/>
        <w:gridCol w:w="2947"/>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BOKF, NA, dba BANK OF TEXAS, as a Lender</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c>
          <w:tcPr>
            <w:tcW w:w="294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Christine D. Butler</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D. Butler</w:t>
            </w:r>
          </w:p>
        </w:tc>
      </w:tr>
      <w:tr>
        <w:trPr/>
        <w:tc>
          <w:tcPr>
            <w:tcW w:w="7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5164" w:type="dxa"/>
        <w:jc w:val="left"/>
        <w:tblInd w:w="0" w:type="dxa"/>
        <w:tblLayout w:type="fixed"/>
        <w:tblCellMar>
          <w:top w:w="0" w:type="dxa"/>
          <w:left w:w="0" w:type="dxa"/>
          <w:bottom w:w="0" w:type="dxa"/>
          <w:right w:w="0" w:type="dxa"/>
        </w:tblCellMar>
      </w:tblPr>
      <w:tblGrid>
        <w:gridCol w:w="75"/>
        <w:gridCol w:w="1195"/>
        <w:gridCol w:w="3894"/>
      </w:tblGrid>
      <w:tr>
        <w:trPr/>
        <w:tc>
          <w:tcPr>
            <w:tcW w:w="75"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Zions Bancorporation </w:t>
            </w:r>
            <w:r>
              <w:rPr>
                <w:rFonts w:ascii="Times New Roman;Times;Serif" w:hAnsi="Times New Roman;Times;Serif"/>
                <w:sz w:val="20"/>
              </w:rPr>
              <w:t xml:space="preserve">dba </w:t>
            </w:r>
            <w:r>
              <w:rPr>
                <w:rFonts w:ascii="Times New Roman;Times;Serif" w:hAnsi="Times New Roman;Times;Serif"/>
                <w:caps/>
                <w:sz w:val="20"/>
              </w:rPr>
              <w:t>Amegy Bank</w:t>
            </w:r>
            <w:r>
              <w:rPr>
                <w:rFonts w:ascii="Times New Roman;Times;Serif" w:hAnsi="Times New Roman;Times;Serif"/>
                <w:sz w:val="20"/>
              </w:rPr>
              <w:t>, as a Lender</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pPr>
            <w:r>
              <w:rPr/>
              <w:t> </w:t>
            </w:r>
          </w:p>
        </w:tc>
        <w:tc>
          <w:tcPr>
            <w:tcW w:w="3894"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Oscar Leija</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Oscar Leija</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3169" w:type="dxa"/>
        <w:jc w:val="left"/>
        <w:tblInd w:w="0" w:type="dxa"/>
        <w:tblLayout w:type="fixed"/>
        <w:tblCellMar>
          <w:top w:w="0" w:type="dxa"/>
          <w:left w:w="0" w:type="dxa"/>
          <w:bottom w:w="0" w:type="dxa"/>
          <w:right w:w="0" w:type="dxa"/>
        </w:tblCellMar>
      </w:tblPr>
      <w:tblGrid>
        <w:gridCol w:w="75"/>
        <w:gridCol w:w="799"/>
        <w:gridCol w:w="2295"/>
      </w:tblGrid>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pPr>
            <w:r>
              <w:rPr>
                <w:rFonts w:ascii="Times New Roman;Times;Serif" w:hAnsi="Times New Roman;Times;Serif"/>
                <w:caps/>
                <w:sz w:val="20"/>
              </w:rPr>
              <w:t>TEXAS CAPITAL BANK</w:t>
            </w:r>
            <w:r>
              <w:rPr>
                <w:rFonts w:ascii="Times New Roman;Times;Serif" w:hAnsi="Times New Roman;Times;Serif"/>
                <w:sz w:val="20"/>
              </w:rPr>
              <w:t>, as a Lender</w:t>
            </w:r>
          </w:p>
        </w:tc>
      </w:tr>
      <w:tr>
        <w:trPr/>
        <w:tc>
          <w:tcPr>
            <w:tcW w:w="75"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pPr>
            <w:r>
              <w:rPr/>
              <w:t> </w:t>
            </w:r>
          </w:p>
        </w:tc>
        <w:tc>
          <w:tcPr>
            <w:tcW w:w="229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Nathan Pieper</w:t>
            </w:r>
          </w:p>
        </w:tc>
      </w:tr>
      <w:tr>
        <w:trPr/>
        <w:tc>
          <w:tcPr>
            <w:tcW w:w="75"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Pieper</w:t>
            </w:r>
          </w:p>
        </w:tc>
      </w:tr>
      <w:tr>
        <w:trPr/>
        <w:tc>
          <w:tcPr>
            <w:tcW w:w="75"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43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913"/>
        <w:gridCol w:w="2976"/>
      </w:tblGrid>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rFonts w:ascii="Times New Roman;Times;Serif" w:hAnsi="Times New Roman;Times;Serif"/>
                <w:caps/>
                <w:sz w:val="20"/>
              </w:rPr>
              <w:t>UMB Bank, N.A.</w:t>
            </w:r>
            <w:r>
              <w:rPr>
                <w:rFonts w:ascii="Times New Roman;Times;Serif" w:hAnsi="Times New Roman;Times;Serif"/>
                <w:sz w:val="20"/>
              </w:rPr>
              <w:t>, as a Lender and New Lender</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sz w:val="20"/>
              </w:rPr>
            </w:pPr>
            <w:r>
              <w:rPr>
                <w:sz w:val="20"/>
              </w:rPr>
              <w:t>By:</w:t>
            </w:r>
          </w:p>
        </w:tc>
        <w:tc>
          <w:tcPr>
            <w:tcW w:w="29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Vincent P. Burke</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sz w:val="20"/>
              </w:rPr>
            </w:pPr>
            <w:r>
              <w:rPr>
                <w:sz w:val="20"/>
              </w:rPr>
              <w:t>Name:</w:t>
            </w:r>
          </w:p>
        </w:tc>
        <w:tc>
          <w:tcPr>
            <w:tcW w:w="29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P. Burke</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sz w:val="20"/>
              </w:rPr>
            </w:pPr>
            <w:r>
              <w:rPr>
                <w:sz w:val="20"/>
              </w:rPr>
              <w:t>Title:</w:t>
            </w:r>
          </w:p>
        </w:tc>
        <w:tc>
          <w:tcPr>
            <w:tcW w:w="29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 to Fourth Amended and Restated Credit Agreement and Amendment No. 1 to Amended and Restated Guaranty and Security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Conformed Through Amendment No. </w:t>
      </w:r>
      <w:r>
        <w:rPr>
          <w:rFonts w:ascii="Times New Roman;Times;Serif" w:hAnsi="Times New Roman;Times;Serif"/>
          <w:b/>
          <w:i/>
          <w:caps w:val="false"/>
          <w:smallCaps w:val="false"/>
          <w:strike/>
          <w:color w:val="FF0000"/>
          <w:sz w:val="20"/>
        </w:rPr>
        <w:t>1</w:t>
      </w:r>
      <w:r>
        <w:rPr>
          <w:rFonts w:ascii="Times New Roman;Times;Serif" w:hAnsi="Times New Roman;Times;Serif"/>
          <w:b/>
          <w:i/>
          <w:caps w:val="false"/>
          <w:smallCaps w:val="false"/>
          <w:color w:val="0000FF"/>
          <w:sz w:val="20"/>
          <w:u w:val="single"/>
        </w:rPr>
        <w:t>2</w:t>
      </w:r>
      <w:r>
        <w:rPr>
          <w:rFonts w:ascii="Times New Roman;Times;Serif" w:hAnsi="Times New Roman;Times;Serif"/>
          <w:b/>
          <w:i/>
          <w:caps w:val="false"/>
          <w:smallCaps w:val="false"/>
          <w:sz w:val="20"/>
        </w:rPr>
        <w:t xml:space="preserve"> to Credit Agreement</w:t>
      </w:r>
    </w:p>
    <w:p>
      <w:pPr>
        <w:pStyle w:val="TextBody"/>
        <w:bidi w:val="0"/>
        <w:spacing w:before="0" w:after="0"/>
        <w:ind w:left="4410" w:right="0" w:hanging="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410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pPr>
            <w:r>
              <w:rPr>
                <w:rFonts w:ascii="Times New Roman;Times;Serif" w:hAnsi="Times New Roman;Times;Serif"/>
                <w:sz w:val="20"/>
              </w:rPr>
              <w:t>Published</w:t>
            </w:r>
            <w:r>
              <w:rPr/>
              <w:t xml:space="preserve"> </w:t>
            </w:r>
            <w:r>
              <w:rPr>
                <w:rFonts w:ascii="Times New Roman;Times;Serif" w:hAnsi="Times New Roman;Times;Serif"/>
                <w:sz w:val="20"/>
              </w:rPr>
              <w:t>CUSIP Number:</w:t>
            </w:r>
          </w:p>
        </w:tc>
        <w:tc>
          <w:tcPr>
            <w:tcW w:w="1955" w:type="dxa"/>
            <w:tcBorders/>
            <w:vAlign w:val="center"/>
          </w:tcPr>
          <w:p>
            <w:pPr>
              <w:pStyle w:val="TableContents"/>
              <w:bidi w:val="0"/>
              <w:spacing w:before="0" w:after="283"/>
              <w:jc w:val="both"/>
              <w:rPr>
                <w:strike/>
                <w:color w:val="FF0000"/>
              </w:rPr>
            </w:pPr>
            <w:r>
              <w:rPr>
                <w:strike/>
                <w:color w:val="FF0000"/>
              </w:rPr>
              <w:t>________________</w:t>
            </w:r>
          </w:p>
        </w:tc>
      </w:tr>
      <w:tr>
        <w:trPr/>
        <w:tc>
          <w:tcPr>
            <w:tcW w:w="38"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pPr>
            <w:r>
              <w:rPr>
                <w:rFonts w:ascii="Times New Roman;Times;Serif" w:hAnsi="Times New Roman;Times;Serif"/>
                <w:sz w:val="20"/>
              </w:rPr>
              <w:t>Revolving</w:t>
            </w:r>
            <w:r>
              <w:rPr/>
              <w:t xml:space="preserve"> Credit CUSIP Number:</w:t>
            </w:r>
          </w:p>
        </w:tc>
        <w:tc>
          <w:tcPr>
            <w:tcW w:w="1955" w:type="dxa"/>
            <w:tcBorders/>
            <w:vAlign w:val="center"/>
          </w:tcPr>
          <w:p>
            <w:pPr>
              <w:pStyle w:val="TableContents"/>
              <w:bidi w:val="0"/>
              <w:spacing w:before="0" w:after="283"/>
              <w:jc w:val="both"/>
              <w:rPr>
                <w:strike/>
                <w:color w:val="FF0000"/>
              </w:rPr>
            </w:pPr>
            <w:r>
              <w:rPr>
                <w:strike/>
                <w:color w:val="FF0000"/>
              </w:rPr>
              <w:t>________________</w:t>
            </w:r>
          </w:p>
        </w:tc>
      </w:tr>
      <w:tr>
        <w:trPr/>
        <w:tc>
          <w:tcPr>
            <w:tcW w:w="38"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color w:val="0000FF"/>
                <w:u w:val="single"/>
              </w:rPr>
            </w:pPr>
            <w:r>
              <w:rPr>
                <w:color w:val="0000FF"/>
                <w:u w:val="single"/>
              </w:rPr>
              <w:t>Incremental Term Loan-1 CUSIP Number:</w:t>
            </w:r>
          </w:p>
        </w:tc>
        <w:tc>
          <w:tcPr>
            <w:tcW w:w="19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rPr>
      </w:pPr>
      <w:r>
        <w:rPr>
          <w:caps/>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w:t>
      </w:r>
      <w:r>
        <w:rPr>
          <w:rFonts w:ascii="Times New Roman;Times;Serif" w:hAnsi="Times New Roman;Times;Serif"/>
          <w:b w:val="false"/>
          <w:i w:val="false"/>
          <w:caps/>
          <w:strike/>
          <w:color w:val="FF0000"/>
          <w:sz w:val="20"/>
        </w:rPr>
        <w:t>300,000,000</w:t>
      </w:r>
      <w:r>
        <w:rPr>
          <w:rFonts w:ascii="Times New Roman;Times;Serif" w:hAnsi="Times New Roman;Times;Serif"/>
          <w:b w:val="false"/>
          <w:i w:val="false"/>
          <w:caps/>
          <w:color w:val="0000FF"/>
          <w:sz w:val="20"/>
          <w:u w:val="single"/>
        </w:rPr>
        <w:t>700,000,000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AMENDED AND RESTATED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January 21,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SUBSIDIARIES THEREOF PARTY HERETO FROM TIME TO TIME,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LENDERS PARTY HERETO FROM TIME TO TIME</w:t>
      </w:r>
      <w:r>
        <w:rPr>
          <w:rFonts w:ascii="Times New Roman;Times;Serif" w:hAnsi="Times New Roman;Times;Serif"/>
          <w:b w:val="false"/>
          <w:i w:val="false"/>
          <w:caps w:val="false"/>
          <w:smallCaps w:val="false"/>
          <w:sz w:val="20"/>
        </w:rPr>
        <w:t>,</w:t>
        <w:br/>
        <w:t>as Lenders,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BANK, NATIONAL ASSOCIATION,</w:t>
      </w:r>
      <w:r>
        <w:rPr>
          <w:rFonts w:ascii="Times New Roman;Times;Serif" w:hAnsi="Times New Roman;Times;Serif"/>
          <w:b w:val="false"/>
          <w:i w:val="false"/>
          <w:caps w:val="false"/>
          <w:smallCaps w:val="false"/>
          <w:sz w:val="20"/>
        </w:rPr>
        <w:br/>
        <w:t>as Administrative Agent,</w:t>
        <w:br/>
        <w:t>Swingline Lender and Issuing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BOFK, NA d/b/a BANK OF TEXAS,</w:t>
        <w:br/>
        <w:t>ZIONS BANCORPORATION, N.A. d/b/a AMEGY BANK,</w:t>
        <w:br/>
        <w:t>and</w:t>
        <w:br/>
        <w:t>TEXAS CAPITAL BANK,</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as Co-Documentation Agents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WELLS FARGO SECURITIES, LLC </w:t>
      </w:r>
      <w:r>
        <w:rPr>
          <w:rFonts w:ascii="Times New Roman;Times;Serif" w:hAnsi="Times New Roman;Times;Serif"/>
          <w:b/>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i w:val="false"/>
          <w:caps w:val="false"/>
          <w:smallCaps w:val="false"/>
          <w:sz w:val="20"/>
        </w:rPr>
        <w:br/>
        <w:t>FIFTH THIRD BANK, NATIONAL ASSOCIATION</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THE HUNTINGTON NATIONAL BANK,</w:t>
        <w:br/>
        <w:t>and</w:t>
        <w:br/>
        <w:t>PNC CAPITAL MARKETS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0" w:type="dxa"/>
          <w:left w:w="0" w:type="dxa"/>
          <w:bottom w:w="0" w:type="dxa"/>
          <w:right w:w="0" w:type="dxa"/>
        </w:tblCellMar>
      </w:tblPr>
      <w:tblGrid>
        <w:gridCol w:w="60"/>
        <w:gridCol w:w="1595"/>
        <w:gridCol w:w="5960"/>
        <w:gridCol w:w="440"/>
      </w:tblGrid>
      <w:tr>
        <w:trPr/>
        <w:tc>
          <w:tcPr>
            <w:tcW w:w="7615" w:type="dxa"/>
            <w:gridSpan w:val="3"/>
            <w:tcBorders/>
            <w:shd w:fill="FFFFFF" w:val="cle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Page</w:t>
            </w:r>
          </w:p>
        </w:tc>
      </w:tr>
      <w:tr>
        <w:trPr/>
        <w:tc>
          <w:tcPr>
            <w:tcW w:w="7615" w:type="dxa"/>
            <w:gridSpan w:val="3"/>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7615"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440" w:type="dxa"/>
            <w:tcBorders/>
            <w:shd w:fill="FFFFFF" w:val="clear"/>
            <w:vAlign w:val="center"/>
          </w:tcPr>
          <w:p>
            <w:pPr>
              <w:pStyle w:val="TableContents"/>
              <w:bidi w:val="0"/>
              <w:spacing w:before="0" w:after="283"/>
              <w:jc w:val="right"/>
              <w:rPr>
                <w:sz w:val="20"/>
              </w:rPr>
            </w:pPr>
            <w:r>
              <w:rPr>
                <w:sz w:val="20"/>
              </w:rPr>
              <w:t>1</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 and Provisions</w:t>
            </w:r>
          </w:p>
        </w:tc>
        <w:tc>
          <w:tcPr>
            <w:tcW w:w="440" w:type="dxa"/>
            <w:tcBorders/>
            <w:shd w:fill="CCEEFF" w:val="clear"/>
            <w:vAlign w:val="center"/>
          </w:tcPr>
          <w:p>
            <w:pPr>
              <w:pStyle w:val="TableContents"/>
              <w:bidi w:val="0"/>
              <w:spacing w:before="0" w:after="283"/>
              <w:jc w:val="right"/>
              <w:rPr/>
            </w:pPr>
            <w:r>
              <w:rPr>
                <w:strike/>
                <w:color w:val="FF0000"/>
                <w:sz w:val="20"/>
              </w:rPr>
              <w:t>40</w:t>
            </w:r>
            <w:r>
              <w:rPr>
                <w:color w:val="0000FF"/>
                <w:sz w:val="20"/>
                <w:u w:val="single"/>
              </w:rPr>
              <w:t>44</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1.3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w:t>
            </w:r>
            <w:r>
              <w:rPr>
                <w:rFonts w:ascii="Times New Roman;Times;Serif" w:hAnsi="Times New Roman;Times;Serif"/>
                <w:color w:val="0000FF"/>
                <w:sz w:val="20"/>
                <w:u w:val="single"/>
              </w:rPr>
              <w:t>.</w:t>
            </w:r>
          </w:p>
        </w:tc>
        <w:tc>
          <w:tcPr>
            <w:tcW w:w="440" w:type="dxa"/>
            <w:tcBorders/>
            <w:shd w:fill="FFFFFF" w:val="clear"/>
            <w:vAlign w:val="center"/>
          </w:tcPr>
          <w:p>
            <w:pPr>
              <w:pStyle w:val="TableContents"/>
              <w:bidi w:val="0"/>
              <w:spacing w:before="0" w:after="283"/>
              <w:jc w:val="right"/>
              <w:rPr/>
            </w:pPr>
            <w:r>
              <w:rPr>
                <w:strike/>
                <w:color w:val="FF0000"/>
                <w:sz w:val="20"/>
              </w:rPr>
              <w:t>41</w:t>
            </w:r>
            <w:r>
              <w:rPr>
                <w:color w:val="0000FF"/>
                <w:sz w:val="20"/>
                <w:u w:val="single"/>
              </w:rPr>
              <w:t>44</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1.4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UCC Terms</w:t>
            </w:r>
          </w:p>
        </w:tc>
        <w:tc>
          <w:tcPr>
            <w:tcW w:w="440" w:type="dxa"/>
            <w:tcBorders/>
            <w:shd w:fill="CCEEFF" w:val="clear"/>
            <w:vAlign w:val="center"/>
          </w:tcPr>
          <w:p>
            <w:pPr>
              <w:pStyle w:val="TableContents"/>
              <w:bidi w:val="0"/>
              <w:spacing w:before="0" w:after="283"/>
              <w:jc w:val="right"/>
              <w:rPr/>
            </w:pPr>
            <w:r>
              <w:rPr>
                <w:strike/>
                <w:color w:val="FF0000"/>
                <w:sz w:val="20"/>
              </w:rPr>
              <w:t>41</w:t>
            </w:r>
            <w:r>
              <w:rPr>
                <w:color w:val="0000FF"/>
                <w:sz w:val="20"/>
                <w:u w:val="single"/>
              </w:rPr>
              <w:t>44</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1.5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Rounding</w:t>
            </w:r>
          </w:p>
        </w:tc>
        <w:tc>
          <w:tcPr>
            <w:tcW w:w="440" w:type="dxa"/>
            <w:tcBorders/>
            <w:shd w:fill="FFFFFF" w:val="clear"/>
            <w:vAlign w:val="center"/>
          </w:tcPr>
          <w:p>
            <w:pPr>
              <w:pStyle w:val="TableContents"/>
              <w:bidi w:val="0"/>
              <w:spacing w:before="0" w:after="283"/>
              <w:jc w:val="right"/>
              <w:rPr/>
            </w:pPr>
            <w:r>
              <w:rPr>
                <w:strike/>
                <w:color w:val="FF0000"/>
                <w:sz w:val="20"/>
              </w:rPr>
              <w:t>41</w:t>
            </w:r>
            <w:r>
              <w:rPr>
                <w:color w:val="0000FF"/>
                <w:sz w:val="20"/>
                <w:u w:val="single"/>
              </w:rPr>
              <w:t>45</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1.6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References to Agreement and Laws</w:t>
            </w:r>
          </w:p>
        </w:tc>
        <w:tc>
          <w:tcPr>
            <w:tcW w:w="440" w:type="dxa"/>
            <w:tcBorders/>
            <w:shd w:fill="CCEEFF" w:val="clear"/>
            <w:vAlign w:val="center"/>
          </w:tcPr>
          <w:p>
            <w:pPr>
              <w:pStyle w:val="TableContents"/>
              <w:bidi w:val="0"/>
              <w:spacing w:before="0" w:after="283"/>
              <w:jc w:val="right"/>
              <w:rPr/>
            </w:pPr>
            <w:r>
              <w:rPr>
                <w:strike/>
                <w:color w:val="FF0000"/>
                <w:sz w:val="20"/>
              </w:rPr>
              <w:t>42</w:t>
            </w:r>
            <w:r>
              <w:rPr>
                <w:color w:val="0000FF"/>
                <w:sz w:val="20"/>
                <w:u w:val="single"/>
              </w:rPr>
              <w:t>45</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1.7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Times of Day</w:t>
            </w:r>
          </w:p>
        </w:tc>
        <w:tc>
          <w:tcPr>
            <w:tcW w:w="440" w:type="dxa"/>
            <w:tcBorders/>
            <w:shd w:fill="FFFFFF" w:val="clear"/>
            <w:vAlign w:val="center"/>
          </w:tcPr>
          <w:p>
            <w:pPr>
              <w:pStyle w:val="TableContents"/>
              <w:bidi w:val="0"/>
              <w:spacing w:before="0" w:after="283"/>
              <w:jc w:val="right"/>
              <w:rPr/>
            </w:pPr>
            <w:r>
              <w:rPr>
                <w:strike/>
                <w:color w:val="FF0000"/>
                <w:sz w:val="20"/>
              </w:rPr>
              <w:t>42</w:t>
            </w:r>
            <w:r>
              <w:rPr>
                <w:color w:val="0000FF"/>
                <w:sz w:val="20"/>
                <w:u w:val="single"/>
              </w:rPr>
              <w:t>45</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1.8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Guarantees/Earn-Outs</w:t>
            </w:r>
          </w:p>
        </w:tc>
        <w:tc>
          <w:tcPr>
            <w:tcW w:w="440" w:type="dxa"/>
            <w:tcBorders/>
            <w:shd w:fill="CCEEFF" w:val="clear"/>
            <w:vAlign w:val="center"/>
          </w:tcPr>
          <w:p>
            <w:pPr>
              <w:pStyle w:val="TableContents"/>
              <w:bidi w:val="0"/>
              <w:spacing w:before="0" w:after="283"/>
              <w:jc w:val="right"/>
              <w:rPr/>
            </w:pPr>
            <w:r>
              <w:rPr>
                <w:strike/>
                <w:color w:val="FF0000"/>
                <w:sz w:val="20"/>
              </w:rPr>
              <w:t>42</w:t>
            </w:r>
            <w:r>
              <w:rPr>
                <w:color w:val="0000FF"/>
                <w:sz w:val="20"/>
                <w:u w:val="single"/>
              </w:rPr>
              <w:t>45</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1.9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Compliance Generally</w:t>
            </w:r>
          </w:p>
        </w:tc>
        <w:tc>
          <w:tcPr>
            <w:tcW w:w="440" w:type="dxa"/>
            <w:tcBorders/>
            <w:shd w:fill="FFFFFF" w:val="clear"/>
            <w:vAlign w:val="center"/>
          </w:tcPr>
          <w:p>
            <w:pPr>
              <w:pStyle w:val="TableContents"/>
              <w:bidi w:val="0"/>
              <w:spacing w:before="0" w:after="283"/>
              <w:jc w:val="right"/>
              <w:rPr/>
            </w:pPr>
            <w:r>
              <w:rPr>
                <w:strike/>
                <w:color w:val="FF0000"/>
                <w:sz w:val="20"/>
              </w:rPr>
              <w:t>42</w:t>
            </w:r>
            <w:r>
              <w:rPr>
                <w:color w:val="0000FF"/>
                <w:sz w:val="20"/>
                <w:u w:val="single"/>
              </w:rPr>
              <w:t>45</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1.10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Condition Acquisitions</w:t>
            </w:r>
          </w:p>
        </w:tc>
        <w:tc>
          <w:tcPr>
            <w:tcW w:w="440" w:type="dxa"/>
            <w:tcBorders/>
            <w:shd w:fill="CCEEFF" w:val="clear"/>
            <w:vAlign w:val="center"/>
          </w:tcPr>
          <w:p>
            <w:pPr>
              <w:pStyle w:val="TableContents"/>
              <w:bidi w:val="0"/>
              <w:spacing w:before="0" w:after="283"/>
              <w:jc w:val="right"/>
              <w:rPr/>
            </w:pPr>
            <w:r>
              <w:rPr>
                <w:strike/>
                <w:color w:val="FF0000"/>
                <w:sz w:val="20"/>
              </w:rPr>
              <w:t>42</w:t>
            </w:r>
            <w:r>
              <w:rPr>
                <w:color w:val="0000FF"/>
                <w:sz w:val="20"/>
                <w:u w:val="single"/>
              </w:rPr>
              <w:t>45</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Rates</w:t>
            </w:r>
          </w:p>
        </w:tc>
        <w:tc>
          <w:tcPr>
            <w:tcW w:w="440" w:type="dxa"/>
            <w:tcBorders/>
            <w:shd w:fill="FFFFFF" w:val="clear"/>
            <w:vAlign w:val="center"/>
          </w:tcPr>
          <w:p>
            <w:pPr>
              <w:pStyle w:val="TableContents"/>
              <w:bidi w:val="0"/>
              <w:spacing w:before="0" w:after="283"/>
              <w:jc w:val="right"/>
              <w:rPr/>
            </w:pPr>
            <w:r>
              <w:rPr>
                <w:strike/>
                <w:color w:val="FF0000"/>
                <w:sz w:val="20"/>
              </w:rPr>
              <w:t>43</w:t>
            </w:r>
            <w:r>
              <w:rPr>
                <w:color w:val="0000FF"/>
                <w:sz w:val="20"/>
                <w:u w:val="single"/>
              </w:rPr>
              <w:t>47</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1.12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Divisions</w:t>
            </w:r>
          </w:p>
        </w:tc>
        <w:tc>
          <w:tcPr>
            <w:tcW w:w="440" w:type="dxa"/>
            <w:tcBorders/>
            <w:shd w:fill="CCEEFF" w:val="clear"/>
            <w:vAlign w:val="center"/>
          </w:tcPr>
          <w:p>
            <w:pPr>
              <w:pStyle w:val="TableContents"/>
              <w:bidi w:val="0"/>
              <w:spacing w:before="0" w:after="283"/>
              <w:jc w:val="right"/>
              <w:rPr/>
            </w:pPr>
            <w:r>
              <w:rPr>
                <w:strike/>
                <w:color w:val="FF0000"/>
                <w:sz w:val="20"/>
              </w:rPr>
              <w:t>44</w:t>
            </w:r>
            <w:r>
              <w:rPr>
                <w:color w:val="0000FF"/>
                <w:sz w:val="20"/>
                <w:u w:val="single"/>
              </w:rPr>
              <w:t>47</w:t>
            </w:r>
          </w:p>
        </w:tc>
      </w:tr>
      <w:tr>
        <w:trPr/>
        <w:tc>
          <w:tcPr>
            <w:tcW w:w="60" w:type="dxa"/>
            <w:tcBorders/>
            <w:shd w:fill="FFFFFF" w:val="clear"/>
            <w:vAlign w:val="center"/>
          </w:tcPr>
          <w:p>
            <w:pPr>
              <w:pStyle w:val="TableContents"/>
              <w:bidi w:val="0"/>
              <w:spacing w:before="0" w:after="283"/>
              <w:jc w:val="left"/>
              <w:rPr/>
            </w:pPr>
            <w:r>
              <w:rPr/>
              <w:t> </w:t>
            </w:r>
          </w:p>
        </w:tc>
        <w:tc>
          <w:tcPr>
            <w:tcW w:w="7555" w:type="dxa"/>
            <w:gridSpan w:val="2"/>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7615"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Revolving Credit Facility</w:t>
            </w:r>
          </w:p>
        </w:tc>
        <w:tc>
          <w:tcPr>
            <w:tcW w:w="440" w:type="dxa"/>
            <w:tcBorders/>
            <w:shd w:fill="CCEEFF" w:val="clear"/>
            <w:vAlign w:val="center"/>
          </w:tcPr>
          <w:p>
            <w:pPr>
              <w:pStyle w:val="TableContents"/>
              <w:bidi w:val="0"/>
              <w:spacing w:before="0" w:after="283"/>
              <w:jc w:val="right"/>
              <w:rPr/>
            </w:pPr>
            <w:r>
              <w:rPr>
                <w:strike/>
                <w:color w:val="FF0000"/>
                <w:sz w:val="20"/>
              </w:rPr>
              <w:t>44</w:t>
            </w:r>
            <w:r>
              <w:rPr>
                <w:color w:val="0000FF"/>
                <w:sz w:val="20"/>
                <w:u w:val="single"/>
              </w:rPr>
              <w:t>47</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2.1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Revolving Credit Loans</w:t>
            </w:r>
          </w:p>
        </w:tc>
        <w:tc>
          <w:tcPr>
            <w:tcW w:w="440" w:type="dxa"/>
            <w:tcBorders/>
            <w:shd w:fill="FFFFFF" w:val="clear"/>
            <w:vAlign w:val="center"/>
          </w:tcPr>
          <w:p>
            <w:pPr>
              <w:pStyle w:val="TableContents"/>
              <w:bidi w:val="0"/>
              <w:spacing w:before="0" w:after="283"/>
              <w:jc w:val="right"/>
              <w:rPr/>
            </w:pPr>
            <w:r>
              <w:rPr>
                <w:strike/>
                <w:color w:val="FF0000"/>
                <w:sz w:val="20"/>
              </w:rPr>
              <w:t>44</w:t>
            </w:r>
            <w:r>
              <w:rPr>
                <w:color w:val="0000FF"/>
                <w:sz w:val="20"/>
                <w:u w:val="single"/>
              </w:rPr>
              <w:t>47</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Swingline Loans</w:t>
            </w:r>
            <w:r>
              <w:rPr>
                <w:rFonts w:ascii="Times New Roman;Times;Serif" w:hAnsi="Times New Roman;Times;Serif"/>
                <w:color w:val="0000FF"/>
                <w:sz w:val="20"/>
                <w:u w:val="single"/>
              </w:rPr>
              <w:t>.</w:t>
            </w:r>
          </w:p>
        </w:tc>
        <w:tc>
          <w:tcPr>
            <w:tcW w:w="440" w:type="dxa"/>
            <w:tcBorders/>
            <w:shd w:fill="CCEEFF" w:val="clear"/>
            <w:vAlign w:val="center"/>
          </w:tcPr>
          <w:p>
            <w:pPr>
              <w:pStyle w:val="TableContents"/>
              <w:bidi w:val="0"/>
              <w:spacing w:before="0" w:after="283"/>
              <w:jc w:val="right"/>
              <w:rPr/>
            </w:pPr>
            <w:r>
              <w:rPr>
                <w:strike/>
                <w:color w:val="FF0000"/>
                <w:sz w:val="20"/>
              </w:rPr>
              <w:t>44</w:t>
            </w:r>
            <w:r>
              <w:rPr>
                <w:color w:val="0000FF"/>
                <w:sz w:val="20"/>
                <w:u w:val="single"/>
              </w:rPr>
              <w:t>48</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2.3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 for Advances of Revolving Credit Loans and Swingline Loans</w:t>
            </w:r>
            <w:r>
              <w:rPr>
                <w:rFonts w:ascii="Times New Roman;Times;Serif" w:hAnsi="Times New Roman;Times;Serif"/>
                <w:color w:val="0000FF"/>
                <w:sz w:val="20"/>
                <w:u w:val="single"/>
              </w:rPr>
              <w:t>.</w:t>
            </w:r>
          </w:p>
        </w:tc>
        <w:tc>
          <w:tcPr>
            <w:tcW w:w="440" w:type="dxa"/>
            <w:tcBorders/>
            <w:shd w:fill="FFFFFF" w:val="clear"/>
            <w:vAlign w:val="center"/>
          </w:tcPr>
          <w:p>
            <w:pPr>
              <w:pStyle w:val="TableContents"/>
              <w:bidi w:val="0"/>
              <w:spacing w:before="0" w:after="283"/>
              <w:jc w:val="right"/>
              <w:rPr/>
            </w:pPr>
            <w:r>
              <w:rPr>
                <w:strike/>
                <w:color w:val="FF0000"/>
                <w:sz w:val="20"/>
              </w:rPr>
              <w:t>46</w:t>
            </w:r>
            <w:r>
              <w:rPr>
                <w:color w:val="0000FF"/>
                <w:sz w:val="20"/>
                <w:u w:val="single"/>
              </w:rPr>
              <w:t>50</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2.4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and Prepayment of Revolving Credit and Swingline Loans</w:t>
            </w:r>
            <w:r>
              <w:rPr>
                <w:rFonts w:ascii="Times New Roman;Times;Serif" w:hAnsi="Times New Roman;Times;Serif"/>
                <w:color w:val="0000FF"/>
                <w:sz w:val="20"/>
                <w:u w:val="single"/>
              </w:rPr>
              <w:t>.</w:t>
            </w:r>
          </w:p>
        </w:tc>
        <w:tc>
          <w:tcPr>
            <w:tcW w:w="440" w:type="dxa"/>
            <w:tcBorders/>
            <w:shd w:fill="CCEEFF" w:val="clear"/>
            <w:vAlign w:val="center"/>
          </w:tcPr>
          <w:p>
            <w:pPr>
              <w:pStyle w:val="TableContents"/>
              <w:bidi w:val="0"/>
              <w:spacing w:before="0" w:after="283"/>
              <w:jc w:val="right"/>
              <w:rPr/>
            </w:pPr>
            <w:r>
              <w:rPr>
                <w:strike/>
                <w:color w:val="FF0000"/>
                <w:sz w:val="20"/>
              </w:rPr>
              <w:t>47</w:t>
            </w:r>
            <w:r>
              <w:rPr>
                <w:color w:val="0000FF"/>
                <w:sz w:val="20"/>
                <w:u w:val="single"/>
              </w:rPr>
              <w:t>50</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2.5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Permanent Reduction of the Revolving Credit Commitment</w:t>
            </w:r>
            <w:r>
              <w:rPr>
                <w:rFonts w:ascii="Times New Roman;Times;Serif" w:hAnsi="Times New Roman;Times;Serif"/>
                <w:color w:val="0000FF"/>
                <w:sz w:val="20"/>
                <w:u w:val="single"/>
              </w:rPr>
              <w:t>.</w:t>
            </w:r>
          </w:p>
        </w:tc>
        <w:tc>
          <w:tcPr>
            <w:tcW w:w="440" w:type="dxa"/>
            <w:tcBorders/>
            <w:shd w:fill="FFFFFF" w:val="clear"/>
            <w:vAlign w:val="center"/>
          </w:tcPr>
          <w:p>
            <w:pPr>
              <w:pStyle w:val="TableContents"/>
              <w:bidi w:val="0"/>
              <w:spacing w:before="0" w:after="283"/>
              <w:jc w:val="right"/>
              <w:rPr/>
            </w:pPr>
            <w:r>
              <w:rPr>
                <w:strike/>
                <w:color w:val="FF0000"/>
                <w:sz w:val="20"/>
              </w:rPr>
              <w:t>48</w:t>
            </w:r>
            <w:r>
              <w:rPr>
                <w:color w:val="0000FF"/>
                <w:sz w:val="20"/>
                <w:u w:val="single"/>
              </w:rPr>
              <w:t>52</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2.6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Revolving Credit Facility</w:t>
            </w:r>
          </w:p>
        </w:tc>
        <w:tc>
          <w:tcPr>
            <w:tcW w:w="440" w:type="dxa"/>
            <w:tcBorders/>
            <w:shd w:fill="CCEEFF" w:val="clear"/>
            <w:vAlign w:val="center"/>
          </w:tcPr>
          <w:p>
            <w:pPr>
              <w:pStyle w:val="TableContents"/>
              <w:bidi w:val="0"/>
              <w:spacing w:before="0" w:after="283"/>
              <w:jc w:val="right"/>
              <w:rPr/>
            </w:pPr>
            <w:r>
              <w:rPr>
                <w:strike/>
                <w:color w:val="FF0000"/>
                <w:sz w:val="20"/>
              </w:rPr>
              <w:t>49</w:t>
            </w:r>
            <w:r>
              <w:rPr>
                <w:color w:val="0000FF"/>
                <w:sz w:val="20"/>
                <w:u w:val="single"/>
              </w:rPr>
              <w:t>52</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color w:val="0000FF"/>
                <w:u w:val="single"/>
              </w:rPr>
            </w:pPr>
            <w:r>
              <w:rPr>
                <w:color w:val="0000FF"/>
                <w:u w:val="single"/>
              </w:rPr>
              <w:t xml:space="preserve">SECTION 2.7 </w:t>
            </w:r>
          </w:p>
        </w:tc>
        <w:tc>
          <w:tcPr>
            <w:tcW w:w="5960" w:type="dxa"/>
            <w:tcBorders/>
            <w:shd w:fill="FFFFFF" w:val="clear"/>
            <w:vAlign w:val="center"/>
          </w:tcPr>
          <w:p>
            <w:pPr>
              <w:pStyle w:val="TableContents"/>
              <w:bidi w:val="0"/>
              <w:spacing w:before="0" w:after="283"/>
              <w:jc w:val="left"/>
              <w:rPr>
                <w:color w:val="0000FF"/>
                <w:u w:val="single"/>
              </w:rPr>
            </w:pPr>
            <w:r>
              <w:rPr>
                <w:color w:val="0000FF"/>
                <w:u w:val="single"/>
              </w:rPr>
              <w:t>Incremental Term Loan-1</w:t>
            </w:r>
          </w:p>
        </w:tc>
        <w:tc>
          <w:tcPr>
            <w:tcW w:w="440" w:type="dxa"/>
            <w:tcBorders/>
            <w:shd w:fill="FFFFFF" w:val="clear"/>
            <w:vAlign w:val="center"/>
          </w:tcPr>
          <w:p>
            <w:pPr>
              <w:pStyle w:val="TableContents"/>
              <w:bidi w:val="0"/>
              <w:spacing w:before="0" w:after="283"/>
              <w:jc w:val="right"/>
              <w:rPr>
                <w:color w:val="0000FF"/>
                <w:sz w:val="20"/>
                <w:u w:val="single"/>
              </w:rPr>
            </w:pPr>
            <w:r>
              <w:rPr>
                <w:color w:val="0000FF"/>
                <w:sz w:val="20"/>
                <w:u w:val="single"/>
              </w:rPr>
              <w:t>52</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color w:val="0000FF"/>
                <w:u w:val="single"/>
              </w:rPr>
            </w:pPr>
            <w:r>
              <w:rPr>
                <w:color w:val="0000FF"/>
                <w:u w:val="single"/>
              </w:rPr>
              <w:t xml:space="preserve">SECTION 2.8 </w:t>
            </w:r>
          </w:p>
        </w:tc>
        <w:tc>
          <w:tcPr>
            <w:tcW w:w="5960" w:type="dxa"/>
            <w:tcBorders/>
            <w:shd w:fill="CCEEFF" w:val="clear"/>
            <w:vAlign w:val="center"/>
          </w:tcPr>
          <w:p>
            <w:pPr>
              <w:pStyle w:val="TableContents"/>
              <w:bidi w:val="0"/>
              <w:spacing w:before="0" w:after="283"/>
              <w:jc w:val="left"/>
              <w:rPr>
                <w:color w:val="0000FF"/>
                <w:u w:val="single"/>
              </w:rPr>
            </w:pPr>
            <w:r>
              <w:rPr>
                <w:color w:val="0000FF"/>
                <w:u w:val="single"/>
              </w:rPr>
              <w:t>Procedure for Advance of Term Loans</w:t>
            </w:r>
          </w:p>
        </w:tc>
        <w:tc>
          <w:tcPr>
            <w:tcW w:w="440" w:type="dxa"/>
            <w:tcBorders/>
            <w:shd w:fill="CCEEFF" w:val="clear"/>
            <w:vAlign w:val="center"/>
          </w:tcPr>
          <w:p>
            <w:pPr>
              <w:pStyle w:val="TableContents"/>
              <w:bidi w:val="0"/>
              <w:spacing w:before="0" w:after="283"/>
              <w:jc w:val="right"/>
              <w:rPr>
                <w:color w:val="0000FF"/>
                <w:sz w:val="20"/>
                <w:u w:val="single"/>
              </w:rPr>
            </w:pPr>
            <w:r>
              <w:rPr>
                <w:color w:val="0000FF"/>
                <w:sz w:val="20"/>
                <w:u w:val="single"/>
              </w:rPr>
              <w:t>53</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color w:val="0000FF"/>
                <w:u w:val="single"/>
              </w:rPr>
            </w:pPr>
            <w:r>
              <w:rPr>
                <w:color w:val="0000FF"/>
                <w:u w:val="single"/>
              </w:rPr>
              <w:t xml:space="preserve">SECTION 2.9 </w:t>
            </w:r>
          </w:p>
        </w:tc>
        <w:tc>
          <w:tcPr>
            <w:tcW w:w="5960" w:type="dxa"/>
            <w:tcBorders/>
            <w:shd w:fill="FFFFFF" w:val="clear"/>
            <w:vAlign w:val="center"/>
          </w:tcPr>
          <w:p>
            <w:pPr>
              <w:pStyle w:val="TableContents"/>
              <w:bidi w:val="0"/>
              <w:spacing w:before="0" w:after="283"/>
              <w:jc w:val="left"/>
              <w:rPr>
                <w:color w:val="0000FF"/>
                <w:u w:val="single"/>
              </w:rPr>
            </w:pPr>
            <w:r>
              <w:rPr>
                <w:color w:val="0000FF"/>
                <w:u w:val="single"/>
              </w:rPr>
              <w:t>Repayment of Term Loans</w:t>
            </w:r>
          </w:p>
        </w:tc>
        <w:tc>
          <w:tcPr>
            <w:tcW w:w="440" w:type="dxa"/>
            <w:tcBorders/>
            <w:shd w:fill="FFFFFF" w:val="clear"/>
            <w:vAlign w:val="center"/>
          </w:tcPr>
          <w:p>
            <w:pPr>
              <w:pStyle w:val="TableContents"/>
              <w:bidi w:val="0"/>
              <w:spacing w:before="0" w:after="283"/>
              <w:jc w:val="right"/>
              <w:rPr>
                <w:color w:val="0000FF"/>
                <w:sz w:val="20"/>
                <w:u w:val="single"/>
              </w:rPr>
            </w:pPr>
            <w:r>
              <w:rPr>
                <w:color w:val="0000FF"/>
                <w:sz w:val="20"/>
                <w:u w:val="single"/>
              </w:rPr>
              <w:t>53</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color w:val="0000FF"/>
                <w:u w:val="single"/>
              </w:rPr>
            </w:pPr>
            <w:r>
              <w:rPr>
                <w:color w:val="0000FF"/>
                <w:u w:val="single"/>
              </w:rPr>
              <w:t xml:space="preserve">SECTION 2.10 </w:t>
            </w:r>
          </w:p>
        </w:tc>
        <w:tc>
          <w:tcPr>
            <w:tcW w:w="5960" w:type="dxa"/>
            <w:tcBorders/>
            <w:shd w:fill="CCEEFF" w:val="clear"/>
            <w:vAlign w:val="center"/>
          </w:tcPr>
          <w:p>
            <w:pPr>
              <w:pStyle w:val="TableContents"/>
              <w:bidi w:val="0"/>
              <w:spacing w:before="0" w:after="283"/>
              <w:jc w:val="left"/>
              <w:rPr>
                <w:color w:val="0000FF"/>
                <w:u w:val="single"/>
              </w:rPr>
            </w:pPr>
            <w:r>
              <w:rPr>
                <w:color w:val="0000FF"/>
                <w:u w:val="single"/>
              </w:rPr>
              <w:t>Prepayments of Term Loans</w:t>
            </w:r>
          </w:p>
        </w:tc>
        <w:tc>
          <w:tcPr>
            <w:tcW w:w="440" w:type="dxa"/>
            <w:tcBorders/>
            <w:shd w:fill="CCEEFF" w:val="clear"/>
            <w:vAlign w:val="center"/>
          </w:tcPr>
          <w:p>
            <w:pPr>
              <w:pStyle w:val="TableContents"/>
              <w:bidi w:val="0"/>
              <w:spacing w:before="0" w:after="283"/>
              <w:jc w:val="right"/>
              <w:rPr>
                <w:color w:val="0000FF"/>
                <w:sz w:val="20"/>
                <w:u w:val="single"/>
              </w:rPr>
            </w:pPr>
            <w:r>
              <w:rPr>
                <w:color w:val="0000FF"/>
                <w:sz w:val="20"/>
                <w:u w:val="single"/>
              </w:rPr>
              <w:t>54</w:t>
            </w:r>
          </w:p>
        </w:tc>
      </w:tr>
      <w:tr>
        <w:trPr/>
        <w:tc>
          <w:tcPr>
            <w:tcW w:w="60" w:type="dxa"/>
            <w:tcBorders/>
            <w:shd w:fill="FFFFFF" w:val="clear"/>
            <w:vAlign w:val="center"/>
          </w:tcPr>
          <w:p>
            <w:pPr>
              <w:pStyle w:val="TableContents"/>
              <w:bidi w:val="0"/>
              <w:spacing w:before="0" w:after="283"/>
              <w:jc w:val="left"/>
              <w:rPr/>
            </w:pPr>
            <w:r>
              <w:rPr/>
              <w:t> </w:t>
            </w:r>
          </w:p>
        </w:tc>
        <w:tc>
          <w:tcPr>
            <w:tcW w:w="7555" w:type="dxa"/>
            <w:gridSpan w:val="2"/>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7615"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Letter of Credit Facility</w:t>
            </w:r>
          </w:p>
        </w:tc>
        <w:tc>
          <w:tcPr>
            <w:tcW w:w="440" w:type="dxa"/>
            <w:tcBorders/>
            <w:shd w:fill="CCEEFF" w:val="clear"/>
            <w:vAlign w:val="center"/>
          </w:tcPr>
          <w:p>
            <w:pPr>
              <w:pStyle w:val="TableContents"/>
              <w:bidi w:val="0"/>
              <w:spacing w:before="0" w:after="283"/>
              <w:jc w:val="right"/>
              <w:rPr/>
            </w:pPr>
            <w:r>
              <w:rPr>
                <w:strike/>
                <w:color w:val="FF0000"/>
                <w:sz w:val="20"/>
              </w:rPr>
              <w:t>49</w:t>
            </w:r>
            <w:r>
              <w:rPr>
                <w:color w:val="0000FF"/>
                <w:sz w:val="20"/>
                <w:u w:val="single"/>
              </w:rPr>
              <w:t>56</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L/C Facility</w:t>
            </w:r>
            <w:r>
              <w:rPr>
                <w:rFonts w:ascii="Times New Roman;Times;Serif" w:hAnsi="Times New Roman;Times;Serif"/>
                <w:sz w:val="20"/>
                <w:u w:val="single"/>
              </w:rPr>
              <w:t>.</w:t>
            </w:r>
          </w:p>
        </w:tc>
        <w:tc>
          <w:tcPr>
            <w:tcW w:w="440" w:type="dxa"/>
            <w:tcBorders/>
            <w:shd w:fill="FFFFFF" w:val="clear"/>
            <w:vAlign w:val="center"/>
          </w:tcPr>
          <w:p>
            <w:pPr>
              <w:pStyle w:val="TableContents"/>
              <w:bidi w:val="0"/>
              <w:spacing w:before="0" w:after="283"/>
              <w:jc w:val="right"/>
              <w:rPr/>
            </w:pPr>
            <w:r>
              <w:rPr>
                <w:strike/>
                <w:color w:val="FF0000"/>
                <w:sz w:val="20"/>
              </w:rPr>
              <w:t>49</w:t>
            </w:r>
            <w:r>
              <w:rPr>
                <w:color w:val="0000FF"/>
                <w:sz w:val="20"/>
                <w:u w:val="single"/>
              </w:rPr>
              <w:t>56</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3.2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 for Issuance and Disbursement of Letters of Credit</w:t>
            </w:r>
          </w:p>
        </w:tc>
        <w:tc>
          <w:tcPr>
            <w:tcW w:w="440" w:type="dxa"/>
            <w:tcBorders/>
            <w:shd w:fill="CCEEFF" w:val="clear"/>
            <w:vAlign w:val="center"/>
          </w:tcPr>
          <w:p>
            <w:pPr>
              <w:pStyle w:val="TableContents"/>
              <w:bidi w:val="0"/>
              <w:spacing w:before="0" w:after="283"/>
              <w:jc w:val="right"/>
              <w:rPr/>
            </w:pPr>
            <w:r>
              <w:rPr>
                <w:strike/>
                <w:color w:val="FF0000"/>
                <w:sz w:val="20"/>
              </w:rPr>
              <w:t>50</w:t>
            </w:r>
            <w:r>
              <w:rPr>
                <w:color w:val="0000FF"/>
                <w:sz w:val="20"/>
                <w:u w:val="single"/>
              </w:rPr>
              <w:t>57</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3.3 </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 and Other Charges</w:t>
            </w:r>
          </w:p>
        </w:tc>
        <w:tc>
          <w:tcPr>
            <w:tcW w:w="440" w:type="dxa"/>
            <w:tcBorders/>
            <w:shd w:fill="FFFFFF" w:val="clear"/>
            <w:vAlign w:val="center"/>
          </w:tcPr>
          <w:p>
            <w:pPr>
              <w:pStyle w:val="TableContents"/>
              <w:bidi w:val="0"/>
              <w:spacing w:before="0" w:after="283"/>
              <w:jc w:val="right"/>
              <w:rPr/>
            </w:pPr>
            <w:r>
              <w:rPr>
                <w:strike/>
                <w:color w:val="FF0000"/>
                <w:sz w:val="20"/>
              </w:rPr>
              <w:t>51</w:t>
            </w:r>
            <w:r>
              <w:rPr>
                <w:color w:val="0000FF"/>
                <w:sz w:val="20"/>
                <w:u w:val="single"/>
              </w:rPr>
              <w:t>58</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3.4 </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L/C Participations</w:t>
            </w:r>
          </w:p>
        </w:tc>
        <w:tc>
          <w:tcPr>
            <w:tcW w:w="440" w:type="dxa"/>
            <w:tcBorders/>
            <w:shd w:fill="CCEEFF" w:val="clear"/>
            <w:vAlign w:val="center"/>
          </w:tcPr>
          <w:p>
            <w:pPr>
              <w:pStyle w:val="TableContents"/>
              <w:bidi w:val="0"/>
              <w:spacing w:before="0" w:after="283"/>
              <w:jc w:val="right"/>
              <w:rPr/>
            </w:pPr>
            <w:r>
              <w:rPr>
                <w:strike/>
                <w:color w:val="FF0000"/>
                <w:sz w:val="20"/>
              </w:rPr>
              <w:t>51</w:t>
            </w:r>
            <w:r>
              <w:rPr>
                <w:color w:val="0000FF"/>
                <w:sz w:val="20"/>
                <w:u w:val="single"/>
              </w:rPr>
              <w:t>58</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5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Reimbursement</w:t>
            </w:r>
          </w:p>
        </w:tc>
        <w:tc>
          <w:tcPr>
            <w:tcW w:w="440" w:type="dxa"/>
            <w:tcBorders/>
            <w:shd w:fill="FFFFFF" w:val="clear"/>
            <w:vAlign w:val="center"/>
          </w:tcPr>
          <w:p>
            <w:pPr>
              <w:pStyle w:val="TableContents"/>
              <w:bidi w:val="0"/>
              <w:spacing w:before="0" w:after="283"/>
              <w:jc w:val="right"/>
              <w:rPr/>
            </w:pPr>
            <w:r>
              <w:rPr>
                <w:strike/>
                <w:color w:val="FF0000"/>
                <w:sz w:val="20"/>
              </w:rPr>
              <w:t>53</w:t>
            </w:r>
            <w:r>
              <w:rPr>
                <w:color w:val="0000FF"/>
                <w:sz w:val="20"/>
                <w:u w:val="single"/>
              </w:rPr>
              <w:t>59</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5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Absolute</w:t>
            </w:r>
          </w:p>
        </w:tc>
        <w:tc>
          <w:tcPr>
            <w:tcW w:w="440" w:type="dxa"/>
            <w:tcBorders/>
            <w:shd w:fill="CCEEFF" w:val="clear"/>
            <w:vAlign w:val="center"/>
          </w:tcPr>
          <w:p>
            <w:pPr>
              <w:pStyle w:val="TableContents"/>
              <w:bidi w:val="0"/>
              <w:spacing w:before="0" w:after="283"/>
              <w:jc w:val="right"/>
              <w:rPr/>
            </w:pPr>
            <w:r>
              <w:rPr>
                <w:strike/>
                <w:color w:val="FF0000"/>
                <w:sz w:val="20"/>
              </w:rPr>
              <w:t>53</w:t>
            </w:r>
            <w:r>
              <w:rPr>
                <w:color w:val="0000FF"/>
                <w:sz w:val="20"/>
                <w:u w:val="single"/>
              </w:rPr>
              <w:t>60</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TABLE OF CONTENTS</w:t>
      </w:r>
    </w:p>
    <w:p>
      <w:pPr>
        <w:pStyle w:val="TextBody"/>
        <w:bidi w:val="0"/>
        <w:jc w:val="center"/>
        <w:rPr>
          <w:sz w:val="20"/>
        </w:rPr>
      </w:pPr>
      <w:r>
        <w:rPr>
          <w:sz w:val="20"/>
        </w:rPr>
        <w:t>(continued)</w:t>
      </w:r>
    </w:p>
    <w:p>
      <w:pPr>
        <w:pStyle w:val="TextBody"/>
        <w:bidi w:val="0"/>
        <w:spacing w:before="0" w:after="283"/>
        <w:jc w:val="left"/>
        <w:rPr/>
      </w:pPr>
      <w:r>
        <w:rPr/>
        <w:t> </w:t>
      </w:r>
    </w:p>
    <w:tbl>
      <w:tblPr>
        <w:tblW w:w="7890" w:type="dxa"/>
        <w:jc w:val="left"/>
        <w:tblInd w:w="0" w:type="dxa"/>
        <w:tblLayout w:type="fixed"/>
        <w:tblCellMar>
          <w:top w:w="0" w:type="dxa"/>
          <w:left w:w="0" w:type="dxa"/>
          <w:bottom w:w="0" w:type="dxa"/>
          <w:right w:w="0" w:type="dxa"/>
        </w:tblCellMar>
      </w:tblPr>
      <w:tblGrid>
        <w:gridCol w:w="60"/>
        <w:gridCol w:w="1280"/>
        <w:gridCol w:w="6110"/>
        <w:gridCol w:w="440"/>
      </w:tblGrid>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110" w:type="dxa"/>
            <w:tcBorders/>
            <w:shd w:fill="FFFFFF" w:val="cle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Page</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11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Letter of Credit Documents</w:t>
            </w:r>
          </w:p>
        </w:tc>
        <w:tc>
          <w:tcPr>
            <w:tcW w:w="440" w:type="dxa"/>
            <w:tcBorders/>
            <w:shd w:fill="CCEEFF" w:val="clear"/>
            <w:vAlign w:val="center"/>
          </w:tcPr>
          <w:p>
            <w:pPr>
              <w:pStyle w:val="TableContents"/>
              <w:bidi w:val="0"/>
              <w:spacing w:before="0" w:after="283"/>
              <w:jc w:val="right"/>
              <w:rPr/>
            </w:pPr>
            <w:r>
              <w:rPr>
                <w:strike/>
                <w:color w:val="FF0000"/>
                <w:sz w:val="20"/>
              </w:rPr>
              <w:t>55</w:t>
            </w:r>
            <w:r>
              <w:rPr>
                <w:color w:val="0000FF"/>
                <w:sz w:val="20"/>
                <w:u w:val="single"/>
              </w:rPr>
              <w:t>62</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and Resignation of Issuing Lenders</w:t>
            </w:r>
          </w:p>
        </w:tc>
        <w:tc>
          <w:tcPr>
            <w:tcW w:w="440" w:type="dxa"/>
            <w:tcBorders/>
            <w:shd w:fill="FFFFFF" w:val="clear"/>
            <w:vAlign w:val="center"/>
          </w:tcPr>
          <w:p>
            <w:pPr>
              <w:pStyle w:val="TableContents"/>
              <w:bidi w:val="0"/>
              <w:spacing w:before="0" w:after="283"/>
              <w:jc w:val="right"/>
              <w:rPr/>
            </w:pPr>
            <w:r>
              <w:rPr>
                <w:strike/>
                <w:color w:val="FF0000"/>
                <w:sz w:val="20"/>
              </w:rPr>
              <w:t>55</w:t>
            </w:r>
            <w:r>
              <w:rPr>
                <w:color w:val="0000FF"/>
                <w:sz w:val="20"/>
                <w:u w:val="single"/>
              </w:rPr>
              <w:t>62</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3.9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Reporting of Letter of Credit Information and L/C Commitment</w:t>
            </w:r>
          </w:p>
        </w:tc>
        <w:tc>
          <w:tcPr>
            <w:tcW w:w="440" w:type="dxa"/>
            <w:tcBorders/>
            <w:shd w:fill="CCEEFF" w:val="clear"/>
            <w:vAlign w:val="center"/>
          </w:tcPr>
          <w:p>
            <w:pPr>
              <w:pStyle w:val="TableContents"/>
              <w:bidi w:val="0"/>
              <w:spacing w:before="0" w:after="283"/>
              <w:jc w:val="right"/>
              <w:rPr/>
            </w:pPr>
            <w:r>
              <w:rPr>
                <w:strike/>
                <w:color w:val="FF0000"/>
                <w:sz w:val="20"/>
              </w:rPr>
              <w:t>55</w:t>
            </w:r>
            <w:r>
              <w:rPr>
                <w:color w:val="0000FF"/>
                <w:sz w:val="20"/>
                <w:u w:val="single"/>
              </w:rPr>
              <w:t>62</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 Issued for Subsidiaries</w:t>
            </w:r>
          </w:p>
        </w:tc>
        <w:tc>
          <w:tcPr>
            <w:tcW w:w="440" w:type="dxa"/>
            <w:tcBorders/>
            <w:shd w:fill="FFFFFF" w:val="clear"/>
            <w:vAlign w:val="center"/>
          </w:tcPr>
          <w:p>
            <w:pPr>
              <w:pStyle w:val="TableContents"/>
              <w:bidi w:val="0"/>
              <w:spacing w:before="0" w:after="283"/>
              <w:jc w:val="right"/>
              <w:rPr/>
            </w:pPr>
            <w:r>
              <w:rPr>
                <w:strike/>
                <w:color w:val="FF0000"/>
                <w:sz w:val="20"/>
              </w:rPr>
              <w:t>56</w:t>
            </w:r>
            <w:r>
              <w:rPr>
                <w:color w:val="0000FF"/>
                <w:sz w:val="20"/>
                <w:u w:val="single"/>
              </w:rPr>
              <w:t>63</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 of Credit Amounts</w:t>
            </w:r>
          </w:p>
        </w:tc>
        <w:tc>
          <w:tcPr>
            <w:tcW w:w="440" w:type="dxa"/>
            <w:tcBorders/>
            <w:shd w:fill="CCEEFF" w:val="clear"/>
            <w:vAlign w:val="center"/>
          </w:tcPr>
          <w:p>
            <w:pPr>
              <w:pStyle w:val="TableContents"/>
              <w:bidi w:val="0"/>
              <w:spacing w:before="0" w:after="283"/>
              <w:jc w:val="right"/>
              <w:rPr/>
            </w:pPr>
            <w:r>
              <w:rPr>
                <w:strike/>
                <w:color w:val="FF0000"/>
                <w:sz w:val="20"/>
              </w:rPr>
              <w:t>56</w:t>
            </w:r>
            <w:r>
              <w:rPr>
                <w:color w:val="0000FF"/>
                <w:sz w:val="20"/>
                <w:u w:val="single"/>
              </w:rPr>
              <w:t>63</w:t>
            </w:r>
          </w:p>
        </w:tc>
      </w:tr>
      <w:tr>
        <w:trPr/>
        <w:tc>
          <w:tcPr>
            <w:tcW w:w="60" w:type="dxa"/>
            <w:tcBorders/>
            <w:shd w:fill="FFFFFF" w:val="clear"/>
            <w:vAlign w:val="center"/>
          </w:tcPr>
          <w:p>
            <w:pPr>
              <w:pStyle w:val="TableContents"/>
              <w:bidi w:val="0"/>
              <w:spacing w:before="0" w:after="283"/>
              <w:jc w:val="left"/>
              <w:rPr/>
            </w:pPr>
            <w:r>
              <w:rPr/>
              <w:t> </w:t>
            </w:r>
          </w:p>
        </w:tc>
        <w:tc>
          <w:tcPr>
            <w:tcW w:w="7390" w:type="dxa"/>
            <w:gridSpan w:val="2"/>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7450"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General Loan Provisions</w:t>
            </w:r>
          </w:p>
        </w:tc>
        <w:tc>
          <w:tcPr>
            <w:tcW w:w="440" w:type="dxa"/>
            <w:tcBorders/>
            <w:shd w:fill="CCEEFF" w:val="clear"/>
            <w:vAlign w:val="center"/>
          </w:tcPr>
          <w:p>
            <w:pPr>
              <w:pStyle w:val="TableContents"/>
              <w:bidi w:val="0"/>
              <w:spacing w:before="0" w:after="283"/>
              <w:jc w:val="right"/>
              <w:rPr/>
            </w:pPr>
            <w:r>
              <w:rPr>
                <w:strike/>
                <w:color w:val="FF0000"/>
                <w:sz w:val="20"/>
              </w:rPr>
              <w:t>56</w:t>
            </w:r>
            <w:r>
              <w:rPr>
                <w:color w:val="0000FF"/>
                <w:sz w:val="20"/>
                <w:u w:val="single"/>
              </w:rPr>
              <w:t>63</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4.1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440" w:type="dxa"/>
            <w:tcBorders/>
            <w:shd w:fill="FFFFFF" w:val="clear"/>
            <w:vAlign w:val="center"/>
          </w:tcPr>
          <w:p>
            <w:pPr>
              <w:pStyle w:val="TableContents"/>
              <w:bidi w:val="0"/>
              <w:spacing w:before="0" w:after="283"/>
              <w:jc w:val="right"/>
              <w:rPr/>
            </w:pPr>
            <w:r>
              <w:rPr>
                <w:strike/>
                <w:color w:val="FF0000"/>
                <w:sz w:val="20"/>
              </w:rPr>
              <w:t>56</w:t>
            </w:r>
            <w:r>
              <w:rPr>
                <w:color w:val="0000FF"/>
                <w:sz w:val="20"/>
                <w:u w:val="single"/>
              </w:rPr>
              <w:t>63</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and Manner of Conversion or Continuation of Loans</w:t>
            </w:r>
          </w:p>
        </w:tc>
        <w:tc>
          <w:tcPr>
            <w:tcW w:w="440" w:type="dxa"/>
            <w:tcBorders/>
            <w:shd w:fill="CCEEFF" w:val="clear"/>
            <w:vAlign w:val="center"/>
          </w:tcPr>
          <w:p>
            <w:pPr>
              <w:pStyle w:val="TableContents"/>
              <w:bidi w:val="0"/>
              <w:spacing w:before="0" w:after="283"/>
              <w:jc w:val="right"/>
              <w:rPr/>
            </w:pPr>
            <w:r>
              <w:rPr>
                <w:strike/>
                <w:color w:val="FF0000"/>
                <w:sz w:val="20"/>
              </w:rPr>
              <w:t>57</w:t>
            </w:r>
            <w:r>
              <w:rPr>
                <w:color w:val="0000FF"/>
                <w:sz w:val="20"/>
                <w:u w:val="single"/>
              </w:rPr>
              <w:t>65</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4.3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440" w:type="dxa"/>
            <w:tcBorders/>
            <w:shd w:fill="FFFFFF" w:val="clear"/>
            <w:vAlign w:val="center"/>
          </w:tcPr>
          <w:p>
            <w:pPr>
              <w:pStyle w:val="TableContents"/>
              <w:bidi w:val="0"/>
              <w:spacing w:before="0" w:after="283"/>
              <w:jc w:val="right"/>
              <w:rPr/>
            </w:pPr>
            <w:r>
              <w:rPr>
                <w:strike/>
                <w:color w:val="FF0000"/>
                <w:sz w:val="20"/>
              </w:rPr>
              <w:t>58</w:t>
            </w:r>
            <w:r>
              <w:rPr>
                <w:color w:val="0000FF"/>
                <w:sz w:val="20"/>
                <w:u w:val="single"/>
              </w:rPr>
              <w:t>65</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Payment</w:t>
            </w:r>
          </w:p>
        </w:tc>
        <w:tc>
          <w:tcPr>
            <w:tcW w:w="440" w:type="dxa"/>
            <w:tcBorders/>
            <w:shd w:fill="CCEEFF" w:val="clear"/>
            <w:vAlign w:val="center"/>
          </w:tcPr>
          <w:p>
            <w:pPr>
              <w:pStyle w:val="TableContents"/>
              <w:bidi w:val="0"/>
              <w:spacing w:before="0" w:after="283"/>
              <w:jc w:val="right"/>
              <w:rPr/>
            </w:pPr>
            <w:r>
              <w:rPr>
                <w:strike/>
                <w:color w:val="FF0000"/>
                <w:sz w:val="20"/>
              </w:rPr>
              <w:t>59</w:t>
            </w:r>
            <w:r>
              <w:rPr>
                <w:color w:val="0000FF"/>
                <w:sz w:val="20"/>
                <w:u w:val="single"/>
              </w:rPr>
              <w:t>66</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4.5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Indebtedness</w:t>
            </w:r>
            <w:r>
              <w:rPr>
                <w:rFonts w:ascii="Times New Roman;Times;Serif" w:hAnsi="Times New Roman;Times;Serif"/>
                <w:color w:val="0000FF"/>
                <w:sz w:val="20"/>
                <w:u w:val="single"/>
              </w:rPr>
              <w:t>.</w:t>
            </w:r>
          </w:p>
        </w:tc>
        <w:tc>
          <w:tcPr>
            <w:tcW w:w="440" w:type="dxa"/>
            <w:tcBorders/>
            <w:shd w:fill="FFFFFF" w:val="clear"/>
            <w:vAlign w:val="center"/>
          </w:tcPr>
          <w:p>
            <w:pPr>
              <w:pStyle w:val="TableContents"/>
              <w:bidi w:val="0"/>
              <w:spacing w:before="0" w:after="283"/>
              <w:jc w:val="right"/>
              <w:rPr/>
            </w:pPr>
            <w:r>
              <w:rPr>
                <w:strike/>
                <w:color w:val="FF0000"/>
                <w:sz w:val="20"/>
              </w:rPr>
              <w:t>59</w:t>
            </w:r>
            <w:r>
              <w:rPr>
                <w:color w:val="0000FF"/>
                <w:sz w:val="20"/>
                <w:u w:val="single"/>
              </w:rPr>
              <w:t>66</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4.6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Sharing of Payments by Lenders</w:t>
            </w:r>
          </w:p>
        </w:tc>
        <w:tc>
          <w:tcPr>
            <w:tcW w:w="440" w:type="dxa"/>
            <w:tcBorders/>
            <w:shd w:fill="CCEEFF" w:val="clear"/>
            <w:vAlign w:val="center"/>
          </w:tcPr>
          <w:p>
            <w:pPr>
              <w:pStyle w:val="TableContents"/>
              <w:bidi w:val="0"/>
              <w:spacing w:before="0" w:after="283"/>
              <w:jc w:val="right"/>
              <w:rPr/>
            </w:pPr>
            <w:r>
              <w:rPr>
                <w:strike/>
                <w:color w:val="FF0000"/>
                <w:sz w:val="20"/>
              </w:rPr>
              <w:t>60</w:t>
            </w:r>
            <w:r>
              <w:rPr>
                <w:color w:val="0000FF"/>
                <w:sz w:val="20"/>
                <w:u w:val="single"/>
              </w:rPr>
              <w:t>67</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4.7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Agent’s Clawback</w:t>
            </w:r>
            <w:r>
              <w:rPr>
                <w:rFonts w:ascii="Times New Roman;Times;Serif" w:hAnsi="Times New Roman;Times;Serif"/>
                <w:color w:val="0000FF"/>
                <w:sz w:val="20"/>
                <w:u w:val="single"/>
              </w:rPr>
              <w:t>.</w:t>
            </w:r>
          </w:p>
        </w:tc>
        <w:tc>
          <w:tcPr>
            <w:tcW w:w="440" w:type="dxa"/>
            <w:tcBorders/>
            <w:shd w:fill="FFFFFF" w:val="clear"/>
            <w:vAlign w:val="center"/>
          </w:tcPr>
          <w:p>
            <w:pPr>
              <w:pStyle w:val="TableContents"/>
              <w:bidi w:val="0"/>
              <w:spacing w:before="0" w:after="283"/>
              <w:jc w:val="right"/>
              <w:rPr/>
            </w:pPr>
            <w:r>
              <w:rPr>
                <w:strike/>
                <w:color w:val="FF0000"/>
                <w:sz w:val="20"/>
              </w:rPr>
              <w:t>60</w:t>
            </w:r>
            <w:r>
              <w:rPr>
                <w:color w:val="0000FF"/>
                <w:sz w:val="20"/>
                <w:u w:val="single"/>
              </w:rPr>
              <w:t>68</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4.8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Changed Circumstances</w:t>
            </w:r>
            <w:r>
              <w:rPr>
                <w:rFonts w:ascii="Times New Roman;Times;Serif" w:hAnsi="Times New Roman;Times;Serif"/>
                <w:color w:val="0000FF"/>
                <w:sz w:val="20"/>
                <w:u w:val="single"/>
              </w:rPr>
              <w:t>.</w:t>
            </w:r>
          </w:p>
        </w:tc>
        <w:tc>
          <w:tcPr>
            <w:tcW w:w="440" w:type="dxa"/>
            <w:tcBorders/>
            <w:shd w:fill="CCEEFF" w:val="clear"/>
            <w:vAlign w:val="center"/>
          </w:tcPr>
          <w:p>
            <w:pPr>
              <w:pStyle w:val="TableContents"/>
              <w:bidi w:val="0"/>
              <w:spacing w:before="0" w:after="283"/>
              <w:jc w:val="right"/>
              <w:rPr/>
            </w:pPr>
            <w:r>
              <w:rPr>
                <w:strike/>
                <w:color w:val="FF0000"/>
                <w:sz w:val="20"/>
              </w:rPr>
              <w:t>61</w:t>
            </w:r>
            <w:r>
              <w:rPr>
                <w:color w:val="0000FF"/>
                <w:sz w:val="20"/>
                <w:u w:val="single"/>
              </w:rPr>
              <w:t>69</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4.9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440" w:type="dxa"/>
            <w:tcBorders/>
            <w:shd w:fill="FFFFFF" w:val="clear"/>
            <w:vAlign w:val="center"/>
          </w:tcPr>
          <w:p>
            <w:pPr>
              <w:pStyle w:val="TableContents"/>
              <w:bidi w:val="0"/>
              <w:spacing w:before="0" w:after="283"/>
              <w:jc w:val="right"/>
              <w:rPr/>
            </w:pPr>
            <w:r>
              <w:rPr>
                <w:strike/>
                <w:color w:val="FF0000"/>
                <w:sz w:val="20"/>
              </w:rPr>
              <w:t>64</w:t>
            </w:r>
            <w:r>
              <w:rPr>
                <w:color w:val="0000FF"/>
                <w:sz w:val="20"/>
                <w:u w:val="single"/>
              </w:rPr>
              <w:t>71</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4.10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w:t>
            </w:r>
            <w:r>
              <w:rPr>
                <w:rFonts w:ascii="Times New Roman;Times;Serif" w:hAnsi="Times New Roman;Times;Serif"/>
                <w:color w:val="0000FF"/>
                <w:sz w:val="20"/>
                <w:u w:val="single"/>
              </w:rPr>
              <w:t>.</w:t>
            </w:r>
          </w:p>
        </w:tc>
        <w:tc>
          <w:tcPr>
            <w:tcW w:w="440" w:type="dxa"/>
            <w:tcBorders/>
            <w:shd w:fill="CCEEFF" w:val="clear"/>
            <w:vAlign w:val="center"/>
          </w:tcPr>
          <w:p>
            <w:pPr>
              <w:pStyle w:val="TableContents"/>
              <w:bidi w:val="0"/>
              <w:spacing w:before="0" w:after="283"/>
              <w:jc w:val="right"/>
              <w:rPr/>
            </w:pPr>
            <w:r>
              <w:rPr>
                <w:strike/>
                <w:color w:val="FF0000"/>
                <w:sz w:val="20"/>
              </w:rPr>
              <w:t>64</w:t>
            </w:r>
            <w:r>
              <w:rPr>
                <w:color w:val="0000FF"/>
                <w:sz w:val="20"/>
                <w:u w:val="single"/>
              </w:rPr>
              <w:t>72</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4.11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r>
              <w:rPr>
                <w:rFonts w:ascii="Times New Roman;Times;Serif" w:hAnsi="Times New Roman;Times;Serif"/>
                <w:color w:val="0000FF"/>
                <w:sz w:val="20"/>
                <w:u w:val="single"/>
              </w:rPr>
              <w:t>.</w:t>
            </w:r>
          </w:p>
        </w:tc>
        <w:tc>
          <w:tcPr>
            <w:tcW w:w="440" w:type="dxa"/>
            <w:tcBorders/>
            <w:shd w:fill="FFFFFF" w:val="clear"/>
            <w:vAlign w:val="center"/>
          </w:tcPr>
          <w:p>
            <w:pPr>
              <w:pStyle w:val="TableContents"/>
              <w:bidi w:val="0"/>
              <w:spacing w:before="0" w:after="283"/>
              <w:jc w:val="right"/>
              <w:rPr/>
            </w:pPr>
            <w:r>
              <w:rPr>
                <w:strike/>
                <w:color w:val="FF0000"/>
                <w:sz w:val="20"/>
              </w:rPr>
              <w:t>66</w:t>
            </w:r>
            <w:r>
              <w:rPr>
                <w:color w:val="0000FF"/>
                <w:sz w:val="20"/>
                <w:u w:val="single"/>
              </w:rPr>
              <w:t>73</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4.12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Obligations; Replacement of Lenders</w:t>
            </w:r>
          </w:p>
        </w:tc>
        <w:tc>
          <w:tcPr>
            <w:tcW w:w="440" w:type="dxa"/>
            <w:tcBorders/>
            <w:shd w:fill="CCEEFF" w:val="clear"/>
            <w:vAlign w:val="center"/>
          </w:tcPr>
          <w:p>
            <w:pPr>
              <w:pStyle w:val="TableContents"/>
              <w:bidi w:val="0"/>
              <w:spacing w:before="0" w:after="283"/>
              <w:jc w:val="right"/>
              <w:rPr/>
            </w:pPr>
            <w:r>
              <w:rPr>
                <w:strike/>
                <w:color w:val="FF0000"/>
                <w:sz w:val="20"/>
              </w:rPr>
              <w:t>69</w:t>
            </w:r>
            <w:r>
              <w:rPr>
                <w:color w:val="0000FF"/>
                <w:sz w:val="20"/>
                <w:u w:val="single"/>
              </w:rPr>
              <w:t>76</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Incremental Increases</w:t>
            </w:r>
            <w:r>
              <w:rPr>
                <w:rFonts w:ascii="Times New Roman;Times;Serif" w:hAnsi="Times New Roman;Times;Serif"/>
                <w:color w:val="0000FF"/>
                <w:sz w:val="20"/>
                <w:u w:val="single"/>
              </w:rPr>
              <w:t>.</w:t>
            </w:r>
          </w:p>
        </w:tc>
        <w:tc>
          <w:tcPr>
            <w:tcW w:w="440" w:type="dxa"/>
            <w:tcBorders/>
            <w:shd w:fill="FFFFFF" w:val="clear"/>
            <w:vAlign w:val="center"/>
          </w:tcPr>
          <w:p>
            <w:pPr>
              <w:pStyle w:val="TableContents"/>
              <w:bidi w:val="0"/>
              <w:spacing w:before="0" w:after="283"/>
              <w:jc w:val="right"/>
              <w:rPr/>
            </w:pPr>
            <w:r>
              <w:rPr>
                <w:strike/>
                <w:color w:val="FF0000"/>
                <w:sz w:val="20"/>
              </w:rPr>
              <w:t>70</w:t>
            </w:r>
            <w:r>
              <w:rPr>
                <w:color w:val="0000FF"/>
                <w:sz w:val="20"/>
                <w:u w:val="single"/>
              </w:rPr>
              <w:t>78</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4.14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Collateral</w:t>
            </w:r>
          </w:p>
        </w:tc>
        <w:tc>
          <w:tcPr>
            <w:tcW w:w="440" w:type="dxa"/>
            <w:tcBorders/>
            <w:shd w:fill="CCEEFF" w:val="clear"/>
            <w:vAlign w:val="center"/>
          </w:tcPr>
          <w:p>
            <w:pPr>
              <w:pStyle w:val="TableContents"/>
              <w:bidi w:val="0"/>
              <w:spacing w:before="0" w:after="283"/>
              <w:jc w:val="right"/>
              <w:rPr/>
            </w:pPr>
            <w:r>
              <w:rPr>
                <w:strike/>
                <w:color w:val="FF0000"/>
                <w:sz w:val="20"/>
              </w:rPr>
              <w:t>73</w:t>
            </w:r>
            <w:r>
              <w:rPr>
                <w:color w:val="0000FF"/>
                <w:sz w:val="20"/>
                <w:u w:val="single"/>
              </w:rPr>
              <w:t>81</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4.15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Lenders</w:t>
            </w:r>
          </w:p>
        </w:tc>
        <w:tc>
          <w:tcPr>
            <w:tcW w:w="440" w:type="dxa"/>
            <w:tcBorders/>
            <w:shd w:fill="FFFFFF" w:val="clear"/>
            <w:vAlign w:val="center"/>
          </w:tcPr>
          <w:p>
            <w:pPr>
              <w:pStyle w:val="TableContents"/>
              <w:bidi w:val="0"/>
              <w:spacing w:before="0" w:after="283"/>
              <w:jc w:val="right"/>
              <w:rPr/>
            </w:pPr>
            <w:r>
              <w:rPr>
                <w:strike/>
                <w:color w:val="FF0000"/>
                <w:sz w:val="20"/>
              </w:rPr>
              <w:t>74</w:t>
            </w:r>
            <w:r>
              <w:rPr>
                <w:color w:val="0000FF"/>
                <w:sz w:val="20"/>
                <w:u w:val="single"/>
              </w:rPr>
              <w:t>81</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4.16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and Several Liability of Borrowers</w:t>
            </w:r>
            <w:r>
              <w:rPr>
                <w:rFonts w:ascii="Times New Roman;Times;Serif" w:hAnsi="Times New Roman;Times;Serif"/>
                <w:color w:val="0000FF"/>
                <w:sz w:val="20"/>
                <w:u w:val="single"/>
              </w:rPr>
              <w:t>.</w:t>
            </w:r>
          </w:p>
        </w:tc>
        <w:tc>
          <w:tcPr>
            <w:tcW w:w="440" w:type="dxa"/>
            <w:tcBorders/>
            <w:shd w:fill="CCEEFF" w:val="clear"/>
            <w:vAlign w:val="center"/>
          </w:tcPr>
          <w:p>
            <w:pPr>
              <w:pStyle w:val="TableContents"/>
              <w:bidi w:val="0"/>
              <w:spacing w:before="0" w:after="283"/>
              <w:jc w:val="right"/>
              <w:rPr/>
            </w:pPr>
            <w:r>
              <w:rPr>
                <w:strike/>
                <w:color w:val="FF0000"/>
                <w:sz w:val="20"/>
              </w:rPr>
              <w:t>76</w:t>
            </w:r>
            <w:r>
              <w:rPr>
                <w:color w:val="0000FF"/>
                <w:sz w:val="20"/>
                <w:u w:val="single"/>
              </w:rPr>
              <w:t>83</w:t>
            </w:r>
          </w:p>
        </w:tc>
      </w:tr>
      <w:tr>
        <w:trPr/>
        <w:tc>
          <w:tcPr>
            <w:tcW w:w="60" w:type="dxa"/>
            <w:tcBorders/>
            <w:shd w:fill="FFFFFF" w:val="clear"/>
            <w:vAlign w:val="center"/>
          </w:tcPr>
          <w:p>
            <w:pPr>
              <w:pStyle w:val="TableContents"/>
              <w:bidi w:val="0"/>
              <w:spacing w:before="0" w:after="283"/>
              <w:jc w:val="left"/>
              <w:rPr/>
            </w:pPr>
            <w:r>
              <w:rPr/>
              <w:t> </w:t>
            </w:r>
          </w:p>
        </w:tc>
        <w:tc>
          <w:tcPr>
            <w:tcW w:w="7390" w:type="dxa"/>
            <w:gridSpan w:val="2"/>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7450"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Conditions of Closing and Borrowing</w:t>
            </w:r>
          </w:p>
        </w:tc>
        <w:tc>
          <w:tcPr>
            <w:tcW w:w="440" w:type="dxa"/>
            <w:tcBorders/>
            <w:shd w:fill="CCEEFF" w:val="clear"/>
            <w:vAlign w:val="center"/>
          </w:tcPr>
          <w:p>
            <w:pPr>
              <w:pStyle w:val="TableContents"/>
              <w:bidi w:val="0"/>
              <w:spacing w:before="0" w:after="283"/>
              <w:jc w:val="right"/>
              <w:rPr/>
            </w:pPr>
            <w:r>
              <w:rPr>
                <w:strike/>
                <w:color w:val="FF0000"/>
                <w:sz w:val="20"/>
              </w:rPr>
              <w:t>80</w:t>
            </w:r>
            <w:r>
              <w:rPr>
                <w:color w:val="0000FF"/>
                <w:sz w:val="20"/>
                <w:u w:val="single"/>
              </w:rPr>
              <w:t>87</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Closing and Initial Extensions of Credit</w:t>
            </w:r>
          </w:p>
        </w:tc>
        <w:tc>
          <w:tcPr>
            <w:tcW w:w="440" w:type="dxa"/>
            <w:tcBorders/>
            <w:shd w:fill="FFFFFF" w:val="clear"/>
            <w:vAlign w:val="center"/>
          </w:tcPr>
          <w:p>
            <w:pPr>
              <w:pStyle w:val="TableContents"/>
              <w:bidi w:val="0"/>
              <w:spacing w:before="0" w:after="283"/>
              <w:jc w:val="right"/>
              <w:rPr/>
            </w:pPr>
            <w:r>
              <w:rPr>
                <w:strike/>
                <w:color w:val="FF0000"/>
                <w:sz w:val="20"/>
              </w:rPr>
              <w:t>80</w:t>
            </w:r>
            <w:r>
              <w:rPr>
                <w:color w:val="0000FF"/>
                <w:sz w:val="20"/>
                <w:u w:val="single"/>
              </w:rPr>
              <w:t>87</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5.2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All Extensions of Credit</w:t>
            </w:r>
          </w:p>
        </w:tc>
        <w:tc>
          <w:tcPr>
            <w:tcW w:w="440" w:type="dxa"/>
            <w:tcBorders/>
            <w:shd w:fill="CCEEFF" w:val="clear"/>
            <w:vAlign w:val="center"/>
          </w:tcPr>
          <w:p>
            <w:pPr>
              <w:pStyle w:val="TableContents"/>
              <w:bidi w:val="0"/>
              <w:spacing w:before="0" w:after="283"/>
              <w:jc w:val="right"/>
              <w:rPr/>
            </w:pPr>
            <w:r>
              <w:rPr>
                <w:strike/>
                <w:color w:val="FF0000"/>
                <w:sz w:val="20"/>
              </w:rPr>
              <w:t>84</w:t>
            </w:r>
            <w:r>
              <w:rPr>
                <w:color w:val="0000FF"/>
                <w:sz w:val="20"/>
                <w:u w:val="single"/>
              </w:rPr>
              <w:t>91</w:t>
            </w:r>
          </w:p>
        </w:tc>
      </w:tr>
      <w:tr>
        <w:trPr/>
        <w:tc>
          <w:tcPr>
            <w:tcW w:w="60" w:type="dxa"/>
            <w:tcBorders/>
            <w:shd w:fill="FFFFFF" w:val="clear"/>
            <w:vAlign w:val="center"/>
          </w:tcPr>
          <w:p>
            <w:pPr>
              <w:pStyle w:val="TableContents"/>
              <w:bidi w:val="0"/>
              <w:spacing w:before="0" w:after="283"/>
              <w:jc w:val="left"/>
              <w:rPr/>
            </w:pPr>
            <w:r>
              <w:rPr/>
              <w:t> </w:t>
            </w:r>
          </w:p>
        </w:tc>
        <w:tc>
          <w:tcPr>
            <w:tcW w:w="7390" w:type="dxa"/>
            <w:gridSpan w:val="2"/>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7450"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Representations and Warranties of the Credit Parties</w:t>
            </w:r>
          </w:p>
        </w:tc>
        <w:tc>
          <w:tcPr>
            <w:tcW w:w="440" w:type="dxa"/>
            <w:tcBorders/>
            <w:shd w:fill="CCEEFF" w:val="clear"/>
            <w:vAlign w:val="center"/>
          </w:tcPr>
          <w:p>
            <w:pPr>
              <w:pStyle w:val="TableContents"/>
              <w:bidi w:val="0"/>
              <w:spacing w:before="0" w:after="283"/>
              <w:jc w:val="right"/>
              <w:rPr/>
            </w:pPr>
            <w:r>
              <w:rPr>
                <w:strike/>
                <w:color w:val="FF0000"/>
                <w:sz w:val="20"/>
              </w:rPr>
              <w:t>85</w:t>
            </w:r>
            <w:r>
              <w:rPr>
                <w:color w:val="0000FF"/>
                <w:sz w:val="20"/>
                <w:u w:val="single"/>
              </w:rPr>
              <w:t>92</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Power; Qualification</w:t>
            </w:r>
          </w:p>
        </w:tc>
        <w:tc>
          <w:tcPr>
            <w:tcW w:w="440" w:type="dxa"/>
            <w:tcBorders/>
            <w:shd w:fill="FFFFFF" w:val="clear"/>
            <w:vAlign w:val="center"/>
          </w:tcPr>
          <w:p>
            <w:pPr>
              <w:pStyle w:val="TableContents"/>
              <w:bidi w:val="0"/>
              <w:spacing w:before="0" w:after="283"/>
              <w:jc w:val="right"/>
              <w:rPr/>
            </w:pPr>
            <w:r>
              <w:rPr>
                <w:strike/>
                <w:color w:val="FF0000"/>
                <w:sz w:val="20"/>
              </w:rPr>
              <w:t>85</w:t>
            </w:r>
            <w:r>
              <w:rPr>
                <w:color w:val="0000FF"/>
                <w:sz w:val="20"/>
                <w:u w:val="single"/>
              </w:rPr>
              <w:t>92</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6.2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w:t>
            </w:r>
          </w:p>
        </w:tc>
        <w:tc>
          <w:tcPr>
            <w:tcW w:w="440" w:type="dxa"/>
            <w:tcBorders/>
            <w:shd w:fill="CCEEFF" w:val="clear"/>
            <w:vAlign w:val="center"/>
          </w:tcPr>
          <w:p>
            <w:pPr>
              <w:pStyle w:val="TableContents"/>
              <w:bidi w:val="0"/>
              <w:spacing w:before="0" w:after="283"/>
              <w:jc w:val="right"/>
              <w:rPr/>
            </w:pPr>
            <w:r>
              <w:rPr>
                <w:strike/>
                <w:color w:val="FF0000"/>
                <w:sz w:val="20"/>
              </w:rPr>
              <w:t>85</w:t>
            </w:r>
            <w:r>
              <w:rPr>
                <w:color w:val="0000FF"/>
                <w:sz w:val="20"/>
                <w:u w:val="single"/>
              </w:rPr>
              <w:t>93</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6.3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Enforceability</w:t>
            </w:r>
          </w:p>
        </w:tc>
        <w:tc>
          <w:tcPr>
            <w:tcW w:w="440" w:type="dxa"/>
            <w:tcBorders/>
            <w:shd w:fill="FFFFFF" w:val="clear"/>
            <w:vAlign w:val="center"/>
          </w:tcPr>
          <w:p>
            <w:pPr>
              <w:pStyle w:val="TableContents"/>
              <w:bidi w:val="0"/>
              <w:spacing w:before="0" w:after="283"/>
              <w:jc w:val="right"/>
              <w:rPr/>
            </w:pPr>
            <w:r>
              <w:rPr>
                <w:strike/>
                <w:color w:val="FF0000"/>
                <w:sz w:val="20"/>
              </w:rPr>
              <w:t>86</w:t>
            </w:r>
            <w:r>
              <w:rPr>
                <w:color w:val="0000FF"/>
                <w:sz w:val="20"/>
                <w:u w:val="single"/>
              </w:rPr>
              <w:t>93</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6.4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of Agreement, Loan Documents and Borrowing with Laws, Etc</w:t>
            </w:r>
          </w:p>
        </w:tc>
        <w:tc>
          <w:tcPr>
            <w:tcW w:w="440" w:type="dxa"/>
            <w:tcBorders/>
            <w:shd w:fill="CCEEFF" w:val="clear"/>
            <w:vAlign w:val="center"/>
          </w:tcPr>
          <w:p>
            <w:pPr>
              <w:pStyle w:val="TableContents"/>
              <w:bidi w:val="0"/>
              <w:spacing w:before="0" w:after="283"/>
              <w:jc w:val="right"/>
              <w:rPr/>
            </w:pPr>
            <w:r>
              <w:rPr>
                <w:strike/>
                <w:color w:val="FF0000"/>
                <w:sz w:val="20"/>
              </w:rPr>
              <w:t>86</w:t>
            </w:r>
            <w:r>
              <w:rPr>
                <w:color w:val="0000FF"/>
                <w:sz w:val="20"/>
                <w:u w:val="single"/>
              </w:rPr>
              <w:t>93</w:t>
            </w:r>
          </w:p>
        </w:tc>
      </w:tr>
      <w:tr>
        <w:trPr/>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6.5 </w:t>
            </w:r>
          </w:p>
        </w:tc>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 Governmental Approvals</w:t>
            </w:r>
          </w:p>
        </w:tc>
        <w:tc>
          <w:tcPr>
            <w:tcW w:w="440" w:type="dxa"/>
            <w:tcBorders/>
            <w:shd w:fill="FFFFFF" w:val="clear"/>
            <w:vAlign w:val="center"/>
          </w:tcPr>
          <w:p>
            <w:pPr>
              <w:pStyle w:val="TableContents"/>
              <w:bidi w:val="0"/>
              <w:spacing w:before="0" w:after="283"/>
              <w:jc w:val="right"/>
              <w:rPr/>
            </w:pPr>
            <w:r>
              <w:rPr>
                <w:strike/>
                <w:color w:val="FF0000"/>
                <w:sz w:val="20"/>
              </w:rPr>
              <w:t>86</w:t>
            </w:r>
            <w:r>
              <w:rPr>
                <w:color w:val="0000FF"/>
                <w:sz w:val="20"/>
                <w:u w:val="single"/>
              </w:rPr>
              <w:t>93</w:t>
            </w:r>
          </w:p>
        </w:tc>
      </w:tr>
      <w:tr>
        <w:trPr/>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6.6 </w:t>
            </w:r>
          </w:p>
        </w:tc>
        <w:tc>
          <w:tcPr>
            <w:tcW w:w="6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Returns and Payments</w:t>
            </w:r>
          </w:p>
        </w:tc>
        <w:tc>
          <w:tcPr>
            <w:tcW w:w="440" w:type="dxa"/>
            <w:tcBorders/>
            <w:shd w:fill="CCEEFF" w:val="clear"/>
            <w:vAlign w:val="center"/>
          </w:tcPr>
          <w:p>
            <w:pPr>
              <w:pStyle w:val="TableContents"/>
              <w:bidi w:val="0"/>
              <w:spacing w:before="0" w:after="283"/>
              <w:jc w:val="right"/>
              <w:rPr/>
            </w:pPr>
            <w:r>
              <w:rPr>
                <w:strike/>
                <w:color w:val="FF0000"/>
                <w:sz w:val="20"/>
              </w:rPr>
              <w:t>86</w:t>
            </w:r>
            <w:r>
              <w:rPr>
                <w:color w:val="0000FF"/>
                <w:sz w:val="20"/>
                <w:u w:val="single"/>
              </w:rPr>
              <w:t>94</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TABLE OF CONTENTS</w:t>
      </w:r>
    </w:p>
    <w:p>
      <w:pPr>
        <w:pStyle w:val="TextBody"/>
        <w:bidi w:val="0"/>
        <w:jc w:val="center"/>
        <w:rPr>
          <w:sz w:val="20"/>
        </w:rPr>
      </w:pPr>
      <w:r>
        <w:rPr>
          <w:sz w:val="20"/>
        </w:rPr>
        <w:t>(continued)</w:t>
      </w:r>
    </w:p>
    <w:p>
      <w:pPr>
        <w:pStyle w:val="TextBody"/>
        <w:bidi w:val="0"/>
        <w:spacing w:before="0" w:after="283"/>
        <w:jc w:val="left"/>
        <w:rPr/>
      </w:pPr>
      <w:r>
        <w:rPr/>
        <w:t> </w:t>
      </w:r>
    </w:p>
    <w:tbl>
      <w:tblPr>
        <w:tblW w:w="7755" w:type="dxa"/>
        <w:jc w:val="left"/>
        <w:tblInd w:w="0" w:type="dxa"/>
        <w:tblLayout w:type="fixed"/>
        <w:tblCellMar>
          <w:top w:w="0" w:type="dxa"/>
          <w:left w:w="0" w:type="dxa"/>
          <w:bottom w:w="0" w:type="dxa"/>
          <w:right w:w="0" w:type="dxa"/>
        </w:tblCellMar>
      </w:tblPr>
      <w:tblGrid>
        <w:gridCol w:w="60"/>
        <w:gridCol w:w="1595"/>
        <w:gridCol w:w="5555"/>
        <w:gridCol w:w="545"/>
      </w:tblGrid>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5555" w:type="dxa"/>
            <w:tcBorders/>
            <w:shd w:fill="FFFFFF" w:val="cle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Page</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555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6.7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Matters</w:t>
            </w:r>
          </w:p>
        </w:tc>
        <w:tc>
          <w:tcPr>
            <w:tcW w:w="545" w:type="dxa"/>
            <w:tcBorders/>
            <w:shd w:fill="CCEEFF" w:val="clear"/>
            <w:vAlign w:val="center"/>
          </w:tcPr>
          <w:p>
            <w:pPr>
              <w:pStyle w:val="TableContents"/>
              <w:bidi w:val="0"/>
              <w:spacing w:before="0" w:after="283"/>
              <w:jc w:val="right"/>
              <w:rPr/>
            </w:pPr>
            <w:r>
              <w:rPr>
                <w:strike/>
                <w:color w:val="FF0000"/>
                <w:sz w:val="20"/>
              </w:rPr>
              <w:t>87</w:t>
            </w:r>
            <w:r>
              <w:rPr>
                <w:color w:val="0000FF"/>
                <w:sz w:val="20"/>
                <w:u w:val="single"/>
              </w:rPr>
              <w:t>94</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6.8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545" w:type="dxa"/>
            <w:tcBorders/>
            <w:shd w:fill="FFFFFF" w:val="clear"/>
            <w:vAlign w:val="center"/>
          </w:tcPr>
          <w:p>
            <w:pPr>
              <w:pStyle w:val="TableContents"/>
              <w:bidi w:val="0"/>
              <w:spacing w:before="0" w:after="283"/>
              <w:jc w:val="right"/>
              <w:rPr/>
            </w:pPr>
            <w:r>
              <w:rPr>
                <w:strike/>
                <w:color w:val="FF0000"/>
                <w:sz w:val="20"/>
              </w:rPr>
              <w:t>87</w:t>
            </w:r>
            <w:r>
              <w:rPr>
                <w:color w:val="0000FF"/>
                <w:sz w:val="20"/>
                <w:u w:val="single"/>
              </w:rPr>
              <w:t>94</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6.9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Matters</w:t>
            </w:r>
            <w:r>
              <w:rPr>
                <w:rFonts w:ascii="Times New Roman;Times;Serif" w:hAnsi="Times New Roman;Times;Serif"/>
                <w:color w:val="0000FF"/>
                <w:sz w:val="20"/>
                <w:u w:val="single"/>
              </w:rPr>
              <w:t>.</w:t>
            </w:r>
          </w:p>
        </w:tc>
        <w:tc>
          <w:tcPr>
            <w:tcW w:w="545" w:type="dxa"/>
            <w:tcBorders/>
            <w:shd w:fill="CCEEFF" w:val="clear"/>
            <w:vAlign w:val="center"/>
          </w:tcPr>
          <w:p>
            <w:pPr>
              <w:pStyle w:val="TableContents"/>
              <w:bidi w:val="0"/>
              <w:spacing w:before="0" w:after="283"/>
              <w:jc w:val="right"/>
              <w:rPr/>
            </w:pPr>
            <w:r>
              <w:rPr>
                <w:strike/>
                <w:color w:val="FF0000"/>
                <w:sz w:val="20"/>
              </w:rPr>
              <w:t>88</w:t>
            </w:r>
            <w:r>
              <w:rPr>
                <w:color w:val="0000FF"/>
                <w:sz w:val="20"/>
                <w:u w:val="single"/>
              </w:rPr>
              <w:t>95</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6.10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Margin Stock</w:t>
            </w:r>
          </w:p>
        </w:tc>
        <w:tc>
          <w:tcPr>
            <w:tcW w:w="545" w:type="dxa"/>
            <w:tcBorders/>
            <w:shd w:fill="FFFFFF" w:val="clear"/>
            <w:vAlign w:val="center"/>
          </w:tcPr>
          <w:p>
            <w:pPr>
              <w:pStyle w:val="TableContents"/>
              <w:bidi w:val="0"/>
              <w:spacing w:before="0" w:after="283"/>
              <w:jc w:val="right"/>
              <w:rPr/>
            </w:pPr>
            <w:r>
              <w:rPr>
                <w:strike/>
                <w:color w:val="FF0000"/>
                <w:sz w:val="20"/>
              </w:rPr>
              <w:t>89</w:t>
            </w:r>
            <w:r>
              <w:rPr>
                <w:color w:val="0000FF"/>
                <w:sz w:val="20"/>
                <w:u w:val="single"/>
              </w:rPr>
              <w:t>96</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6.11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 Regulation</w:t>
            </w:r>
          </w:p>
        </w:tc>
        <w:tc>
          <w:tcPr>
            <w:tcW w:w="545" w:type="dxa"/>
            <w:tcBorders/>
            <w:shd w:fill="CCEEFF" w:val="clear"/>
            <w:vAlign w:val="center"/>
          </w:tcPr>
          <w:p>
            <w:pPr>
              <w:pStyle w:val="TableContents"/>
              <w:bidi w:val="0"/>
              <w:spacing w:before="0" w:after="283"/>
              <w:jc w:val="right"/>
              <w:rPr/>
            </w:pPr>
            <w:r>
              <w:rPr>
                <w:strike/>
                <w:color w:val="FF0000"/>
                <w:sz w:val="20"/>
              </w:rPr>
              <w:t>89</w:t>
            </w:r>
            <w:r>
              <w:rPr>
                <w:color w:val="0000FF"/>
                <w:sz w:val="20"/>
                <w:u w:val="single"/>
              </w:rPr>
              <w:t>96</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6.12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545" w:type="dxa"/>
            <w:tcBorders/>
            <w:shd w:fill="FFFFFF" w:val="clear"/>
            <w:vAlign w:val="center"/>
          </w:tcPr>
          <w:p>
            <w:pPr>
              <w:pStyle w:val="TableContents"/>
              <w:bidi w:val="0"/>
              <w:spacing w:before="0" w:after="283"/>
              <w:jc w:val="right"/>
              <w:rPr/>
            </w:pPr>
            <w:r>
              <w:rPr>
                <w:strike/>
                <w:color w:val="FF0000"/>
                <w:sz w:val="20"/>
              </w:rPr>
              <w:t>89</w:t>
            </w:r>
            <w:r>
              <w:rPr>
                <w:color w:val="0000FF"/>
                <w:sz w:val="20"/>
                <w:u w:val="single"/>
              </w:rPr>
              <w:t>96</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Relations</w:t>
            </w:r>
          </w:p>
        </w:tc>
        <w:tc>
          <w:tcPr>
            <w:tcW w:w="545" w:type="dxa"/>
            <w:tcBorders/>
            <w:shd w:fill="CCEEFF" w:val="clear"/>
            <w:vAlign w:val="center"/>
          </w:tcPr>
          <w:p>
            <w:pPr>
              <w:pStyle w:val="TableContents"/>
              <w:bidi w:val="0"/>
              <w:spacing w:before="0" w:after="283"/>
              <w:jc w:val="right"/>
              <w:rPr/>
            </w:pPr>
            <w:r>
              <w:rPr>
                <w:strike/>
                <w:color w:val="FF0000"/>
                <w:sz w:val="20"/>
              </w:rPr>
              <w:t>89</w:t>
            </w:r>
            <w:r>
              <w:rPr>
                <w:color w:val="0000FF"/>
                <w:sz w:val="20"/>
                <w:u w:val="single"/>
              </w:rPr>
              <w:t>97</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545" w:type="dxa"/>
            <w:tcBorders/>
            <w:shd w:fill="FFFFFF" w:val="clear"/>
            <w:vAlign w:val="center"/>
          </w:tcPr>
          <w:p>
            <w:pPr>
              <w:pStyle w:val="TableContents"/>
              <w:bidi w:val="0"/>
              <w:spacing w:before="0" w:after="283"/>
              <w:jc w:val="right"/>
              <w:rPr/>
            </w:pPr>
            <w:r>
              <w:rPr>
                <w:strike/>
                <w:color w:val="FF0000"/>
                <w:sz w:val="20"/>
              </w:rPr>
              <w:t>90</w:t>
            </w:r>
            <w:r>
              <w:rPr>
                <w:color w:val="0000FF"/>
                <w:sz w:val="20"/>
                <w:u w:val="single"/>
              </w:rPr>
              <w:t>97</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6.15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Adverse Change</w:t>
            </w:r>
          </w:p>
        </w:tc>
        <w:tc>
          <w:tcPr>
            <w:tcW w:w="545" w:type="dxa"/>
            <w:tcBorders/>
            <w:shd w:fill="CCEEFF" w:val="clear"/>
            <w:vAlign w:val="center"/>
          </w:tcPr>
          <w:p>
            <w:pPr>
              <w:pStyle w:val="TableContents"/>
              <w:bidi w:val="0"/>
              <w:spacing w:before="0" w:after="283"/>
              <w:jc w:val="right"/>
              <w:rPr/>
            </w:pPr>
            <w:r>
              <w:rPr>
                <w:strike/>
                <w:color w:val="FF0000"/>
                <w:sz w:val="20"/>
              </w:rPr>
              <w:t>90</w:t>
            </w:r>
            <w:r>
              <w:rPr>
                <w:color w:val="0000FF"/>
                <w:sz w:val="20"/>
                <w:u w:val="single"/>
              </w:rPr>
              <w:t>97</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6.16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545" w:type="dxa"/>
            <w:tcBorders/>
            <w:shd w:fill="FFFFFF" w:val="clear"/>
            <w:vAlign w:val="center"/>
          </w:tcPr>
          <w:p>
            <w:pPr>
              <w:pStyle w:val="TableContents"/>
              <w:bidi w:val="0"/>
              <w:spacing w:before="0" w:after="283"/>
              <w:jc w:val="right"/>
              <w:rPr/>
            </w:pPr>
            <w:r>
              <w:rPr>
                <w:strike/>
                <w:color w:val="FF0000"/>
                <w:sz w:val="20"/>
              </w:rPr>
              <w:t>90</w:t>
            </w:r>
            <w:r>
              <w:rPr>
                <w:color w:val="0000FF"/>
                <w:sz w:val="20"/>
                <w:u w:val="single"/>
              </w:rPr>
              <w:t>97</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6.17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Properties</w:t>
            </w:r>
          </w:p>
        </w:tc>
        <w:tc>
          <w:tcPr>
            <w:tcW w:w="545" w:type="dxa"/>
            <w:tcBorders/>
            <w:shd w:fill="CCEEFF" w:val="clear"/>
            <w:vAlign w:val="center"/>
          </w:tcPr>
          <w:p>
            <w:pPr>
              <w:pStyle w:val="TableContents"/>
              <w:bidi w:val="0"/>
              <w:spacing w:before="0" w:after="283"/>
              <w:jc w:val="right"/>
              <w:rPr/>
            </w:pPr>
            <w:r>
              <w:rPr>
                <w:strike/>
                <w:color w:val="FF0000"/>
                <w:sz w:val="20"/>
              </w:rPr>
              <w:t>90</w:t>
            </w:r>
            <w:r>
              <w:rPr>
                <w:color w:val="0000FF"/>
                <w:sz w:val="20"/>
                <w:u w:val="single"/>
              </w:rPr>
              <w:t>97</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6.18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45" w:type="dxa"/>
            <w:tcBorders/>
            <w:shd w:fill="FFFFFF" w:val="clear"/>
            <w:vAlign w:val="center"/>
          </w:tcPr>
          <w:p>
            <w:pPr>
              <w:pStyle w:val="TableContents"/>
              <w:bidi w:val="0"/>
              <w:spacing w:before="0" w:after="283"/>
              <w:jc w:val="right"/>
              <w:rPr/>
            </w:pPr>
            <w:r>
              <w:rPr>
                <w:strike/>
                <w:color w:val="FF0000"/>
                <w:sz w:val="20"/>
              </w:rPr>
              <w:t>90</w:t>
            </w:r>
            <w:r>
              <w:rPr>
                <w:color w:val="0000FF"/>
                <w:sz w:val="20"/>
                <w:u w:val="single"/>
              </w:rPr>
              <w:t>97</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6.19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Anti-Money Laundering Laws and Sanctions</w:t>
            </w:r>
          </w:p>
        </w:tc>
        <w:tc>
          <w:tcPr>
            <w:tcW w:w="545" w:type="dxa"/>
            <w:tcBorders/>
            <w:shd w:fill="CCEEFF" w:val="clear"/>
            <w:vAlign w:val="center"/>
          </w:tcPr>
          <w:p>
            <w:pPr>
              <w:pStyle w:val="TableContents"/>
              <w:bidi w:val="0"/>
              <w:spacing w:before="0" w:after="283"/>
              <w:jc w:val="right"/>
              <w:rPr/>
            </w:pPr>
            <w:r>
              <w:rPr>
                <w:strike/>
                <w:color w:val="FF0000"/>
                <w:sz w:val="20"/>
              </w:rPr>
              <w:t>90</w:t>
            </w:r>
            <w:r>
              <w:rPr>
                <w:color w:val="0000FF"/>
                <w:sz w:val="20"/>
                <w:u w:val="single"/>
              </w:rPr>
              <w:t>97</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6.20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Defaults</w:t>
            </w:r>
          </w:p>
        </w:tc>
        <w:tc>
          <w:tcPr>
            <w:tcW w:w="545" w:type="dxa"/>
            <w:tcBorders/>
            <w:shd w:fill="FFFFFF" w:val="clear"/>
            <w:vAlign w:val="center"/>
          </w:tcPr>
          <w:p>
            <w:pPr>
              <w:pStyle w:val="TableContents"/>
              <w:bidi w:val="0"/>
              <w:spacing w:before="0" w:after="283"/>
              <w:jc w:val="right"/>
              <w:rPr/>
            </w:pPr>
            <w:r>
              <w:rPr>
                <w:strike/>
                <w:color w:val="FF0000"/>
                <w:sz w:val="20"/>
              </w:rPr>
              <w:t>91</w:t>
            </w:r>
            <w:r>
              <w:rPr>
                <w:color w:val="0000FF"/>
                <w:sz w:val="20"/>
                <w:u w:val="single"/>
              </w:rPr>
              <w:t>98</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6.21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545" w:type="dxa"/>
            <w:tcBorders/>
            <w:shd w:fill="CCEEFF" w:val="clear"/>
            <w:vAlign w:val="center"/>
          </w:tcPr>
          <w:p>
            <w:pPr>
              <w:pStyle w:val="TableContents"/>
              <w:bidi w:val="0"/>
              <w:spacing w:before="0" w:after="283"/>
              <w:jc w:val="right"/>
              <w:rPr/>
            </w:pPr>
            <w:r>
              <w:rPr>
                <w:strike/>
                <w:color w:val="FF0000"/>
                <w:sz w:val="20"/>
              </w:rPr>
              <w:t>91</w:t>
            </w:r>
            <w:r>
              <w:rPr>
                <w:color w:val="0000FF"/>
                <w:sz w:val="20"/>
                <w:u w:val="single"/>
              </w:rPr>
              <w:t>98</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6.22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Indebtedness Status</w:t>
            </w:r>
          </w:p>
        </w:tc>
        <w:tc>
          <w:tcPr>
            <w:tcW w:w="545" w:type="dxa"/>
            <w:tcBorders/>
            <w:shd w:fill="FFFFFF" w:val="clear"/>
            <w:vAlign w:val="center"/>
          </w:tcPr>
          <w:p>
            <w:pPr>
              <w:pStyle w:val="TableContents"/>
              <w:bidi w:val="0"/>
              <w:spacing w:before="0" w:after="283"/>
              <w:jc w:val="right"/>
              <w:rPr/>
            </w:pPr>
            <w:r>
              <w:rPr>
                <w:strike/>
                <w:color w:val="FF0000"/>
                <w:sz w:val="20"/>
              </w:rPr>
              <w:t>91</w:t>
            </w:r>
            <w:r>
              <w:rPr>
                <w:color w:val="0000FF"/>
                <w:sz w:val="20"/>
                <w:u w:val="single"/>
              </w:rPr>
              <w:t>98</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6.23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Surety Bonds; Bonded Contracts</w:t>
            </w:r>
          </w:p>
        </w:tc>
        <w:tc>
          <w:tcPr>
            <w:tcW w:w="545" w:type="dxa"/>
            <w:tcBorders/>
            <w:shd w:fill="CCEEFF" w:val="clear"/>
            <w:vAlign w:val="center"/>
          </w:tcPr>
          <w:p>
            <w:pPr>
              <w:pStyle w:val="TableContents"/>
              <w:bidi w:val="0"/>
              <w:spacing w:before="0" w:after="283"/>
              <w:jc w:val="right"/>
              <w:rPr/>
            </w:pPr>
            <w:r>
              <w:rPr>
                <w:strike/>
                <w:color w:val="FF0000"/>
                <w:sz w:val="20"/>
              </w:rPr>
              <w:t>91</w:t>
            </w:r>
            <w:r>
              <w:rPr>
                <w:color w:val="0000FF"/>
                <w:sz w:val="20"/>
                <w:u w:val="single"/>
              </w:rPr>
              <w:t>99</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color w:val="0000FF"/>
                <w:u w:val="single"/>
              </w:rPr>
            </w:pPr>
            <w:r>
              <w:rPr>
                <w:color w:val="0000FF"/>
                <w:u w:val="single"/>
              </w:rPr>
              <w:t xml:space="preserve">SECTION 6.24 </w:t>
            </w:r>
          </w:p>
        </w:tc>
        <w:tc>
          <w:tcPr>
            <w:tcW w:w="5555" w:type="dxa"/>
            <w:tcBorders/>
            <w:shd w:fill="FFFFFF" w:val="clear"/>
            <w:vAlign w:val="center"/>
          </w:tcPr>
          <w:p>
            <w:pPr>
              <w:pStyle w:val="TableContents"/>
              <w:bidi w:val="0"/>
              <w:spacing w:before="0" w:after="283"/>
              <w:jc w:val="left"/>
              <w:rPr>
                <w:color w:val="0000FF"/>
                <w:u w:val="single"/>
              </w:rPr>
            </w:pPr>
            <w:r>
              <w:rPr>
                <w:color w:val="0000FF"/>
                <w:u w:val="single"/>
              </w:rPr>
              <w:t>Outbound Investment Rules</w:t>
            </w:r>
          </w:p>
        </w:tc>
        <w:tc>
          <w:tcPr>
            <w:tcW w:w="545" w:type="dxa"/>
            <w:tcBorders/>
            <w:shd w:fill="FFFFFF" w:val="clear"/>
            <w:vAlign w:val="center"/>
          </w:tcPr>
          <w:p>
            <w:pPr>
              <w:pStyle w:val="TableContents"/>
              <w:bidi w:val="0"/>
              <w:spacing w:before="0" w:after="283"/>
              <w:jc w:val="right"/>
              <w:rPr>
                <w:color w:val="0000FF"/>
                <w:sz w:val="20"/>
                <w:u w:val="single"/>
              </w:rPr>
            </w:pPr>
            <w:r>
              <w:rPr>
                <w:color w:val="0000FF"/>
                <w:sz w:val="20"/>
                <w:u w:val="single"/>
              </w:rPr>
              <w:t>99</w:t>
            </w:r>
          </w:p>
        </w:tc>
      </w:tr>
      <w:tr>
        <w:trPr/>
        <w:tc>
          <w:tcPr>
            <w:tcW w:w="60" w:type="dxa"/>
            <w:tcBorders/>
            <w:shd w:fill="CCEEFF" w:val="clear"/>
            <w:vAlign w:val="center"/>
          </w:tcPr>
          <w:p>
            <w:pPr>
              <w:pStyle w:val="TableContents"/>
              <w:bidi w:val="0"/>
              <w:spacing w:before="0" w:after="283"/>
              <w:jc w:val="left"/>
              <w:rPr/>
            </w:pPr>
            <w:r>
              <w:rPr/>
              <w:t> </w:t>
            </w:r>
          </w:p>
        </w:tc>
        <w:tc>
          <w:tcPr>
            <w:tcW w:w="7150" w:type="dxa"/>
            <w:gridSpan w:val="2"/>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r>
      <w:tr>
        <w:trPr/>
        <w:tc>
          <w:tcPr>
            <w:tcW w:w="7210" w:type="dxa"/>
            <w:gridSpan w:val="3"/>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Affirmative Covenants</w:t>
            </w:r>
          </w:p>
        </w:tc>
        <w:tc>
          <w:tcPr>
            <w:tcW w:w="545" w:type="dxa"/>
            <w:tcBorders/>
            <w:shd w:fill="FFFFFF" w:val="clear"/>
            <w:vAlign w:val="center"/>
          </w:tcPr>
          <w:p>
            <w:pPr>
              <w:pStyle w:val="TableContents"/>
              <w:bidi w:val="0"/>
              <w:spacing w:before="0" w:after="283"/>
              <w:jc w:val="right"/>
              <w:rPr/>
            </w:pPr>
            <w:r>
              <w:rPr>
                <w:strike/>
                <w:color w:val="FF0000"/>
                <w:sz w:val="20"/>
              </w:rPr>
              <w:t>92</w:t>
            </w:r>
            <w:r>
              <w:rPr>
                <w:color w:val="0000FF"/>
                <w:sz w:val="20"/>
                <w:u w:val="single"/>
              </w:rPr>
              <w:t>99</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Budgets</w:t>
            </w:r>
          </w:p>
        </w:tc>
        <w:tc>
          <w:tcPr>
            <w:tcW w:w="545" w:type="dxa"/>
            <w:tcBorders/>
            <w:shd w:fill="CCEEFF" w:val="clear"/>
            <w:vAlign w:val="center"/>
          </w:tcPr>
          <w:p>
            <w:pPr>
              <w:pStyle w:val="TableContents"/>
              <w:bidi w:val="0"/>
              <w:spacing w:before="0" w:after="283"/>
              <w:jc w:val="right"/>
              <w:rPr/>
            </w:pPr>
            <w:r>
              <w:rPr>
                <w:strike/>
                <w:color w:val="FF0000"/>
                <w:sz w:val="20"/>
              </w:rPr>
              <w:t>92</w:t>
            </w:r>
            <w:r>
              <w:rPr>
                <w:color w:val="0000FF"/>
                <w:sz w:val="20"/>
                <w:u w:val="single"/>
              </w:rPr>
              <w:t>99</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7.2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 Other Reports</w:t>
            </w:r>
          </w:p>
        </w:tc>
        <w:tc>
          <w:tcPr>
            <w:tcW w:w="545" w:type="dxa"/>
            <w:tcBorders/>
            <w:shd w:fill="FFFFFF" w:val="clear"/>
            <w:vAlign w:val="center"/>
          </w:tcPr>
          <w:p>
            <w:pPr>
              <w:pStyle w:val="TableContents"/>
              <w:bidi w:val="0"/>
              <w:spacing w:before="0" w:after="283"/>
              <w:jc w:val="right"/>
              <w:rPr/>
            </w:pPr>
            <w:r>
              <w:rPr>
                <w:strike/>
                <w:color w:val="FF0000"/>
                <w:sz w:val="20"/>
              </w:rPr>
              <w:t>93</w:t>
            </w:r>
            <w:r>
              <w:rPr>
                <w:color w:val="0000FF"/>
                <w:sz w:val="20"/>
                <w:u w:val="single"/>
              </w:rPr>
              <w:t>100</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7.3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Litigation and Other Matters</w:t>
            </w:r>
          </w:p>
        </w:tc>
        <w:tc>
          <w:tcPr>
            <w:tcW w:w="545" w:type="dxa"/>
            <w:tcBorders/>
            <w:shd w:fill="CCEEFF" w:val="clear"/>
            <w:vAlign w:val="center"/>
          </w:tcPr>
          <w:p>
            <w:pPr>
              <w:pStyle w:val="TableContents"/>
              <w:bidi w:val="0"/>
              <w:spacing w:before="0" w:after="283"/>
              <w:jc w:val="right"/>
              <w:rPr/>
            </w:pPr>
            <w:r>
              <w:rPr>
                <w:strike/>
                <w:color w:val="FF0000"/>
                <w:sz w:val="20"/>
              </w:rPr>
              <w:t>94</w:t>
            </w:r>
            <w:r>
              <w:rPr>
                <w:color w:val="0000FF"/>
                <w:sz w:val="20"/>
                <w:u w:val="single"/>
              </w:rPr>
              <w:t>102</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Corporate Existence and Related Matters</w:t>
            </w:r>
          </w:p>
        </w:tc>
        <w:tc>
          <w:tcPr>
            <w:tcW w:w="545" w:type="dxa"/>
            <w:tcBorders/>
            <w:shd w:fill="FFFFFF" w:val="clear"/>
            <w:vAlign w:val="center"/>
          </w:tcPr>
          <w:p>
            <w:pPr>
              <w:pStyle w:val="TableContents"/>
              <w:bidi w:val="0"/>
              <w:spacing w:before="0" w:after="283"/>
              <w:jc w:val="right"/>
              <w:rPr/>
            </w:pPr>
            <w:r>
              <w:rPr>
                <w:strike/>
                <w:color w:val="FF0000"/>
                <w:sz w:val="20"/>
              </w:rPr>
              <w:t>95</w:t>
            </w:r>
            <w:r>
              <w:rPr>
                <w:color w:val="0000FF"/>
                <w:sz w:val="20"/>
                <w:u w:val="single"/>
              </w:rPr>
              <w:t>103</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w:t>
            </w:r>
          </w:p>
        </w:tc>
        <w:tc>
          <w:tcPr>
            <w:tcW w:w="5555" w:type="dxa"/>
            <w:tcBorders/>
            <w:shd w:fill="CCEEFF" w:val="clear"/>
            <w:vAlign w:val="center"/>
          </w:tcPr>
          <w:p>
            <w:pPr>
              <w:pStyle w:val="TableContents"/>
              <w:bidi w:val="0"/>
              <w:spacing w:before="0" w:after="283"/>
              <w:jc w:val="left"/>
              <w:rPr/>
            </w:pPr>
            <w:r>
              <w:rPr>
                <w:rFonts w:ascii="Times New Roman;Times;Serif" w:hAnsi="Times New Roman;Times;Serif"/>
                <w:strike/>
                <w:color w:val="FF0000"/>
                <w:sz w:val="20"/>
              </w:rPr>
              <w:t>Maintenances</w:t>
            </w:r>
            <w:r>
              <w:rPr>
                <w:color w:val="0000FF"/>
                <w:u w:val="single"/>
              </w:rPr>
              <w:t>Maintenance</w:t>
            </w:r>
            <w:r>
              <w:rPr/>
              <w:t xml:space="preserve"> </w:t>
            </w:r>
            <w:r>
              <w:rPr>
                <w:rFonts w:ascii="Times New Roman;Times;Serif" w:hAnsi="Times New Roman;Times;Serif"/>
                <w:sz w:val="20"/>
              </w:rPr>
              <w:t>of Properties and Licenses</w:t>
            </w:r>
          </w:p>
        </w:tc>
        <w:tc>
          <w:tcPr>
            <w:tcW w:w="545" w:type="dxa"/>
            <w:tcBorders/>
            <w:shd w:fill="CCEEFF" w:val="clear"/>
            <w:vAlign w:val="center"/>
          </w:tcPr>
          <w:p>
            <w:pPr>
              <w:pStyle w:val="TableContents"/>
              <w:bidi w:val="0"/>
              <w:spacing w:before="0" w:after="283"/>
              <w:jc w:val="right"/>
              <w:rPr/>
            </w:pPr>
            <w:r>
              <w:rPr>
                <w:strike/>
                <w:color w:val="FF0000"/>
                <w:sz w:val="20"/>
              </w:rPr>
              <w:t>95</w:t>
            </w:r>
            <w:r>
              <w:rPr>
                <w:color w:val="0000FF"/>
                <w:sz w:val="20"/>
                <w:u w:val="single"/>
              </w:rPr>
              <w:t>103</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7.6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545" w:type="dxa"/>
            <w:tcBorders/>
            <w:shd w:fill="FFFFFF" w:val="clear"/>
            <w:vAlign w:val="center"/>
          </w:tcPr>
          <w:p>
            <w:pPr>
              <w:pStyle w:val="TableContents"/>
              <w:bidi w:val="0"/>
              <w:spacing w:before="0" w:after="283"/>
              <w:jc w:val="right"/>
              <w:rPr/>
            </w:pPr>
            <w:r>
              <w:rPr>
                <w:strike/>
                <w:color w:val="FF0000"/>
                <w:sz w:val="20"/>
              </w:rPr>
              <w:t>96</w:t>
            </w:r>
            <w:r>
              <w:rPr>
                <w:color w:val="0000FF"/>
                <w:sz w:val="20"/>
                <w:u w:val="single"/>
              </w:rPr>
              <w:t>103</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7.7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Methods and Financial Records</w:t>
            </w:r>
          </w:p>
        </w:tc>
        <w:tc>
          <w:tcPr>
            <w:tcW w:w="545" w:type="dxa"/>
            <w:tcBorders/>
            <w:shd w:fill="CCEEFF" w:val="clear"/>
            <w:vAlign w:val="center"/>
          </w:tcPr>
          <w:p>
            <w:pPr>
              <w:pStyle w:val="TableContents"/>
              <w:bidi w:val="0"/>
              <w:spacing w:before="0" w:after="283"/>
              <w:jc w:val="right"/>
              <w:rPr/>
            </w:pPr>
            <w:r>
              <w:rPr>
                <w:strike/>
                <w:color w:val="FF0000"/>
                <w:sz w:val="20"/>
              </w:rPr>
              <w:t>96</w:t>
            </w:r>
            <w:r>
              <w:rPr>
                <w:color w:val="0000FF"/>
                <w:sz w:val="20"/>
                <w:u w:val="single"/>
              </w:rPr>
              <w:t>104</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7.8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Taxes and Other Obligations</w:t>
            </w:r>
          </w:p>
        </w:tc>
        <w:tc>
          <w:tcPr>
            <w:tcW w:w="545" w:type="dxa"/>
            <w:tcBorders/>
            <w:shd w:fill="FFFFFF" w:val="clear"/>
            <w:vAlign w:val="center"/>
          </w:tcPr>
          <w:p>
            <w:pPr>
              <w:pStyle w:val="TableContents"/>
              <w:bidi w:val="0"/>
              <w:spacing w:before="0" w:after="283"/>
              <w:jc w:val="right"/>
              <w:rPr/>
            </w:pPr>
            <w:r>
              <w:rPr>
                <w:strike/>
                <w:color w:val="FF0000"/>
                <w:sz w:val="20"/>
              </w:rPr>
              <w:t>96</w:t>
            </w:r>
            <w:r>
              <w:rPr>
                <w:color w:val="0000FF"/>
                <w:sz w:val="20"/>
                <w:u w:val="single"/>
              </w:rPr>
              <w:t>104</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7.9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Approvals</w:t>
            </w:r>
          </w:p>
        </w:tc>
        <w:tc>
          <w:tcPr>
            <w:tcW w:w="545" w:type="dxa"/>
            <w:tcBorders/>
            <w:shd w:fill="CCEEFF" w:val="clear"/>
            <w:vAlign w:val="center"/>
          </w:tcPr>
          <w:p>
            <w:pPr>
              <w:pStyle w:val="TableContents"/>
              <w:bidi w:val="0"/>
              <w:spacing w:before="0" w:after="283"/>
              <w:jc w:val="right"/>
              <w:rPr/>
            </w:pPr>
            <w:r>
              <w:rPr>
                <w:strike/>
                <w:color w:val="FF0000"/>
                <w:sz w:val="20"/>
              </w:rPr>
              <w:t>96</w:t>
            </w:r>
            <w:r>
              <w:rPr>
                <w:color w:val="0000FF"/>
                <w:sz w:val="20"/>
                <w:u w:val="single"/>
              </w:rPr>
              <w:t>104</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7.10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Laws</w:t>
            </w:r>
          </w:p>
        </w:tc>
        <w:tc>
          <w:tcPr>
            <w:tcW w:w="545" w:type="dxa"/>
            <w:tcBorders/>
            <w:shd w:fill="FFFFFF" w:val="clear"/>
            <w:vAlign w:val="center"/>
          </w:tcPr>
          <w:p>
            <w:pPr>
              <w:pStyle w:val="TableContents"/>
              <w:bidi w:val="0"/>
              <w:spacing w:before="0" w:after="283"/>
              <w:jc w:val="right"/>
              <w:rPr/>
            </w:pPr>
            <w:r>
              <w:rPr>
                <w:strike/>
                <w:color w:val="FF0000"/>
                <w:sz w:val="20"/>
              </w:rPr>
              <w:t>97</w:t>
            </w:r>
            <w:r>
              <w:rPr>
                <w:color w:val="0000FF"/>
                <w:sz w:val="20"/>
                <w:u w:val="single"/>
              </w:rPr>
              <w:t>104</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7.11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ERISA</w:t>
            </w:r>
          </w:p>
        </w:tc>
        <w:tc>
          <w:tcPr>
            <w:tcW w:w="545" w:type="dxa"/>
            <w:tcBorders/>
            <w:shd w:fill="CCEEFF" w:val="clear"/>
            <w:vAlign w:val="center"/>
          </w:tcPr>
          <w:p>
            <w:pPr>
              <w:pStyle w:val="TableContents"/>
              <w:bidi w:val="0"/>
              <w:spacing w:before="0" w:after="283"/>
              <w:jc w:val="right"/>
              <w:rPr/>
            </w:pPr>
            <w:r>
              <w:rPr>
                <w:strike/>
                <w:color w:val="FF0000"/>
                <w:sz w:val="20"/>
              </w:rPr>
              <w:t>97</w:t>
            </w:r>
            <w:r>
              <w:rPr>
                <w:color w:val="0000FF"/>
                <w:sz w:val="20"/>
                <w:u w:val="single"/>
              </w:rPr>
              <w:t>104</w:t>
            </w:r>
          </w:p>
        </w:tc>
      </w:tr>
      <w:tr>
        <w:trPr/>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7.12 </w:t>
            </w:r>
          </w:p>
        </w:tc>
        <w:tc>
          <w:tcPr>
            <w:tcW w:w="55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Material Contracts</w:t>
            </w:r>
          </w:p>
        </w:tc>
        <w:tc>
          <w:tcPr>
            <w:tcW w:w="545" w:type="dxa"/>
            <w:tcBorders/>
            <w:shd w:fill="FFFFFF" w:val="clear"/>
            <w:vAlign w:val="center"/>
          </w:tcPr>
          <w:p>
            <w:pPr>
              <w:pStyle w:val="TableContents"/>
              <w:bidi w:val="0"/>
              <w:spacing w:before="0" w:after="283"/>
              <w:jc w:val="right"/>
              <w:rPr/>
            </w:pPr>
            <w:r>
              <w:rPr>
                <w:strike/>
                <w:color w:val="FF0000"/>
                <w:sz w:val="20"/>
              </w:rPr>
              <w:t>97</w:t>
            </w:r>
            <w:r>
              <w:rPr>
                <w:color w:val="0000FF"/>
                <w:sz w:val="20"/>
                <w:u w:val="single"/>
              </w:rPr>
              <w:t>104</w:t>
            </w:r>
          </w:p>
        </w:tc>
      </w:tr>
      <w:tr>
        <w:trPr/>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7.13 </w:t>
            </w:r>
          </w:p>
        </w:tc>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Visits and Inspections</w:t>
            </w:r>
          </w:p>
        </w:tc>
        <w:tc>
          <w:tcPr>
            <w:tcW w:w="545" w:type="dxa"/>
            <w:tcBorders/>
            <w:shd w:fill="CCEEFF" w:val="clear"/>
            <w:vAlign w:val="center"/>
          </w:tcPr>
          <w:p>
            <w:pPr>
              <w:pStyle w:val="TableContents"/>
              <w:bidi w:val="0"/>
              <w:spacing w:before="0" w:after="283"/>
              <w:jc w:val="right"/>
              <w:rPr/>
            </w:pPr>
            <w:r>
              <w:rPr>
                <w:strike/>
                <w:color w:val="FF0000"/>
                <w:sz w:val="20"/>
              </w:rPr>
              <w:t>97</w:t>
            </w:r>
            <w:r>
              <w:rPr>
                <w:color w:val="0000FF"/>
                <w:sz w:val="20"/>
                <w:u w:val="single"/>
              </w:rPr>
              <w:t>105</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TABLE OF CONTENTS</w:t>
      </w:r>
    </w:p>
    <w:p>
      <w:pPr>
        <w:pStyle w:val="TextBody"/>
        <w:bidi w:val="0"/>
        <w:jc w:val="center"/>
        <w:rPr>
          <w:sz w:val="20"/>
        </w:rPr>
      </w:pPr>
      <w:r>
        <w:rPr>
          <w:sz w:val="20"/>
        </w:rPr>
        <w:t>(continued)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81"/>
        <w:gridCol w:w="8014"/>
        <w:gridCol w:w="650"/>
      </w:tblGrid>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pPr>
            <w:r>
              <w:rPr/>
              <w:t> </w:t>
            </w:r>
          </w:p>
        </w:tc>
        <w:tc>
          <w:tcPr>
            <w:tcW w:w="8014" w:type="dxa"/>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Page</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pPr>
            <w:r>
              <w:rPr/>
              <w:t> </w:t>
            </w:r>
          </w:p>
        </w:tc>
        <w:tc>
          <w:tcPr>
            <w:tcW w:w="8014"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7.14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Guarantors and Collateral Matters</w:t>
            </w:r>
          </w:p>
        </w:tc>
        <w:tc>
          <w:tcPr>
            <w:tcW w:w="650" w:type="dxa"/>
            <w:tcBorders/>
            <w:shd w:fill="CCEEFF" w:val="clear"/>
            <w:vAlign w:val="center"/>
          </w:tcPr>
          <w:p>
            <w:pPr>
              <w:pStyle w:val="TableContents"/>
              <w:bidi w:val="0"/>
              <w:spacing w:before="0" w:after="283"/>
              <w:jc w:val="right"/>
              <w:rPr/>
            </w:pPr>
            <w:r>
              <w:rPr>
                <w:strike/>
                <w:color w:val="FF0000"/>
                <w:sz w:val="20"/>
              </w:rPr>
              <w:t>97</w:t>
            </w:r>
            <w:r>
              <w:rPr>
                <w:color w:val="0000FF"/>
                <w:sz w:val="20"/>
                <w:u w:val="single"/>
              </w:rPr>
              <w:t>105</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7.15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50" w:type="dxa"/>
            <w:tcBorders/>
            <w:shd w:fill="FFFFFF" w:val="clear"/>
            <w:vAlign w:val="center"/>
          </w:tcPr>
          <w:p>
            <w:pPr>
              <w:pStyle w:val="TableContents"/>
              <w:bidi w:val="0"/>
              <w:spacing w:before="0" w:after="283"/>
              <w:jc w:val="right"/>
              <w:rPr/>
            </w:pPr>
            <w:r>
              <w:rPr>
                <w:strike/>
                <w:color w:val="FF0000"/>
                <w:sz w:val="20"/>
              </w:rPr>
              <w:t>99</w:t>
            </w:r>
            <w:r>
              <w:rPr>
                <w:color w:val="0000FF"/>
                <w:sz w:val="20"/>
                <w:u w:val="single"/>
              </w:rPr>
              <w:t>106</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7.16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Anti-Corruption Laws; Beneficial Ownership Regulation, Anti-Money Laundering Laws and Sanctions</w:t>
            </w:r>
          </w:p>
        </w:tc>
        <w:tc>
          <w:tcPr>
            <w:tcW w:w="650" w:type="dxa"/>
            <w:tcBorders/>
            <w:shd w:fill="CCEEFF" w:val="clear"/>
            <w:vAlign w:val="center"/>
          </w:tcPr>
          <w:p>
            <w:pPr>
              <w:pStyle w:val="TableContents"/>
              <w:bidi w:val="0"/>
              <w:spacing w:before="0" w:after="283"/>
              <w:jc w:val="right"/>
              <w:rPr/>
            </w:pPr>
            <w:r>
              <w:rPr>
                <w:strike/>
                <w:color w:val="FF0000"/>
                <w:sz w:val="20"/>
              </w:rPr>
              <w:t>99</w:t>
            </w:r>
            <w:r>
              <w:rPr>
                <w:color w:val="0000FF"/>
                <w:sz w:val="20"/>
                <w:u w:val="single"/>
              </w:rPr>
              <w:t>107</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7.17</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w:t>
            </w:r>
          </w:p>
        </w:tc>
        <w:tc>
          <w:tcPr>
            <w:tcW w:w="650" w:type="dxa"/>
            <w:tcBorders/>
            <w:shd w:fill="FFFFFF" w:val="clear"/>
            <w:vAlign w:val="center"/>
          </w:tcPr>
          <w:p>
            <w:pPr>
              <w:pStyle w:val="TableContents"/>
              <w:bidi w:val="0"/>
              <w:spacing w:before="0" w:after="283"/>
              <w:jc w:val="right"/>
              <w:rPr/>
            </w:pPr>
            <w:r>
              <w:rPr>
                <w:strike/>
                <w:color w:val="FF0000"/>
                <w:sz w:val="20"/>
              </w:rPr>
              <w:t>100</w:t>
            </w:r>
            <w:r>
              <w:rPr>
                <w:color w:val="0000FF"/>
                <w:sz w:val="20"/>
                <w:u w:val="single"/>
              </w:rPr>
              <w:t>107</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7.18</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650" w:type="dxa"/>
            <w:tcBorders/>
            <w:shd w:fill="CCEEFF" w:val="clear"/>
            <w:vAlign w:val="center"/>
          </w:tcPr>
          <w:p>
            <w:pPr>
              <w:pStyle w:val="TableContents"/>
              <w:bidi w:val="0"/>
              <w:spacing w:before="0" w:after="283"/>
              <w:jc w:val="right"/>
              <w:rPr/>
            </w:pPr>
            <w:r>
              <w:rPr>
                <w:strike/>
                <w:color w:val="FF0000"/>
                <w:sz w:val="20"/>
              </w:rPr>
              <w:t>100</w:t>
            </w:r>
            <w:r>
              <w:rPr>
                <w:color w:val="0000FF"/>
                <w:sz w:val="20"/>
                <w:u w:val="single"/>
              </w:rPr>
              <w:t>107</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7.19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Flood Insurance Matters</w:t>
            </w:r>
          </w:p>
        </w:tc>
        <w:tc>
          <w:tcPr>
            <w:tcW w:w="650" w:type="dxa"/>
            <w:tcBorders/>
            <w:shd w:fill="FFFFFF" w:val="clear"/>
            <w:vAlign w:val="center"/>
          </w:tcPr>
          <w:p>
            <w:pPr>
              <w:pStyle w:val="TableContents"/>
              <w:bidi w:val="0"/>
              <w:spacing w:before="0" w:after="283"/>
              <w:jc w:val="right"/>
              <w:rPr/>
            </w:pPr>
            <w:r>
              <w:rPr>
                <w:strike/>
                <w:color w:val="FF0000"/>
                <w:sz w:val="20"/>
              </w:rPr>
              <w:t>100</w:t>
            </w:r>
            <w:r>
              <w:rPr>
                <w:color w:val="0000FF"/>
                <w:sz w:val="20"/>
                <w:u w:val="single"/>
              </w:rPr>
              <w:t>108</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7.20</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Covenants</w:t>
            </w:r>
          </w:p>
        </w:tc>
        <w:tc>
          <w:tcPr>
            <w:tcW w:w="650" w:type="dxa"/>
            <w:tcBorders/>
            <w:shd w:fill="CCEEFF" w:val="clear"/>
            <w:vAlign w:val="center"/>
          </w:tcPr>
          <w:p>
            <w:pPr>
              <w:pStyle w:val="TableContents"/>
              <w:bidi w:val="0"/>
              <w:spacing w:before="0" w:after="283"/>
              <w:jc w:val="right"/>
              <w:rPr/>
            </w:pPr>
            <w:r>
              <w:rPr>
                <w:strike/>
                <w:color w:val="FF0000"/>
                <w:sz w:val="20"/>
              </w:rPr>
              <w:t>101</w:t>
            </w:r>
            <w:r>
              <w:rPr>
                <w:color w:val="0000FF"/>
                <w:sz w:val="20"/>
                <w:u w:val="single"/>
              </w:rPr>
              <w:t>108</w:t>
            </w:r>
          </w:p>
        </w:tc>
      </w:tr>
      <w:tr>
        <w:trPr/>
        <w:tc>
          <w:tcPr>
            <w:tcW w:w="60" w:type="dxa"/>
            <w:tcBorders/>
            <w:shd w:fill="FFFFFF" w:val="clear"/>
            <w:vAlign w:val="center"/>
          </w:tcPr>
          <w:p>
            <w:pPr>
              <w:pStyle w:val="TableContents"/>
              <w:bidi w:val="0"/>
              <w:spacing w:before="0" w:after="283"/>
              <w:jc w:val="left"/>
              <w:rPr/>
            </w:pPr>
            <w:r>
              <w:rPr/>
              <w:t> </w:t>
            </w:r>
          </w:p>
        </w:tc>
        <w:tc>
          <w:tcPr>
            <w:tcW w:w="9495" w:type="dxa"/>
            <w:gridSpan w:val="2"/>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r>
      <w:tr>
        <w:trPr/>
        <w:tc>
          <w:tcPr>
            <w:tcW w:w="9555"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Negative Covenants</w:t>
            </w:r>
          </w:p>
        </w:tc>
        <w:tc>
          <w:tcPr>
            <w:tcW w:w="650" w:type="dxa"/>
            <w:tcBorders/>
            <w:shd w:fill="CCEEFF" w:val="clear"/>
            <w:vAlign w:val="center"/>
          </w:tcPr>
          <w:p>
            <w:pPr>
              <w:pStyle w:val="TableContents"/>
              <w:bidi w:val="0"/>
              <w:spacing w:before="0" w:after="283"/>
              <w:jc w:val="right"/>
              <w:rPr/>
            </w:pPr>
            <w:r>
              <w:rPr>
                <w:strike/>
                <w:color w:val="FF0000"/>
                <w:sz w:val="20"/>
              </w:rPr>
              <w:t>101</w:t>
            </w:r>
            <w:r>
              <w:rPr>
                <w:color w:val="0000FF"/>
                <w:sz w:val="20"/>
                <w:u w:val="single"/>
              </w:rPr>
              <w:t>109</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650" w:type="dxa"/>
            <w:tcBorders/>
            <w:shd w:fill="FFFFFF" w:val="clear"/>
            <w:vAlign w:val="center"/>
          </w:tcPr>
          <w:p>
            <w:pPr>
              <w:pStyle w:val="TableContents"/>
              <w:bidi w:val="0"/>
              <w:spacing w:before="0" w:after="283"/>
              <w:jc w:val="right"/>
              <w:rPr/>
            </w:pPr>
            <w:r>
              <w:rPr>
                <w:strike/>
                <w:color w:val="FF0000"/>
                <w:sz w:val="20"/>
              </w:rPr>
              <w:t>101</w:t>
            </w:r>
            <w:r>
              <w:rPr>
                <w:color w:val="0000FF"/>
                <w:sz w:val="20"/>
                <w:u w:val="single"/>
              </w:rPr>
              <w:t>109</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8.2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650" w:type="dxa"/>
            <w:tcBorders/>
            <w:shd w:fill="CCEEFF" w:val="clear"/>
            <w:vAlign w:val="center"/>
          </w:tcPr>
          <w:p>
            <w:pPr>
              <w:pStyle w:val="TableContents"/>
              <w:bidi w:val="0"/>
              <w:spacing w:before="0" w:after="283"/>
              <w:jc w:val="right"/>
              <w:rPr/>
            </w:pPr>
            <w:r>
              <w:rPr>
                <w:strike/>
                <w:color w:val="FF0000"/>
                <w:sz w:val="20"/>
              </w:rPr>
              <w:t>103</w:t>
            </w:r>
            <w:r>
              <w:rPr>
                <w:color w:val="0000FF"/>
                <w:sz w:val="20"/>
                <w:u w:val="single"/>
              </w:rPr>
              <w:t>110</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8.3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c>
          <w:tcPr>
            <w:tcW w:w="650" w:type="dxa"/>
            <w:tcBorders/>
            <w:shd w:fill="FFFFFF" w:val="clear"/>
            <w:vAlign w:val="center"/>
          </w:tcPr>
          <w:p>
            <w:pPr>
              <w:pStyle w:val="TableContents"/>
              <w:bidi w:val="0"/>
              <w:spacing w:before="0" w:after="283"/>
              <w:jc w:val="right"/>
              <w:rPr/>
            </w:pPr>
            <w:r>
              <w:rPr>
                <w:strike/>
                <w:color w:val="FF0000"/>
                <w:sz w:val="20"/>
              </w:rPr>
              <w:t>104</w:t>
            </w:r>
            <w:r>
              <w:rPr>
                <w:color w:val="0000FF"/>
                <w:sz w:val="20"/>
                <w:u w:val="single"/>
              </w:rPr>
              <w:t>112</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8.4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Fundamental Changes</w:t>
            </w:r>
          </w:p>
        </w:tc>
        <w:tc>
          <w:tcPr>
            <w:tcW w:w="650" w:type="dxa"/>
            <w:tcBorders/>
            <w:shd w:fill="CCEEFF" w:val="clear"/>
            <w:vAlign w:val="center"/>
          </w:tcPr>
          <w:p>
            <w:pPr>
              <w:pStyle w:val="TableContents"/>
              <w:bidi w:val="0"/>
              <w:spacing w:before="0" w:after="283"/>
              <w:jc w:val="right"/>
              <w:rPr/>
            </w:pPr>
            <w:r>
              <w:rPr>
                <w:strike/>
                <w:color w:val="FF0000"/>
                <w:sz w:val="20"/>
              </w:rPr>
              <w:t>106</w:t>
            </w:r>
            <w:r>
              <w:rPr>
                <w:color w:val="0000FF"/>
                <w:sz w:val="20"/>
                <w:u w:val="single"/>
              </w:rPr>
              <w:t>114</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8.5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Dispositions</w:t>
            </w:r>
          </w:p>
        </w:tc>
        <w:tc>
          <w:tcPr>
            <w:tcW w:w="650" w:type="dxa"/>
            <w:tcBorders/>
            <w:shd w:fill="FFFFFF" w:val="clear"/>
            <w:vAlign w:val="center"/>
          </w:tcPr>
          <w:p>
            <w:pPr>
              <w:pStyle w:val="TableContents"/>
              <w:bidi w:val="0"/>
              <w:spacing w:before="0" w:after="283"/>
              <w:jc w:val="right"/>
              <w:rPr/>
            </w:pPr>
            <w:r>
              <w:rPr>
                <w:strike/>
                <w:color w:val="FF0000"/>
                <w:sz w:val="20"/>
              </w:rPr>
              <w:t>106</w:t>
            </w:r>
            <w:r>
              <w:rPr>
                <w:color w:val="0000FF"/>
                <w:sz w:val="20"/>
                <w:u w:val="single"/>
              </w:rPr>
              <w:t>114</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8.6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Payments</w:t>
            </w:r>
          </w:p>
        </w:tc>
        <w:tc>
          <w:tcPr>
            <w:tcW w:w="650" w:type="dxa"/>
            <w:tcBorders/>
            <w:shd w:fill="CCEEFF" w:val="clear"/>
            <w:vAlign w:val="center"/>
          </w:tcPr>
          <w:p>
            <w:pPr>
              <w:pStyle w:val="TableContents"/>
              <w:bidi w:val="0"/>
              <w:spacing w:before="0" w:after="283"/>
              <w:jc w:val="right"/>
              <w:rPr/>
            </w:pPr>
            <w:r>
              <w:rPr>
                <w:strike/>
                <w:color w:val="FF0000"/>
                <w:sz w:val="20"/>
              </w:rPr>
              <w:t>108</w:t>
            </w:r>
            <w:r>
              <w:rPr>
                <w:color w:val="0000FF"/>
                <w:sz w:val="20"/>
                <w:u w:val="single"/>
              </w:rPr>
              <w:t>116</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8.7</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650" w:type="dxa"/>
            <w:tcBorders/>
            <w:shd w:fill="FFFFFF" w:val="clear"/>
            <w:vAlign w:val="center"/>
          </w:tcPr>
          <w:p>
            <w:pPr>
              <w:pStyle w:val="TableContents"/>
              <w:bidi w:val="0"/>
              <w:spacing w:before="0" w:after="283"/>
              <w:jc w:val="right"/>
              <w:rPr/>
            </w:pPr>
            <w:r>
              <w:rPr>
                <w:strike/>
                <w:color w:val="FF0000"/>
                <w:sz w:val="20"/>
              </w:rPr>
              <w:t>109</w:t>
            </w:r>
            <w:r>
              <w:rPr>
                <w:color w:val="0000FF"/>
                <w:sz w:val="20"/>
                <w:u w:val="single"/>
              </w:rPr>
              <w:t>117</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8.8 </w:t>
            </w:r>
          </w:p>
        </w:tc>
        <w:tc>
          <w:tcPr>
            <w:tcW w:w="8014" w:type="dxa"/>
            <w:tcBorders/>
            <w:shd w:fill="CCEEFF" w:val="clear"/>
            <w:vAlign w:val="center"/>
          </w:tcPr>
          <w:p>
            <w:pPr>
              <w:pStyle w:val="TableContents"/>
              <w:bidi w:val="0"/>
              <w:spacing w:before="0" w:after="283"/>
              <w:jc w:val="left"/>
              <w:rPr/>
            </w:pPr>
            <w:r>
              <w:rPr>
                <w:rFonts w:ascii="Times New Roman;Times;Serif" w:hAnsi="Times New Roman;Times;Serif"/>
                <w:sz w:val="20"/>
              </w:rPr>
              <w:t>Accounting Changes; Organizational Documents</w:t>
            </w:r>
            <w:r>
              <w:rPr>
                <w:color w:val="0000FF"/>
                <w:u w:val="single"/>
              </w:rPr>
              <w:t>; DBM Acquisition Agreement</w:t>
            </w:r>
          </w:p>
        </w:tc>
        <w:tc>
          <w:tcPr>
            <w:tcW w:w="650" w:type="dxa"/>
            <w:tcBorders/>
            <w:shd w:fill="CCEEFF" w:val="clear"/>
            <w:vAlign w:val="center"/>
          </w:tcPr>
          <w:p>
            <w:pPr>
              <w:pStyle w:val="TableContents"/>
              <w:bidi w:val="0"/>
              <w:spacing w:before="0" w:after="283"/>
              <w:jc w:val="right"/>
              <w:rPr/>
            </w:pPr>
            <w:r>
              <w:rPr>
                <w:strike/>
                <w:color w:val="FF0000"/>
                <w:sz w:val="20"/>
              </w:rPr>
              <w:t>110</w:t>
            </w:r>
            <w:r>
              <w:rPr>
                <w:color w:val="0000FF"/>
                <w:sz w:val="20"/>
                <w:u w:val="single"/>
              </w:rPr>
              <w:t>117</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8.9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and Modifications</w:t>
            </w:r>
          </w:p>
        </w:tc>
        <w:tc>
          <w:tcPr>
            <w:tcW w:w="650" w:type="dxa"/>
            <w:tcBorders/>
            <w:shd w:fill="FFFFFF" w:val="clear"/>
            <w:vAlign w:val="center"/>
          </w:tcPr>
          <w:p>
            <w:pPr>
              <w:pStyle w:val="TableContents"/>
              <w:bidi w:val="0"/>
              <w:spacing w:before="0" w:after="283"/>
              <w:jc w:val="right"/>
              <w:rPr/>
            </w:pPr>
            <w:r>
              <w:rPr>
                <w:strike/>
                <w:color w:val="FF0000"/>
                <w:sz w:val="20"/>
              </w:rPr>
              <w:t>110</w:t>
            </w:r>
            <w:r>
              <w:rPr>
                <w:color w:val="0000FF"/>
                <w:sz w:val="20"/>
                <w:u w:val="single"/>
              </w:rPr>
              <w:t>118</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Further Negative Pledges; Restrictive Agreements</w:t>
            </w:r>
          </w:p>
        </w:tc>
        <w:tc>
          <w:tcPr>
            <w:tcW w:w="650" w:type="dxa"/>
            <w:tcBorders/>
            <w:shd w:fill="CCEEFF" w:val="clear"/>
            <w:vAlign w:val="center"/>
          </w:tcPr>
          <w:p>
            <w:pPr>
              <w:pStyle w:val="TableContents"/>
              <w:bidi w:val="0"/>
              <w:spacing w:before="0" w:after="283"/>
              <w:jc w:val="right"/>
              <w:rPr/>
            </w:pPr>
            <w:r>
              <w:rPr>
                <w:strike/>
                <w:color w:val="FF0000"/>
                <w:sz w:val="20"/>
              </w:rPr>
              <w:t>110</w:t>
            </w:r>
            <w:r>
              <w:rPr>
                <w:color w:val="0000FF"/>
                <w:sz w:val="20"/>
                <w:u w:val="single"/>
              </w:rPr>
              <w:t>118</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8.11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of Business</w:t>
            </w:r>
          </w:p>
        </w:tc>
        <w:tc>
          <w:tcPr>
            <w:tcW w:w="650" w:type="dxa"/>
            <w:tcBorders/>
            <w:shd w:fill="FFFFFF" w:val="clear"/>
            <w:vAlign w:val="center"/>
          </w:tcPr>
          <w:p>
            <w:pPr>
              <w:pStyle w:val="TableContents"/>
              <w:bidi w:val="0"/>
              <w:spacing w:before="0" w:after="283"/>
              <w:jc w:val="right"/>
              <w:rPr/>
            </w:pPr>
            <w:r>
              <w:rPr>
                <w:strike/>
                <w:color w:val="FF0000"/>
                <w:sz w:val="20"/>
              </w:rPr>
              <w:t>111</w:t>
            </w:r>
            <w:r>
              <w:rPr>
                <w:color w:val="0000FF"/>
                <w:sz w:val="20"/>
                <w:u w:val="single"/>
              </w:rPr>
              <w:t>119</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8.12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Leasebacks</w:t>
            </w:r>
          </w:p>
        </w:tc>
        <w:tc>
          <w:tcPr>
            <w:tcW w:w="650" w:type="dxa"/>
            <w:tcBorders/>
            <w:shd w:fill="CCEEFF" w:val="clear"/>
            <w:vAlign w:val="center"/>
          </w:tcPr>
          <w:p>
            <w:pPr>
              <w:pStyle w:val="TableContents"/>
              <w:bidi w:val="0"/>
              <w:spacing w:before="0" w:after="283"/>
              <w:jc w:val="right"/>
              <w:rPr/>
            </w:pPr>
            <w:r>
              <w:rPr>
                <w:strike/>
                <w:color w:val="FF0000"/>
                <w:sz w:val="20"/>
              </w:rPr>
              <w:t>111</w:t>
            </w:r>
            <w:r>
              <w:rPr>
                <w:color w:val="0000FF"/>
                <w:sz w:val="20"/>
                <w:u w:val="single"/>
              </w:rPr>
              <w:t>119</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8.13</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Expenditures</w:t>
            </w:r>
          </w:p>
        </w:tc>
        <w:tc>
          <w:tcPr>
            <w:tcW w:w="650" w:type="dxa"/>
            <w:tcBorders/>
            <w:shd w:fill="FFFFFF" w:val="clear"/>
            <w:vAlign w:val="center"/>
          </w:tcPr>
          <w:p>
            <w:pPr>
              <w:pStyle w:val="TableContents"/>
              <w:bidi w:val="0"/>
              <w:spacing w:before="0" w:after="283"/>
              <w:jc w:val="right"/>
              <w:rPr/>
            </w:pPr>
            <w:r>
              <w:rPr>
                <w:strike/>
                <w:color w:val="FF0000"/>
                <w:sz w:val="20"/>
              </w:rPr>
              <w:t>111</w:t>
            </w:r>
            <w:r>
              <w:rPr>
                <w:color w:val="0000FF"/>
                <w:sz w:val="20"/>
                <w:u w:val="single"/>
              </w:rPr>
              <w:t>119</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8.14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Covenants</w:t>
            </w:r>
          </w:p>
        </w:tc>
        <w:tc>
          <w:tcPr>
            <w:tcW w:w="650" w:type="dxa"/>
            <w:tcBorders/>
            <w:shd w:fill="CCEEFF" w:val="clear"/>
            <w:vAlign w:val="center"/>
          </w:tcPr>
          <w:p>
            <w:pPr>
              <w:pStyle w:val="TableContents"/>
              <w:bidi w:val="0"/>
              <w:spacing w:before="0" w:after="283"/>
              <w:jc w:val="right"/>
              <w:rPr/>
            </w:pPr>
            <w:r>
              <w:rPr>
                <w:strike/>
                <w:color w:val="FF0000"/>
                <w:sz w:val="20"/>
              </w:rPr>
              <w:t>111</w:t>
            </w:r>
            <w:r>
              <w:rPr>
                <w:color w:val="0000FF"/>
                <w:sz w:val="20"/>
                <w:u w:val="single"/>
              </w:rPr>
              <w:t>119</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8.15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Accounts; Commodity Accounts; Securities Accounts</w:t>
            </w:r>
          </w:p>
        </w:tc>
        <w:tc>
          <w:tcPr>
            <w:tcW w:w="650" w:type="dxa"/>
            <w:tcBorders/>
            <w:shd w:fill="FFFFFF" w:val="clear"/>
            <w:vAlign w:val="center"/>
          </w:tcPr>
          <w:p>
            <w:pPr>
              <w:pStyle w:val="TableContents"/>
              <w:bidi w:val="0"/>
              <w:spacing w:before="0" w:after="283"/>
              <w:jc w:val="right"/>
              <w:rPr/>
            </w:pPr>
            <w:r>
              <w:rPr>
                <w:strike/>
                <w:color w:val="FF0000"/>
                <w:sz w:val="20"/>
              </w:rPr>
              <w:t>112</w:t>
            </w:r>
            <w:r>
              <w:rPr>
                <w:color w:val="0000FF"/>
                <w:sz w:val="20"/>
                <w:u w:val="single"/>
              </w:rPr>
              <w:t>119</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8.16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Popp &amp; Company</w:t>
            </w:r>
          </w:p>
        </w:tc>
        <w:tc>
          <w:tcPr>
            <w:tcW w:w="650" w:type="dxa"/>
            <w:tcBorders/>
            <w:shd w:fill="CCEEFF" w:val="clear"/>
            <w:vAlign w:val="center"/>
          </w:tcPr>
          <w:p>
            <w:pPr>
              <w:pStyle w:val="TableContents"/>
              <w:bidi w:val="0"/>
              <w:spacing w:before="0" w:after="283"/>
              <w:jc w:val="right"/>
              <w:rPr/>
            </w:pPr>
            <w:r>
              <w:rPr>
                <w:strike/>
                <w:color w:val="FF0000"/>
                <w:sz w:val="20"/>
              </w:rPr>
              <w:t>112</w:t>
            </w:r>
            <w:r>
              <w:rPr>
                <w:color w:val="0000FF"/>
                <w:sz w:val="20"/>
                <w:u w:val="single"/>
              </w:rPr>
              <w:t>120</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8.17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Investments</w:t>
            </w:r>
          </w:p>
        </w:tc>
        <w:tc>
          <w:tcPr>
            <w:tcW w:w="650" w:type="dxa"/>
            <w:tcBorders/>
            <w:shd w:fill="FFFFFF" w:val="clear"/>
            <w:vAlign w:val="center"/>
          </w:tcPr>
          <w:p>
            <w:pPr>
              <w:pStyle w:val="TableContents"/>
              <w:bidi w:val="0"/>
              <w:spacing w:before="0" w:after="283"/>
              <w:jc w:val="right"/>
              <w:rPr/>
            </w:pPr>
            <w:r>
              <w:rPr>
                <w:strike/>
                <w:color w:val="FF0000"/>
                <w:sz w:val="20"/>
              </w:rPr>
              <w:t>112</w:t>
            </w:r>
            <w:r>
              <w:rPr>
                <w:color w:val="0000FF"/>
                <w:sz w:val="20"/>
                <w:u w:val="single"/>
              </w:rPr>
              <w:t>120</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color w:val="0000FF"/>
                <w:u w:val="single"/>
              </w:rPr>
            </w:pPr>
            <w:r>
              <w:rPr>
                <w:color w:val="0000FF"/>
                <w:u w:val="single"/>
              </w:rPr>
              <w:t xml:space="preserve">SECTION 8.18 </w:t>
            </w:r>
          </w:p>
        </w:tc>
        <w:tc>
          <w:tcPr>
            <w:tcW w:w="8014" w:type="dxa"/>
            <w:tcBorders/>
            <w:shd w:fill="CCEEFF" w:val="clear"/>
            <w:vAlign w:val="center"/>
          </w:tcPr>
          <w:p>
            <w:pPr>
              <w:pStyle w:val="TableContents"/>
              <w:bidi w:val="0"/>
              <w:spacing w:before="0" w:after="283"/>
              <w:jc w:val="left"/>
              <w:rPr>
                <w:color w:val="0000FF"/>
                <w:u w:val="single"/>
              </w:rPr>
            </w:pPr>
            <w:r>
              <w:rPr>
                <w:color w:val="0000FF"/>
                <w:u w:val="single"/>
              </w:rPr>
              <w:t>Outbound Investment Rules</w:t>
            </w:r>
          </w:p>
        </w:tc>
        <w:tc>
          <w:tcPr>
            <w:tcW w:w="650" w:type="dxa"/>
            <w:tcBorders/>
            <w:shd w:fill="CCEEFF" w:val="clear"/>
            <w:vAlign w:val="center"/>
          </w:tcPr>
          <w:p>
            <w:pPr>
              <w:pStyle w:val="TableContents"/>
              <w:bidi w:val="0"/>
              <w:spacing w:before="0" w:after="283"/>
              <w:jc w:val="right"/>
              <w:rPr>
                <w:color w:val="0000FF"/>
                <w:sz w:val="20"/>
                <w:u w:val="single"/>
              </w:rPr>
            </w:pPr>
            <w:r>
              <w:rPr>
                <w:color w:val="0000FF"/>
                <w:sz w:val="20"/>
                <w:u w:val="single"/>
              </w:rPr>
              <w:t>120</w:t>
            </w:r>
          </w:p>
        </w:tc>
      </w:tr>
      <w:tr>
        <w:trPr/>
        <w:tc>
          <w:tcPr>
            <w:tcW w:w="60" w:type="dxa"/>
            <w:tcBorders/>
            <w:shd w:fill="FFFFFF" w:val="clear"/>
            <w:vAlign w:val="center"/>
          </w:tcPr>
          <w:p>
            <w:pPr>
              <w:pStyle w:val="TableContents"/>
              <w:bidi w:val="0"/>
              <w:spacing w:before="0" w:after="283"/>
              <w:jc w:val="left"/>
              <w:rPr/>
            </w:pPr>
            <w:r>
              <w:rPr/>
              <w:t> </w:t>
            </w:r>
          </w:p>
        </w:tc>
        <w:tc>
          <w:tcPr>
            <w:tcW w:w="9495" w:type="dxa"/>
            <w:gridSpan w:val="2"/>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r>
      <w:tr>
        <w:trPr/>
        <w:tc>
          <w:tcPr>
            <w:tcW w:w="9555"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Default and Remedies</w:t>
            </w:r>
          </w:p>
        </w:tc>
        <w:tc>
          <w:tcPr>
            <w:tcW w:w="650" w:type="dxa"/>
            <w:tcBorders/>
            <w:shd w:fill="CCEEFF" w:val="clear"/>
            <w:vAlign w:val="center"/>
          </w:tcPr>
          <w:p>
            <w:pPr>
              <w:pStyle w:val="TableContents"/>
              <w:bidi w:val="0"/>
              <w:spacing w:before="0" w:after="283"/>
              <w:jc w:val="right"/>
              <w:rPr/>
            </w:pPr>
            <w:r>
              <w:rPr>
                <w:strike/>
                <w:color w:val="FF0000"/>
                <w:sz w:val="20"/>
              </w:rPr>
              <w:t>112</w:t>
            </w:r>
            <w:r>
              <w:rPr>
                <w:color w:val="0000FF"/>
                <w:sz w:val="20"/>
                <w:u w:val="single"/>
              </w:rPr>
              <w:t>120</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9.1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650" w:type="dxa"/>
            <w:tcBorders/>
            <w:shd w:fill="FFFFFF" w:val="clear"/>
            <w:vAlign w:val="center"/>
          </w:tcPr>
          <w:p>
            <w:pPr>
              <w:pStyle w:val="TableContents"/>
              <w:bidi w:val="0"/>
              <w:spacing w:before="0" w:after="283"/>
              <w:jc w:val="right"/>
              <w:rPr/>
            </w:pPr>
            <w:r>
              <w:rPr>
                <w:strike/>
                <w:color w:val="FF0000"/>
                <w:sz w:val="20"/>
              </w:rPr>
              <w:t>112</w:t>
            </w:r>
            <w:r>
              <w:rPr>
                <w:color w:val="0000FF"/>
                <w:sz w:val="20"/>
                <w:u w:val="single"/>
              </w:rPr>
              <w:t>120</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9.2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650" w:type="dxa"/>
            <w:tcBorders/>
            <w:shd w:fill="CCEEFF" w:val="clear"/>
            <w:vAlign w:val="center"/>
          </w:tcPr>
          <w:p>
            <w:pPr>
              <w:pStyle w:val="TableContents"/>
              <w:bidi w:val="0"/>
              <w:spacing w:before="0" w:after="283"/>
              <w:jc w:val="right"/>
              <w:rPr/>
            </w:pPr>
            <w:r>
              <w:rPr>
                <w:strike/>
                <w:color w:val="FF0000"/>
                <w:sz w:val="20"/>
              </w:rPr>
              <w:t>114</w:t>
            </w:r>
            <w:r>
              <w:rPr>
                <w:color w:val="0000FF"/>
                <w:sz w:val="20"/>
                <w:u w:val="single"/>
              </w:rPr>
              <w:t>123</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9.3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 Non-Waiver; Etc</w:t>
            </w:r>
          </w:p>
        </w:tc>
        <w:tc>
          <w:tcPr>
            <w:tcW w:w="650" w:type="dxa"/>
            <w:tcBorders/>
            <w:shd w:fill="FFFFFF" w:val="clear"/>
            <w:vAlign w:val="center"/>
          </w:tcPr>
          <w:p>
            <w:pPr>
              <w:pStyle w:val="TableContents"/>
              <w:bidi w:val="0"/>
              <w:spacing w:before="0" w:after="283"/>
              <w:jc w:val="right"/>
              <w:rPr/>
            </w:pPr>
            <w:r>
              <w:rPr>
                <w:strike/>
                <w:color w:val="FF0000"/>
                <w:sz w:val="20"/>
              </w:rPr>
              <w:t>115</w:t>
            </w:r>
            <w:r>
              <w:rPr>
                <w:color w:val="0000FF"/>
                <w:sz w:val="20"/>
                <w:u w:val="single"/>
              </w:rPr>
              <w:t>123</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Crediting of Payments and Proceeds</w:t>
            </w:r>
          </w:p>
        </w:tc>
        <w:tc>
          <w:tcPr>
            <w:tcW w:w="650" w:type="dxa"/>
            <w:tcBorders/>
            <w:shd w:fill="CCEEFF" w:val="clear"/>
            <w:vAlign w:val="center"/>
          </w:tcPr>
          <w:p>
            <w:pPr>
              <w:pStyle w:val="TableContents"/>
              <w:bidi w:val="0"/>
              <w:spacing w:before="0" w:after="283"/>
              <w:jc w:val="right"/>
              <w:rPr/>
            </w:pPr>
            <w:r>
              <w:rPr>
                <w:strike/>
                <w:color w:val="FF0000"/>
                <w:sz w:val="20"/>
              </w:rPr>
              <w:t>116</w:t>
            </w:r>
            <w:r>
              <w:rPr>
                <w:color w:val="0000FF"/>
                <w:sz w:val="20"/>
                <w:u w:val="single"/>
              </w:rPr>
              <w:t>124</w:t>
            </w:r>
          </w:p>
        </w:tc>
      </w:tr>
      <w:tr>
        <w:trPr/>
        <w:tc>
          <w:tcPr>
            <w:tcW w:w="60"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9.5 </w:t>
            </w:r>
          </w:p>
        </w:tc>
        <w:tc>
          <w:tcPr>
            <w:tcW w:w="80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 May File Proofs of Claim</w:t>
            </w:r>
          </w:p>
        </w:tc>
        <w:tc>
          <w:tcPr>
            <w:tcW w:w="650" w:type="dxa"/>
            <w:tcBorders/>
            <w:shd w:fill="FFFFFF" w:val="clear"/>
            <w:vAlign w:val="center"/>
          </w:tcPr>
          <w:p>
            <w:pPr>
              <w:pStyle w:val="TableContents"/>
              <w:bidi w:val="0"/>
              <w:spacing w:before="0" w:after="283"/>
              <w:jc w:val="right"/>
              <w:rPr/>
            </w:pPr>
            <w:r>
              <w:rPr>
                <w:strike/>
                <w:color w:val="FF0000"/>
                <w:sz w:val="20"/>
              </w:rPr>
              <w:t>116</w:t>
            </w:r>
            <w:r>
              <w:rPr>
                <w:color w:val="0000FF"/>
                <w:sz w:val="20"/>
                <w:u w:val="single"/>
              </w:rPr>
              <w:t>125</w:t>
            </w:r>
          </w:p>
        </w:tc>
      </w:tr>
      <w:tr>
        <w:trPr/>
        <w:tc>
          <w:tcPr>
            <w:tcW w:w="60"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9.6 </w:t>
            </w:r>
          </w:p>
        </w:tc>
        <w:tc>
          <w:tcPr>
            <w:tcW w:w="80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Bidding</w:t>
            </w:r>
            <w:r>
              <w:rPr>
                <w:rFonts w:ascii="Times New Roman;Times;Serif" w:hAnsi="Times New Roman;Times;Serif"/>
                <w:color w:val="0000FF"/>
                <w:sz w:val="20"/>
                <w:u w:val="single"/>
              </w:rPr>
              <w:t>.</w:t>
            </w:r>
          </w:p>
        </w:tc>
        <w:tc>
          <w:tcPr>
            <w:tcW w:w="650" w:type="dxa"/>
            <w:tcBorders/>
            <w:shd w:fill="CCEEFF" w:val="clear"/>
            <w:vAlign w:val="center"/>
          </w:tcPr>
          <w:p>
            <w:pPr>
              <w:pStyle w:val="TableContents"/>
              <w:bidi w:val="0"/>
              <w:spacing w:before="0" w:after="283"/>
              <w:jc w:val="right"/>
              <w:rPr/>
            </w:pPr>
            <w:r>
              <w:rPr>
                <w:strike/>
                <w:color w:val="FF0000"/>
                <w:sz w:val="20"/>
              </w:rPr>
              <w:t>117</w:t>
            </w:r>
            <w:r>
              <w:rPr>
                <w:color w:val="0000FF"/>
                <w:sz w:val="20"/>
                <w:u w:val="single"/>
              </w:rPr>
              <w:t>125</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sz w:val="20"/>
        </w:rPr>
      </w:pPr>
      <w:r>
        <w:rPr>
          <w:b/>
          <w:sz w:val="20"/>
        </w:rPr>
        <w:t>TABLE OF CONTENTS</w:t>
      </w:r>
    </w:p>
    <w:p>
      <w:pPr>
        <w:pStyle w:val="TextBody"/>
        <w:bidi w:val="0"/>
        <w:jc w:val="center"/>
        <w:rPr>
          <w:sz w:val="20"/>
        </w:rPr>
      </w:pPr>
      <w:r>
        <w:rPr>
          <w:sz w:val="20"/>
        </w:rPr>
        <w:t>(continued)</w:t>
      </w:r>
    </w:p>
    <w:p>
      <w:pPr>
        <w:pStyle w:val="TextBody"/>
        <w:bidi w:val="0"/>
        <w:spacing w:before="0" w:after="283"/>
        <w:jc w:val="left"/>
        <w:rPr/>
      </w:pPr>
      <w:r>
        <w:rPr/>
        <w:t> </w:t>
      </w:r>
    </w:p>
    <w:tbl>
      <w:tblPr>
        <w:tblW w:w="8265" w:type="dxa"/>
        <w:jc w:val="left"/>
        <w:tblInd w:w="0" w:type="dxa"/>
        <w:tblLayout w:type="fixed"/>
        <w:tblCellMar>
          <w:top w:w="0" w:type="dxa"/>
          <w:left w:w="0" w:type="dxa"/>
          <w:bottom w:w="0" w:type="dxa"/>
          <w:right w:w="0" w:type="dxa"/>
        </w:tblCellMar>
      </w:tblPr>
      <w:tblGrid>
        <w:gridCol w:w="60"/>
        <w:gridCol w:w="1385"/>
        <w:gridCol w:w="6170"/>
        <w:gridCol w:w="650"/>
      </w:tblGrid>
      <w:tr>
        <w:trPr/>
        <w:tc>
          <w:tcPr>
            <w:tcW w:w="7615" w:type="dxa"/>
            <w:gridSpan w:val="3"/>
            <w:tcBorders/>
            <w:shd w:fill="FFFFFF" w:val="cle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Page</w:t>
            </w:r>
          </w:p>
        </w:tc>
      </w:tr>
      <w:tr>
        <w:trPr/>
        <w:tc>
          <w:tcPr>
            <w:tcW w:w="7615" w:type="dxa"/>
            <w:gridSpan w:val="3"/>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r>
      <w:tr>
        <w:trPr/>
        <w:tc>
          <w:tcPr>
            <w:tcW w:w="7615"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The Administrative Agent</w:t>
            </w:r>
          </w:p>
        </w:tc>
        <w:tc>
          <w:tcPr>
            <w:tcW w:w="650" w:type="dxa"/>
            <w:tcBorders/>
            <w:shd w:fill="CCEEFF" w:val="clear"/>
            <w:vAlign w:val="center"/>
          </w:tcPr>
          <w:p>
            <w:pPr>
              <w:pStyle w:val="TableContents"/>
              <w:bidi w:val="0"/>
              <w:spacing w:before="0" w:after="283"/>
              <w:jc w:val="right"/>
              <w:rPr/>
            </w:pPr>
            <w:r>
              <w:rPr>
                <w:strike/>
                <w:color w:val="FF0000"/>
                <w:sz w:val="20"/>
              </w:rPr>
              <w:t>118</w:t>
            </w:r>
            <w:r>
              <w:rPr>
                <w:color w:val="0000FF"/>
                <w:sz w:val="20"/>
                <w:u w:val="single"/>
              </w:rPr>
              <w:t>126</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Authority</w:t>
            </w:r>
            <w:r>
              <w:rPr>
                <w:rFonts w:ascii="Times New Roman;Times;Serif" w:hAnsi="Times New Roman;Times;Serif"/>
                <w:color w:val="0000FF"/>
                <w:sz w:val="20"/>
                <w:u w:val="single"/>
              </w:rPr>
              <w:t>.</w:t>
            </w:r>
          </w:p>
        </w:tc>
        <w:tc>
          <w:tcPr>
            <w:tcW w:w="650" w:type="dxa"/>
            <w:tcBorders/>
            <w:shd w:fill="FFFFFF" w:val="clear"/>
            <w:vAlign w:val="center"/>
          </w:tcPr>
          <w:p>
            <w:pPr>
              <w:pStyle w:val="TableContents"/>
              <w:bidi w:val="0"/>
              <w:spacing w:before="0" w:after="283"/>
              <w:jc w:val="right"/>
              <w:rPr/>
            </w:pPr>
            <w:r>
              <w:rPr>
                <w:strike/>
                <w:color w:val="FF0000"/>
                <w:sz w:val="20"/>
              </w:rPr>
              <w:t>118</w:t>
            </w:r>
            <w:r>
              <w:rPr>
                <w:color w:val="0000FF"/>
                <w:sz w:val="20"/>
                <w:u w:val="single"/>
              </w:rPr>
              <w:t>126</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10.2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as a Lender</w:t>
            </w:r>
          </w:p>
        </w:tc>
        <w:tc>
          <w:tcPr>
            <w:tcW w:w="650" w:type="dxa"/>
            <w:tcBorders/>
            <w:shd w:fill="CCEEFF" w:val="clear"/>
            <w:vAlign w:val="center"/>
          </w:tcPr>
          <w:p>
            <w:pPr>
              <w:pStyle w:val="TableContents"/>
              <w:bidi w:val="0"/>
              <w:spacing w:before="0" w:after="283"/>
              <w:jc w:val="right"/>
              <w:rPr/>
            </w:pPr>
            <w:r>
              <w:rPr>
                <w:strike/>
                <w:color w:val="FF0000"/>
                <w:sz w:val="20"/>
              </w:rPr>
              <w:t>118</w:t>
            </w:r>
            <w:r>
              <w:rPr>
                <w:color w:val="0000FF"/>
                <w:sz w:val="20"/>
                <w:u w:val="single"/>
              </w:rPr>
              <w:t>126</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10.3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Exculpatory Provisions</w:t>
            </w:r>
            <w:r>
              <w:rPr>
                <w:rFonts w:ascii="Times New Roman;Times;Serif" w:hAnsi="Times New Roman;Times;Serif"/>
                <w:color w:val="0000FF"/>
                <w:sz w:val="20"/>
                <w:u w:val="single"/>
              </w:rPr>
              <w:t>.</w:t>
            </w:r>
          </w:p>
        </w:tc>
        <w:tc>
          <w:tcPr>
            <w:tcW w:w="650" w:type="dxa"/>
            <w:tcBorders/>
            <w:shd w:fill="FFFFFF" w:val="clear"/>
            <w:vAlign w:val="center"/>
          </w:tcPr>
          <w:p>
            <w:pPr>
              <w:pStyle w:val="TableContents"/>
              <w:bidi w:val="0"/>
              <w:spacing w:before="0" w:after="283"/>
              <w:jc w:val="right"/>
              <w:rPr/>
            </w:pPr>
            <w:r>
              <w:rPr>
                <w:strike/>
                <w:color w:val="FF0000"/>
                <w:sz w:val="20"/>
              </w:rPr>
              <w:t>118</w:t>
            </w:r>
            <w:r>
              <w:rPr>
                <w:color w:val="0000FF"/>
                <w:sz w:val="20"/>
                <w:u w:val="single"/>
              </w:rPr>
              <w:t>127</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10.4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by the Administrative Agent</w:t>
            </w:r>
          </w:p>
        </w:tc>
        <w:tc>
          <w:tcPr>
            <w:tcW w:w="650" w:type="dxa"/>
            <w:tcBorders/>
            <w:shd w:fill="CCEEFF" w:val="clear"/>
            <w:vAlign w:val="center"/>
          </w:tcPr>
          <w:p>
            <w:pPr>
              <w:pStyle w:val="TableContents"/>
              <w:bidi w:val="0"/>
              <w:spacing w:before="0" w:after="283"/>
              <w:jc w:val="right"/>
              <w:rPr/>
            </w:pPr>
            <w:r>
              <w:rPr>
                <w:strike/>
                <w:color w:val="FF0000"/>
                <w:sz w:val="20"/>
              </w:rPr>
              <w:t>120</w:t>
            </w:r>
            <w:r>
              <w:rPr>
                <w:color w:val="0000FF"/>
                <w:sz w:val="20"/>
                <w:u w:val="single"/>
              </w:rPr>
              <w:t>128</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10.5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Delegation of Duties</w:t>
            </w:r>
          </w:p>
        </w:tc>
        <w:tc>
          <w:tcPr>
            <w:tcW w:w="650" w:type="dxa"/>
            <w:tcBorders/>
            <w:shd w:fill="FFFFFF" w:val="clear"/>
            <w:vAlign w:val="center"/>
          </w:tcPr>
          <w:p>
            <w:pPr>
              <w:pStyle w:val="TableContents"/>
              <w:bidi w:val="0"/>
              <w:spacing w:before="0" w:after="283"/>
              <w:jc w:val="right"/>
              <w:rPr/>
            </w:pPr>
            <w:r>
              <w:rPr>
                <w:strike/>
                <w:color w:val="FF0000"/>
                <w:sz w:val="20"/>
              </w:rPr>
              <w:t>120</w:t>
            </w:r>
            <w:r>
              <w:rPr>
                <w:color w:val="0000FF"/>
                <w:sz w:val="20"/>
                <w:u w:val="single"/>
              </w:rPr>
              <w:t>128</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10.6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Administrative Agent</w:t>
            </w:r>
            <w:r>
              <w:rPr>
                <w:rFonts w:ascii="Times New Roman;Times;Serif" w:hAnsi="Times New Roman;Times;Serif"/>
                <w:color w:val="0000FF"/>
                <w:sz w:val="20"/>
                <w:u w:val="single"/>
              </w:rPr>
              <w:t>.</w:t>
            </w:r>
          </w:p>
        </w:tc>
        <w:tc>
          <w:tcPr>
            <w:tcW w:w="650" w:type="dxa"/>
            <w:tcBorders/>
            <w:shd w:fill="CCEEFF" w:val="clear"/>
            <w:vAlign w:val="center"/>
          </w:tcPr>
          <w:p>
            <w:pPr>
              <w:pStyle w:val="TableContents"/>
              <w:bidi w:val="0"/>
              <w:spacing w:before="0" w:after="283"/>
              <w:jc w:val="right"/>
              <w:rPr/>
            </w:pPr>
            <w:r>
              <w:rPr>
                <w:strike/>
                <w:color w:val="FF0000"/>
                <w:sz w:val="20"/>
              </w:rPr>
              <w:t>120</w:t>
            </w:r>
            <w:r>
              <w:rPr>
                <w:color w:val="0000FF"/>
                <w:sz w:val="20"/>
                <w:u w:val="single"/>
              </w:rPr>
              <w:t>129</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10.7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Non-Reliance on Administrative Agent and Other Lenders</w:t>
            </w:r>
          </w:p>
        </w:tc>
        <w:tc>
          <w:tcPr>
            <w:tcW w:w="650" w:type="dxa"/>
            <w:tcBorders/>
            <w:shd w:fill="FFFFFF" w:val="clear"/>
            <w:vAlign w:val="center"/>
          </w:tcPr>
          <w:p>
            <w:pPr>
              <w:pStyle w:val="TableContents"/>
              <w:bidi w:val="0"/>
              <w:spacing w:before="0" w:after="283"/>
              <w:jc w:val="right"/>
              <w:rPr/>
            </w:pPr>
            <w:r>
              <w:rPr>
                <w:strike/>
                <w:color w:val="FF0000"/>
                <w:sz w:val="20"/>
              </w:rPr>
              <w:t>121</w:t>
            </w:r>
            <w:r>
              <w:rPr>
                <w:color w:val="0000FF"/>
                <w:sz w:val="20"/>
                <w:u w:val="single"/>
              </w:rPr>
              <w:t>130</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10.8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Duties, Etc</w:t>
            </w:r>
          </w:p>
        </w:tc>
        <w:tc>
          <w:tcPr>
            <w:tcW w:w="650" w:type="dxa"/>
            <w:tcBorders/>
            <w:shd w:fill="CCEEFF" w:val="clear"/>
            <w:vAlign w:val="center"/>
          </w:tcPr>
          <w:p>
            <w:pPr>
              <w:pStyle w:val="TableContents"/>
              <w:bidi w:val="0"/>
              <w:spacing w:before="0" w:after="283"/>
              <w:jc w:val="right"/>
              <w:rPr/>
            </w:pPr>
            <w:r>
              <w:rPr>
                <w:strike/>
                <w:color w:val="FF0000"/>
                <w:sz w:val="20"/>
              </w:rPr>
              <w:t>122</w:t>
            </w:r>
            <w:r>
              <w:rPr>
                <w:color w:val="0000FF"/>
                <w:sz w:val="20"/>
                <w:u w:val="single"/>
              </w:rPr>
              <w:t>130</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10.9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and Guaranty Matters</w:t>
            </w:r>
            <w:r>
              <w:rPr>
                <w:rFonts w:ascii="Times New Roman;Times;Serif" w:hAnsi="Times New Roman;Times;Serif"/>
                <w:color w:val="0000FF"/>
                <w:sz w:val="20"/>
                <w:u w:val="single"/>
              </w:rPr>
              <w:t>.</w:t>
            </w:r>
          </w:p>
        </w:tc>
        <w:tc>
          <w:tcPr>
            <w:tcW w:w="650" w:type="dxa"/>
            <w:tcBorders/>
            <w:shd w:fill="FFFFFF" w:val="clear"/>
            <w:vAlign w:val="center"/>
          </w:tcPr>
          <w:p>
            <w:pPr>
              <w:pStyle w:val="TableContents"/>
              <w:bidi w:val="0"/>
              <w:spacing w:before="0" w:after="283"/>
              <w:jc w:val="right"/>
              <w:rPr/>
            </w:pPr>
            <w:r>
              <w:rPr>
                <w:strike/>
                <w:color w:val="FF0000"/>
                <w:sz w:val="20"/>
              </w:rPr>
              <w:t>122</w:t>
            </w:r>
            <w:r>
              <w:rPr>
                <w:color w:val="0000FF"/>
                <w:sz w:val="20"/>
                <w:u w:val="single"/>
              </w:rPr>
              <w:t>131</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10.10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Secured Hedge Obligations and Secured Cash Management Obligations</w:t>
            </w:r>
          </w:p>
        </w:tc>
        <w:tc>
          <w:tcPr>
            <w:tcW w:w="650" w:type="dxa"/>
            <w:tcBorders/>
            <w:shd w:fill="CCEEFF" w:val="clear"/>
            <w:vAlign w:val="center"/>
          </w:tcPr>
          <w:p>
            <w:pPr>
              <w:pStyle w:val="TableContents"/>
              <w:bidi w:val="0"/>
              <w:spacing w:before="0" w:after="283"/>
              <w:jc w:val="right"/>
              <w:rPr/>
            </w:pPr>
            <w:r>
              <w:rPr>
                <w:strike/>
                <w:color w:val="FF0000"/>
                <w:sz w:val="20"/>
              </w:rPr>
              <w:t>123</w:t>
            </w:r>
            <w:r>
              <w:rPr>
                <w:color w:val="0000FF"/>
                <w:sz w:val="20"/>
                <w:u w:val="single"/>
              </w:rPr>
              <w:t>132</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10.11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650" w:type="dxa"/>
            <w:tcBorders/>
            <w:shd w:fill="FFFFFF" w:val="clear"/>
            <w:vAlign w:val="center"/>
          </w:tcPr>
          <w:p>
            <w:pPr>
              <w:pStyle w:val="TableContents"/>
              <w:bidi w:val="0"/>
              <w:spacing w:before="0" w:after="283"/>
              <w:jc w:val="right"/>
              <w:rPr/>
            </w:pPr>
            <w:r>
              <w:rPr>
                <w:strike/>
                <w:color w:val="FF0000"/>
                <w:sz w:val="20"/>
              </w:rPr>
              <w:t>124</w:t>
            </w:r>
            <w:r>
              <w:rPr>
                <w:color w:val="0000FF"/>
                <w:sz w:val="20"/>
                <w:u w:val="single"/>
              </w:rPr>
              <w:t>132</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10.12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Erroneous Payments</w:t>
            </w:r>
            <w:r>
              <w:rPr>
                <w:rFonts w:ascii="Times New Roman;Times;Serif" w:hAnsi="Times New Roman;Times;Serif"/>
                <w:color w:val="0000FF"/>
                <w:sz w:val="20"/>
                <w:u w:val="single"/>
              </w:rPr>
              <w:t>.</w:t>
            </w:r>
          </w:p>
        </w:tc>
        <w:tc>
          <w:tcPr>
            <w:tcW w:w="650" w:type="dxa"/>
            <w:tcBorders/>
            <w:shd w:fill="CCEEFF" w:val="clear"/>
            <w:vAlign w:val="center"/>
          </w:tcPr>
          <w:p>
            <w:pPr>
              <w:pStyle w:val="TableContents"/>
              <w:bidi w:val="0"/>
              <w:spacing w:before="0" w:after="283"/>
              <w:jc w:val="right"/>
              <w:rPr/>
            </w:pPr>
            <w:r>
              <w:rPr>
                <w:strike/>
                <w:color w:val="FF0000"/>
                <w:sz w:val="20"/>
              </w:rPr>
              <w:t>125</w:t>
            </w:r>
            <w:r>
              <w:rPr>
                <w:color w:val="0000FF"/>
                <w:sz w:val="20"/>
                <w:u w:val="single"/>
              </w:rPr>
              <w:t>133</w:t>
            </w:r>
          </w:p>
        </w:tc>
      </w:tr>
      <w:tr>
        <w:trPr/>
        <w:tc>
          <w:tcPr>
            <w:tcW w:w="60" w:type="dxa"/>
            <w:tcBorders/>
            <w:shd w:fill="FFFFFF" w:val="clear"/>
            <w:vAlign w:val="center"/>
          </w:tcPr>
          <w:p>
            <w:pPr>
              <w:pStyle w:val="TableContents"/>
              <w:bidi w:val="0"/>
              <w:spacing w:before="0" w:after="283"/>
              <w:jc w:val="left"/>
              <w:rPr/>
            </w:pPr>
            <w:r>
              <w:rPr/>
              <w:t> </w:t>
            </w:r>
          </w:p>
        </w:tc>
        <w:tc>
          <w:tcPr>
            <w:tcW w:w="7555" w:type="dxa"/>
            <w:gridSpan w:val="2"/>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r>
      <w:tr>
        <w:trPr/>
        <w:tc>
          <w:tcPr>
            <w:tcW w:w="7615" w:type="dxa"/>
            <w:gridSpan w:val="3"/>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Miscellaneous</w:t>
            </w:r>
          </w:p>
        </w:tc>
        <w:tc>
          <w:tcPr>
            <w:tcW w:w="650" w:type="dxa"/>
            <w:tcBorders/>
            <w:shd w:fill="CCEEFF" w:val="clear"/>
            <w:vAlign w:val="center"/>
          </w:tcPr>
          <w:p>
            <w:pPr>
              <w:pStyle w:val="TableContents"/>
              <w:bidi w:val="0"/>
              <w:spacing w:before="0" w:after="283"/>
              <w:jc w:val="right"/>
              <w:rPr/>
            </w:pPr>
            <w:r>
              <w:rPr>
                <w:strike/>
                <w:color w:val="FF0000"/>
                <w:sz w:val="20"/>
              </w:rPr>
              <w:t>126</w:t>
            </w:r>
            <w:r>
              <w:rPr>
                <w:color w:val="0000FF"/>
                <w:sz w:val="20"/>
                <w:u w:val="single"/>
              </w:rPr>
              <w:t>135</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r>
              <w:rPr>
                <w:rFonts w:ascii="Times New Roman;Times;Serif" w:hAnsi="Times New Roman;Times;Serif"/>
                <w:color w:val="0000FF"/>
                <w:sz w:val="20"/>
                <w:u w:val="single"/>
              </w:rPr>
              <w:t>.</w:t>
            </w:r>
          </w:p>
        </w:tc>
        <w:tc>
          <w:tcPr>
            <w:tcW w:w="650" w:type="dxa"/>
            <w:tcBorders/>
            <w:shd w:fill="FFFFFF" w:val="clear"/>
            <w:vAlign w:val="center"/>
          </w:tcPr>
          <w:p>
            <w:pPr>
              <w:pStyle w:val="TableContents"/>
              <w:bidi w:val="0"/>
              <w:spacing w:before="0" w:after="283"/>
              <w:jc w:val="right"/>
              <w:rPr/>
            </w:pPr>
            <w:r>
              <w:rPr>
                <w:strike/>
                <w:color w:val="FF0000"/>
                <w:sz w:val="20"/>
              </w:rPr>
              <w:t>126</w:t>
            </w:r>
            <w:r>
              <w:rPr>
                <w:color w:val="0000FF"/>
                <w:sz w:val="20"/>
                <w:u w:val="single"/>
              </w:rPr>
              <w:t>135</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11.2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Waivers and Consents</w:t>
            </w:r>
          </w:p>
        </w:tc>
        <w:tc>
          <w:tcPr>
            <w:tcW w:w="650" w:type="dxa"/>
            <w:tcBorders/>
            <w:shd w:fill="CCEEFF" w:val="clear"/>
            <w:vAlign w:val="center"/>
          </w:tcPr>
          <w:p>
            <w:pPr>
              <w:pStyle w:val="TableContents"/>
              <w:bidi w:val="0"/>
              <w:spacing w:before="0" w:after="283"/>
              <w:jc w:val="right"/>
              <w:rPr/>
            </w:pPr>
            <w:r>
              <w:rPr>
                <w:strike/>
                <w:color w:val="FF0000"/>
                <w:sz w:val="20"/>
              </w:rPr>
              <w:t>129</w:t>
            </w:r>
            <w:r>
              <w:rPr>
                <w:color w:val="0000FF"/>
                <w:sz w:val="20"/>
                <w:u w:val="single"/>
              </w:rPr>
              <w:t>137</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11.3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Indemnity</w:t>
            </w:r>
          </w:p>
        </w:tc>
        <w:tc>
          <w:tcPr>
            <w:tcW w:w="650" w:type="dxa"/>
            <w:tcBorders/>
            <w:shd w:fill="FFFFFF" w:val="clear"/>
            <w:vAlign w:val="center"/>
          </w:tcPr>
          <w:p>
            <w:pPr>
              <w:pStyle w:val="TableContents"/>
              <w:bidi w:val="0"/>
              <w:spacing w:before="0" w:after="283"/>
              <w:jc w:val="right"/>
              <w:rPr/>
            </w:pPr>
            <w:r>
              <w:rPr>
                <w:strike/>
                <w:color w:val="FF0000"/>
                <w:sz w:val="20"/>
              </w:rPr>
              <w:t>131</w:t>
            </w:r>
            <w:r>
              <w:rPr>
                <w:color w:val="0000FF"/>
                <w:sz w:val="20"/>
                <w:u w:val="single"/>
              </w:rPr>
              <w:t>140</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11.4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650" w:type="dxa"/>
            <w:tcBorders/>
            <w:shd w:fill="CCEEFF" w:val="clear"/>
            <w:vAlign w:val="center"/>
          </w:tcPr>
          <w:p>
            <w:pPr>
              <w:pStyle w:val="TableContents"/>
              <w:bidi w:val="0"/>
              <w:spacing w:before="0" w:after="283"/>
              <w:jc w:val="right"/>
              <w:rPr/>
            </w:pPr>
            <w:r>
              <w:rPr>
                <w:strike/>
                <w:color w:val="FF0000"/>
                <w:sz w:val="20"/>
              </w:rPr>
              <w:t>133</w:t>
            </w:r>
            <w:r>
              <w:rPr>
                <w:color w:val="0000FF"/>
                <w:sz w:val="20"/>
                <w:u w:val="single"/>
              </w:rPr>
              <w:t>142</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11.5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Etc</w:t>
            </w:r>
          </w:p>
        </w:tc>
        <w:tc>
          <w:tcPr>
            <w:tcW w:w="650" w:type="dxa"/>
            <w:tcBorders/>
            <w:shd w:fill="FFFFFF" w:val="clear"/>
            <w:vAlign w:val="center"/>
          </w:tcPr>
          <w:p>
            <w:pPr>
              <w:pStyle w:val="TableContents"/>
              <w:bidi w:val="0"/>
              <w:spacing w:before="0" w:after="283"/>
              <w:jc w:val="right"/>
              <w:rPr/>
            </w:pPr>
            <w:r>
              <w:rPr>
                <w:strike/>
                <w:color w:val="FF0000"/>
                <w:sz w:val="20"/>
              </w:rPr>
              <w:t>134</w:t>
            </w:r>
            <w:r>
              <w:rPr>
                <w:color w:val="0000FF"/>
                <w:sz w:val="20"/>
                <w:u w:val="single"/>
              </w:rPr>
              <w:t>142</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11.6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650" w:type="dxa"/>
            <w:tcBorders/>
            <w:shd w:fill="CCEEFF" w:val="clear"/>
            <w:vAlign w:val="center"/>
          </w:tcPr>
          <w:p>
            <w:pPr>
              <w:pStyle w:val="TableContents"/>
              <w:bidi w:val="0"/>
              <w:spacing w:before="0" w:after="283"/>
              <w:jc w:val="right"/>
              <w:rPr/>
            </w:pPr>
            <w:r>
              <w:rPr>
                <w:strike/>
                <w:color w:val="FF0000"/>
                <w:sz w:val="20"/>
              </w:rPr>
              <w:t>134</w:t>
            </w:r>
            <w:r>
              <w:rPr>
                <w:color w:val="0000FF"/>
                <w:sz w:val="20"/>
                <w:u w:val="single"/>
              </w:rPr>
              <w:t>143</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11.7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Reversal of Payments</w:t>
            </w:r>
          </w:p>
        </w:tc>
        <w:tc>
          <w:tcPr>
            <w:tcW w:w="650" w:type="dxa"/>
            <w:tcBorders/>
            <w:shd w:fill="FFFFFF" w:val="clear"/>
            <w:vAlign w:val="center"/>
          </w:tcPr>
          <w:p>
            <w:pPr>
              <w:pStyle w:val="TableContents"/>
              <w:bidi w:val="0"/>
              <w:spacing w:before="0" w:after="283"/>
              <w:jc w:val="right"/>
              <w:rPr/>
            </w:pPr>
            <w:r>
              <w:rPr>
                <w:strike/>
                <w:color w:val="FF0000"/>
                <w:sz w:val="20"/>
              </w:rPr>
              <w:t>135</w:t>
            </w:r>
            <w:r>
              <w:rPr>
                <w:color w:val="0000FF"/>
                <w:sz w:val="20"/>
                <w:u w:val="single"/>
              </w:rPr>
              <w:t>143</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11.8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Injunctive Relief</w:t>
            </w:r>
          </w:p>
        </w:tc>
        <w:tc>
          <w:tcPr>
            <w:tcW w:w="650" w:type="dxa"/>
            <w:tcBorders/>
            <w:shd w:fill="CCEEFF" w:val="clear"/>
            <w:vAlign w:val="center"/>
          </w:tcPr>
          <w:p>
            <w:pPr>
              <w:pStyle w:val="TableContents"/>
              <w:bidi w:val="0"/>
              <w:spacing w:before="0" w:after="283"/>
              <w:jc w:val="right"/>
              <w:rPr/>
            </w:pPr>
            <w:r>
              <w:rPr>
                <w:strike/>
                <w:color w:val="FF0000"/>
                <w:sz w:val="20"/>
              </w:rPr>
              <w:t>135</w:t>
            </w:r>
            <w:r>
              <w:rPr>
                <w:color w:val="0000FF"/>
                <w:sz w:val="20"/>
                <w:u w:val="single"/>
              </w:rPr>
              <w:t>143</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11.9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 Participations</w:t>
            </w:r>
          </w:p>
        </w:tc>
        <w:tc>
          <w:tcPr>
            <w:tcW w:w="650" w:type="dxa"/>
            <w:tcBorders/>
            <w:shd w:fill="FFFFFF" w:val="clear"/>
            <w:vAlign w:val="center"/>
          </w:tcPr>
          <w:p>
            <w:pPr>
              <w:pStyle w:val="TableContents"/>
              <w:bidi w:val="0"/>
              <w:spacing w:before="0" w:after="283"/>
              <w:jc w:val="right"/>
              <w:rPr/>
            </w:pPr>
            <w:r>
              <w:rPr>
                <w:strike/>
                <w:color w:val="FF0000"/>
                <w:sz w:val="20"/>
              </w:rPr>
              <w:t>135</w:t>
            </w:r>
            <w:r>
              <w:rPr>
                <w:color w:val="0000FF"/>
                <w:sz w:val="20"/>
                <w:u w:val="single"/>
              </w:rPr>
              <w:t>144</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11.10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Certain Information; Confidentiality</w:t>
            </w:r>
          </w:p>
        </w:tc>
        <w:tc>
          <w:tcPr>
            <w:tcW w:w="650" w:type="dxa"/>
            <w:tcBorders/>
            <w:shd w:fill="CCEEFF" w:val="clear"/>
            <w:vAlign w:val="center"/>
          </w:tcPr>
          <w:p>
            <w:pPr>
              <w:pStyle w:val="TableContents"/>
              <w:bidi w:val="0"/>
              <w:spacing w:before="0" w:after="283"/>
              <w:jc w:val="right"/>
              <w:rPr/>
            </w:pPr>
            <w:r>
              <w:rPr>
                <w:strike/>
                <w:color w:val="FF0000"/>
                <w:sz w:val="20"/>
              </w:rPr>
              <w:t>139</w:t>
            </w:r>
            <w:r>
              <w:rPr>
                <w:color w:val="0000FF"/>
                <w:sz w:val="20"/>
                <w:u w:val="single"/>
              </w:rPr>
              <w:t>148</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11.11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Duties</w:t>
            </w:r>
          </w:p>
        </w:tc>
        <w:tc>
          <w:tcPr>
            <w:tcW w:w="650" w:type="dxa"/>
            <w:tcBorders/>
            <w:shd w:fill="FFFFFF" w:val="clear"/>
            <w:vAlign w:val="center"/>
          </w:tcPr>
          <w:p>
            <w:pPr>
              <w:pStyle w:val="TableContents"/>
              <w:bidi w:val="0"/>
              <w:spacing w:before="0" w:after="283"/>
              <w:jc w:val="right"/>
              <w:rPr/>
            </w:pPr>
            <w:r>
              <w:rPr>
                <w:strike/>
                <w:color w:val="FF0000"/>
                <w:sz w:val="20"/>
              </w:rPr>
              <w:t>140</w:t>
            </w:r>
            <w:r>
              <w:rPr>
                <w:color w:val="0000FF"/>
                <w:sz w:val="20"/>
                <w:u w:val="single"/>
              </w:rPr>
              <w:t>149</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11.12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Powers Coupled with Interest</w:t>
            </w:r>
          </w:p>
        </w:tc>
        <w:tc>
          <w:tcPr>
            <w:tcW w:w="650" w:type="dxa"/>
            <w:tcBorders/>
            <w:shd w:fill="CCEEFF" w:val="clear"/>
            <w:vAlign w:val="center"/>
          </w:tcPr>
          <w:p>
            <w:pPr>
              <w:pStyle w:val="TableContents"/>
              <w:bidi w:val="0"/>
              <w:spacing w:before="0" w:after="283"/>
              <w:jc w:val="right"/>
              <w:rPr/>
            </w:pPr>
            <w:r>
              <w:rPr>
                <w:strike/>
                <w:color w:val="FF0000"/>
                <w:sz w:val="20"/>
              </w:rPr>
              <w:t>140</w:t>
            </w:r>
            <w:r>
              <w:rPr>
                <w:color w:val="0000FF"/>
                <w:sz w:val="20"/>
                <w:u w:val="single"/>
              </w:rPr>
              <w:t>149</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11.13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650" w:type="dxa"/>
            <w:tcBorders/>
            <w:shd w:fill="FFFFFF" w:val="clear"/>
            <w:vAlign w:val="center"/>
          </w:tcPr>
          <w:p>
            <w:pPr>
              <w:pStyle w:val="TableContents"/>
              <w:bidi w:val="0"/>
              <w:spacing w:before="0" w:after="283"/>
              <w:jc w:val="right"/>
              <w:rPr/>
            </w:pPr>
            <w:r>
              <w:rPr>
                <w:strike/>
                <w:color w:val="FF0000"/>
                <w:sz w:val="20"/>
              </w:rPr>
              <w:t>140</w:t>
            </w:r>
            <w:r>
              <w:rPr>
                <w:color w:val="0000FF"/>
                <w:sz w:val="20"/>
                <w:u w:val="single"/>
              </w:rPr>
              <w:t>149</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11.14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Titles and Captions</w:t>
            </w:r>
          </w:p>
        </w:tc>
        <w:tc>
          <w:tcPr>
            <w:tcW w:w="650" w:type="dxa"/>
            <w:tcBorders/>
            <w:shd w:fill="CCEEFF" w:val="clear"/>
            <w:vAlign w:val="center"/>
          </w:tcPr>
          <w:p>
            <w:pPr>
              <w:pStyle w:val="TableContents"/>
              <w:bidi w:val="0"/>
              <w:spacing w:before="0" w:after="283"/>
              <w:jc w:val="right"/>
              <w:rPr/>
            </w:pPr>
            <w:r>
              <w:rPr>
                <w:strike/>
                <w:color w:val="FF0000"/>
                <w:sz w:val="20"/>
              </w:rPr>
              <w:t>140</w:t>
            </w:r>
            <w:r>
              <w:rPr>
                <w:color w:val="0000FF"/>
                <w:sz w:val="20"/>
                <w:u w:val="single"/>
              </w:rPr>
              <w:t>149</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11.15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 of Provisions</w:t>
            </w:r>
          </w:p>
        </w:tc>
        <w:tc>
          <w:tcPr>
            <w:tcW w:w="650" w:type="dxa"/>
            <w:tcBorders/>
            <w:shd w:fill="FFFFFF" w:val="clear"/>
            <w:vAlign w:val="center"/>
          </w:tcPr>
          <w:p>
            <w:pPr>
              <w:pStyle w:val="TableContents"/>
              <w:bidi w:val="0"/>
              <w:spacing w:before="0" w:after="283"/>
              <w:jc w:val="right"/>
              <w:rPr/>
            </w:pPr>
            <w:r>
              <w:rPr>
                <w:strike/>
                <w:color w:val="FF0000"/>
                <w:sz w:val="20"/>
              </w:rPr>
              <w:t>140</w:t>
            </w:r>
            <w:r>
              <w:rPr>
                <w:color w:val="0000FF"/>
                <w:sz w:val="20"/>
                <w:u w:val="single"/>
              </w:rPr>
              <w:t>149</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11.16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Integration; Effectiveness; Electronic Execution</w:t>
            </w:r>
            <w:r>
              <w:rPr>
                <w:rFonts w:ascii="Times New Roman;Times;Serif" w:hAnsi="Times New Roman;Times;Serif"/>
                <w:color w:val="0000FF"/>
                <w:sz w:val="20"/>
                <w:u w:val="single"/>
              </w:rPr>
              <w:t>.</w:t>
            </w:r>
          </w:p>
        </w:tc>
        <w:tc>
          <w:tcPr>
            <w:tcW w:w="650" w:type="dxa"/>
            <w:tcBorders/>
            <w:shd w:fill="CCEEFF" w:val="clear"/>
            <w:vAlign w:val="center"/>
          </w:tcPr>
          <w:p>
            <w:pPr>
              <w:pStyle w:val="TableContents"/>
              <w:bidi w:val="0"/>
              <w:spacing w:before="0" w:after="283"/>
              <w:jc w:val="right"/>
              <w:rPr/>
            </w:pPr>
            <w:r>
              <w:rPr>
                <w:strike/>
                <w:color w:val="FF0000"/>
                <w:sz w:val="20"/>
              </w:rPr>
              <w:t>141</w:t>
            </w:r>
            <w:r>
              <w:rPr>
                <w:color w:val="0000FF"/>
                <w:sz w:val="20"/>
                <w:u w:val="single"/>
              </w:rPr>
              <w:t>149</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11.17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of Agreement</w:t>
            </w:r>
          </w:p>
        </w:tc>
        <w:tc>
          <w:tcPr>
            <w:tcW w:w="650" w:type="dxa"/>
            <w:tcBorders/>
            <w:shd w:fill="FFFFFF" w:val="clear"/>
            <w:vAlign w:val="center"/>
          </w:tcPr>
          <w:p>
            <w:pPr>
              <w:pStyle w:val="TableContents"/>
              <w:bidi w:val="0"/>
              <w:spacing w:before="0" w:after="283"/>
              <w:jc w:val="right"/>
              <w:rPr/>
            </w:pPr>
            <w:r>
              <w:rPr>
                <w:strike/>
                <w:color w:val="FF0000"/>
                <w:sz w:val="20"/>
              </w:rPr>
              <w:t>142</w:t>
            </w:r>
            <w:r>
              <w:rPr>
                <w:color w:val="0000FF"/>
                <w:sz w:val="20"/>
                <w:u w:val="single"/>
              </w:rPr>
              <w:t>150</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11.18</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 Anti-Money Laundering Laws</w:t>
            </w:r>
          </w:p>
        </w:tc>
        <w:tc>
          <w:tcPr>
            <w:tcW w:w="650" w:type="dxa"/>
            <w:tcBorders/>
            <w:shd w:fill="CCEEFF" w:val="clear"/>
            <w:vAlign w:val="center"/>
          </w:tcPr>
          <w:p>
            <w:pPr>
              <w:pStyle w:val="TableContents"/>
              <w:bidi w:val="0"/>
              <w:spacing w:before="0" w:after="283"/>
              <w:jc w:val="right"/>
              <w:rPr/>
            </w:pPr>
            <w:r>
              <w:rPr>
                <w:strike/>
                <w:color w:val="FF0000"/>
                <w:sz w:val="20"/>
              </w:rPr>
              <w:t>142</w:t>
            </w:r>
            <w:r>
              <w:rPr>
                <w:color w:val="0000FF"/>
                <w:sz w:val="20"/>
                <w:u w:val="single"/>
              </w:rPr>
              <w:t>151</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11.19</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Effect of Covenants</w:t>
            </w:r>
          </w:p>
        </w:tc>
        <w:tc>
          <w:tcPr>
            <w:tcW w:w="650" w:type="dxa"/>
            <w:tcBorders/>
            <w:shd w:fill="FFFFFF" w:val="clear"/>
            <w:vAlign w:val="center"/>
          </w:tcPr>
          <w:p>
            <w:pPr>
              <w:pStyle w:val="TableContents"/>
              <w:bidi w:val="0"/>
              <w:spacing w:before="0" w:after="283"/>
              <w:jc w:val="right"/>
              <w:rPr/>
            </w:pPr>
            <w:r>
              <w:rPr>
                <w:strike/>
                <w:color w:val="FF0000"/>
                <w:sz w:val="20"/>
              </w:rPr>
              <w:t>142</w:t>
            </w:r>
            <w:r>
              <w:rPr>
                <w:color w:val="0000FF"/>
                <w:sz w:val="20"/>
                <w:u w:val="single"/>
              </w:rPr>
              <w:t>151</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11.20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Advisory or Fiduciary Responsibility</w:t>
            </w:r>
            <w:r>
              <w:rPr>
                <w:rFonts w:ascii="Times New Roman;Times;Serif" w:hAnsi="Times New Roman;Times;Serif"/>
                <w:color w:val="0000FF"/>
                <w:sz w:val="20"/>
                <w:u w:val="single"/>
              </w:rPr>
              <w:t>.</w:t>
            </w:r>
          </w:p>
        </w:tc>
        <w:tc>
          <w:tcPr>
            <w:tcW w:w="650" w:type="dxa"/>
            <w:tcBorders/>
            <w:shd w:fill="CCEEFF" w:val="clear"/>
            <w:vAlign w:val="center"/>
          </w:tcPr>
          <w:p>
            <w:pPr>
              <w:pStyle w:val="TableContents"/>
              <w:bidi w:val="0"/>
              <w:spacing w:before="0" w:after="283"/>
              <w:jc w:val="right"/>
              <w:rPr/>
            </w:pPr>
            <w:r>
              <w:rPr>
                <w:strike/>
                <w:color w:val="FF0000"/>
                <w:sz w:val="20"/>
              </w:rPr>
              <w:t>142</w:t>
            </w:r>
            <w:r>
              <w:rPr>
                <w:color w:val="0000FF"/>
                <w:sz w:val="20"/>
                <w:u w:val="single"/>
              </w:rPr>
              <w:t>151</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11.21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Inconsistencies with Other Documents</w:t>
            </w:r>
          </w:p>
        </w:tc>
        <w:tc>
          <w:tcPr>
            <w:tcW w:w="650" w:type="dxa"/>
            <w:tcBorders/>
            <w:shd w:fill="FFFFFF" w:val="clear"/>
            <w:vAlign w:val="center"/>
          </w:tcPr>
          <w:p>
            <w:pPr>
              <w:pStyle w:val="TableContents"/>
              <w:bidi w:val="0"/>
              <w:spacing w:before="0" w:after="283"/>
              <w:jc w:val="right"/>
              <w:rPr/>
            </w:pPr>
            <w:r>
              <w:rPr>
                <w:strike/>
                <w:color w:val="FF0000"/>
                <w:sz w:val="20"/>
              </w:rPr>
              <w:t>143</w:t>
            </w:r>
            <w:r>
              <w:rPr>
                <w:color w:val="0000FF"/>
                <w:sz w:val="20"/>
                <w:u w:val="single"/>
              </w:rPr>
              <w:t>152</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11.22 </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Holdings as Agent for Borrowers</w:t>
            </w:r>
          </w:p>
        </w:tc>
        <w:tc>
          <w:tcPr>
            <w:tcW w:w="650" w:type="dxa"/>
            <w:tcBorders/>
            <w:shd w:fill="CCEEFF" w:val="clear"/>
            <w:vAlign w:val="center"/>
          </w:tcPr>
          <w:p>
            <w:pPr>
              <w:pStyle w:val="TableContents"/>
              <w:bidi w:val="0"/>
              <w:spacing w:before="0" w:after="283"/>
              <w:jc w:val="right"/>
              <w:rPr/>
            </w:pPr>
            <w:r>
              <w:rPr>
                <w:strike/>
                <w:color w:val="FF0000"/>
                <w:sz w:val="20"/>
              </w:rPr>
              <w:t>143</w:t>
            </w:r>
            <w:r>
              <w:rPr>
                <w:color w:val="0000FF"/>
                <w:sz w:val="20"/>
                <w:u w:val="single"/>
              </w:rPr>
              <w:t>152</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11.23</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650" w:type="dxa"/>
            <w:tcBorders/>
            <w:shd w:fill="FFFFFF" w:val="clear"/>
            <w:vAlign w:val="center"/>
          </w:tcPr>
          <w:p>
            <w:pPr>
              <w:pStyle w:val="TableContents"/>
              <w:bidi w:val="0"/>
              <w:spacing w:before="0" w:after="283"/>
              <w:jc w:val="right"/>
              <w:rPr/>
            </w:pPr>
            <w:r>
              <w:rPr>
                <w:strike/>
                <w:color w:val="FF0000"/>
                <w:sz w:val="20"/>
              </w:rPr>
              <w:t>144</w:t>
            </w:r>
            <w:r>
              <w:rPr>
                <w:color w:val="0000FF"/>
                <w:sz w:val="20"/>
                <w:u w:val="single"/>
              </w:rPr>
              <w:t>153</w:t>
            </w:r>
          </w:p>
        </w:tc>
      </w:tr>
      <w:tr>
        <w:trPr/>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11.24</w:t>
            </w:r>
          </w:p>
        </w:tc>
        <w:tc>
          <w:tcPr>
            <w:tcW w:w="6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Regarding Any Supported QFCs</w:t>
            </w:r>
          </w:p>
        </w:tc>
        <w:tc>
          <w:tcPr>
            <w:tcW w:w="650" w:type="dxa"/>
            <w:tcBorders/>
            <w:shd w:fill="CCEEFF" w:val="clear"/>
            <w:vAlign w:val="center"/>
          </w:tcPr>
          <w:p>
            <w:pPr>
              <w:pStyle w:val="TableContents"/>
              <w:bidi w:val="0"/>
              <w:spacing w:before="0" w:after="283"/>
              <w:jc w:val="right"/>
              <w:rPr/>
            </w:pPr>
            <w:r>
              <w:rPr>
                <w:strike/>
                <w:color w:val="FF0000"/>
                <w:sz w:val="20"/>
              </w:rPr>
              <w:t>144</w:t>
            </w:r>
            <w:r>
              <w:rPr>
                <w:color w:val="0000FF"/>
                <w:sz w:val="20"/>
                <w:u w:val="single"/>
              </w:rPr>
              <w:t>153</w:t>
            </w:r>
          </w:p>
        </w:tc>
      </w:tr>
      <w:tr>
        <w:trPr/>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11.25 </w:t>
            </w:r>
          </w:p>
        </w:tc>
        <w:tc>
          <w:tcPr>
            <w:tcW w:w="6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and Restatement; No Novation</w:t>
            </w:r>
          </w:p>
        </w:tc>
        <w:tc>
          <w:tcPr>
            <w:tcW w:w="650" w:type="dxa"/>
            <w:tcBorders/>
            <w:shd w:fill="FFFFFF" w:val="clear"/>
            <w:vAlign w:val="center"/>
          </w:tcPr>
          <w:p>
            <w:pPr>
              <w:pStyle w:val="TableContents"/>
              <w:bidi w:val="0"/>
              <w:spacing w:before="0" w:after="283"/>
              <w:jc w:val="right"/>
              <w:rPr/>
            </w:pPr>
            <w:r>
              <w:rPr>
                <w:strike/>
                <w:color w:val="FF0000"/>
                <w:sz w:val="20"/>
              </w:rPr>
              <w:t>145</w:t>
            </w:r>
            <w:r>
              <w:rPr>
                <w:color w:val="0000FF"/>
                <w:sz w:val="20"/>
                <w:u w:val="single"/>
              </w:rPr>
              <w:t>154</w:t>
            </w:r>
          </w:p>
        </w:tc>
      </w:tr>
    </w:tbl>
    <w:p>
      <w:pPr>
        <w:pStyle w:val="TextBody"/>
        <w:bidi w:val="0"/>
        <w:spacing w:before="0" w:after="0"/>
        <w:ind w:left="2448" w:right="0" w:hanging="1728"/>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0" w:type="dxa"/>
          <w:right w:w="0" w:type="dxa"/>
        </w:tblCellMar>
      </w:tblPr>
      <w:tblGrid>
        <w:gridCol w:w="1310"/>
        <w:gridCol w:w="80"/>
        <w:gridCol w:w="6500"/>
      </w:tblGrid>
      <w:tr>
        <w:trPr/>
        <w:tc>
          <w:tcPr>
            <w:tcW w:w="131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EXHIBITS</w:t>
            </w:r>
          </w:p>
        </w:tc>
        <w:tc>
          <w:tcPr>
            <w:tcW w:w="80" w:type="dxa"/>
            <w:tcBorders/>
            <w:vAlign w:val="center"/>
          </w:tcPr>
          <w:p>
            <w:pPr>
              <w:pStyle w:val="TableContents"/>
              <w:bidi w:val="0"/>
              <w:spacing w:before="0" w:after="283"/>
              <w:jc w:val="both"/>
              <w:rPr/>
            </w:pPr>
            <w:r>
              <w:rPr/>
              <w:t> </w:t>
            </w:r>
          </w:p>
        </w:tc>
        <w:tc>
          <w:tcPr>
            <w:tcW w:w="6500" w:type="dxa"/>
            <w:tcBorders/>
            <w:vAlign w:val="center"/>
          </w:tcPr>
          <w:p>
            <w:pPr>
              <w:pStyle w:val="TableContents"/>
              <w:bidi w:val="0"/>
              <w:spacing w:before="0" w:after="283"/>
              <w:jc w:val="both"/>
              <w:rPr/>
            </w:pPr>
            <w:r>
              <w:rPr/>
              <w:t> </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Assignment and Assumption</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Compliance Certificate</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Joinder Agreement</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D-1</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Revolving Credit Note</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D-2</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Swingline Note</w:t>
            </w:r>
          </w:p>
        </w:tc>
      </w:tr>
      <w:tr>
        <w:trPr/>
        <w:tc>
          <w:tcPr>
            <w:tcW w:w="1310" w:type="dxa"/>
            <w:tcBorders/>
            <w:shd w:fill="E6E6FA" w:val="clear"/>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Exhibit D-3</w:t>
            </w:r>
          </w:p>
        </w:tc>
        <w:tc>
          <w:tcPr>
            <w:tcW w:w="80" w:type="dxa"/>
            <w:tcBorders/>
            <w:shd w:fill="E6E6FA" w:val="clear"/>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w:t>
            </w:r>
          </w:p>
        </w:tc>
        <w:tc>
          <w:tcPr>
            <w:tcW w:w="6500" w:type="dxa"/>
            <w:tcBorders/>
            <w:shd w:fill="E6E6FA" w:val="clear"/>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Form of Term Loan Note</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E</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Notice of Borrowing</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F</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Notice of Account Designation</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G</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Notice of Prepayment</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H</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Notice of Conversion/Continuation</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I-1</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U.S. Tax Compliance Certificate (Non-Partnership Foreign Lenders)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I-2</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U.S. Tax Compliance Certificate (Non-Partnership Foreign Participants)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I-3</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U.S. Tax Compliance Certificate (Foreign Participant Partnerships)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I-4</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U.S. Tax Compliance Certificate (Foreign Lender Partnerships)</w:t>
            </w:r>
          </w:p>
        </w:tc>
      </w:tr>
      <w:tr>
        <w:trPr/>
        <w:tc>
          <w:tcPr>
            <w:tcW w:w="7890" w:type="dxa"/>
            <w:gridSpan w:val="3"/>
            <w:tcBorders/>
            <w:vAlign w:val="center"/>
          </w:tcPr>
          <w:p>
            <w:pPr>
              <w:pStyle w:val="TableContents"/>
              <w:bidi w:val="0"/>
              <w:spacing w:before="0" w:after="283"/>
              <w:jc w:val="both"/>
              <w:rPr/>
            </w:pPr>
            <w:r>
              <w:rPr/>
              <w:t> </w:t>
            </w:r>
          </w:p>
        </w:tc>
      </w:tr>
      <w:tr>
        <w:trPr/>
        <w:tc>
          <w:tcPr>
            <w:tcW w:w="7890" w:type="dxa"/>
            <w:gridSpan w:val="3"/>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SCHEDULES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1.1(a)</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Surety Bonds; Bonded Contracts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1.1(b)</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Sureties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1.1(c)</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Letters of Credit</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1.2</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Commitments and Commitment Percentages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6.1</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Jurisdictions of Organization and Qualification and Subsidiary Guarantors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6.8</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Environmental Matters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6.9</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ERISA Plans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6.12</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Material Contracts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6.13</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 and Collective Bargaining Agreements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6.18</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8.1</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Indebtedness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8.2</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Liens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8.3</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Loans, Advances and Investments</w:t>
            </w:r>
          </w:p>
        </w:tc>
      </w:tr>
      <w:tr>
        <w:trPr/>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8.7</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with Affiliates</w:t>
            </w:r>
          </w:p>
        </w:tc>
      </w:tr>
    </w:tbl>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FOURTH AMENDED AND RESTATED CREDIT AGREEMENT</w:t>
      </w:r>
      <w:r>
        <w:rPr>
          <w:rFonts w:ascii="Times New Roman;Times;Serif" w:hAnsi="Times New Roman;Times;Serif"/>
          <w:b w:val="false"/>
          <w:i w:val="false"/>
          <w:caps w:val="false"/>
          <w:smallCaps w:val="false"/>
          <w:sz w:val="20"/>
        </w:rPr>
        <w:t xml:space="preserve">, dated as of January 21, 2025, is by and among </w:t>
      </w:r>
      <w:r>
        <w:rPr>
          <w:rFonts w:ascii="Times New Roman;Times;Serif" w:hAnsi="Times New Roman;Times;Serif"/>
          <w:b/>
          <w:i w:val="false"/>
          <w:caps w:val="false"/>
          <w:smallCaps w:val="false"/>
          <w:sz w:val="20"/>
        </w:rPr>
        <w:t>IES HOLDINGS,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xml:space="preserve">”), as a Borrower, the Subsidiaries of Holdings party hereto from time to time, as Borrowers, the Lenders party hereto from time to time, and </w:t>
      </w:r>
      <w:r>
        <w:rPr>
          <w:rFonts w:ascii="Times New Roman;Times;Serif" w:hAnsi="Times New Roman;Times;Serif"/>
          <w:b/>
          <w:i w:val="false"/>
          <w:caps w:val="false"/>
          <w:smallCaps w:val="false"/>
          <w:sz w:val="20"/>
        </w:rPr>
        <w:t>WELLS FARGO BANK, NATIONAL ASSOCIATION</w:t>
      </w:r>
      <w:r>
        <w:rPr>
          <w:rFonts w:ascii="Times New Roman;Times;Serif" w:hAnsi="Times New Roman;Times;Serif"/>
          <w:b w:val="false"/>
          <w:i w:val="false"/>
          <w:caps w:val="false"/>
          <w:smallCaps w:val="false"/>
          <w:sz w:val="20"/>
        </w:rPr>
        <w:t>, a national banking association, as Administrative Agent, Issuing Lender and Swingline Lender.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STATEMENT OF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Holdings, certain subsidiaries of Holdings, certain lenders (“</w:t>
      </w:r>
      <w:r>
        <w:rPr>
          <w:rFonts w:ascii="Times New Roman;Times;Serif" w:hAnsi="Times New Roman;Times;Serif"/>
          <w:b w:val="false"/>
          <w:i w:val="false"/>
          <w:caps w:val="false"/>
          <w:smallCaps w:val="false"/>
          <w:sz w:val="20"/>
          <w:u w:val="single"/>
        </w:rPr>
        <w:t>Existing Lenders</w:t>
      </w:r>
      <w:r>
        <w:rPr>
          <w:rFonts w:ascii="Times New Roman;Times;Serif" w:hAnsi="Times New Roman;Times;Serif"/>
          <w:b w:val="false"/>
          <w:i w:val="false"/>
          <w:caps w:val="false"/>
          <w:smallCaps w:val="false"/>
          <w:sz w:val="20"/>
        </w:rPr>
        <w:t>”) and Wells Fargo Bank, National Association as administrative agent for such Existing Lenders, are parties to that certain Third Amended and Restated Credit Agreement dated as of April 28, 2022, as the same has been amended, restated, modified or supplemented from time to time prior to the date hereof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Borrowers have requested, and subject to the terms and conditions set forth in this Agreement, the Administrative Agent and the Lenders have agreed to extend, certain credit facilities to the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have agreed (i) to amend and restate the Existing Credit Agreement in its entirety as set forth herein, and (ii) that, from and after the date hereof, the loans, letters of credit and other obligations outstanding under the Existing Credit Agreement shall be governed by and deemed to be outstanding under the amended and restated terms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the intent of the parties that the execution and delivery of this Agreement, which is made for the purposes described in the foregoing recitals, shall not effectuate a novation of the Existing Credit Agreement, constitute a release or discharge of the Obligations (as defined in the Existing Credit Agreement), but rather as a substitution of certain terms governing the payment and performance of and security for such obligations and indebtedness;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by the parties hereto, (a) the Existing Credit Agreement is amended and restated in its entirety to as follows, and (b) such parties hereby further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when used in this Agreement shall have the meanings assigned to them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 Control Agreement</w:t>
      </w:r>
      <w:r>
        <w:rPr>
          <w:rFonts w:ascii="Times New Roman;Times;Serif" w:hAnsi="Times New Roman;Times;Serif"/>
          <w:b w:val="false"/>
          <w:i w:val="false"/>
          <w:caps w:val="false"/>
          <w:smallCaps w:val="false"/>
          <w:sz w:val="20"/>
        </w:rPr>
        <w:t>” means, with respect to any deposit account, commodity account, or securities account of any Credit Party, (a) a control agreement or (b) for such accounts not located in the United States, an analogous document used for equivalent purposes under comparable Applicable Law of such jurisdiction, in each case, in favor of, and otherwise in form and substance reasonably acceptable to, the Administrative Agent.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EBITDA</w:t>
      </w:r>
      <w:r>
        <w:rPr>
          <w:rFonts w:ascii="Times New Roman;Times;Serif" w:hAnsi="Times New Roman;Times;Serif"/>
          <w:b w:val="false"/>
          <w:i w:val="false"/>
          <w:caps w:val="false"/>
          <w:smallCaps w:val="false"/>
          <w:sz w:val="20"/>
        </w:rPr>
        <w:t xml:space="preserve">” means, with respect to any Person or business acquired pursuant to an Acquisition for any period, the amount for such period of Consolidated EBITDA of any such Person or business so acquired (determined using such definitions as if references to Holdings and its Subsidiaries therein were to such Person or business), as calculated by Holdings in good faith and which shall be factually supported by historical financial statements;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notwithstanding the foregoing to the contrary, in determining Acquired EBITDA for any Person or business that does not have historical financial accounting periods which coincide with that of the financial accounting periods of Holdings and its Subsidiaries (a) references to Reference Period in any applicable definitions shall be deemed to mean the same relevant period as the applicable period of determination for Holdings and its Subsidiaries and (b) to the extent the commencement of any such Reference Period shall occur during a fiscal quarter of such acquired Person or business (such that only a portion of such fiscal quarter shall be included in such Reference Period), Acquired EBITDA for the portion of such fiscal quarter so included in such Reference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Reference Period and the denominator of which shall be actual months in such fiscal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acquisition, or any series of related acquisitions, consummated on or after the date of this Agreement, by which any Credit Party or any of its Subsidiaries (a) acquires any business or all or substantially all of the assets of any Person, or business unit, line of business or division thereof, whether through purchase of assets, exchange, issuance of stock or other equity or debt securities, merger, reorganization, amalgamation, division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means Wells Fargo, in its capacity as Administrative Agent hereunder, and any successor thereto appointed pursuant to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Agent’s Office</w:t>
      </w:r>
      <w:r>
        <w:rPr>
          <w:rFonts w:ascii="Times New Roman;Times;Serif" w:hAnsi="Times New Roman;Times;Serif"/>
          <w:b w:val="false"/>
          <w:i w:val="false"/>
          <w:caps w:val="false"/>
          <w:smallCaps w:val="false"/>
          <w:sz w:val="20"/>
        </w:rPr>
        <w:t xml:space="preserve">” means the office of the Administrative Agent specified in or determined in accordance with the provisions of </w:t>
      </w:r>
      <w:r>
        <w:rPr>
          <w:rFonts w:ascii="Times New Roman;Times;Serif" w:hAnsi="Times New Roman;Times;Serif"/>
          <w:b w:val="false"/>
          <w:i w:val="false"/>
          <w:caps w:val="false"/>
          <w:smallCaps w:val="false"/>
          <w:sz w:val="20"/>
          <w:u w:val="single"/>
        </w:rPr>
        <w:t>Section 11.1(c)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Borrower</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Parties</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11.1(e)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Fourth Amended and Restated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Amendment No. 1</w:t>
      </w:r>
      <w:r>
        <w:rPr>
          <w:rFonts w:ascii="Times New Roman;Times;Serif" w:hAnsi="Times New Roman;Times;Serif"/>
          <w:b w:val="false"/>
          <w:i w:val="false"/>
          <w:caps w:val="false"/>
          <w:smallCaps w:val="false"/>
          <w:sz w:val="20"/>
        </w:rPr>
        <w:t xml:space="preserve">” means that certain Amendment No. 1 to </w:t>
      </w:r>
      <w:r>
        <w:rPr>
          <w:rFonts w:ascii="Times New Roman;Times;Serif" w:hAnsi="Times New Roman;Times;Serif"/>
          <w:b w:val="false"/>
          <w:i w:val="false"/>
          <w:caps w:val="false"/>
          <w:smallCaps w:val="false"/>
          <w:color w:val="0000FF"/>
          <w:sz w:val="20"/>
          <w:u w:val="single"/>
        </w:rPr>
        <w:t xml:space="preserve">Fourth Amended and Restated </w:t>
      </w:r>
      <w:r>
        <w:rPr>
          <w:rFonts w:ascii="Times New Roman;Times;Serif" w:hAnsi="Times New Roman;Times;Serif"/>
          <w:b w:val="false"/>
          <w:i w:val="false"/>
          <w:caps w:val="false"/>
          <w:smallCaps w:val="false"/>
          <w:sz w:val="20"/>
        </w:rPr>
        <w:t>Credit Agreement, dated as of the Amendment No. 1 Effective Date, among the Borrowers, the Guarantors, the Lenders party thereto, and the Administrative Agent, which amends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Amendment No. 1 Effective Date</w:t>
      </w:r>
      <w:r>
        <w:rPr>
          <w:rFonts w:ascii="Times New Roman;Times;Serif" w:hAnsi="Times New Roman;Times;Serif"/>
          <w:b w:val="false"/>
          <w:i w:val="false"/>
          <w:caps w:val="false"/>
          <w:smallCaps w:val="false"/>
          <w:sz w:val="20"/>
        </w:rPr>
        <w:t>” means January 9, 2026.</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Amendment No. 2” means that certain Amendment No. 2 to Fourth Amended and Restated Credit Agreement and Amendment No. 1 to Amended and Restated Guaranty and Security Agreement, dated as of the Amendment No. 2 Effective Date, among the Borrowers, the Guarantors, the Lenders party thereto, and the Administrative Agent, which amends this Agreement.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Amendment No. 2 Effective Date” means October 5, 2026.</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from time to time concerning or relating to bribery or corruption, including the United States Foreign Corrupt Practices Act of 1977 and the rules and regulations thereunder and the U.K. Bribery Act 2010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any and all laws, statutes, regulations or obligatory government orders, decrees, ordinances or rules related to terrorism financing, money laundering, any predicate crime to money laundering or any financial record keeping, including any applicable provision of the PATRIOT Act and The Currency and Foreign Transactions Reporting Act (also known as the “Bank Secrecy Act,” 31 U.S.C. §§ 5311-5330 and 12 U.S.C. §§ 1818(s), 1820(b) and 1951-1959).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all applicable provisions of constitutions, laws, statutes, ordinances, rules, treaties, regulations, permits, licenses, approvals, interpretations and orders of Governmental Authorities and all orders and decrees of all courts and arbitrators.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means the corresponding percentages per annum as set forth below based on the Consolidated Total Leverage Ratio: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88"/>
        <w:gridCol w:w="60"/>
        <w:gridCol w:w="3729"/>
        <w:gridCol w:w="60"/>
        <w:gridCol w:w="151"/>
        <w:gridCol w:w="1420"/>
        <w:gridCol w:w="215"/>
        <w:gridCol w:w="60"/>
        <w:gridCol w:w="255"/>
        <w:gridCol w:w="1881"/>
        <w:gridCol w:w="215"/>
        <w:gridCol w:w="60"/>
        <w:gridCol w:w="93"/>
        <w:gridCol w:w="685"/>
        <w:gridCol w:w="233"/>
      </w:tblGrid>
      <w:tr>
        <w:trPr/>
        <w:tc>
          <w:tcPr>
            <w:tcW w:w="1088" w:type="dxa"/>
            <w:tcBorders>
              <w:bottom w:val="single" w:sz="8" w:space="0" w:color="000000"/>
            </w:tcBorders>
            <w:vAlign w:val="center"/>
          </w:tcPr>
          <w:p>
            <w:pPr>
              <w:pStyle w:val="TableContents"/>
              <w:bidi w:val="0"/>
              <w:spacing w:before="0" w:after="283"/>
              <w:jc w:val="center"/>
              <w:rPr>
                <w:b/>
              </w:rPr>
            </w:pPr>
            <w:r>
              <w:rPr>
                <w:b/>
              </w:rPr>
              <w:t>Pricing Level</w:t>
            </w:r>
          </w:p>
        </w:tc>
        <w:tc>
          <w:tcPr>
            <w:tcW w:w="60" w:type="dxa"/>
            <w:tcBorders/>
            <w:tcMar>
              <w:bottom w:w="0" w:type="dxa"/>
            </w:tcMar>
            <w:vAlign w:val="center"/>
          </w:tcPr>
          <w:p>
            <w:pPr>
              <w:pStyle w:val="TableContents"/>
              <w:bidi w:val="0"/>
              <w:spacing w:before="0" w:after="283"/>
              <w:jc w:val="left"/>
              <w:rPr/>
            </w:pPr>
            <w:r>
              <w:rPr/>
              <w:t> </w:t>
            </w:r>
          </w:p>
        </w:tc>
        <w:tc>
          <w:tcPr>
            <w:tcW w:w="3729" w:type="dxa"/>
            <w:tcBorders>
              <w:bottom w:val="single" w:sz="8" w:space="0" w:color="000000"/>
            </w:tcBorders>
            <w:vAlign w:val="center"/>
          </w:tcPr>
          <w:p>
            <w:pPr>
              <w:pStyle w:val="TableContents"/>
              <w:bidi w:val="0"/>
              <w:spacing w:before="0" w:after="283"/>
              <w:jc w:val="center"/>
              <w:rPr>
                <w:b/>
              </w:rPr>
            </w:pPr>
            <w:r>
              <w:rPr>
                <w:b/>
              </w:rPr>
              <w:t>Consolidated Total Leverage Ratio</w:t>
            </w:r>
          </w:p>
        </w:tc>
        <w:tc>
          <w:tcPr>
            <w:tcW w:w="60" w:type="dxa"/>
            <w:tcBorders/>
            <w:tcMar>
              <w:bottom w:w="0" w:type="dxa"/>
            </w:tcMar>
            <w:vAlign w:val="center"/>
          </w:tcPr>
          <w:p>
            <w:pPr>
              <w:pStyle w:val="TableContents"/>
              <w:bidi w:val="0"/>
              <w:spacing w:before="0" w:after="283"/>
              <w:jc w:val="left"/>
              <w:rPr/>
            </w:pPr>
            <w:r>
              <w:rPr/>
              <w:t> </w:t>
            </w:r>
          </w:p>
        </w:tc>
        <w:tc>
          <w:tcPr>
            <w:tcW w:w="1571" w:type="dxa"/>
            <w:gridSpan w:val="2"/>
            <w:tcBorders>
              <w:bottom w:val="single" w:sz="8" w:space="0" w:color="000000"/>
            </w:tcBorders>
            <w:vAlign w:val="center"/>
          </w:tcPr>
          <w:p>
            <w:pPr>
              <w:pStyle w:val="TableContents"/>
              <w:bidi w:val="0"/>
              <w:spacing w:before="0" w:after="283"/>
              <w:jc w:val="center"/>
              <w:rPr>
                <w:b/>
              </w:rPr>
            </w:pPr>
            <w:r>
              <w:rPr>
                <w:b/>
              </w:rPr>
              <w:t>Commitment Fee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36" w:type="dxa"/>
            <w:gridSpan w:val="2"/>
            <w:tcBorders>
              <w:bottom w:val="single" w:sz="8" w:space="0" w:color="000000"/>
            </w:tcBorders>
            <w:vAlign w:val="center"/>
          </w:tcPr>
          <w:p>
            <w:pPr>
              <w:pStyle w:val="TableContents"/>
              <w:bidi w:val="0"/>
              <w:spacing w:before="0" w:after="283"/>
              <w:jc w:val="center"/>
              <w:rPr>
                <w:b/>
              </w:rPr>
            </w:pPr>
            <w:r>
              <w:rPr>
                <w:b/>
              </w:rPr>
              <w:t>Daily Simple SOFR / Term SOFR</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8" w:type="dxa"/>
            <w:gridSpan w:val="2"/>
            <w:tcBorders>
              <w:bottom w:val="single" w:sz="8" w:space="0" w:color="000000"/>
            </w:tcBorders>
            <w:vAlign w:val="center"/>
          </w:tcPr>
          <w:p>
            <w:pPr>
              <w:pStyle w:val="TableContents"/>
              <w:bidi w:val="0"/>
              <w:spacing w:before="0" w:after="283"/>
              <w:jc w:val="center"/>
              <w:rPr>
                <w:b/>
              </w:rPr>
            </w:pPr>
            <w:r>
              <w:rPr>
                <w:b/>
              </w:rPr>
              <w:t>Base Rate</w:t>
            </w:r>
          </w:p>
        </w:tc>
        <w:tc>
          <w:tcPr>
            <w:tcW w:w="233" w:type="dxa"/>
            <w:tcBorders/>
            <w:tcMar>
              <w:bottom w:w="0" w:type="dxa"/>
            </w:tcMar>
            <w:vAlign w:val="center"/>
          </w:tcPr>
          <w:p>
            <w:pPr>
              <w:pStyle w:val="TableContents"/>
              <w:bidi w:val="0"/>
              <w:spacing w:before="0" w:after="283"/>
              <w:jc w:val="left"/>
              <w:rPr/>
            </w:pPr>
            <w:r>
              <w:rPr/>
              <w:t> </w:t>
            </w:r>
          </w:p>
        </w:tc>
      </w:tr>
      <w:tr>
        <w:trPr/>
        <w:tc>
          <w:tcPr>
            <w:tcW w:w="1088" w:type="dxa"/>
            <w:tcBorders/>
            <w:shd w:fill="CCEEFF" w:val="clear"/>
            <w:tcMar>
              <w:bottom w:w="0" w:type="dxa"/>
            </w:tcMar>
            <w:vAlign w:val="center"/>
          </w:tcPr>
          <w:p>
            <w:pPr>
              <w:pStyle w:val="TableContents"/>
              <w:bidi w:val="0"/>
              <w:spacing w:before="0" w:after="283"/>
              <w:jc w:val="center"/>
              <w:rPr/>
            </w:pPr>
            <w:r>
              <w:rPr/>
              <w: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9" w:type="dxa"/>
            <w:tcBorders/>
            <w:shd w:fill="CCEEFF" w:val="clear"/>
            <w:tcMar>
              <w:bottom w:w="0" w:type="dxa"/>
            </w:tcMar>
            <w:vAlign w:val="center"/>
          </w:tcPr>
          <w:p>
            <w:pPr>
              <w:pStyle w:val="TableContents"/>
              <w:bidi w:val="0"/>
              <w:spacing w:before="0" w:after="283"/>
              <w:jc w:val="left"/>
              <w:rPr/>
            </w:pPr>
            <w:r>
              <w:rPr/>
              <w:t>Greater than or equal to 2.50 to 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420" w:type="dxa"/>
            <w:tcBorders/>
            <w:shd w:fill="CCEEFF" w:val="clear"/>
            <w:tcMar>
              <w:bottom w:w="0" w:type="dxa"/>
            </w:tcMar>
            <w:vAlign w:val="center"/>
          </w:tcPr>
          <w:p>
            <w:pPr>
              <w:pStyle w:val="TableContents"/>
              <w:bidi w:val="0"/>
              <w:spacing w:before="0" w:after="283"/>
              <w:jc w:val="right"/>
              <w:rPr/>
            </w:pPr>
            <w:r>
              <w:rPr/>
              <w:t>0.350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881" w:type="dxa"/>
            <w:tcBorders/>
            <w:shd w:fill="CCEEFF" w:val="clear"/>
            <w:tcMar>
              <w:bottom w:w="0" w:type="dxa"/>
            </w:tcMar>
            <w:vAlign w:val="center"/>
          </w:tcPr>
          <w:p>
            <w:pPr>
              <w:pStyle w:val="TableContents"/>
              <w:bidi w:val="0"/>
              <w:spacing w:before="0" w:after="283"/>
              <w:jc w:val="right"/>
              <w:rPr/>
            </w:pPr>
            <w:r>
              <w:rPr/>
              <w:t>2.25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right"/>
              <w:rPr/>
            </w:pPr>
            <w:r>
              <w:rPr/>
              <w:t>1.25</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1088" w:type="dxa"/>
            <w:tcBorders/>
            <w:shd w:fill="FFFFFF" w:val="clear"/>
            <w:tcMar>
              <w:bottom w:w="0" w:type="dxa"/>
            </w:tcMar>
            <w:vAlign w:val="center"/>
          </w:tcPr>
          <w:p>
            <w:pPr>
              <w:pStyle w:val="TableContents"/>
              <w:bidi w:val="0"/>
              <w:spacing w:before="0" w:after="283"/>
              <w:jc w:val="center"/>
              <w:rPr/>
            </w:pPr>
            <w:r>
              <w:rPr/>
              <w:t>II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9" w:type="dxa"/>
            <w:tcBorders/>
            <w:shd w:fill="FFFFFF" w:val="clear"/>
            <w:tcMar>
              <w:bottom w:w="0" w:type="dxa"/>
            </w:tcMar>
            <w:vAlign w:val="center"/>
          </w:tcPr>
          <w:p>
            <w:pPr>
              <w:pStyle w:val="TableContents"/>
              <w:bidi w:val="0"/>
              <w:spacing w:before="0" w:after="283"/>
              <w:jc w:val="left"/>
              <w:rPr/>
            </w:pPr>
            <w:r>
              <w:rPr/>
              <w:t>Greater than or equal to 1.75 to 1.00, but less than 2.50 to 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420" w:type="dxa"/>
            <w:tcBorders/>
            <w:shd w:fill="FFFFFF" w:val="clear"/>
            <w:tcMar>
              <w:bottom w:w="0" w:type="dxa"/>
            </w:tcMar>
            <w:vAlign w:val="center"/>
          </w:tcPr>
          <w:p>
            <w:pPr>
              <w:pStyle w:val="TableContents"/>
              <w:bidi w:val="0"/>
              <w:spacing w:before="0" w:after="283"/>
              <w:jc w:val="right"/>
              <w:rPr/>
            </w:pPr>
            <w:r>
              <w:rPr/>
              <w:t>0.300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881" w:type="dxa"/>
            <w:tcBorders/>
            <w:shd w:fill="FFFFFF" w:val="clear"/>
            <w:tcMar>
              <w:bottom w:w="0" w:type="dxa"/>
            </w:tcMar>
            <w:vAlign w:val="center"/>
          </w:tcPr>
          <w:p>
            <w:pPr>
              <w:pStyle w:val="TableContents"/>
              <w:bidi w:val="0"/>
              <w:spacing w:before="0" w:after="283"/>
              <w:jc w:val="right"/>
              <w:rPr/>
            </w:pPr>
            <w:r>
              <w:rPr/>
              <w:t>2.00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pPr>
            <w:r>
              <w:rPr/>
              <w:t>1.00</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1088" w:type="dxa"/>
            <w:tcBorders/>
            <w:shd w:fill="CCEEFF" w:val="clear"/>
            <w:tcMar>
              <w:bottom w:w="0" w:type="dxa"/>
            </w:tcMar>
            <w:vAlign w:val="center"/>
          </w:tcPr>
          <w:p>
            <w:pPr>
              <w:pStyle w:val="TableContents"/>
              <w:bidi w:val="0"/>
              <w:spacing w:before="0" w:after="283"/>
              <w:jc w:val="center"/>
              <w:rPr/>
            </w:pPr>
            <w:r>
              <w:rPr/>
              <w:t>III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9" w:type="dxa"/>
            <w:tcBorders/>
            <w:shd w:fill="CCEEFF" w:val="clear"/>
            <w:tcMar>
              <w:bottom w:w="0" w:type="dxa"/>
            </w:tcMar>
            <w:vAlign w:val="center"/>
          </w:tcPr>
          <w:p>
            <w:pPr>
              <w:pStyle w:val="TableContents"/>
              <w:bidi w:val="0"/>
              <w:spacing w:before="0" w:after="283"/>
              <w:jc w:val="left"/>
              <w:rPr/>
            </w:pPr>
            <w:r>
              <w:rPr/>
              <w:t>Greater than or equal to 1.00 to 1.00, but less than 1.75 to 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420" w:type="dxa"/>
            <w:tcBorders/>
            <w:shd w:fill="CCEEFF" w:val="clear"/>
            <w:tcMar>
              <w:bottom w:w="0" w:type="dxa"/>
            </w:tcMar>
            <w:vAlign w:val="center"/>
          </w:tcPr>
          <w:p>
            <w:pPr>
              <w:pStyle w:val="TableContents"/>
              <w:bidi w:val="0"/>
              <w:spacing w:before="0" w:after="283"/>
              <w:jc w:val="right"/>
              <w:rPr/>
            </w:pPr>
            <w:r>
              <w:rPr/>
              <w:t>0.275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1881" w:type="dxa"/>
            <w:tcBorders/>
            <w:shd w:fill="CCEEFF" w:val="clear"/>
            <w:tcMar>
              <w:bottom w:w="0" w:type="dxa"/>
            </w:tcMar>
            <w:vAlign w:val="center"/>
          </w:tcPr>
          <w:p>
            <w:pPr>
              <w:pStyle w:val="TableContents"/>
              <w:bidi w:val="0"/>
              <w:spacing w:before="0" w:after="283"/>
              <w:jc w:val="right"/>
              <w:rPr/>
            </w:pPr>
            <w:r>
              <w:rPr/>
              <w:t>1.75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right"/>
              <w:rPr/>
            </w:pPr>
            <w:r>
              <w:rPr/>
              <w:t>0.75</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1088" w:type="dxa"/>
            <w:tcBorders/>
            <w:shd w:fill="FFFFFF" w:val="clear"/>
            <w:tcMar>
              <w:bottom w:w="0" w:type="dxa"/>
            </w:tcMar>
            <w:vAlign w:val="center"/>
          </w:tcPr>
          <w:p>
            <w:pPr>
              <w:pStyle w:val="TableContents"/>
              <w:bidi w:val="0"/>
              <w:spacing w:before="0" w:after="283"/>
              <w:jc w:val="center"/>
              <w:rPr/>
            </w:pPr>
            <w:r>
              <w:rPr/>
              <w:t>IV</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9" w:type="dxa"/>
            <w:tcBorders/>
            <w:shd w:fill="FFFFFF" w:val="clear"/>
            <w:tcMar>
              <w:bottom w:w="0" w:type="dxa"/>
            </w:tcMar>
            <w:vAlign w:val="center"/>
          </w:tcPr>
          <w:p>
            <w:pPr>
              <w:pStyle w:val="TableContents"/>
              <w:bidi w:val="0"/>
              <w:spacing w:before="0" w:after="283"/>
              <w:jc w:val="left"/>
              <w:rPr/>
            </w:pPr>
            <w:r>
              <w:rPr/>
              <w:t>Less than 1.00 to 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1420" w:type="dxa"/>
            <w:tcBorders/>
            <w:shd w:fill="FFFFFF" w:val="clear"/>
            <w:tcMar>
              <w:bottom w:w="0" w:type="dxa"/>
            </w:tcMar>
            <w:vAlign w:val="center"/>
          </w:tcPr>
          <w:p>
            <w:pPr>
              <w:pStyle w:val="TableContents"/>
              <w:bidi w:val="0"/>
              <w:spacing w:before="0" w:after="283"/>
              <w:jc w:val="right"/>
              <w:rPr/>
            </w:pPr>
            <w:r>
              <w:rPr/>
              <w:t>0.250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1881" w:type="dxa"/>
            <w:tcBorders/>
            <w:shd w:fill="FFFFFF" w:val="clear"/>
            <w:tcMar>
              <w:bottom w:w="0" w:type="dxa"/>
            </w:tcMar>
            <w:vAlign w:val="center"/>
          </w:tcPr>
          <w:p>
            <w:pPr>
              <w:pStyle w:val="TableContents"/>
              <w:bidi w:val="0"/>
              <w:spacing w:before="0" w:after="283"/>
              <w:jc w:val="right"/>
              <w:rPr/>
            </w:pPr>
            <w:r>
              <w:rPr/>
              <w:t>1.50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pPr>
            <w:r>
              <w:rPr/>
              <w:t>0.50</w:t>
            </w:r>
          </w:p>
        </w:tc>
        <w:tc>
          <w:tcPr>
            <w:tcW w:w="233"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Margin shall be determined and adjusted quarterly on the date five (5) Business Days after the day on which Holdings provides a Compliance Certificate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for the most recently completed fiscal quarter of Holdings (each such date, a “</w:t>
      </w:r>
      <w:r>
        <w:rPr>
          <w:rFonts w:ascii="Times New Roman;Times;Serif" w:hAnsi="Times New Roman;Times;Serif"/>
          <w:b w:val="false"/>
          <w:i w:val="false"/>
          <w:caps w:val="false"/>
          <w:smallCaps w:val="false"/>
          <w:sz w:val="20"/>
          <w:u w:val="single"/>
        </w:rPr>
        <w:t>Calculation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Applicable Margin shall be based on Pricing Level IV until the first Calculation Date occurring after the Closing Date and, thereafter the Pricing Level shall be determined by reference to the Consolidated Total Leverage Ratio as of the last day of the most recently completed fiscal quarter of Holdings preceding the applicable Calculation Date, and (b) if Holdings fails to provide a Compliance Certificate when due as required by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for the most recently completed fiscal quarter of Holdings preceding the applicable Calculation Date, the Applicable Margin from the date on which such Compliance Certificate was required to have been delivered shall be based on Pricing Level I until such time as such Compliance Certificate is delivered, at which time the Pricing Level shall be determined by reference to the Consolidated Total Leverage Ratio as of the last day of the most recently completed fiscal quarter of Holdings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in the event that any financial statement or Compliance Certificate delivered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7.2(a)</w:t>
      </w:r>
      <w:r>
        <w:rPr>
          <w:rFonts w:ascii="Times New Roman;Times;Serif" w:hAnsi="Times New Roman;Times;Serif"/>
          <w:b w:val="false"/>
          <w:i w:val="false"/>
          <w:caps w:val="false"/>
          <w:smallCaps w:val="false"/>
          <w:sz w:val="20"/>
        </w:rPr>
        <w:t xml:space="preserve"> is shown to be inaccurate (regardless of whether (i) this Agreement is in effect, (ii) any Commitments are in effect, or (iii) any Extension of Credit is outstanding when such inaccuracy is discovered or such financial statement or Compliance Certificate was delivered), and such inaccuracy, if corrected, would have led to the application of a higher Applicable Margin for any period (an “</w:t>
      </w:r>
      <w:r>
        <w:rPr>
          <w:rFonts w:ascii="Times New Roman;Times;Serif" w:hAnsi="Times New Roman;Times;Serif"/>
          <w:b w:val="false"/>
          <w:i w:val="false"/>
          <w:caps w:val="false"/>
          <w:smallCaps w:val="false"/>
          <w:sz w:val="20"/>
          <w:u w:val="single"/>
        </w:rPr>
        <w:t>Applicable Period</w:t>
      </w:r>
      <w:r>
        <w:rPr>
          <w:rFonts w:ascii="Times New Roman;Times;Serif" w:hAnsi="Times New Roman;Times;Serif"/>
          <w:b w:val="false"/>
          <w:i w:val="false"/>
          <w:caps w:val="false"/>
          <w:smallCaps w:val="false"/>
          <w:sz w:val="20"/>
        </w:rPr>
        <w:t xml:space="preserve">”) than the Applicable Margin applied for such Applicable Period, then (A) Holdings shall promptly (and in any case within five (5) Business Days) deliver to the Administrative Agent a corrected Compliance Certificate for such Applicable Period, (B) the Applicable Margin for such Applicable Period shall be determined as if the Consolidated Total Leverage Ratio in the corrected Compliance Certificate were applicable for such Applicable Period, and (C) the Borrowers shall promptly (and in any case within five (5) Business Days)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Nothing in this paragraph shall limit the rights of the Administrative Agent and Lenders with respect to </w:t>
      </w:r>
      <w:r>
        <w:rPr>
          <w:rFonts w:ascii="Times New Roman;Times;Serif" w:hAnsi="Times New Roman;Times;Serif"/>
          <w:b w:val="false"/>
          <w:i w:val="false"/>
          <w:caps w:val="false"/>
          <w:smallCaps w:val="false"/>
          <w:sz w:val="20"/>
          <w:u w:val="single"/>
        </w:rPr>
        <w:t>Sections 4.1(b)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9.2</w:t>
      </w:r>
      <w:r>
        <w:rPr>
          <w:rFonts w:ascii="Times New Roman;Times;Serif" w:hAnsi="Times New Roman;Times;Serif"/>
          <w:b w:val="false"/>
          <w:i w:val="false"/>
          <w:caps w:val="false"/>
          <w:smallCaps w:val="false"/>
          <w:sz w:val="20"/>
        </w:rPr>
        <w:t xml:space="preserve"> nor any of their other rights under this Agreement or any other Loan Document. The Borrowers’ obligations under this paragraph shall survive the termination of the Commitments and the repayment of all other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Margins set forth above shall be increased as, and to the extent, required by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Arrangers</w:t>
      </w:r>
      <w:r>
        <w:rPr>
          <w:rFonts w:ascii="Times New Roman;Times;Serif" w:hAnsi="Times New Roman;Times;Serif"/>
          <w:b w:val="false"/>
          <w:i w:val="false"/>
          <w:caps w:val="false"/>
          <w:smallCaps w:val="false"/>
          <w:sz w:val="20"/>
        </w:rPr>
        <w:t xml:space="preserve">” means (a) Wells Fargo Securities, LLC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 Fifth Third Bank, National Association, </w:t>
      </w:r>
      <w:r>
        <w:rPr>
          <w:rFonts w:ascii="Times New Roman;Times;Serif" w:hAnsi="Times New Roman;Times;Serif"/>
          <w:b w:val="false"/>
          <w:i w:val="false"/>
          <w:caps w:val="false"/>
          <w:smallCaps w:val="false"/>
          <w:color w:val="0000FF"/>
          <w:sz w:val="20"/>
          <w:u w:val="single"/>
        </w:rPr>
        <w:t xml:space="preserve">(c) The Huntington National Bank and (d) PNC Capital Markets LLC, </w:t>
      </w:r>
      <w:r>
        <w:rPr>
          <w:rFonts w:ascii="Times New Roman;Times;Serif" w:hAnsi="Times New Roman;Times;Serif"/>
          <w:b w:val="false"/>
          <w:i w:val="false"/>
          <w:caps w:val="false"/>
          <w:smallCaps w:val="false"/>
          <w:sz w:val="20"/>
        </w:rPr>
        <w:t xml:space="preserve">each in its capacity </w:t>
      </w:r>
      <w:r>
        <w:rPr>
          <w:rFonts w:ascii="Times New Roman;Times;Serif" w:hAnsi="Times New Roman;Times;Serif"/>
          <w:b w:val="false"/>
          <w:i w:val="false"/>
          <w:caps w:val="false"/>
          <w:smallCaps w:val="false"/>
          <w:color w:val="0000FF"/>
          <w:sz w:val="20"/>
          <w:u w:val="single"/>
        </w:rPr>
        <w:t xml:space="preserve">as </w:t>
      </w:r>
      <w:r>
        <w:rPr>
          <w:rFonts w:ascii="Times New Roman;Times;Serif" w:hAnsi="Times New Roman;Times;Serif"/>
          <w:b w:val="false"/>
          <w:i w:val="false"/>
          <w:caps w:val="false"/>
          <w:smallCaps w:val="false"/>
          <w:sz w:val="20"/>
        </w:rPr>
        <w:t>joint lead arranger and joint bookrunner.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Disposition</w:t>
      </w:r>
      <w:r>
        <w:rPr>
          <w:rFonts w:ascii="Times New Roman;Times;Serif" w:hAnsi="Times New Roman;Times;Serif"/>
          <w:b w:val="false"/>
          <w:i w:val="false"/>
          <w:caps w:val="false"/>
          <w:smallCaps w:val="false"/>
          <w:sz w:val="20"/>
        </w:rPr>
        <w:t>” means the sale, transfer, license, lease or other disposition of any Property (including any sale and leaseback transaction, division, merger or disposition of Equity Interests), whether in a single transaction or a series of related transactions, by any Credit Party or any Subsidiary thereof, and any issuance of Equity Interests by any Subsidiary of Holdings to any Person that is not a Credit Party or any Subsidiary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any party whose consent is required by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xml:space="preserve">), and accepted by the Administrative Agent, in substantially the form attached as </w:t>
      </w:r>
      <w:r>
        <w:rPr>
          <w:rFonts w:ascii="Times New Roman;Times;Serif" w:hAnsi="Times New Roman;Times;Serif"/>
          <w:b/>
          <w:i/>
          <w:caps w:val="false"/>
          <w:smallCaps w:val="false"/>
          <w:sz w:val="20"/>
        </w:rPr>
        <w:t>Exhibit A</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Indebtedness</w:t>
      </w:r>
      <w:r>
        <w:rPr>
          <w:rFonts w:ascii="Times New Roman;Times;Serif" w:hAnsi="Times New Roman;Times;Serif"/>
          <w:b w:val="false"/>
          <w:i w:val="false"/>
          <w:caps w:val="false"/>
          <w:smallCaps w:val="false"/>
          <w:sz w:val="20"/>
        </w:rPr>
        <w:t>” means, on any date of determination, (a) in respect of any Capital Lease Obligation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means, as of any date of determination and with respect to any then-current Benchmark, as applicable, </w:t>
      </w:r>
      <w:r>
        <w:rPr>
          <w:rFonts w:ascii="Times New Roman;Times;Serif" w:hAnsi="Times New Roman;Times;Serif"/>
          <w:b w:val="false"/>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 xml:space="preserve">if such Benchmark is a term rate, any tenor for such Benchmark (or component thereof) that is or may be used for determining the length of an </w:t>
      </w:r>
      <w:r>
        <w:rPr>
          <w:rFonts w:ascii="Times New Roman;Times;Serif" w:hAnsi="Times New Roman;Times;Serif"/>
          <w:b w:val="false"/>
          <w:i w:val="false"/>
          <w:caps w:val="false"/>
          <w:smallCaps w:val="false"/>
          <w:strike/>
          <w:color w:val="008000"/>
          <w:sz w:val="20"/>
        </w:rPr>
        <w:t>Interest Period</w:t>
      </w:r>
      <w:r>
        <w:rPr>
          <w:rFonts w:ascii="Times New Roman;Times;Serif" w:hAnsi="Times New Roman;Times;Serif"/>
          <w:b w:val="false"/>
          <w:i w:val="false"/>
          <w:caps w:val="false"/>
          <w:smallCaps w:val="false"/>
          <w:color w:val="0000FF"/>
          <w:sz w:val="20"/>
          <w:u w:val="single"/>
        </w:rPr>
        <w:t>interest period</w:t>
      </w:r>
      <w:r>
        <w:rPr>
          <w:rFonts w:ascii="Times New Roman;Times;Serif" w:hAnsi="Times New Roman;Times;Serif"/>
          <w:b w:val="false"/>
          <w:i w:val="false"/>
          <w:caps w:val="false"/>
          <w:smallCaps w:val="false"/>
          <w:sz w:val="20"/>
        </w:rPr>
        <w:t xml:space="preserve"> pursuant to this Agreement </w:t>
      </w:r>
      <w:r>
        <w:rPr>
          <w:rFonts w:ascii="Times New Roman;Times;Serif" w:hAnsi="Times New Roman;Times;Serif"/>
          <w:b w:val="false"/>
          <w:i w:val="false"/>
          <w:caps w:val="false"/>
          <w:smallCaps w:val="false"/>
          <w:strike/>
          <w:color w:val="FF0000"/>
          <w:sz w:val="20"/>
        </w:rPr>
        <w:t xml:space="preserve">or (b) otherwise, any payment period for interest calculated with reference to </w:t>
      </w:r>
      <w:r>
        <w:rPr>
          <w:rFonts w:ascii="Times New Roman;Times;Serif" w:hAnsi="Times New Roman;Times;Serif"/>
          <w:b w:val="false"/>
          <w:i w:val="false"/>
          <w:caps w:val="false"/>
          <w:smallCaps w:val="false"/>
          <w:strike/>
          <w:color w:val="008000"/>
          <w:sz w:val="20"/>
        </w:rPr>
        <w:t xml:space="preserve">such Benchmark (or component thereof) that is </w:t>
      </w:r>
      <w:r>
        <w:rPr>
          <w:rFonts w:ascii="Times New Roman;Times;Serif" w:hAnsi="Times New Roman;Times;Serif"/>
          <w:b w:val="false"/>
          <w:i w:val="false"/>
          <w:caps w:val="false"/>
          <w:smallCaps w:val="false"/>
          <w:strike/>
          <w:color w:val="FF0000"/>
          <w:sz w:val="20"/>
        </w:rPr>
        <w:t xml:space="preserve">or may be used for determining any frequency of making payments of interest calculated with reference to </w:t>
      </w:r>
      <w:r>
        <w:rPr>
          <w:rFonts w:ascii="Times New Roman;Times;Serif" w:hAnsi="Times New Roman;Times;Serif"/>
          <w:b w:val="false"/>
          <w:i w:val="false"/>
          <w:caps w:val="false"/>
          <w:smallCaps w:val="false"/>
          <w:strike/>
          <w:color w:val="008000"/>
          <w:sz w:val="20"/>
        </w:rPr>
        <w:t xml:space="preserve">such Benchmark, in each case, </w:t>
      </w:r>
      <w:r>
        <w:rPr>
          <w:rFonts w:ascii="Times New Roman;Times;Serif" w:hAnsi="Times New Roman;Times;Serif"/>
          <w:b w:val="false"/>
          <w:i w:val="false"/>
          <w:caps w:val="false"/>
          <w:smallCaps w:val="false"/>
          <w:sz w:val="20"/>
        </w:rPr>
        <w:t xml:space="preserve">as of such date and not including, for the avoidance of doubt, any tenor for such Benchmark that is then-removed from the definition of “Interest Period” pursuant to </w:t>
      </w:r>
      <w:r>
        <w:rPr>
          <w:rFonts w:ascii="Times New Roman;Times;Serif" w:hAnsi="Times New Roman;Times;Serif"/>
          <w:b w:val="false"/>
          <w:i w:val="false"/>
          <w:caps w:val="false"/>
          <w:smallCaps w:val="false"/>
          <w:sz w:val="20"/>
          <w:u w:val="single"/>
        </w:rPr>
        <w:t>Section 4.8(c)(iv)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xml:space="preserve">” means 11 U.S.C. §§ 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w:t>
      </w:r>
      <w:r>
        <w:rPr>
          <w:rFonts w:ascii="Times New Roman;Times;Serif" w:hAnsi="Times New Roman;Times;Serif"/>
          <w:b w:val="false"/>
          <w:i w:val="false"/>
          <w:caps w:val="false"/>
          <w:smallCaps w:val="false"/>
          <w:sz w:val="20"/>
        </w:rPr>
        <w:t xml:space="preserve">” means, at any time, the highest of (a) the Prime Rate, (b) the Federal Funds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0.50% and (c) Daily Simple SOFR in effect on such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 each change in the Base Rate shall take effect simultaneously with the corresponding change or changes in the Prime Rate, the Federal Funds Rate or Daily Simple SOFR,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shall not be applicable during any period in which Daily Simple SOFR is unavailable or unascertainable). Notwithstanding the foregoing, in no event shall the Base Rate be less than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 Loan</w:t>
      </w:r>
      <w:r>
        <w:rPr>
          <w:rFonts w:ascii="Times New Roman;Times;Serif" w:hAnsi="Times New Roman;Times;Serif"/>
          <w:b w:val="false"/>
          <w:i w:val="false"/>
          <w:caps w:val="false"/>
          <w:smallCaps w:val="false"/>
          <w:sz w:val="20"/>
        </w:rPr>
        <w:t xml:space="preserve">” means any Loan bearing interest at a rate based upon the Base Rate as provided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Daily Simple SOFR or Term SOFR,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has occurred with respect to Daily Simple SOFR or Term SOFR, as applicable, or the applicable then-current Benchmark, then “Benchmark” means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 4.8(c)(i)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xml:space="preserve">” means, with respect to any Benchmark Transition Event for any then-current Benchmark, the sum of: (a) the alternate benchmark rate that has been selected by the Administrative Agent and Holdings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such then-current Benchmark for Dollar-denominated syndicated credit facilities and (b) the related Benchmark Replacement Adjustment;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xml:space="preserve">” means, with respect to any replacement of any then-current Benchmark with an Unadjusted Benchmark Replacement </w:t>
      </w:r>
      <w:r>
        <w:rPr>
          <w:rFonts w:ascii="Times New Roman;Times;Serif" w:hAnsi="Times New Roman;Times;Serif"/>
          <w:b w:val="false"/>
          <w:i w:val="false"/>
          <w:caps w:val="false"/>
          <w:smallCaps w:val="false"/>
          <w:strike/>
          <w:color w:val="008000"/>
          <w:sz w:val="20"/>
        </w:rPr>
        <w:t xml:space="preserve">for any </w:t>
      </w:r>
      <w:r>
        <w:rPr>
          <w:rFonts w:ascii="Times New Roman;Times;Serif" w:hAnsi="Times New Roman;Times;Serif"/>
          <w:b w:val="false"/>
          <w:i w:val="false"/>
          <w:caps w:val="false"/>
          <w:smallCaps w:val="false"/>
          <w:strike/>
          <w:color w:val="FF0000"/>
          <w:sz w:val="20"/>
        </w:rPr>
        <w:t>applicable Available Tenor (if applicable)</w:t>
      </w:r>
      <w:r>
        <w:rPr>
          <w:rFonts w:ascii="Times New Roman;Times;Serif" w:hAnsi="Times New Roman;Times;Serif"/>
          <w:b w:val="false"/>
          <w:i w:val="false"/>
          <w:caps w:val="false"/>
          <w:smallCaps w:val="false"/>
          <w:sz w:val="20"/>
        </w:rPr>
        <w:t>, the spread adjustment, or method for calculating or determining such spread adjustment, (which may be a positive or negative value or zero) that has been selected by the Administrative Agent and Holdings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earliest to occur of the following events with respect to any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w:t>
      </w:r>
      <w:r>
        <w:rPr>
          <w:rFonts w:ascii="Times New Roman;Times;Serif" w:hAnsi="Times New Roman;Times;Serif"/>
          <w:b w:val="false"/>
          <w:i w:val="false"/>
          <w:caps w:val="false"/>
          <w:smallCaps w:val="false"/>
          <w:color w:val="0000FF"/>
          <w:sz w:val="20"/>
          <w:u w:val="single"/>
        </w:rPr>
        <w:t xml:space="preserve">such Benchmark (or such component thereof) or, if such Benchmark is a term rate, </w:t>
      </w:r>
      <w:r>
        <w:rPr>
          <w:rFonts w:ascii="Times New Roman;Times;Serif" w:hAnsi="Times New Roman;Times;Serif"/>
          <w:b w:val="false"/>
          <w:i w:val="false"/>
          <w:caps w:val="false"/>
          <w:smallCaps w:val="false"/>
          <w:sz w:val="20"/>
        </w:rPr>
        <w:t xml:space="preserve">all Available Tenors </w:t>
      </w:r>
      <w:r>
        <w:rPr>
          <w:rFonts w:ascii="Times New Roman;Times;Serif" w:hAnsi="Times New Roman;Times;Serif"/>
          <w:b w:val="false"/>
          <w:i w:val="false"/>
          <w:caps w:val="false"/>
          <w:smallCaps w:val="false"/>
          <w:strike/>
          <w:color w:val="FF0000"/>
          <w:sz w:val="20"/>
        </w:rPr>
        <w:t xml:space="preserve">(if applicable) </w:t>
      </w:r>
      <w:r>
        <w:rPr>
          <w:rFonts w:ascii="Times New Roman;Times;Serif" w:hAnsi="Times New Roman;Times;Serif"/>
          <w:b w:val="false"/>
          <w:i w:val="false"/>
          <w:caps w:val="false"/>
          <w:smallCaps w:val="false"/>
          <w:sz w:val="20"/>
        </w:rPr>
        <w:t>of such Benchmark (or such component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clause (c) of the definition of “Benchmark Transition Event,” the first date on which such Benchmark (or the published component used in the calculation thereof) has been </w:t>
      </w:r>
      <w:r>
        <w:rPr>
          <w:rFonts w:ascii="Times New Roman;Times;Serif" w:hAnsi="Times New Roman;Times;Serif"/>
          <w:b w:val="false"/>
          <w:i w:val="false"/>
          <w:caps w:val="false"/>
          <w:smallCaps w:val="false"/>
          <w:color w:val="0000FF"/>
          <w:sz w:val="20"/>
          <w:u w:val="single"/>
        </w:rPr>
        <w:t xml:space="preserve">or, if such Benchmark is a term rate, all Available Tenors of such Benchmark (or such component thereof) have been </w:t>
      </w:r>
      <w:r>
        <w:rPr>
          <w:rFonts w:ascii="Times New Roman;Times;Serif" w:hAnsi="Times New Roman;Times;Serif"/>
          <w:b w:val="false"/>
          <w:i w:val="false"/>
          <w:caps w:val="false"/>
          <w:smallCaps w:val="false"/>
          <w:sz w:val="20"/>
        </w:rPr>
        <w:t xml:space="preserve">determined and announced by the regulatory supervisor for the administrator of such Benchmark (or such component thereof) to be non-representative;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non-representativeness will be determined by reference to the most recent statement or publication referenced in such clause (c) and even if </w:t>
      </w:r>
      <w:r>
        <w:rPr>
          <w:rFonts w:ascii="Times New Roman;Times;Serif" w:hAnsi="Times New Roman;Times;Serif"/>
          <w:b w:val="false"/>
          <w:i w:val="false"/>
          <w:caps w:val="false"/>
          <w:smallCaps w:val="false"/>
          <w:color w:val="0000FF"/>
          <w:sz w:val="20"/>
          <w:u w:val="single"/>
        </w:rPr>
        <w:t xml:space="preserve">such Benchmark (or such component thereof) or, if such Benchmark is a term rate, </w:t>
      </w:r>
      <w:r>
        <w:rPr>
          <w:rFonts w:ascii="Times New Roman;Times;Serif" w:hAnsi="Times New Roman;Times;Serif"/>
          <w:b w:val="false"/>
          <w:i w:val="false"/>
          <w:caps w:val="false"/>
          <w:smallCaps w:val="false"/>
          <w:sz w:val="20"/>
        </w:rPr>
        <w:t>any Available Tenor (if applicable) of such Benchmark (or such component thereof) continues to be provided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if </w:t>
      </w:r>
      <w:r>
        <w:rPr>
          <w:rFonts w:ascii="Times New Roman;Times;Serif" w:hAnsi="Times New Roman;Times;Serif"/>
          <w:b w:val="false"/>
          <w:i w:val="false"/>
          <w:caps w:val="false"/>
          <w:smallCaps w:val="false"/>
          <w:strike/>
          <w:color w:val="008000"/>
          <w:sz w:val="20"/>
        </w:rPr>
        <w:t xml:space="preserve">the applicable </w:t>
      </w:r>
      <w:r>
        <w:rPr>
          <w:rFonts w:ascii="Times New Roman;Times;Serif" w:hAnsi="Times New Roman;Times;Serif"/>
          <w:b w:val="false"/>
          <w:i w:val="false"/>
          <w:caps w:val="false"/>
          <w:smallCaps w:val="false"/>
          <w:strike/>
          <w:color w:val="FF0000"/>
          <w:sz w:val="20"/>
        </w:rPr>
        <w:t>then-current</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Benchmark </w:t>
      </w:r>
      <w:r>
        <w:rPr>
          <w:rFonts w:ascii="Times New Roman;Times;Serif" w:hAnsi="Times New Roman;Times;Serif"/>
          <w:b w:val="false"/>
          <w:i w:val="false"/>
          <w:caps w:val="false"/>
          <w:smallCaps w:val="false"/>
          <w:strike/>
          <w:color w:val="FF0000"/>
          <w:sz w:val="20"/>
        </w:rPr>
        <w:t>has any Available Tenors</w:t>
      </w:r>
      <w:r>
        <w:rPr>
          <w:rFonts w:ascii="Times New Roman;Times;Serif" w:hAnsi="Times New Roman;Times;Serif"/>
          <w:b w:val="false"/>
          <w:i w:val="false"/>
          <w:caps w:val="false"/>
          <w:smallCaps w:val="false"/>
          <w:color w:val="0000FF"/>
          <w:sz w:val="20"/>
          <w:u w:val="single"/>
        </w:rPr>
        <w:t>is a term rate</w:t>
      </w:r>
      <w:r>
        <w:rPr>
          <w:rFonts w:ascii="Times New Roman;Times;Serif" w:hAnsi="Times New Roman;Times;Serif"/>
          <w:b w:val="false"/>
          <w:i w:val="false"/>
          <w:caps w:val="false"/>
          <w:smallCaps w:val="false"/>
          <w:sz w:val="20"/>
        </w:rPr>
        <w: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the occurrence of one or more of the following events with respect to any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w:t>
      </w:r>
      <w:r>
        <w:rPr>
          <w:rFonts w:ascii="Times New Roman;Times;Serif" w:hAnsi="Times New Roman;Times;Serif"/>
          <w:b w:val="false"/>
          <w:i w:val="false"/>
          <w:caps w:val="false"/>
          <w:smallCaps w:val="false"/>
          <w:color w:val="0000FF"/>
          <w:sz w:val="20"/>
          <w:u w:val="single"/>
        </w:rPr>
        <w:t xml:space="preserve">such Benchmark (or such component thereof) or, if such Benchmark is a term rate, </w:t>
      </w:r>
      <w:r>
        <w:rPr>
          <w:rFonts w:ascii="Times New Roman;Times;Serif" w:hAnsi="Times New Roman;Times;Serif"/>
          <w:b w:val="false"/>
          <w:i w:val="false"/>
          <w:caps w:val="false"/>
          <w:smallCaps w:val="false"/>
          <w:sz w:val="20"/>
        </w:rPr>
        <w:t xml:space="preserve">all Available Tenors (if applicable)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w:t>
      </w:r>
      <w:r>
        <w:rPr>
          <w:rFonts w:ascii="Times New Roman;Times;Serif" w:hAnsi="Times New Roman;Times;Serif"/>
          <w:b w:val="false"/>
          <w:i w:val="false"/>
          <w:caps w:val="false"/>
          <w:smallCaps w:val="false"/>
          <w:strike/>
          <w:color w:val="FF0000"/>
          <w:sz w:val="20"/>
        </w:rPr>
        <w:t>any</w:t>
      </w:r>
      <w:r>
        <w:rPr>
          <w:rFonts w:ascii="Times New Roman;Times;Serif" w:hAnsi="Times New Roman;Times;Serif"/>
          <w:b w:val="false"/>
          <w:i w:val="false"/>
          <w:caps w:val="false"/>
          <w:smallCaps w:val="false"/>
          <w:color w:val="0000FF"/>
          <w:sz w:val="20"/>
          <w:u w:val="single"/>
        </w:rPr>
        <w:t>such Benchmark (or such component thereof) or if such Benchmark is a term rate, all</w:t>
      </w:r>
      <w:r>
        <w:rPr>
          <w:rFonts w:ascii="Times New Roman;Times;Serif" w:hAnsi="Times New Roman;Times;Serif"/>
          <w:b w:val="false"/>
          <w:i w:val="false"/>
          <w:caps w:val="false"/>
          <w:smallCaps w:val="false"/>
          <w:sz w:val="20"/>
        </w:rPr>
        <w:t xml:space="preserve"> Available </w:t>
      </w:r>
      <w:r>
        <w:rPr>
          <w:rFonts w:ascii="Times New Roman;Times;Serif" w:hAnsi="Times New Roman;Times;Serif"/>
          <w:b w:val="false"/>
          <w:i w:val="false"/>
          <w:caps w:val="false"/>
          <w:smallCaps w:val="false"/>
          <w:strike/>
          <w:color w:val="FF0000"/>
          <w:sz w:val="20"/>
        </w:rPr>
        <w:t>Tenor</w:t>
      </w:r>
      <w:r>
        <w:rPr>
          <w:rFonts w:ascii="Times New Roman;Times;Serif" w:hAnsi="Times New Roman;Times;Serif"/>
          <w:b w:val="false"/>
          <w:i w:val="false"/>
          <w:caps w:val="false"/>
          <w:smallCaps w:val="false"/>
          <w:color w:val="0000FF"/>
          <w:sz w:val="20"/>
          <w:u w:val="single"/>
        </w:rPr>
        <w:t>Tenors</w:t>
      </w:r>
      <w:r>
        <w:rPr>
          <w:rFonts w:ascii="Times New Roman;Times;Serif" w:hAnsi="Times New Roman;Times;Serif"/>
          <w:b w:val="false"/>
          <w:i w:val="false"/>
          <w:caps w:val="false"/>
          <w:smallCaps w:val="false"/>
          <w:sz w:val="20"/>
        </w:rPr>
        <w:t xml:space="preserve"> (if applicable) of such Benchmark (or such component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w:t>
      </w:r>
      <w:r>
        <w:rPr>
          <w:rFonts w:ascii="Times New Roman;Times;Serif" w:hAnsi="Times New Roman;Times;Serif"/>
          <w:b w:val="false"/>
          <w:i w:val="false"/>
          <w:caps w:val="false"/>
          <w:smallCaps w:val="false"/>
          <w:color w:val="0000FF"/>
          <w:sz w:val="20"/>
          <w:u w:val="single"/>
        </w:rPr>
        <w:t xml:space="preserve">such Benchmark (or such component thereof) or, if such Benchmark is a term rate, </w:t>
      </w:r>
      <w:r>
        <w:rPr>
          <w:rFonts w:ascii="Times New Roman;Times;Serif" w:hAnsi="Times New Roman;Times;Serif"/>
          <w:b w:val="false"/>
          <w:i w:val="false"/>
          <w:caps w:val="false"/>
          <w:smallCaps w:val="false"/>
          <w:sz w:val="20"/>
        </w:rPr>
        <w:t xml:space="preserve">all Available Tenors (if applicable)of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w:t>
      </w:r>
      <w:r>
        <w:rPr>
          <w:rFonts w:ascii="Times New Roman;Times;Serif" w:hAnsi="Times New Roman;Times;Serif"/>
          <w:b w:val="false"/>
          <w:i w:val="false"/>
          <w:caps w:val="false"/>
          <w:smallCaps w:val="false"/>
          <w:strike/>
          <w:color w:val="FF0000"/>
          <w:sz w:val="20"/>
        </w:rPr>
        <w:t xml:space="preserve">any </w:t>
      </w:r>
      <w:r>
        <w:rPr>
          <w:rFonts w:ascii="Times New Roman;Times;Serif" w:hAnsi="Times New Roman;Times;Serif"/>
          <w:b w:val="false"/>
          <w:i w:val="false"/>
          <w:caps w:val="false"/>
          <w:smallCaps w:val="false"/>
          <w:color w:val="008000"/>
          <w:sz w:val="20"/>
          <w:u w:val="single"/>
        </w:rPr>
        <w:t xml:space="preserve">such Benchmark (or </w:t>
      </w:r>
      <w:r>
        <w:rPr>
          <w:rFonts w:ascii="Times New Roman;Times;Serif" w:hAnsi="Times New Roman;Times;Serif"/>
          <w:b w:val="false"/>
          <w:i w:val="false"/>
          <w:caps w:val="false"/>
          <w:smallCaps w:val="false"/>
          <w:color w:val="0000FF"/>
          <w:sz w:val="20"/>
          <w:u w:val="single"/>
        </w:rPr>
        <w:t xml:space="preserve">such </w:t>
      </w:r>
      <w:r>
        <w:rPr>
          <w:rFonts w:ascii="Times New Roman;Times;Serif" w:hAnsi="Times New Roman;Times;Serif"/>
          <w:b w:val="false"/>
          <w:i w:val="false"/>
          <w:caps w:val="false"/>
          <w:smallCaps w:val="false"/>
          <w:color w:val="008000"/>
          <w:sz w:val="20"/>
          <w:u w:val="single"/>
        </w:rPr>
        <w:t xml:space="preserve">component thereof) </w:t>
      </w:r>
      <w:r>
        <w:rPr>
          <w:rFonts w:ascii="Times New Roman;Times;Serif" w:hAnsi="Times New Roman;Times;Serif"/>
          <w:b w:val="false"/>
          <w:i w:val="false"/>
          <w:caps w:val="false"/>
          <w:smallCaps w:val="false"/>
          <w:color w:val="0000FF"/>
          <w:sz w:val="20"/>
          <w:u w:val="single"/>
        </w:rPr>
        <w:t xml:space="preserve">or, if </w:t>
      </w:r>
      <w:r>
        <w:rPr>
          <w:rFonts w:ascii="Times New Roman;Times;Serif" w:hAnsi="Times New Roman;Times;Serif"/>
          <w:b w:val="false"/>
          <w:i w:val="false"/>
          <w:caps w:val="false"/>
          <w:smallCaps w:val="false"/>
          <w:color w:val="008000"/>
          <w:sz w:val="20"/>
          <w:u w:val="single"/>
        </w:rPr>
        <w:t xml:space="preserve">such Benchmark </w:t>
      </w:r>
      <w:r>
        <w:rPr>
          <w:rFonts w:ascii="Times New Roman;Times;Serif" w:hAnsi="Times New Roman;Times;Serif"/>
          <w:b w:val="false"/>
          <w:i w:val="false"/>
          <w:caps w:val="false"/>
          <w:smallCaps w:val="false"/>
          <w:color w:val="0000FF"/>
          <w:sz w:val="20"/>
          <w:u w:val="single"/>
        </w:rPr>
        <w:t xml:space="preserve">is a term rate, all </w:t>
      </w:r>
      <w:r>
        <w:rPr>
          <w:rFonts w:ascii="Times New Roman;Times;Serif" w:hAnsi="Times New Roman;Times;Serif"/>
          <w:b w:val="false"/>
          <w:i w:val="false"/>
          <w:caps w:val="false"/>
          <w:smallCaps w:val="false"/>
          <w:sz w:val="20"/>
        </w:rPr>
        <w:t xml:space="preserve">Available </w:t>
      </w:r>
      <w:r>
        <w:rPr>
          <w:rFonts w:ascii="Times New Roman;Times;Serif" w:hAnsi="Times New Roman;Times;Serif"/>
          <w:b w:val="false"/>
          <w:i w:val="false"/>
          <w:caps w:val="false"/>
          <w:smallCaps w:val="false"/>
          <w:strike/>
          <w:color w:val="FF0000"/>
          <w:sz w:val="20"/>
        </w:rPr>
        <w:t>Tenor</w:t>
      </w:r>
      <w:r>
        <w:rPr>
          <w:rFonts w:ascii="Times New Roman;Times;Serif" w:hAnsi="Times New Roman;Times;Serif"/>
          <w:b w:val="false"/>
          <w:i w:val="false"/>
          <w:caps w:val="false"/>
          <w:smallCaps w:val="false"/>
          <w:color w:val="0000FF"/>
          <w:sz w:val="20"/>
          <w:u w:val="single"/>
        </w:rPr>
        <w:t>Tenors</w:t>
      </w:r>
      <w:r>
        <w:rPr>
          <w:rFonts w:ascii="Times New Roman;Times;Serif" w:hAnsi="Times New Roman;Times;Serif"/>
          <w:b w:val="false"/>
          <w:i w:val="false"/>
          <w:caps w:val="false"/>
          <w:smallCaps w:val="false"/>
          <w:sz w:val="20"/>
        </w:rPr>
        <w:t xml:space="preserve"> (if applicable) of such Benchmark (or such component thereof); or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public statement or publication of information by the regulatory supervisor for the administrator of such Benchmark (or the published component used in the calculation thereof) announcing that </w:t>
      </w:r>
      <w:r>
        <w:rPr>
          <w:rFonts w:ascii="Times New Roman;Times;Serif" w:hAnsi="Times New Roman;Times;Serif"/>
          <w:b w:val="false"/>
          <w:i w:val="false"/>
          <w:caps w:val="false"/>
          <w:smallCaps w:val="false"/>
          <w:color w:val="0000FF"/>
          <w:sz w:val="20"/>
          <w:u w:val="single"/>
        </w:rPr>
        <w:t xml:space="preserve">such Benchmark (or such component thereof) or, if such Benchmark is a term rate, </w:t>
      </w:r>
      <w:r>
        <w:rPr>
          <w:rFonts w:ascii="Times New Roman;Times;Serif" w:hAnsi="Times New Roman;Times;Serif"/>
          <w:b w:val="false"/>
          <w:i w:val="false"/>
          <w:caps w:val="false"/>
          <w:smallCaps w:val="false"/>
          <w:sz w:val="20"/>
        </w:rPr>
        <w:t>all Available Tenors (if applicable) of such Benchmark (or such component thereof) are not, or as of a specified future date will not be,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if </w:t>
      </w:r>
      <w:r>
        <w:rPr>
          <w:rFonts w:ascii="Times New Roman;Times;Serif" w:hAnsi="Times New Roman;Times;Serif"/>
          <w:b w:val="false"/>
          <w:i w:val="false"/>
          <w:caps w:val="false"/>
          <w:smallCaps w:val="false"/>
          <w:strike/>
          <w:color w:val="008000"/>
          <w:sz w:val="20"/>
        </w:rPr>
        <w:t xml:space="preserve">the applicable </w:t>
      </w:r>
      <w:r>
        <w:rPr>
          <w:rFonts w:ascii="Times New Roman;Times;Serif" w:hAnsi="Times New Roman;Times;Serif"/>
          <w:b w:val="false"/>
          <w:i w:val="false"/>
          <w:caps w:val="false"/>
          <w:smallCaps w:val="false"/>
          <w:strike/>
          <w:color w:val="FF0000"/>
          <w:sz w:val="20"/>
        </w:rPr>
        <w:t>then-current</w:t>
      </w:r>
      <w:r>
        <w:rPr>
          <w:rFonts w:ascii="Times New Roman;Times;Serif" w:hAnsi="Times New Roman;Times;Serif"/>
          <w:b w:val="false"/>
          <w:i w:val="false"/>
          <w:caps w:val="false"/>
          <w:smallCaps w:val="false"/>
          <w:color w:val="0000FF"/>
          <w:sz w:val="20"/>
          <w:u w:val="single"/>
        </w:rPr>
        <w:t>such</w:t>
      </w:r>
      <w:r>
        <w:rPr>
          <w:rFonts w:ascii="Times New Roman;Times;Serif" w:hAnsi="Times New Roman;Times;Serif"/>
          <w:b w:val="false"/>
          <w:i w:val="false"/>
          <w:caps w:val="false"/>
          <w:smallCaps w:val="false"/>
          <w:sz w:val="20"/>
        </w:rPr>
        <w:t xml:space="preserve"> Benchmark </w:t>
      </w:r>
      <w:r>
        <w:rPr>
          <w:rFonts w:ascii="Times New Roman;Times;Serif" w:hAnsi="Times New Roman;Times;Serif"/>
          <w:b w:val="false"/>
          <w:i w:val="false"/>
          <w:caps w:val="false"/>
          <w:smallCaps w:val="false"/>
          <w:strike/>
          <w:color w:val="FF0000"/>
          <w:sz w:val="20"/>
        </w:rPr>
        <w:t>has any Available Tenors</w:t>
      </w:r>
      <w:r>
        <w:rPr>
          <w:rFonts w:ascii="Times New Roman;Times;Serif" w:hAnsi="Times New Roman;Times;Serif"/>
          <w:b w:val="false"/>
          <w:i w:val="false"/>
          <w:caps w:val="false"/>
          <w:smallCaps w:val="false"/>
          <w:color w:val="0000FF"/>
          <w:sz w:val="20"/>
          <w:u w:val="single"/>
        </w:rPr>
        <w:t>is a term rate</w:t>
      </w:r>
      <w:r>
        <w:rPr>
          <w:rFonts w:ascii="Times New Roman;Times;Serif" w:hAnsi="Times New Roman;Times;Serif"/>
          <w:b w:val="false"/>
          <w:i w:val="false"/>
          <w:caps w:val="false"/>
          <w:smallCaps w:val="false"/>
          <w:sz w:val="20"/>
        </w:rPr>
        <w: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Start Date</w:t>
      </w:r>
      <w:r>
        <w:rPr>
          <w:rFonts w:ascii="Times New Roman;Times;Serif" w:hAnsi="Times New Roman;Times;Serif"/>
          <w:b w:val="false"/>
          <w:i w:val="false"/>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means, with respect to any then-current Benchmark,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 xml:space="preserve"> and (y) ending at the time that a Benchmark Replacement has replaced such Benchmark for all purposes hereunder and under any Loan Document in accordance with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Bonded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means, </w:t>
      </w:r>
      <w:r>
        <w:rPr>
          <w:rFonts w:ascii="Times New Roman;Times;Serif" w:hAnsi="Times New Roman;Times;Serif"/>
          <w:b w:val="false"/>
          <w:i w:val="false"/>
          <w:caps w:val="false"/>
          <w:smallCaps w:val="false"/>
          <w:sz w:val="20"/>
        </w:rPr>
        <w:t>as to any Credit Party, all now owned or hereafter acquired Accounts and (whether included in such definition) accounts receivable; and proceeds (other than such proceeds which are negotiable instruments or cash or Cash Equivalents in the possession or control of the Administrative Agent or any other Lender), including without limitation, all insurance proceeds and letter of credit proceeds, in each case solely to the extent such accounts, accounts receivable, and proceeds arise out of a Bonded Contract, including, but not limited to, Bonded Retainage, and all forms of obligations whatsoever owing to any Credit Party under instruments and documents of title constituting the foregoing or proceeds thereof; and all rights, securities, and guarantees with respect to each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Bonded Contract</w:t>
      </w:r>
      <w:r>
        <w:rPr>
          <w:rFonts w:ascii="Times New Roman;Times;Serif" w:hAnsi="Times New Roman;Times;Serif"/>
          <w:b w:val="false"/>
          <w:i w:val="false"/>
          <w:caps w:val="false"/>
          <w:smallCaps w:val="false"/>
          <w:sz w:val="20"/>
        </w:rPr>
        <w:t xml:space="preserve">” means the contracts listed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as of the Amendment No. </w:t>
      </w:r>
      <w:r>
        <w:rPr>
          <w:rFonts w:ascii="Times New Roman;Times;Serif" w:hAnsi="Times New Roman;Times;Serif"/>
          <w:b w:val="false"/>
          <w:i w:val="false"/>
          <w:caps w:val="false"/>
          <w:smallCaps w:val="false"/>
          <w:strike/>
          <w:color w:val="FF0000"/>
          <w:sz w:val="20"/>
        </w:rPr>
        <w:t>1</w:t>
      </w:r>
      <w:r>
        <w:rPr>
          <w:rFonts w:ascii="Times New Roman;Times;Serif" w:hAnsi="Times New Roman;Times;Serif"/>
          <w:b w:val="false"/>
          <w:i w:val="false"/>
          <w:caps w:val="false"/>
          <w:smallCaps w:val="false"/>
          <w:color w:val="0000FF"/>
          <w:sz w:val="20"/>
          <w:u w:val="single"/>
        </w:rPr>
        <w:t>2</w:t>
      </w:r>
      <w:r>
        <w:rPr>
          <w:rFonts w:ascii="Times New Roman;Times;Serif" w:hAnsi="Times New Roman;Times;Serif"/>
          <w:b w:val="false"/>
          <w:i w:val="false"/>
          <w:caps w:val="false"/>
          <w:smallCaps w:val="false"/>
          <w:sz w:val="20"/>
        </w:rPr>
        <w:t xml:space="preserve"> Effective Date, and any future contract in respect of which any Surety Bond is issued on behalf of any Credit Party and for which Administrative Agent has received written notice of such Surety Bond from the Administrative Borrower.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Bonded Equipment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means </w:t>
      </w:r>
      <w:r>
        <w:rPr>
          <w:rFonts w:ascii="Times New Roman;Times;Serif" w:hAnsi="Times New Roman;Times;Serif"/>
          <w:b w:val="false"/>
          <w:i w:val="false"/>
          <w:caps w:val="false"/>
          <w:smallCaps w:val="false"/>
          <w:sz w:val="20"/>
        </w:rPr>
        <w:t>all now owned or hereafter acquired right, title and interest with respect to Equipment, owned by a Credit Party and (whether or not included in such definition) all other personal property in each case which is delivered to, prefabricated for or specifically ordered for a Bonded Job Site, whether or not the same will be deemed to be affixed to, arise out of or relate to any real property, together with all accessions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Bonded Inventory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means </w:t>
      </w:r>
      <w:r>
        <w:rPr>
          <w:rFonts w:ascii="Times New Roman;Times;Serif" w:hAnsi="Times New Roman;Times;Serif"/>
          <w:b w:val="false"/>
          <w:i w:val="false"/>
          <w:caps w:val="false"/>
          <w:smallCaps w:val="false"/>
          <w:sz w:val="20"/>
        </w:rPr>
        <w:t>all now owned and hereafter acquired Inventory of the Credit Parties, including, without limitation, goods, merchandise and other personal property in each case which is furnished under any Bonded Contract, all raw materials, work in process, finished goods and materials and supplies of any kind, nature or description in each case which is delivered to, prefabricated for or specifically ordered for a Bonded Job 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Bonded Job Site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means </w:t>
      </w:r>
      <w:r>
        <w:rPr>
          <w:rFonts w:ascii="Times New Roman;Times;Serif" w:hAnsi="Times New Roman;Times;Serif"/>
          <w:b w:val="false"/>
          <w:i w:val="false"/>
          <w:caps w:val="false"/>
          <w:smallCaps w:val="false"/>
          <w:sz w:val="20"/>
        </w:rPr>
        <w:t>the site specified in a Bonded Contract where any Credit Party is to perform the specialized electrical and communication services required thereunder, including all other labor, materials, equipment and services provided or to be provided to fulfill its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Bonded Retainage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means </w:t>
      </w:r>
      <w:r>
        <w:rPr>
          <w:rFonts w:ascii="Times New Roman;Times;Serif" w:hAnsi="Times New Roman;Times;Serif"/>
          <w:b w:val="false"/>
          <w:i w:val="false"/>
          <w:caps w:val="false"/>
          <w:smallCaps w:val="false"/>
          <w:sz w:val="20"/>
        </w:rPr>
        <w:t>contract proceeds periodically withheld by an account debtor to provide further security for the performance by any Credit Party of a Bonded Contract, and as such are payable to it only upon a clear demonstration of compliance with terms of the Bonded Contract.</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means, collectively, (a) Holdings, and (b) the Subsidiary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the Federal Reserve Bank of New York is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Date</w:t>
      </w:r>
      <w:r>
        <w:rPr>
          <w:rFonts w:ascii="Times New Roman;Times;Serif" w:hAnsi="Times New Roman;Times;Serif"/>
          <w:b w:val="false"/>
          <w:i w:val="false"/>
          <w:caps w:val="false"/>
          <w:smallCaps w:val="false"/>
          <w:sz w:val="20"/>
        </w:rPr>
        <w:t>” has the meaning assigned thereto in the definition of Applicable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means, with respect to Holdings and its Subsidiaries on a Consolidated basis, for any period, (a) the additions to property, plant and equipment and other capital expenditures that are (or would be) set forth in a Consolidated statement of cash flows of such Person for such period prepared in accordance with GAAP and (b) Capital Lease Obligations during such period, but excluding expenditures for the restoration, repair or replacement of any fixed or capital asset which was destroyed or damaged, in whole or in part, to the extent financed by the proceeds of an insurance policy maintained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xml:space="preserve">” of any Person means, subject to </w:t>
      </w:r>
      <w:r>
        <w:rPr>
          <w:rFonts w:ascii="Times New Roman;Times;Serif" w:hAnsi="Times New Roman;Times;Serif"/>
          <w:b w:val="false"/>
          <w:i w:val="false"/>
          <w:caps w:val="false"/>
          <w:smallCaps w:val="false"/>
          <w:sz w:val="20"/>
          <w:u w:val="single"/>
        </w:rPr>
        <w:t>Section 1.3(b)</w:t>
      </w:r>
      <w:r>
        <w:rPr>
          <w:rFonts w:ascii="Times New Roman;Times;Serif" w:hAnsi="Times New Roman;Times;Serif"/>
          <w:b w:val="false"/>
          <w:i w:val="false"/>
          <w:caps w:val="false"/>
          <w:smallCaps w:val="false"/>
          <w:sz w:val="20"/>
        </w:rPr>
        <w:t>,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Collateralize</w:t>
      </w:r>
      <w:r>
        <w:rPr>
          <w:rFonts w:ascii="Times New Roman;Times;Serif" w:hAnsi="Times New Roman;Times;Serif"/>
          <w:b w:val="false"/>
          <w:i w:val="false"/>
          <w:caps w:val="false"/>
          <w:smallCaps w:val="false"/>
          <w:sz w:val="20"/>
        </w:rPr>
        <w:t>” means, to deposit in a Controlled Account or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reasonably satisfactory to the Administrative Agent, such Issuing Lender and the Swingline Lender, as applicable.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Cash Collateralized</w:t>
      </w:r>
      <w:r>
        <w:rPr>
          <w:rFonts w:ascii="Times New Roman;Times;Serif" w:hAnsi="Times New Roman;Times;Serif"/>
          <w:b w:val="false"/>
          <w:i w:val="false"/>
          <w:caps w:val="false"/>
          <w:smallCaps w:val="false"/>
          <w:sz w:val="20"/>
        </w:rPr>
        <w:t>” shall have meaning correlative to the foregoing, and “Cash Collateral” shall include the proceeds of such cash collateral and other credit support.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collectively, (a) marketable direct obligations issued or unconditionally guaranteed by the United States or any agency thereof to the extent such obligations are backed by the full faith and credit of the United States, in each case maturing within one (1) year from the date of acquisition thereof, (b) commercial paper maturing no more than two hundred seventy (270) days from the date of creation thereof and currently having the highest rating obtainable from either S&amp;P or Moody’s (or, if at any time either S&amp;P or Moody’s are not rating such fund, an equivalent rating from another nationally recognized statistical rating agency), (c) investments in certificates of deposit, banker’s acceptances, money market deposits and time deposits maturing within one hundred eighty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and having a long-term debt rating of “A” or better by S&amp;P or “A2” or better from Moody’s (or, if at any time either S&amp;P or Moody’s are not rating the debt of such bank, an equivalent rating from another nationally recognized statistical rating agency), and (d) investments in any money market fund or money market mutual fund that has (i) substantially all of its assets invested in the types of investments referred to in clauses (a) through (c) above, (ii) net assets of not less than $250,000,000 and (iii) a rating of at least A-2 from S&amp;P or at least P-2 from Moody’s (or, if at any time either S&amp;P or Moody’s are not rating such fund, an equivalent rating from another nationally recognized statistical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Agreement</w:t>
      </w:r>
      <w:r>
        <w:rPr>
          <w:rFonts w:ascii="Times New Roman;Times;Serif" w:hAnsi="Times New Roman;Times;Serif"/>
          <w:b w:val="false"/>
          <w:i w:val="false"/>
          <w:caps w:val="false"/>
          <w:smallCaps w:val="false"/>
          <w:sz w:val="20"/>
        </w:rPr>
        <w:t>” means any agreement to provide cash management services, including treasury, depository, overdraft, credit or debit card (including non-card electronic payables and purchasing cards), electronic funds transfer and other cash management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CBI Investment</w:t>
      </w:r>
      <w:r>
        <w:rPr>
          <w:rFonts w:ascii="Times New Roman;Times;Serif" w:hAnsi="Times New Roman;Times;Serif"/>
          <w:b w:val="false"/>
          <w:i w:val="false"/>
          <w:caps w:val="false"/>
          <w:smallCaps w:val="false"/>
          <w:sz w:val="20"/>
        </w:rPr>
        <w:t>” means an Investment by Borrower in the CB&amp;I storage solutions business that was sold to a consortium led by Mason Capital Management LLC, in partnership with Borrower, Nut Tree Capital Management, LP, 683 Capital Management, LLC, First Pacific Advisors, and other investors, from McDermott International,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Certificated Equipment</w:t>
      </w:r>
      <w:r>
        <w:rPr>
          <w:rFonts w:ascii="Times New Roman;Times;Serif" w:hAnsi="Times New Roman;Times;Serif"/>
          <w:b w:val="false"/>
          <w:i w:val="false"/>
          <w:caps w:val="false"/>
          <w:smallCaps w:val="false"/>
          <w:sz w:val="20"/>
        </w:rPr>
        <w:t>” means vehicles, vessels, aircraft, tractors, trailers, other rolling stock or similar serial numbered goods or other assets subject to certificates of title under the laws of any state and as to which no third party (other than a Governmental Authority) holds a Permitted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Certain Excluded Collateral</w:t>
      </w:r>
      <w:r>
        <w:rPr>
          <w:rFonts w:ascii="Times New Roman;Times;Serif" w:hAnsi="Times New Roman;Times;Serif"/>
          <w:b w:val="false"/>
          <w:i w:val="false"/>
          <w:caps w:val="false"/>
          <w:smallCaps w:val="false"/>
          <w:sz w:val="20"/>
        </w:rPr>
        <w:t>” means Surety Collateral to the extent the applicable Surety is subject to a Surety Intercreditor.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means a Foreign Subsidiary that is a “controlled foreign corporation” under Section 957 of the Code and any Subsidiary owned directly or indirectly by such Foreign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 Holdco</w:t>
      </w:r>
      <w:r>
        <w:rPr>
          <w:rFonts w:ascii="Times New Roman;Times;Serif" w:hAnsi="Times New Roman;Times;Serif"/>
          <w:b w:val="false"/>
          <w:i w:val="false"/>
          <w:caps w:val="false"/>
          <w:smallCaps w:val="false"/>
          <w:sz w:val="20"/>
        </w:rPr>
        <w:t>” means a Subsidiary substantially all the assets of which consist of Equity Interests in Foreign Subsidiaries that each constitute a CFC and/or Indebtedness or accounts receivable owed by Foreign Subsidiaries that each constitute a CFC or are treated as owed by any such Foreign Subsidiaries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event or series of events by which (i) any “person” or “group” (as such terms are used in </w:t>
      </w:r>
      <w:r>
        <w:rPr>
          <w:rFonts w:ascii="Times New Roman;Times;Serif" w:hAnsi="Times New Roman;Times;Serif"/>
          <w:b w:val="false"/>
          <w:i w:val="false"/>
          <w:caps w:val="false"/>
          <w:smallCaps w:val="false"/>
          <w:sz w:val="20"/>
          <w:u w:val="single"/>
        </w:rPr>
        <w:t>Sections 13(d)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14(d)</w:t>
      </w:r>
      <w:r>
        <w:rPr>
          <w:rFonts w:ascii="Times New Roman;Times;Serif" w:hAnsi="Times New Roman;Times;Serif"/>
          <w:b w:val="false"/>
          <w:i w:val="false"/>
          <w:caps w:val="false"/>
          <w:smallCaps w:val="false"/>
          <w:sz w:val="20"/>
        </w:rPr>
        <w:t xml:space="preserve"> of the Exchange Act, but excluding any employee benefit plan of such person or its Subsidiaries, and any person or entity acting in its capacity as trustee, agent or other fiduciary or administrator of any such plan) other than the Permitted Holder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more than thirty percent (30%) of the Equity Interests of Holdings entitled to vote in the election of members of the board of directors (or equivalent governing body) of Holdings or (ii) a majority of the members of the board of directors (or other equivalent governing body) of Holdings shall not constitute Continuing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Holdings ceases to own and control, directly or indirectly, (i) one hundred percent (100%) of the Equity Interests of any Subsidiary Borrower (other than NEXT and Edmonson), or (ii) eighty percent (80%) of NEXT or Edmonson;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Credit Parties, collectively, cease to own and control, directly or indirectly, at least the percentage of Equity Interests of any Non-Wholly-Owned Subsidiary acquired pursuant to a Permitted Acquisition (owned and controlled by the Credit Parties as of the closing date of such Permitted Acquisition (or at least such greater percentage that the Credit Parties may own from time to time following the closing date of the applicable Permitted Acquisition));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shall have occurred under any indenture or other instrument evidencing any Indebtedness or Equity Interests in excess of the Threshold Amount any “change in control” or similar provision (as set forth in the indenture, agreement or other evidence of such Indebtedness) obligating Holdings or any of its Subsidiaries to repurchase, redeem or repay all or any part of the Indebtedness or Equity Interests provided for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xml:space="preserve">” means, when used in reference to any Loan, whether such Loan is a Revolving Credit Loan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Swingline Loan </w:t>
      </w:r>
      <w:r>
        <w:rPr>
          <w:rFonts w:ascii="Times New Roman;Times;Serif" w:hAnsi="Times New Roman;Times;Serif"/>
          <w:b w:val="false"/>
          <w:i w:val="false"/>
          <w:caps w:val="false"/>
          <w:smallCaps w:val="false"/>
          <w:color w:val="0000FF"/>
          <w:sz w:val="20"/>
          <w:u w:val="single"/>
        </w:rPr>
        <w:t>or Term Loan and, when used in reference to any Commitment, whether such Commitment is a Revolving Credit Commitment or a Term Loan Commitment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the collateral security for the Secured Obligations pledged or granted pursuant to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Agreement</w:t>
      </w:r>
      <w:r>
        <w:rPr>
          <w:rFonts w:ascii="Times New Roman;Times;Serif" w:hAnsi="Times New Roman;Times;Serif"/>
          <w:b w:val="false"/>
          <w:i w:val="false"/>
          <w:caps w:val="false"/>
          <w:smallCaps w:val="false"/>
          <w:sz w:val="20"/>
        </w:rPr>
        <w:t xml:space="preserve">” means the Amended and Restated Guaranty and Security Agreement </w:t>
      </w:r>
      <w:r>
        <w:rPr>
          <w:rFonts w:ascii="Times New Roman;Times;Serif" w:hAnsi="Times New Roman;Times;Serif"/>
          <w:b w:val="false"/>
          <w:i w:val="false"/>
          <w:caps w:val="false"/>
          <w:smallCaps w:val="false"/>
          <w:strike/>
          <w:color w:val="FF0000"/>
          <w:sz w:val="20"/>
        </w:rPr>
        <w:t>of even date herewith</w:t>
      </w:r>
      <w:r>
        <w:rPr>
          <w:rFonts w:ascii="Times New Roman;Times;Serif" w:hAnsi="Times New Roman;Times;Serif"/>
          <w:b w:val="false"/>
          <w:i w:val="false"/>
          <w:caps w:val="false"/>
          <w:smallCaps w:val="false"/>
          <w:color w:val="0000FF"/>
          <w:sz w:val="20"/>
          <w:u w:val="single"/>
        </w:rPr>
        <w:t>dated as of January 21, 2025</w:t>
      </w:r>
      <w:r>
        <w:rPr>
          <w:rFonts w:ascii="Times New Roman;Times;Serif" w:hAnsi="Times New Roman;Times;Serif"/>
          <w:b w:val="false"/>
          <w:i w:val="false"/>
          <w:caps w:val="false"/>
          <w:smallCaps w:val="false"/>
          <w:sz w:val="20"/>
        </w:rPr>
        <w:t xml:space="preserve"> executed by the Credit Parties in favor of the Administrative Agent, for the ratable benefit of the Secured Parties, which shall be in form and substance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Percentage</w:t>
      </w:r>
      <w:r>
        <w:rPr>
          <w:rFonts w:ascii="Times New Roman;Times;Serif" w:hAnsi="Times New Roman;Times;Serif"/>
          <w:b w:val="false"/>
          <w:i w:val="false"/>
          <w:caps w:val="false"/>
          <w:smallCaps w:val="false"/>
          <w:sz w:val="20"/>
        </w:rPr>
        <w:t xml:space="preserve">” means, as to any Lender, such Lender’s Revolving Credit Commitment Percentage </w:t>
      </w:r>
      <w:r>
        <w:rPr>
          <w:rFonts w:ascii="Times New Roman;Times;Serif" w:hAnsi="Times New Roman;Times;Serif"/>
          <w:b w:val="false"/>
          <w:i w:val="false"/>
          <w:caps w:val="false"/>
          <w:smallCaps w:val="false"/>
          <w:color w:val="0000FF"/>
          <w:sz w:val="20"/>
          <w:u w:val="single"/>
        </w:rPr>
        <w:t>or Term Loan Percentage, as applicable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xml:space="preserve">” means, collectively, as to all Lenders, the Revolving Credit Commitments </w:t>
      </w:r>
      <w:r>
        <w:rPr>
          <w:rFonts w:ascii="Times New Roman;Times;Serif" w:hAnsi="Times New Roman;Times;Serif"/>
          <w:b w:val="false"/>
          <w:i w:val="false"/>
          <w:caps w:val="false"/>
          <w:smallCaps w:val="false"/>
          <w:color w:val="0000FF"/>
          <w:sz w:val="20"/>
          <w:u w:val="single"/>
        </w:rPr>
        <w:t xml:space="preserve">and the Term Loan Commitments </w:t>
      </w:r>
      <w:r>
        <w:rPr>
          <w:rFonts w:ascii="Times New Roman;Times;Serif" w:hAnsi="Times New Roman;Times;Serif"/>
          <w:b w:val="false"/>
          <w:i w:val="false"/>
          <w:caps w:val="false"/>
          <w:smallCaps w:val="false"/>
          <w:sz w:val="20"/>
        </w:rPr>
        <w:t>of such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U.S.C. § 1 et seq.).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 xml:space="preserve">Communication” means any Loan Document and any document, amendment, approval, consent, information, notice, certificate, report, statement, disclosure, certification or authorization related to any Loan Document.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certificate of the chief financial officer or the treasurer of Holdings substantially in the form attached as </w:t>
      </w:r>
      <w:r>
        <w:rPr>
          <w:rFonts w:ascii="Times New Roman;Times;Serif" w:hAnsi="Times New Roman;Times;Serif"/>
          <w:b/>
          <w:i/>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xml:space="preserve">”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w:t>
      </w:r>
      <w:r>
        <w:rPr>
          <w:rFonts w:ascii="Times New Roman;Times;Serif" w:hAnsi="Times New Roman;Times;Serif"/>
          <w:b w:val="false"/>
          <w:i w:val="false"/>
          <w:caps w:val="false"/>
          <w:smallCaps w:val="false"/>
          <w:sz w:val="20"/>
        </w:rPr>
        <w:t>” means, when used with reference to financial statements or financial statement items of any Person, such statements or items on a consolidated basis in accordance with applicable principles of consolidation under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means, for any period, the sum of the following determined on a Consolidated basis, without duplication, for Holdings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Consolidated Net Income for such period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of the following, without duplication, to the extent deducted in determining Consolidated Net Income for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Consolidated Interest Expense;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expense for Taxes measured by net income, profits or capital (or any similar measures), paid or accrued, including federal and state and local income Taxes, foreign income Taxes and franchise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depreciation, amortization and other non-cash charges or expenses, excluding any non-cash charge or expense that represents an accrual for a cash expense to be taken in a future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unusual and non-recurring losses (excluding losses from discontinued operations); </w:t>
      </w:r>
      <w:r>
        <w:rPr>
          <w:rFonts w:ascii="Times New Roman;Times;Serif" w:hAnsi="Times New Roman;Times;Serif"/>
          <w:b w:val="false"/>
          <w:i w:val="false"/>
          <w:caps w:val="false"/>
          <w:smallCaps w:val="false"/>
          <w:sz w:val="20"/>
          <w:u w:val="single"/>
        </w:rPr>
        <w:t>minus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sum of the following, without duplication, to the extent included in determining Consolidated Net Income for such period:</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interest income,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federal, state, local and foreign income Tax credits of Holdings and its Subsidiaries for such period (to the extent not netted from income Tax expense);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unusual and non-recurring gains;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non-cash gains or non-cash items;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cash expense made during such period which represents the reversal of any non-cash expense that was added in a prior period pursuant to clause (b)(iii) above subsequent to the fiscal quarter in which the relevant non-cash expenses, charges or losses were incurred.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Consolidated EBITDA shall be calculated on a Pro Forma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Coverage Ratio</w:t>
      </w:r>
      <w:r>
        <w:rPr>
          <w:rFonts w:ascii="Times New Roman;Times;Serif" w:hAnsi="Times New Roman;Times;Serif"/>
          <w:b w:val="false"/>
          <w:i w:val="false"/>
          <w:caps w:val="false"/>
          <w:smallCaps w:val="false"/>
          <w:sz w:val="20"/>
        </w:rPr>
        <w:t>” means, as of any date of determination, the ratio of (a) Consolidated EBITDA for the most recently completed Reference Period to (b) Consolidated Interest Expense for the most recently completed Reference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for any period, the sum of the following determined on a Consolidated basis, without duplication, for Holdings and its Subsidiaries in accordance with GAAP, interest expense (including interest expense attributable to Capital Lease Obligations and all net payment obligations pursuant to Hedge Agreements) for such period.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for any period, the net income (or loss) of Holdings and its Subsidiaries for such period, determined on a Consolidated basis, without duplication,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calculating Consolidated Net Income of Holdings and its Subsidiaries for any period, there shall be excluded (a) the net income (or loss) of any Person (other than a Subsidiary which shall be subject to clause (c) below), in which Holdings or any of its Subsidiaries has a joint interest with a third party, except to the extent such net income is actually paid in cash to Holdings or any of such Subsidiary by dividend or other distribution during such period, (b) the net income (or loss) of any Person accrued prior to the date it becomes a Subsidiary of Holdings or is merged into or consolidated with Holdings or any Subsidiary of Holdings or that Person’s assets are acquired by Holdings or any of its Subsidiaries except to the extent included pursuant to the foregoing clause (a), (c) the net income (if positive), of any Subsidiary to the extent that the declaration or payment of dividends or similar distributions by such Subsidiary to Holdings or any of its Subsidiaries of such net income (i) is not at the time permitted by operation of the terms of its charter or any agreement, instrument, judgment, decree, order, statute, rule or governmental regulation applicable to such Subsidiary or (ii) would be subject to any taxes payable on such dividends or distributions, but in each case only to the extent of such prohibition or taxes, (d) the net income (or loss) of any Subsidiary that is not a Wholly-Owned Subsidiary to the extent such net income (or loss) is attributable to the minority interest in such Subsidiary and (e) any gain or loss from Asset Dispositions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xml:space="preserve">” means, as of any date of determination with respect to Holdings and its Subsidiaries on a Consolidated basis without duplication, the total assets of Holdings and its Subsidiaries as determined in accordance with GAAP and shown on the most recent Consolidated balance sheet of Holdings delivered to the Administrative Agent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Indebtedness</w:t>
      </w:r>
      <w:r>
        <w:rPr>
          <w:rFonts w:ascii="Times New Roman;Times;Serif" w:hAnsi="Times New Roman;Times;Serif"/>
          <w:b w:val="false"/>
          <w:i w:val="false"/>
          <w:caps w:val="false"/>
          <w:smallCaps w:val="false"/>
          <w:sz w:val="20"/>
        </w:rPr>
        <w:t>” means, as of any date of determination with respect to Holdings and its Subsidiaries on a Consolidated basis without duplication, the sum of all Indebtedness of Holdings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Leverage Ratio</w:t>
      </w:r>
      <w:r>
        <w:rPr>
          <w:rFonts w:ascii="Times New Roman;Times;Serif" w:hAnsi="Times New Roman;Times;Serif"/>
          <w:b w:val="false"/>
          <w:i w:val="false"/>
          <w:caps w:val="false"/>
          <w:smallCaps w:val="false"/>
          <w:sz w:val="20"/>
        </w:rPr>
        <w:t xml:space="preserve">” means, as of any date of determination, the ratio of: (a) an amount equal to (i) Consolidated Total Indebtedness on such date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lesser of (A) all Unrestricted Cash and Cash Equivalents on such date and (B) $50,000,000; to (b) Consolidated EBITDA for the most recently completed Reference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Directors</w:t>
      </w:r>
      <w:r>
        <w:rPr>
          <w:rFonts w:ascii="Times New Roman;Times;Serif" w:hAnsi="Times New Roman;Times;Serif"/>
          <w:b w:val="false"/>
          <w:i w:val="false"/>
          <w:caps w:val="false"/>
          <w:smallCaps w:val="false"/>
          <w:sz w:val="20"/>
        </w:rPr>
        <w:t>” means the directors (or equivalent governing body) of Holdings on the Closing Date and each other director (or equivalent) of Holdings, if, in each case, such other Person’s nomination for election or appointment to the board of directors (or equivalent governing body) of Holdings is approved by at least 51% of the then Continuing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Account</w:t>
      </w:r>
      <w:r>
        <w:rPr>
          <w:rFonts w:ascii="Times New Roman;Times;Serif" w:hAnsi="Times New Roman;Times;Serif"/>
          <w:b w:val="false"/>
          <w:i w:val="false"/>
          <w:caps w:val="false"/>
          <w:smallCaps w:val="false"/>
          <w:sz w:val="20"/>
        </w:rPr>
        <w:t>” means each deposit account and securities account that is subject to an account control agreement in form and substance reasonably satisfactory to the Administrative Agent and each of the applicable Issuing Lenders that is entitled to Cash Collateral hereunder at the time such control agreement is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Facility</w:t>
      </w:r>
      <w:r>
        <w:rPr>
          <w:rFonts w:ascii="Times New Roman;Times;Serif" w:hAnsi="Times New Roman;Times;Serif"/>
          <w:b w:val="false"/>
          <w:i w:val="false"/>
          <w:caps w:val="false"/>
          <w:smallCaps w:val="false"/>
          <w:sz w:val="20"/>
        </w:rPr>
        <w:t xml:space="preserve">” means, collectively, the Revolving Credit Facility, the </w:t>
      </w:r>
      <w:r>
        <w:rPr>
          <w:rFonts w:ascii="Times New Roman;Times;Serif" w:hAnsi="Times New Roman;Times;Serif"/>
          <w:b w:val="false"/>
          <w:i w:val="false"/>
          <w:caps w:val="false"/>
          <w:smallCaps w:val="false"/>
          <w:color w:val="0000FF"/>
          <w:sz w:val="20"/>
          <w:u w:val="single"/>
        </w:rPr>
        <w:t xml:space="preserve">Term Loan Facility, the </w:t>
      </w:r>
      <w:r>
        <w:rPr>
          <w:rFonts w:ascii="Times New Roman;Times;Serif" w:hAnsi="Times New Roman;Times;Serif"/>
          <w:b w:val="false"/>
          <w:i w:val="false"/>
          <w:caps w:val="false"/>
          <w:smallCaps w:val="false"/>
          <w:sz w:val="20"/>
        </w:rPr>
        <w:t>Swingline Facility and the L/C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Parties</w:t>
      </w:r>
      <w:r>
        <w:rPr>
          <w:rFonts w:ascii="Times New Roman;Times;Serif" w:hAnsi="Times New Roman;Times;Serif"/>
          <w:b w:val="false"/>
          <w:i w:val="false"/>
          <w:caps w:val="false"/>
          <w:smallCaps w:val="false"/>
          <w:sz w:val="20"/>
        </w:rPr>
        <w:t>” means, collectively, the Borrowers and the Guarantors.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Simple SOFR Rate Day</w:t>
      </w:r>
      <w:r>
        <w:rPr>
          <w:rFonts w:ascii="Times New Roman;Times;Serif" w:hAnsi="Times New Roman;Times;Serif"/>
          <w:b w:val="false"/>
          <w:i w:val="false"/>
          <w:caps w:val="false"/>
          <w:smallCaps w:val="false"/>
          <w:sz w:val="20"/>
        </w:rPr>
        <w:t>”), a rate per annum equal to the greater of (a) SOFR for the day (such day, a “</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that is five (5) U.S. Government Securities Business Days prior to (i) if such Simple SOFR Rate Day is a U.S. Government Securities Business Day, such Simple SOFR Rate Day or (ii) if such Simple SOFR Rate Day is not a U.S. Government Securities Business Day, the U.S. Government Securities Business Day immediately preceding such Simple SOFR Rate Day, in each case, as such SOFR is published by the SOFR Administrator on the SOFR Administrator’s Website, and (b) the Floor. If by 5:00 p.m.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SOFR determined pursuant to this sentence shall be utilized for purposes of calculation of Daily Simple SOFR for no more than three (3) consecutive Simple SOFR Rate Days. Any change in Daily Simple SOFR due to a change in SOFR shall be effective from and including the effective date of such change in SOFR without notice to any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 Loan</w:t>
      </w:r>
      <w:r>
        <w:rPr>
          <w:rFonts w:ascii="Times New Roman;Times;Serif" w:hAnsi="Times New Roman;Times;Serif"/>
          <w:b w:val="false"/>
          <w:i w:val="false"/>
          <w:caps w:val="false"/>
          <w:smallCaps w:val="false"/>
          <w:sz w:val="20"/>
        </w:rPr>
        <w:t xml:space="preserve">” means any Loan bearing interest at a rate based on Daily Simple SOFR (other than pursuant to the Daily Simple SOFR component of the definition of “Base Rate”), as provided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DBM Acquisition” means that certain acquisition of the Equity Interests of DBM Global Inc. and its Subsidiaries by Holdings occurring on the Amendment No. 2 Effective Date pursuant to and in accordance with the DBM Acquisition Agreement.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 xml:space="preserve">DBM Acquisition Agreement” means that certain Transaction Agreement, dated as of August 7, 2026, among Holdings and IES Merger Sub, Inc., as buyers, and DBM Global Intermediate Holdco Inc. and Innovate Corp., as sellers.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Issuance</w:t>
      </w:r>
      <w:r>
        <w:rPr>
          <w:rFonts w:ascii="Times New Roman;Times;Serif" w:hAnsi="Times New Roman;Times;Serif"/>
          <w:b w:val="false"/>
          <w:i w:val="false"/>
          <w:caps w:val="false"/>
          <w:smallCaps w:val="false"/>
          <w:sz w:val="20"/>
        </w:rPr>
        <w:t>” means the issuance of any Indebtedness for borrowed money by any Credit Party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xml:space="preserve">” means an Event of Default or any of the events specified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which with the passage of time, the giving of notice or any other condition, would constitute an Event of Default.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4.15(b)</w:t>
      </w:r>
      <w:r>
        <w:rPr>
          <w:rFonts w:ascii="Times New Roman;Times;Serif" w:hAnsi="Times New Roman;Times;Serif"/>
          <w:b w:val="false"/>
          <w:i w:val="false"/>
          <w:caps w:val="false"/>
          <w:smallCaps w:val="false"/>
          <w:sz w:val="20"/>
        </w:rPr>
        <w:t xml:space="preserve">, any Lender that (a) has failed to (i) fund all or any portion of the Revolving Credit Loans </w:t>
      </w:r>
      <w:r>
        <w:rPr>
          <w:rFonts w:ascii="Times New Roman;Times;Serif" w:hAnsi="Times New Roman;Times;Serif"/>
          <w:b w:val="false"/>
          <w:i w:val="false"/>
          <w:caps w:val="false"/>
          <w:smallCaps w:val="false"/>
          <w:color w:val="0000FF"/>
          <w:sz w:val="20"/>
          <w:u w:val="single"/>
        </w:rPr>
        <w:t xml:space="preserve">or any Term Loan </w:t>
      </w:r>
      <w:r>
        <w:rPr>
          <w:rFonts w:ascii="Times New Roman;Times;Serif" w:hAnsi="Times New Roman;Times;Serif"/>
          <w:b w:val="false"/>
          <w:i w:val="false"/>
          <w:caps w:val="false"/>
          <w:smallCaps w:val="false"/>
          <w:sz w:val="20"/>
        </w:rPr>
        <w:t>required to be funded by it hereunder within two Business Days of the date such Loans were required to be funded hereunder unless such Lender notifies the Administrative Agent and the Administrative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participations in Letters of Credit or Swingline Loans) within two Business Days of the date when due, (b) has notified the Administrative Borrower,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Administrative Borrower, to confirm in writing to the Administrative Agent and the Administrative Borrower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Administrative Agent and the Administrative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4.15(b)</w:t>
      </w:r>
      <w:r>
        <w:rPr>
          <w:rFonts w:ascii="Times New Roman;Times;Serif" w:hAnsi="Times New Roman;Times;Serif"/>
          <w:b w:val="false"/>
          <w:i w:val="false"/>
          <w:caps w:val="false"/>
          <w:smallCaps w:val="false"/>
          <w:sz w:val="20"/>
        </w:rPr>
        <w:t>) upon delivery of written notice of such determination to the Administrative Borrower, each Issuing Lender, the Swingline Lender and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Disposed EBITDA</w:t>
      </w:r>
      <w:r>
        <w:rPr>
          <w:rFonts w:ascii="Times New Roman;Times;Serif" w:hAnsi="Times New Roman;Times;Serif"/>
          <w:b w:val="false"/>
          <w:i w:val="false"/>
          <w:caps w:val="false"/>
          <w:smallCaps w:val="false"/>
          <w:sz w:val="20"/>
        </w:rPr>
        <w:t>” means, with respect to any Person or business that is sold or disposed of in an Asset Disposition during any period, the amount for such period of Consolidated EBITDA of any such Person or business subject to such Asset Disposition (determined using such definitions as if references to the Borrowers and their Subsidiaries therein were to such Person or business), as calculated by Holdings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Equity Interests</w:t>
      </w:r>
      <w:r>
        <w:rPr>
          <w:rFonts w:ascii="Times New Roman;Times;Serif" w:hAnsi="Times New Roman;Times;Serif"/>
          <w:b w:val="false"/>
          <w:i w:val="false"/>
          <w:caps w:val="false"/>
          <w:smallCaps w:val="false"/>
          <w:sz w:val="20"/>
        </w:rPr>
        <w:t xml:space="preserve">” means, with respect to any Person, any Equity Interests of such Person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in cash of the Loans and all other Obligations ((other than contingent indemnification obligations not then due)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in cash of the Loans and all other Obligations ((other than contingent indemnification obligations not then due) and the termination of the Commitments), in whole or in part, (c) provide for the scheduled payment of dividends in cash or (d) are or become convertible into, or exchangeable for, Indebtedness or any other Equity Interests that would constitute Disqualified Equity Interests, in each case of clauses (a) through (d), prior to the date that is 91 days after the latest scheduled maturity date of the Loans and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Equity Interests are issued pursuant to a plan for the benefit of the Borrowers or their Subsidiaries or by any such plan to such officers or employees, such Equity Interests shall not constitute Disqualified Equity Interests solely because they may be required to be repurchased by such Borrower(s) or their Subsidiaries in order to satisfy applicable statutory or regulatory obligations.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unless otherwise qualified, dollars in lawful currency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Subsidiary organized under the laws of any political subdivision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Earn-Outs</w:t>
      </w:r>
      <w:r>
        <w:rPr>
          <w:rFonts w:ascii="Times New Roman;Times;Serif" w:hAnsi="Times New Roman;Times;Serif"/>
          <w:b w:val="false"/>
          <w:i w:val="false"/>
          <w:caps w:val="false"/>
          <w:smallCaps w:val="false"/>
          <w:sz w:val="20"/>
        </w:rPr>
        <w:t>” means unsecured liabilities of a Credit Party arising under an agreement to make any deferred payment as a part of the purchase price for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Edmonson</w:t>
      </w:r>
      <w:r>
        <w:rPr>
          <w:rFonts w:ascii="Times New Roman;Times;Serif" w:hAnsi="Times New Roman;Times;Serif"/>
          <w:b w:val="false"/>
          <w:i w:val="false"/>
          <w:caps w:val="false"/>
          <w:smallCaps w:val="false"/>
          <w:sz w:val="20"/>
        </w:rPr>
        <w:t>” means Edmonson Electric, LLC, a Subsidiary of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Record</w:t>
      </w:r>
      <w:r>
        <w:rPr>
          <w:rFonts w:ascii="Times New Roman;Times;Serif" w:hAnsi="Times New Roman;Times;Serif"/>
          <w:b w:val="false"/>
          <w:i w:val="false"/>
          <w:caps w:val="false"/>
          <w:smallCaps w:val="false"/>
          <w:sz w:val="20"/>
        </w:rPr>
        <w:t>” has the meaning assigned to that term in, and shall be interpreted in accordance with, 15 U.S.C. 7006.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has the meaning assigned to that term in, and shall be interpreted in accordance with, 15 U.S.C. 7006.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xml:space="preserve">” means any Person that meets the requirements to be an assignee under </w:t>
      </w:r>
      <w:r>
        <w:rPr>
          <w:rFonts w:ascii="Times New Roman;Times;Serif" w:hAnsi="Times New Roman;Times;Serif"/>
          <w:b w:val="false"/>
          <w:i w:val="false"/>
          <w:caps w:val="false"/>
          <w:smallCaps w:val="false"/>
          <w:sz w:val="20"/>
          <w:u w:val="single"/>
        </w:rPr>
        <w:t>Section 11.9(b)(iii)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(subject to such consents, if any, as may be required under </w:t>
      </w:r>
      <w:r>
        <w:rPr>
          <w:rFonts w:ascii="Times New Roman;Times;Serif" w:hAnsi="Times New Roman;Times;Serif"/>
          <w:b w:val="false"/>
          <w:i w:val="false"/>
          <w:caps w:val="false"/>
          <w:smallCaps w:val="false"/>
          <w:sz w:val="20"/>
          <w:u w:val="single"/>
        </w:rPr>
        <w:t>Section 11.9(b)(iii)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Benefit Plan</w:t>
      </w:r>
      <w:r>
        <w:rPr>
          <w:rFonts w:ascii="Times New Roman;Times;Serif" w:hAnsi="Times New Roman;Times;Serif"/>
          <w:b w:val="false"/>
          <w:i w:val="false"/>
          <w:caps w:val="false"/>
          <w:smallCaps w:val="false"/>
          <w:sz w:val="20"/>
        </w:rPr>
        <w:t>” means (a) any employee benefit plan within the meaning of Section 3(3) of ERISA that is maintained for employees of any Credit Party or any ERISA Affiliate or (b) any Pension Plan or Multiemployer Plan that has at any time within the preceding five (5) years been maintained, funded or administered for the employees of any Credit Party or any current or former ERISA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Claims</w:t>
      </w:r>
      <w:r>
        <w:rPr>
          <w:rFonts w:ascii="Times New Roman;Times;Serif" w:hAnsi="Times New Roman;Times;Serif"/>
          <w:b w:val="false"/>
          <w:i w:val="false"/>
          <w:caps w:val="false"/>
          <w:smallCaps w:val="false"/>
          <w:sz w:val="20"/>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public health or the environment.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federal, foreign, state, provincial and local laws, statutes, ordinances, codes, rules, standards and regulations, permits, licenses, approvals, interpretations and orders of courts or Governmental Authorities, relating to the protection of public health or the environment, including, but not limited to, requirements pertaining to the manufacture, processing, distribution, use, treatment, storage, disposal, transportation, handling, reporting, licensing, permitting, investigation or remediation of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Issuance</w:t>
      </w:r>
      <w:r>
        <w:rPr>
          <w:rFonts w:ascii="Times New Roman;Times;Serif" w:hAnsi="Times New Roman;Times;Serif"/>
          <w:b w:val="false"/>
          <w:i w:val="false"/>
          <w:caps w:val="false"/>
          <w:smallCaps w:val="false"/>
          <w:sz w:val="20"/>
        </w:rPr>
        <w:t>” means (a) any issuance by Holdings of shares of its Equity Interests to any Person that is not a Credit Party (including in connection with the exercise of options or warrants or the conversion of any debt securities to equity) and (b) any capital contribution from any Person that is not a Credit Party into any Credit Party or any Subsidiary thereof. The term “Equity Issuance” shall not include (A) any Asset Disposition or (B) any Debt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who together with any Credit Party or any of its Subsidiaries is treated as a single employer within the meaning of Section 414(b), (c), (m) or (o) of the Code or Section 4001(b)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thereto),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means any of the events specified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requirement for passage of time, giving of notice, or any other condition,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means the Securities Exchange Act of 1934 (15 U.S.C. § 77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Accounts</w:t>
      </w:r>
      <w:r>
        <w:rPr>
          <w:rFonts w:ascii="Times New Roman;Times;Serif" w:hAnsi="Times New Roman;Times;Serif"/>
          <w:b w:val="false"/>
          <w:i w:val="false"/>
          <w:caps w:val="false"/>
          <w:smallCaps w:val="false"/>
          <w:sz w:val="20"/>
        </w:rPr>
        <w:t>” means (a) each account in which all or substantially all of the deposits consist of amounts utilized to fund payroll, employee benefit or tax obligations of Holdings and its Subsidiaries, (b) fiduciary accounts, (c) “zero balance” accounts, and (d) other accounts so long as the aggregate daily maximum balance for all such bank accounts excluded pursuant to this clause (d) on any day shall not exceed $</w:t>
      </w:r>
      <w:r>
        <w:rPr>
          <w:rFonts w:ascii="Times New Roman;Times;Serif" w:hAnsi="Times New Roman;Times;Serif"/>
          <w:b w:val="false"/>
          <w:i w:val="false"/>
          <w:caps w:val="false"/>
          <w:smallCaps w:val="false"/>
          <w:strike/>
          <w:color w:val="FF0000"/>
          <w:sz w:val="20"/>
        </w:rPr>
        <w:t>5,000,000</w:t>
      </w:r>
      <w:r>
        <w:rPr>
          <w:rFonts w:ascii="Times New Roman;Times;Serif" w:hAnsi="Times New Roman;Times;Serif"/>
          <w:b w:val="false"/>
          <w:i w:val="false"/>
          <w:caps w:val="false"/>
          <w:smallCaps w:val="false"/>
          <w:color w:val="0000FF"/>
          <w:sz w:val="20"/>
          <w:u w:val="single"/>
        </w:rPr>
        <w:t>20,000,000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xml:space="preserve">” means (a) each CFC, (b) each Subsidiary that is a direct or indirect Subsidiary of a CFC, (c) each CFC Holdco, (d) any Subsidiary that is prohibited by Applicable Law or by any contractual obligation existing on the Closing Date or existing at the time of acquisition of such Subsidiary after the Closing Date (and not incurred in contemplation of such acquisition), in each case from Guaranteeing the Obligations, but only so long as such prohibition exists </w:t>
      </w:r>
      <w:r>
        <w:rPr>
          <w:rFonts w:ascii="Times New Roman;Times;Serif" w:hAnsi="Times New Roman;Times;Serif"/>
          <w:b w:val="false"/>
          <w:i w:val="false"/>
          <w:caps w:val="false"/>
          <w:smallCaps w:val="false"/>
          <w:strike/>
          <w:color w:val="FF0000"/>
          <w:sz w:val="20"/>
        </w:rPr>
        <w:t>and (e</w:t>
      </w:r>
      <w:r>
        <w:rPr>
          <w:rFonts w:ascii="Times New Roman;Times;Serif" w:hAnsi="Times New Roman;Times;Serif"/>
          <w:b w:val="false"/>
          <w:i w:val="false"/>
          <w:caps w:val="false"/>
          <w:smallCaps w:val="false"/>
          <w:color w:val="0000FF"/>
          <w:sz w:val="20"/>
          <w:u w:val="single"/>
        </w:rPr>
        <w:t xml:space="preserve">, (e) any Subsidiary of Holdings </w:t>
      </w:r>
      <w:r>
        <w:rPr>
          <w:rFonts w:ascii="Times New Roman;Times;Serif" w:hAnsi="Times New Roman;Times;Serif"/>
          <w:b w:val="false"/>
          <w:i w:val="false"/>
          <w:caps w:val="false"/>
          <w:smallCaps w:val="false"/>
          <w:color w:val="008000"/>
          <w:sz w:val="20"/>
          <w:u w:val="single"/>
        </w:rPr>
        <w:t xml:space="preserve">that is </w:t>
      </w:r>
      <w:r>
        <w:rPr>
          <w:rFonts w:ascii="Times New Roman;Times;Serif" w:hAnsi="Times New Roman;Times;Serif"/>
          <w:b w:val="false"/>
          <w:i w:val="false"/>
          <w:caps w:val="false"/>
          <w:smallCaps w:val="false"/>
          <w:color w:val="0000FF"/>
          <w:sz w:val="20"/>
          <w:u w:val="single"/>
        </w:rPr>
        <w:t>subject to regulation as a captive insurance company (or any Subsidiary thereof) and (f</w:t>
      </w:r>
      <w:r>
        <w:rPr>
          <w:rFonts w:ascii="Times New Roman;Times;Serif" w:hAnsi="Times New Roman;Times;Serif"/>
          <w:b w:val="false"/>
          <w:i w:val="false"/>
          <w:caps w:val="false"/>
          <w:smallCaps w:val="false"/>
          <w:sz w:val="20"/>
        </w:rPr>
        <w:t>) any other Subsidiary with respect to which the Administrative Agent and the Administrative Borrower mutually agree that the cost of providing a Guarantee would be excessive in relation to the benefit to be afforded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keepwell provisions in the applicable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Administrative Borrower under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4.11(g)</w:t>
      </w:r>
      <w:r>
        <w:rPr>
          <w:rFonts w:ascii="Times New Roman;Times;Serif" w:hAnsi="Times New Roman;Times;Serif"/>
          <w:b w:val="false"/>
          <w:i w:val="false"/>
          <w:caps w:val="false"/>
          <w:smallCaps w:val="false"/>
          <w:sz w:val="20"/>
        </w:rPr>
        <w:t xml:space="preserve"> and (d) any United States federal withholding Taxes imposed under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Non-Standard Minority Investments</w:t>
      </w:r>
      <w:r>
        <w:rPr>
          <w:rFonts w:ascii="Times New Roman;Times;Serif" w:hAnsi="Times New Roman;Times;Serif"/>
          <w:b w:val="false"/>
          <w:i w:val="false"/>
          <w:caps w:val="false"/>
          <w:smallCaps w:val="false"/>
          <w:sz w:val="20"/>
        </w:rPr>
        <w:t>” means (a) the CBI Investment and (b) any investment made by IES Investments in an issuer of Equity Interests via a private securities offering that relies upon an exemption from registration with the United States Securities Commission, in any case under clause (a) or (b), so long as the applicable issuer is not a Subsidiary of any Credit Party both before and after giving effect to any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Letters of Credit</w:t>
      </w:r>
      <w:r>
        <w:rPr>
          <w:rFonts w:ascii="Times New Roman;Times;Serif" w:hAnsi="Times New Roman;Times;Serif"/>
          <w:b w:val="false"/>
          <w:i w:val="false"/>
          <w:caps w:val="false"/>
          <w:smallCaps w:val="false"/>
          <w:sz w:val="20"/>
        </w:rPr>
        <w:t xml:space="preserve">” means those letters of credit existing on the Closing Date and identified on </w:t>
      </w:r>
      <w:r>
        <w:rPr>
          <w:rFonts w:ascii="Times New Roman;Times;Serif" w:hAnsi="Times New Roman;Times;Serif"/>
          <w:b w:val="false"/>
          <w:i w:val="false"/>
          <w:caps w:val="false"/>
          <w:smallCaps w:val="false"/>
          <w:sz w:val="20"/>
          <w:u w:val="single"/>
        </w:rPr>
        <w:t xml:space="preserve">Schedule 1.1(c) </w:t>
      </w:r>
      <w:r>
        <w:rPr>
          <w:rFonts w:ascii="Times New Roman;Times;Serif" w:hAnsi="Times New Roman;Times;Serif"/>
          <w:b w:val="false"/>
          <w:i w:val="false"/>
          <w:caps w:val="false"/>
          <w:smallCaps w:val="false"/>
          <w:color w:val="0000FF"/>
          <w:sz w:val="20"/>
          <w:u w:val="single"/>
        </w:rPr>
        <w:t>and the UMB Letters of Credit</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Extensions of Credit</w:t>
      </w:r>
      <w:r>
        <w:rPr>
          <w:rFonts w:ascii="Times New Roman;Times;Serif" w:hAnsi="Times New Roman;Times;Serif"/>
          <w:b w:val="false"/>
          <w:i w:val="false"/>
          <w:caps w:val="false"/>
          <w:smallCaps w:val="false"/>
          <w:sz w:val="20"/>
        </w:rPr>
        <w:t xml:space="preserve">” means, as to any Lender at any time, (a) an amount equal to the sum of (i) the aggregate principal amount of all Revolving Credit Loans made by such Lender then outstanding, (ii) such Lender’s Revolving Credit Commitment Percentage of the L/C Obligations then outstanding, and (iii) such Lender’s Revolving Credit Commitment Percentage of the Swingline Loans then outstanding </w:t>
      </w:r>
      <w:r>
        <w:rPr>
          <w:rFonts w:ascii="Times New Roman;Times;Serif" w:hAnsi="Times New Roman;Times;Serif"/>
          <w:b w:val="false"/>
          <w:i w:val="false"/>
          <w:caps w:val="false"/>
          <w:smallCaps w:val="false"/>
          <w:color w:val="0000FF"/>
          <w:sz w:val="20"/>
          <w:u w:val="single"/>
        </w:rPr>
        <w:t>and (iv) the aggregate principal amount of the Term Loans made by such Lender then outstanding</w:t>
      </w:r>
      <w:r>
        <w:rPr>
          <w:rFonts w:ascii="Times New Roman;Times;Serif" w:hAnsi="Times New Roman;Times;Serif"/>
          <w:b w:val="false"/>
          <w:i w:val="false"/>
          <w:caps w:val="false"/>
          <w:smallCaps w:val="false"/>
          <w:sz w:val="20"/>
        </w:rPr>
        <w:t>, or (b) the making of any Loan or participation in any Letter of Credit by such Lender, as the context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FASB ASC</w:t>
      </w:r>
      <w:r>
        <w:rPr>
          <w:rFonts w:ascii="Times New Roman;Times;Serif" w:hAnsi="Times New Roman;Times;Serif"/>
          <w:b w:val="false"/>
          <w:i w:val="false"/>
          <w:caps w:val="false"/>
          <w:smallCaps w:val="false"/>
          <w:sz w:val="20"/>
        </w:rPr>
        <w:t>” means the Accounting Standards Codification of the Financial Accounting Standards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w:t>
      </w:r>
      <w:r>
        <w:rPr>
          <w:rFonts w:ascii="Times New Roman;Times;Serif" w:hAnsi="Times New Roman;Times;Serif"/>
          <w:b w:val="false"/>
          <w:i w:val="false"/>
          <w:caps w:val="false"/>
          <w:smallCaps w:val="false"/>
          <w:color w:val="0000FF"/>
          <w:sz w:val="20"/>
          <w:u w:val="single"/>
        </w:rPr>
        <w:t>and any fiscal or regulatory legislation, rules or practices adopted pursuant to any intergovernmental agreement, treaty or convention among Governmental Authorities and implementing such Sections of the Code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FCC</w:t>
      </w:r>
      <w:r>
        <w:rPr>
          <w:rFonts w:ascii="Times New Roman;Times;Serif" w:hAnsi="Times New Roman;Times;Serif"/>
          <w:b w:val="false"/>
          <w:i w:val="false"/>
          <w:caps w:val="false"/>
          <w:smallCaps w:val="false"/>
          <w:sz w:val="20"/>
        </w:rPr>
        <w:t>” shall mean the Federal Communications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FDIC</w:t>
      </w:r>
      <w:r>
        <w:rPr>
          <w:rFonts w:ascii="Times New Roman;Times;Serif" w:hAnsi="Times New Roman;Times;Serif"/>
          <w:b w:val="false"/>
          <w:i w:val="false"/>
          <w:caps w:val="false"/>
          <w:smallCaps w:val="false"/>
          <w:sz w:val="20"/>
        </w:rPr>
        <w:t>” means the Federal Deposit Insurance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Letters</w:t>
      </w:r>
      <w:r>
        <w:rPr>
          <w:rFonts w:ascii="Times New Roman;Times;Serif" w:hAnsi="Times New Roman;Times;Serif"/>
          <w:b w:val="false"/>
          <w:i w:val="false"/>
          <w:caps w:val="false"/>
          <w:smallCaps w:val="false"/>
          <w:sz w:val="20"/>
        </w:rPr>
        <w:t xml:space="preserve">” means (a) the engagement letter agreement dated October 23, 2024, among the Borrowers and the Left Lead Arranger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w:t>
      </w:r>
      <w:r>
        <w:rPr>
          <w:rFonts w:ascii="Times New Roman;Times;Serif" w:hAnsi="Times New Roman;Times;Serif"/>
          <w:b w:val="false"/>
          <w:i w:val="false"/>
          <w:caps w:val="false"/>
          <w:smallCaps w:val="false"/>
          <w:color w:val="0000FF"/>
          <w:sz w:val="20"/>
          <w:u w:val="single"/>
        </w:rPr>
        <w:t>) the engagement letter agreement dated August 7, 2026, among the Borrowers and the Left Lead Arranger, (c) the fee letter dated August 7, 2026, among the Borrowers and the Left Lead Arranger and the Administrative Agent, and (d</w:t>
      </w:r>
      <w:r>
        <w:rPr>
          <w:rFonts w:ascii="Times New Roman;Times;Serif" w:hAnsi="Times New Roman;Times;Serif"/>
          <w:b w:val="false"/>
          <w:i w:val="false"/>
          <w:caps w:val="false"/>
          <w:smallCaps w:val="false"/>
          <w:sz w:val="20"/>
        </w:rPr>
        <w:t>) any letter between the Borrowers and any Issuing Lender (other than Wells Fargo) relating to certain fees payable to such Issuing Lender in its capacity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Tier Foreign Subsidiary</w:t>
      </w:r>
      <w:r>
        <w:rPr>
          <w:rFonts w:ascii="Times New Roman;Times;Serif" w:hAnsi="Times New Roman;Times;Serif"/>
          <w:b w:val="false"/>
          <w:i w:val="false"/>
          <w:caps w:val="false"/>
          <w:smallCaps w:val="false"/>
          <w:sz w:val="20"/>
        </w:rPr>
        <w:t>” means any Foreign Subsidiary, the Equity Interests of which are owned directly by one or more Credit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Holdings and its Subsidiaries ending on September 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a rate of interest equal to 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Foreclosed Borrower</w:t>
      </w:r>
      <w:r>
        <w:rPr>
          <w:rFonts w:ascii="Times New Roman;Times;Serif" w:hAnsi="Times New Roman;Times;Serif"/>
          <w:b w:val="false"/>
          <w:i w:val="false"/>
          <w:caps w:val="false"/>
          <w:smallCaps w:val="false"/>
          <w:sz w:val="20"/>
        </w:rPr>
        <w:t xml:space="preserve">” has the meaning given to such term in </w:t>
      </w:r>
      <w:r>
        <w:rPr>
          <w:rFonts w:ascii="Times New Roman;Times;Serif" w:hAnsi="Times New Roman;Times;Serif"/>
          <w:b w:val="false"/>
          <w:i w:val="false"/>
          <w:caps w:val="false"/>
          <w:smallCaps w:val="false"/>
          <w:sz w:val="20"/>
          <w:u w:val="single"/>
        </w:rPr>
        <w:t>Section 4.16(h)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 with respect to any Borrower that is a U.S. Person, a Lender that is not a U.S. Person, and (b) with respect to any Borrower that is not a U.S. Person, a Lender that is resident or organized under the laws of a jurisdiction other than that in which such Borrower is resident for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that is not a Domestic Subsidiary.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FRB</w:t>
      </w:r>
      <w:r>
        <w:rPr>
          <w:rFonts w:ascii="Times New Roman;Times;Serif" w:hAnsi="Times New Roman;Times;Serif"/>
          <w:b w:val="false"/>
          <w:i w:val="false"/>
          <w:caps w:val="false"/>
          <w:smallCaps w:val="false"/>
          <w:sz w:val="20"/>
        </w:rPr>
        <w:t>” means the Board of Governors of the Federal Reserve System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w:t>
      </w:r>
      <w:r>
        <w:rPr>
          <w:rFonts w:ascii="Times New Roman;Times;Serif" w:hAnsi="Times New Roman;Times;Serif"/>
          <w:b w:val="false"/>
          <w:i w:val="false"/>
          <w:caps w:val="false"/>
          <w:smallCaps w:val="false"/>
          <w:sz w:val="20"/>
        </w:rPr>
        <w:t>” 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GIFI Entities</w:t>
      </w:r>
      <w:r>
        <w:rPr>
          <w:rFonts w:ascii="Times New Roman;Times;Serif" w:hAnsi="Times New Roman;Times;Serif"/>
          <w:b w:val="false"/>
          <w:i w:val="false"/>
          <w:caps w:val="false"/>
          <w:smallCaps w:val="false"/>
          <w:sz w:val="20"/>
        </w:rPr>
        <w:t>” means Gulf Island Fabrication, Inc., Gulf Island Works, LLC, Gulf Island, L.L.C., Gulf Island Services, L.L.C., ENGlobal Automation, LLC, ENGlobal Government Services, Inc., Gulf Island Shipyards, LLC, Gulf Island Fabrication Holdings, LLC, Gulf Marine Fabricators General Partner, L.L.C., Gulf Marine Fabricators Limited Partner, L.L.C., Gulf Island Resources, L.L.C., GIFI Properties, L.L.C., Gulf Marine Fabricators, L.P., Gulf Island EPC,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GIFI Markel Indemnity</w:t>
      </w:r>
      <w:r>
        <w:rPr>
          <w:rFonts w:ascii="Times New Roman;Times;Serif" w:hAnsi="Times New Roman;Times;Serif"/>
          <w:b w:val="false"/>
          <w:i w:val="false"/>
          <w:caps w:val="false"/>
          <w:smallCaps w:val="false"/>
          <w:sz w:val="20"/>
        </w:rPr>
        <w:t>” means that certain General Agreement of Indemnity, dated as of September 2, 2021, by and among certain of the GIFI Entities and Markel.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GIFI Travelers Indemnity</w:t>
      </w:r>
      <w:r>
        <w:rPr>
          <w:rFonts w:ascii="Times New Roman;Times;Serif" w:hAnsi="Times New Roman;Times;Serif"/>
          <w:b w:val="false"/>
          <w:i w:val="false"/>
          <w:caps w:val="false"/>
          <w:smallCaps w:val="false"/>
          <w:sz w:val="20"/>
        </w:rPr>
        <w:t>” means that certain General Agreement of Indemnity, dated as of October 4, 2021, by and among certain of the GIFI Entities and Travelers.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means all authorizations, consents, approvals, permits, licenses and exemptions of, and all registrations and filings with or issued by, any Governmental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assuring in any other manner the obligee in respect of such Indebtedness or other obligation of the payment or performance thereof or to protect such obligee against loss in respect thereof (whether in whole or in part);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each case, in the ordinary course of business, or customary and reasonable indemnity obligations in connection with any disposition of assets permitted under this Agreement (other than any such obligations with respect to Indebtedness). “</w:t>
      </w:r>
      <w:r>
        <w:rPr>
          <w:rFonts w:ascii="Times New Roman;Times;Serif" w:hAnsi="Times New Roman;Times;Serif"/>
          <w:b w:val="false"/>
          <w:i w:val="false"/>
          <w:caps w:val="false"/>
          <w:smallCaps w:val="false"/>
          <w:sz w:val="20"/>
          <w:u w:val="single"/>
        </w:rPr>
        <w:t>Guaranteeing</w:t>
      </w:r>
      <w:r>
        <w:rPr>
          <w:rFonts w:ascii="Times New Roman;Times;Serif" w:hAnsi="Times New Roman;Times;Serif"/>
          <w:b w:val="false"/>
          <w:i w:val="false"/>
          <w:caps w:val="false"/>
          <w:smallCaps w:val="false"/>
          <w:sz w:val="20"/>
        </w:rPr>
        <w:t>” has a meaning correlative thereto.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means each of the Borrowers and any other Guarantor that is or may become party to any Guaranty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 Agreements</w:t>
      </w:r>
      <w:r>
        <w:rPr>
          <w:rFonts w:ascii="Times New Roman;Times;Serif" w:hAnsi="Times New Roman;Times;Serif"/>
          <w:b w:val="false"/>
          <w:i w:val="false"/>
          <w:caps w:val="false"/>
          <w:smallCaps w:val="false"/>
          <w:sz w:val="20"/>
        </w:rPr>
        <w:t xml:space="preserve">” means the Amended and Restated Guaranty and Security Agreement </w:t>
      </w:r>
      <w:r>
        <w:rPr>
          <w:rFonts w:ascii="Times New Roman;Times;Serif" w:hAnsi="Times New Roman;Times;Serif"/>
          <w:b w:val="false"/>
          <w:i w:val="false"/>
          <w:caps w:val="false"/>
          <w:smallCaps w:val="false"/>
          <w:strike/>
          <w:color w:val="FF0000"/>
          <w:sz w:val="20"/>
        </w:rPr>
        <w:t>of even date herewith</w:t>
      </w:r>
      <w:r>
        <w:rPr>
          <w:rFonts w:ascii="Times New Roman;Times;Serif" w:hAnsi="Times New Roman;Times;Serif"/>
          <w:b w:val="false"/>
          <w:i w:val="false"/>
          <w:caps w:val="false"/>
          <w:smallCaps w:val="false"/>
          <w:color w:val="0000FF"/>
          <w:sz w:val="20"/>
          <w:u w:val="single"/>
        </w:rPr>
        <w:t>dated as of January 21, 2025</w:t>
      </w:r>
      <w:r>
        <w:rPr>
          <w:rFonts w:ascii="Times New Roman;Times;Serif" w:hAnsi="Times New Roman;Times;Serif"/>
          <w:b w:val="false"/>
          <w:i w:val="false"/>
          <w:caps w:val="false"/>
          <w:smallCaps w:val="false"/>
          <w:sz w:val="20"/>
        </w:rPr>
        <w:t xml:space="preserve"> executed by the Guarantors in favor of the Administrative Agent, for the ratable benefit and the Secured Parties, which shall be in form and substance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any substances or materials (a) which are or become defined as hazardous wastes, hazardous substances, pollutants, contaminants, chemical substances or mixtures or toxic substances under any Environmental Law, (b) which are toxic, explosive, corrosive, flammable, infectious, radioactive, carcinogenic, mutagenic or otherwise harmful to public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Approval, (e) which are deemed by a Governmental Authority to constitute a nuisance or a trespass which pose a health or safety hazard to Persons or neighboring properties, or (f) which contain, without limitation, asbestos, polychlorinated biphenyls, urea formaldehyde foam insulation, petroleum hydrocarbons, petroleum derived substances or waste, crude oil, nuclear fuel, natural gas or synthetic gas.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Hedge Agreement</w:t>
      </w:r>
      <w:r>
        <w:rPr>
          <w:rFonts w:ascii="Times New Roman;Times;Serif" w:hAnsi="Times New Roman;Times;Serif"/>
          <w:b w:val="false"/>
          <w:i w:val="false"/>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Hedge Termination Value</w:t>
      </w:r>
      <w:r>
        <w:rPr>
          <w:rFonts w:ascii="Times New Roman;Times;Serif" w:hAnsi="Times New Roman;Times;Serif"/>
          <w:b w:val="false"/>
          <w:i w:val="false"/>
          <w:caps w:val="false"/>
          <w:smallCaps w:val="false"/>
          <w:sz w:val="20"/>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has the meaning specified for such term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IES Investments</w:t>
      </w:r>
      <w:r>
        <w:rPr>
          <w:rFonts w:ascii="Times New Roman;Times;Serif" w:hAnsi="Times New Roman;Times;Serif"/>
          <w:b w:val="false"/>
          <w:i w:val="false"/>
          <w:caps w:val="false"/>
          <w:smallCaps w:val="false"/>
          <w:sz w:val="20"/>
        </w:rPr>
        <w:t>” means IES Investments, LLC, a Delaware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 Effective Date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4.13(c)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Amendment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4.13(f)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Facilities Limit</w:t>
      </w:r>
      <w:r>
        <w:rPr>
          <w:rFonts w:ascii="Times New Roman;Times;Serif" w:hAnsi="Times New Roman;Times;Serif"/>
          <w:b w:val="false"/>
          <w:i w:val="false"/>
          <w:caps w:val="false"/>
          <w:smallCaps w:val="false"/>
          <w:sz w:val="20"/>
        </w:rPr>
        <w:t xml:space="preserve">” means, as of any date of determination, an amount equal to (a) the greater of (i) $300,000,000 and (ii) Consolidated EBITDA of Holdings and its Subsidiaries for the four fiscal quarter period ended immediately prior to the applicable Increase Effective Date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(b) the total aggregate initial principal amount (as of the date of incurrence thereof) of all previously incurred Incremental Increases.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Increase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Lender</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Credit Facility Increase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Incremental Term Loan-1” means the term loan made, or to be made, to Holdings by the Term Loan Lenders pursuant to Section 2.7.</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 Commitment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at any date and without duplication, the sum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liabilities, obligations and indebtedness of such Person for borrowed money, including obligations of such Person evidenced by bonds, debentures, notes or other similar instruments,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of such Person to pay the deferred purchase price of property or services of such Person (including all payment obligations under non-competition, earn-out or similar agreements, solely to the extent any such payment obligation under non-competition, earn-out or similar agreements becomes a liability on the balance sheet of such Person in accordance with GAAP), except trade payables arising in the ordinary course of business not more than ninety (90) days past due, or that are currently being contested in good faith by appropriate proceedings and with respect to which reserves in conformity with GAAP have been provided for on the books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Attributable Indebtedness of such Person with respect to such Person’s Capital Lease Obligations and Synthetic Leases (regardless of whether accounted for as indebtedness under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Indebtedness of any other Person secured by a Lien on any asset owned or being purchased by such Person (including indebtedness arising under conditional sales or other title retention agreements except trade payables arising in the ordinary course of business), whether or not such indebtedness shall have been assumed by such Person or is limited in recourse;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obligations, contingent or otherwise, of such Person relative to the face amount of letters of credit, whether or not drawn, including any Reimbursement Obligation, and banker’s acceptances issued for the account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obligations of such Person in respect of Disqualified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net obligations of such Person under any Hedge Agreements;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Guarantees of such Person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In respect of Indebtedness of another Person secured by a Lien on the assets of the specified Person, if such Indebtedness shall not have been assumed by such Person or is limited in recourse to the assets securing such Lien, the amount of such Indebtedness as of any date of determination will be the lesser of (x) the fair market value of such assets as of such date (as determined in good faith by Holdings) and (y) the amount of such Indebtedness as of such date. The amount of any net obligation under any Hedge Agreement on any date shall be deemed to be the Hedge Termination Value thereof as of such date. The amount of obligations in respect of any Disqualified Equity Interests shall be valued, in the case of a redeemable preferred interest, at the greater of its voluntary or involuntary liquidation preference plus accrued and unpaid dividends that are past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any Credit Party under any Loan Document and (b) to the extent not otherwise described in clause (a),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Insurance and Condemnation Event” means the receipt by any Credit Party or any of its Subsidiaries of any cash insurance proceeds or condemnation award payable by reason of theft, loss, physical destruction or damage, taking or similar event with respect to any of their respective Property.</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Intercompany Subordination Agreement</w:t>
      </w:r>
      <w:r>
        <w:rPr>
          <w:rFonts w:ascii="Times New Roman;Times;Serif" w:hAnsi="Times New Roman;Times;Serif"/>
          <w:b w:val="false"/>
          <w:i w:val="false"/>
          <w:caps w:val="false"/>
          <w:smallCaps w:val="false"/>
          <w:sz w:val="20"/>
        </w:rPr>
        <w:t>” means an intercompany subordination agreement, dated as of the Closing Date, executed and delivered by each Credit Party and each of its Subsidiaries, and the Administrative Agent, the form and substance of which is reasonably satisfactory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xml:space="preserve">” means (a) as to any Base Rate Loan or Daily Simple SOFR Loan, the last Business Day of each March, June, September and December and the Revolving Credit Maturity Date </w:t>
      </w:r>
      <w:r>
        <w:rPr>
          <w:rFonts w:ascii="Times New Roman;Times;Serif" w:hAnsi="Times New Roman;Times;Serif"/>
          <w:b w:val="false"/>
          <w:i w:val="false"/>
          <w:caps w:val="false"/>
          <w:smallCaps w:val="false"/>
          <w:color w:val="0000FF"/>
          <w:sz w:val="20"/>
          <w:u w:val="single"/>
        </w:rPr>
        <w:t xml:space="preserve">or Term Loan Maturity Date, as applicable, </w:t>
      </w:r>
      <w:r>
        <w:rPr>
          <w:rFonts w:ascii="Times New Roman;Times;Serif" w:hAnsi="Times New Roman;Times;Serif"/>
          <w:b w:val="false"/>
          <w:i w:val="false"/>
          <w:caps w:val="false"/>
          <w:smallCaps w:val="false"/>
          <w:sz w:val="20"/>
        </w:rPr>
        <w:t xml:space="preserve">and (b) as to any Term SOFR Loan, the last day of each Interest Period therefor and, in the case of any Interest Period of more than three (3) months’ duration, each day prior to the last day of such Interest Period that occurs at three-month intervals after the first day of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Revolving Credit Maturity Date </w:t>
      </w:r>
      <w:r>
        <w:rPr>
          <w:rFonts w:ascii="Times New Roman;Times;Serif" w:hAnsi="Times New Roman;Times;Serif"/>
          <w:b w:val="false"/>
          <w:i w:val="false"/>
          <w:caps w:val="false"/>
          <w:smallCaps w:val="false"/>
          <w:color w:val="0000FF"/>
          <w:sz w:val="20"/>
          <w:u w:val="single"/>
        </w:rPr>
        <w:t>or Term Loan Maturity Date, as applicable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as to any Term SOFR Loan, the period commencing on the date such Term SOFR Loan is disbursed or converted to or continued as a Term SOFR Loan and ending on the date one (1), three (3) or six (6) months thereafter, in each case as selected by the Administrative Borrower in the Notice of Borrowing or Notice of Conversion/Continuation and subject to availability;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Interest Period shall commence on the date of advance of or conversion to any Term SOFR Loan and, in the case of immediately successive Interest Periods, each successive Interest Period shall commence on the date on which the immediately preceding Interest Period expires;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Interest Period would otherwise expire on a day that is not a Business Day, such Interest Period shall expire on the next succeeding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Interest Period shall extend beyond the Revolving Credit Maturity Date</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the Term Loan Maturity Date,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be no more than five (5) Interest Periods in effect at any time;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 tenor that has been removed from this definition pursuant to </w:t>
      </w:r>
      <w:r>
        <w:rPr>
          <w:rFonts w:ascii="Times New Roman;Times;Serif" w:hAnsi="Times New Roman;Times;Serif"/>
          <w:b w:val="false"/>
          <w:i w:val="false"/>
          <w:caps w:val="false"/>
          <w:smallCaps w:val="false"/>
          <w:sz w:val="20"/>
          <w:u w:val="single"/>
        </w:rPr>
        <w:t>Section 4.8(c)(iv)</w:t>
      </w:r>
      <w:r>
        <w:rPr>
          <w:rFonts w:ascii="Times New Roman;Times;Serif" w:hAnsi="Times New Roman;Times;Serif"/>
          <w:b w:val="false"/>
          <w:i w:val="false"/>
          <w:caps w:val="false"/>
          <w:smallCaps w:val="false"/>
          <w:sz w:val="20"/>
        </w:rPr>
        <w:t xml:space="preserve"> shall be available for specification in any Notice of Borrowing or Notice of Conversion/Continuation.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Interstate Commerce Act</w:t>
      </w:r>
      <w:r>
        <w:rPr>
          <w:rFonts w:ascii="Times New Roman;Times;Serif" w:hAnsi="Times New Roman;Times;Serif"/>
          <w:b w:val="false"/>
          <w:i w:val="false"/>
          <w:caps w:val="false"/>
          <w:smallCaps w:val="false"/>
          <w:sz w:val="20"/>
        </w:rPr>
        <w:t xml:space="preserve">” means the body of law commonly known as the Interstate Commerce Act (49 U.S.C. App. §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with respect to any Person, that such Person (a) purchases, owns, invests in or otherwise acquires (in one transaction or a series of transactions), by division or otherwise, directly or indirectly, any Equity Interests, interests in any partnership or joint venture (including the creation or capitalization of any Subsidiary), evidence of Indebtedness or other obligation or security, substantially all or a portion of the business or assets of any other Person or any other investment or interest whatsoever in any other Person, (b) makes any Acquisition or (c) makes or holds, directly or indirectly, any loans, advances or extensions of credit to, or any investment in cash or by delivery of Property in,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xml:space="preserve">” means the Investment Company Act of 1940 (15 U.S.C. § 80(a)(1),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ISP</w:t>
      </w:r>
      <w:r>
        <w:rPr>
          <w:rFonts w:ascii="Times New Roman;Times;Serif" w:hAnsi="Times New Roman;Times;Serif"/>
          <w:b w:val="false"/>
          <w:i w:val="false"/>
          <w:caps w:val="false"/>
          <w:smallCaps w:val="false"/>
          <w:sz w:val="20"/>
        </w:rPr>
        <w:t>” means the International Standby Practices, International Chamber of Commerce Publication No. 590 (or such later version thereof as may be in effect at the applicable time).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Lender</w:t>
      </w:r>
      <w:r>
        <w:rPr>
          <w:rFonts w:ascii="Times New Roman;Times;Serif" w:hAnsi="Times New Roman;Times;Serif"/>
          <w:b w:val="false"/>
          <w:i w:val="false"/>
          <w:caps w:val="false"/>
          <w:smallCaps w:val="false"/>
          <w:sz w:val="20"/>
        </w:rPr>
        <w:t xml:space="preserve">” means (a) Wells Fargo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(b</w:t>
      </w:r>
      <w:r>
        <w:rPr>
          <w:rFonts w:ascii="Times New Roman;Times;Serif" w:hAnsi="Times New Roman;Times;Serif"/>
          <w:b w:val="false"/>
          <w:i w:val="false"/>
          <w:caps w:val="false"/>
          <w:smallCaps w:val="false"/>
          <w:color w:val="0000FF"/>
          <w:sz w:val="20"/>
          <w:u w:val="single"/>
        </w:rPr>
        <w:t>) UMB Bank, N.A., solely with respect to the UMB Letters of Credit, or (c</w:t>
      </w:r>
      <w:r>
        <w:rPr>
          <w:rFonts w:ascii="Times New Roman;Times;Serif" w:hAnsi="Times New Roman;Times;Serif"/>
          <w:b w:val="false"/>
          <w:i w:val="false"/>
          <w:caps w:val="false"/>
          <w:smallCaps w:val="false"/>
          <w:sz w:val="20"/>
        </w:rPr>
        <w:t>) any other Revolving Credit Lender to the extent it has agreed in its sole discretion to act as the replacement “Issuing Lender” hereunder and that has been approved in writing by the Administrative Borrower and the Administrative Agent as an “Issuing Lender” hereunder; provided that, an Issuing Lender shall remain an Issuing Lender hereunder for purposes of any Letter of Credit issued by such Issuing Lender until such Letter of Credit is terminated shall have expired or terminated and original thereof returned to such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means a joinder agreement substantially in the form of </w:t>
      </w:r>
      <w:r>
        <w:rPr>
          <w:rFonts w:ascii="Times New Roman;Times;Serif" w:hAnsi="Times New Roman;Times;Serif"/>
          <w:b/>
          <w:i/>
          <w:caps w:val="false"/>
          <w:smallCaps w:val="false"/>
          <w:sz w:val="20"/>
        </w:rPr>
        <w:t>Exhibit C</w:t>
      </w:r>
      <w:r>
        <w:rPr>
          <w:rFonts w:ascii="Times New Roman;Times;Serif" w:hAnsi="Times New Roman;Times;Serif"/>
          <w:b w:val="false"/>
          <w:i w:val="false"/>
          <w:caps w:val="false"/>
          <w:smallCaps w:val="false"/>
          <w:sz w:val="20"/>
        </w:rPr>
        <w:t xml:space="preserve"> hereto or such other form as may be approved by the Administrative Agent and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Left Lead Arranger</w:t>
      </w:r>
      <w:r>
        <w:rPr>
          <w:rFonts w:ascii="Times New Roman;Times;Serif" w:hAnsi="Times New Roman;Times;Serif"/>
          <w:b w:val="false"/>
          <w:i w:val="false"/>
          <w:caps w:val="false"/>
          <w:smallCaps w:val="false"/>
          <w:sz w:val="20"/>
        </w:rPr>
        <w:t>” means Wells Fargo Securities, LLC, in its capacity as a joint lead arranger and joint bookrunner.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Landlord Agreements</w:t>
      </w:r>
      <w:r>
        <w:rPr>
          <w:rFonts w:ascii="Times New Roman;Times;Serif" w:hAnsi="Times New Roman;Times;Serif"/>
          <w:b w:val="false"/>
          <w:i w:val="false"/>
          <w:caps w:val="false"/>
          <w:smallCaps w:val="false"/>
          <w:sz w:val="20"/>
        </w:rPr>
        <w:t>” means landlord waivers, subordination agreements or collateral access agreements made in favor of, and in such form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xml:space="preserve">” means, as to any Issuing Lender, the obligation of such Issuing Lender to issue Letters of Credit for the account of any Borrower or one or more of its Subsidiaries from time to time in an aggregate amount equal to $30,000,000; provided that, any such amount may be changed after the Closing Date in a written agreement between the Administrative Borrower and the Issuing Lenders (which such agreement shall be promptly delivered to the Administrative Agent upon execution);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Facility</w:t>
      </w:r>
      <w:r>
        <w:rPr>
          <w:rFonts w:ascii="Times New Roman;Times;Serif" w:hAnsi="Times New Roman;Times;Serif"/>
          <w:b w:val="false"/>
          <w:i w:val="false"/>
          <w:caps w:val="false"/>
          <w:smallCaps w:val="false"/>
          <w:sz w:val="20"/>
        </w:rPr>
        <w:t xml:space="preserve">” means the letter of credit facility established pursuant to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Obligations</w:t>
      </w:r>
      <w:r>
        <w:rPr>
          <w:rFonts w:ascii="Times New Roman;Times;Serif" w:hAnsi="Times New Roman;Times;Serif"/>
          <w:b w:val="false"/>
          <w:i w:val="false"/>
          <w:caps w:val="false"/>
          <w:smallCaps w:val="false"/>
          <w:sz w:val="20"/>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Participants</w:t>
      </w:r>
      <w:r>
        <w:rPr>
          <w:rFonts w:ascii="Times New Roman;Times;Serif" w:hAnsi="Times New Roman;Times;Serif"/>
          <w:b w:val="false"/>
          <w:i w:val="false"/>
          <w:caps w:val="false"/>
          <w:smallCaps w:val="false"/>
          <w:sz w:val="20"/>
        </w:rPr>
        <w:t>” means, with respect to any Letter of Credit, the collective reference to all the Revolving Credit Lenders other than the applicable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Sublimit</w:t>
      </w:r>
      <w:r>
        <w:rPr>
          <w:rFonts w:ascii="Times New Roman;Times;Serif" w:hAnsi="Times New Roman;Times;Serif"/>
          <w:b w:val="false"/>
          <w:i w:val="false"/>
          <w:caps w:val="false"/>
          <w:smallCaps w:val="false"/>
          <w:sz w:val="20"/>
        </w:rPr>
        <w:t>” means the lesser of (a) $30,000,000 and (b) the aggregate amount of the Revolving Credit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LCA Test Date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xml:space="preserve">” means each Person executing this Agreement as a Lender on the Closing Date and any other Person that shall have become a party to this Agreement as a Lender pursuant to an Assignment and Assumption or pursuant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other than any Person that ceases to be a party hereto as a Lender pursuant to an Assignment and Assumption. Unless the context otherwise requires, the term “Lenders” includes the Swingline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means, with respect to any Lender, the office of such Lender maintaining such Lender’s Extensions of Credit, which office may, to the extent the applicable Lender notifies the Administrative Agent in writing, include an office of any Affiliate of such Lender or any domestic or foreign branch of such Lender or Affiliate.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Application</w:t>
      </w:r>
      <w:r>
        <w:rPr>
          <w:rFonts w:ascii="Times New Roman;Times;Serif" w:hAnsi="Times New Roman;Times;Serif"/>
          <w:b w:val="false"/>
          <w:i w:val="false"/>
          <w:caps w:val="false"/>
          <w:smallCaps w:val="false"/>
          <w:sz w:val="20"/>
        </w:rPr>
        <w:t>” means an application requesting the applicable Issuing Lender to issue a Letter of Credit in the form specified by the applicable Issuing Lender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Documents</w:t>
      </w:r>
      <w:r>
        <w:rPr>
          <w:rFonts w:ascii="Times New Roman;Times;Serif" w:hAnsi="Times New Roman;Times;Serif"/>
          <w:b w:val="false"/>
          <w:i w:val="false"/>
          <w:caps w:val="false"/>
          <w:smallCaps w:val="false"/>
          <w:sz w:val="20"/>
        </w:rPr>
        <w:t>” means with respect to any Letter of Credit, such Letter of Credit, the Letter of Credit Application, a letter of credit agreement or reimbursement agreement and any other document, agreement and instrument required by the applicable Issuing Lender and relating to such Letter of Credit, in each case in the form specified by the applicable Issuing Lender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means the collective reference to letters of credit issued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the Existing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Acquisition</w:t>
      </w:r>
      <w:r>
        <w:rPr>
          <w:rFonts w:ascii="Times New Roman;Times;Serif" w:hAnsi="Times New Roman;Times;Serif"/>
          <w:b w:val="false"/>
          <w:i w:val="false"/>
          <w:caps w:val="false"/>
          <w:smallCaps w:val="false"/>
          <w:sz w:val="20"/>
        </w:rPr>
        <w:t>” means any Acquisition that (a) is not prohibited hereunder, and (b) is not conditioned on the availability of, or on obtaining, third-party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collectively, this Agreement, each Note, the Letter of Credit Documents, the Security Documents, the Guaranty Agreements, the Fee Letters, the Intercompany Subordination Agreement, each Joinder Agreement, each intercreditor agreement provided by any Surety in favor of the Administrative Agent,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collective reference to the Revolving Credit Loans</w:t>
      </w:r>
      <w:r>
        <w:rPr>
          <w:rFonts w:ascii="Times New Roman;Times;Serif" w:hAnsi="Times New Roman;Times;Serif"/>
          <w:b w:val="false"/>
          <w:i w:val="false"/>
          <w:caps w:val="false"/>
          <w:smallCaps w:val="false"/>
          <w:color w:val="0000FF"/>
          <w:sz w:val="20"/>
          <w:u w:val="single"/>
        </w:rPr>
        <w:t>, the Term Loan</w:t>
      </w:r>
      <w:r>
        <w:rPr>
          <w:rFonts w:ascii="Times New Roman;Times;Serif" w:hAnsi="Times New Roman;Times;Serif"/>
          <w:b w:val="false"/>
          <w:i w:val="false"/>
          <w:caps w:val="false"/>
          <w:smallCaps w:val="false"/>
          <w:sz w:val="20"/>
        </w:rPr>
        <w:t xml:space="preserve"> and the Swingline Loans, and “Loan” means any of such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Markel</w:t>
      </w:r>
      <w:r>
        <w:rPr>
          <w:rFonts w:ascii="Times New Roman;Times;Serif" w:hAnsi="Times New Roman;Times;Serif"/>
          <w:b w:val="false"/>
          <w:i w:val="false"/>
          <w:caps w:val="false"/>
          <w:smallCaps w:val="false"/>
          <w:sz w:val="20"/>
        </w:rPr>
        <w:t>” means Markel Insurance Company, SureTec Insurance Company, any Affiliates thereof writing bonds for which the GIFI Markel Indemnity is consideration, any co-sureties and reinsurers, and any respective successors and permitted assigns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Holdings and its Subsidiaries, (a) a material adverse effect on the operations, business, assets, properties, liabilities (actual or contingent) or condition (financial or otherwise) of such Persons, taken as a whole, (b) a material impairment of the ability of any such Person to perform its obligations under the Loan Documents to which it is a party, (c) a material impairment of the rights and remedies of the Administrative Agent or any Lender under any Loan Document or (d) an impairment of the legality, validity, binding effect or enforceability against any Credit Party of any Loan Document to which it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means (a) any contract or agreement, written or oral, of any Credit Party or any of its Subsidiaries involving monetary liability of or to any such Person in an amount in excess of $25,000,000 per annum or (b) any other contract or agreement, written or oral, of any Credit Party or any of its Subsidiaries, the breach, non-performance, cancellation or failure to renew of which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Real Property</w:t>
      </w:r>
      <w:r>
        <w:rPr>
          <w:rFonts w:ascii="Times New Roman;Times;Serif" w:hAnsi="Times New Roman;Times;Serif"/>
          <w:b w:val="false"/>
          <w:i w:val="false"/>
          <w:caps w:val="false"/>
          <w:smallCaps w:val="false"/>
          <w:sz w:val="20"/>
        </w:rPr>
        <w:t>” means any real property located in the United States that is owned in fee (or similarly, under Applicable Law) by a Credit Party that has a fair market value (as determined in good faith by Holdings) in excess of $5,000,000.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Collateral Amount</w:t>
      </w:r>
      <w:r>
        <w:rPr>
          <w:rFonts w:ascii="Times New Roman;Times;Serif" w:hAnsi="Times New Roman;Times;Serif"/>
          <w:b w:val="false"/>
          <w:i w:val="false"/>
          <w:caps w:val="false"/>
          <w:smallCaps w:val="false"/>
          <w:sz w:val="20"/>
        </w:rPr>
        <w:t xml:space="preserve">” means, at any time, (a) with respect to Cash Collateral consisting of cash or deposit account balances provided to reduce or eliminate Fronting Exposure during the existence of a Defaulting Lender, an amount equal to 103 % of the Fronting Exposure of each of the Issuing Lenders with respect to Letters of Credit issued by it and outstanding at such time, (b) with respect to Cash Collateral consisting of cash or deposit account balances provided in accordance with the provisions of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an amount equal to 103% of the aggregate outstanding amount of all L/C Obligations and (c) otherwise, an amount determined by the Administrative Agent and each of the applicable Issuing Lenders that is entitled to Cash Collateral hereunder at such time in their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Mortgaged Property</w:t>
      </w:r>
      <w:r>
        <w:rPr>
          <w:rFonts w:ascii="Times New Roman;Times;Serif" w:hAnsi="Times New Roman;Times;Serif"/>
          <w:b w:val="false"/>
          <w:i w:val="false"/>
          <w:caps w:val="false"/>
          <w:smallCaps w:val="false"/>
          <w:sz w:val="20"/>
        </w:rPr>
        <w:t>” means any Property owned by any Borrower or any Guarantor which is subject to the Liens existing and to exist under the terms of any Mortgage.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Mortgages</w:t>
      </w:r>
      <w:r>
        <w:rPr>
          <w:rFonts w:ascii="Times New Roman;Times;Serif" w:hAnsi="Times New Roman;Times;Serif"/>
          <w:b w:val="false"/>
          <w:i w:val="false"/>
          <w:caps w:val="false"/>
          <w:smallCaps w:val="false"/>
          <w:sz w:val="20"/>
        </w:rPr>
        <w:t>” means the collective reference to each mortgage, deed of trust or other real property security document, encumbering any real property now or hereafter owned by any Credit Party, in each case, in form and substance reasonably satisfactory to the Administrative Agent and executed by such Credit Party in favor of the Administrative Agent, for the ratable benefit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 to which any Credit Party or any ERISA Affiliate is making, or is accruing an obligation to make, or has accrued an obligation to make contributions within the preceding five (5) years, or to which any Credit Party or any ERISA Affiliate has any liability (contingent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 xml:space="preserve">Net Cash Proceeds” means, as applicable, (a) with respect to any Asset Disposition or Insurance and Condemnation Event, all cash and Cash Equivalents received by any Credit Party or any of its Subsidiaries therefrom (including any cash or Cash Equivalents received by way of deferred payment pursuant to, or by monetization of, a note receivable or otherwise, as and when received) less the sum of (i) all income taxes and other taxes assessed by, or reasonably estimated to be payable to, a Governmental Authority as a result of such transaction (provided that if such estimated taxes exceed the amount of actual taxes required to be paid in cash in respect of such Asset Disposition, the amount of such excess shall constitute Net Cash Proceeds), (ii) all reasonable and customary out-of-pocket fees and expenses incurred in connection with such transaction or event, (iii) the principal amount of, premium, if any, and interest on any Indebtedness (other than Indebtedness under the Loan Documents) secured by a Lien on the asset (or a portion thereof) disposed of, which Indebtedness is required to be repaid in connection with such transaction or event and (iv) all amounts that are set aside as a reserve (A) for adjustments in respect of the purchase price of such assets, (B) </w:t>
      </w:r>
      <w:r>
        <w:rPr>
          <w:rFonts w:ascii="Times New Roman;Times;Serif" w:hAnsi="Times New Roman;Times;Serif"/>
          <w:b w:val="false"/>
          <w:i w:val="false"/>
          <w:caps w:val="false"/>
          <w:smallCaps w:val="false"/>
          <w:color w:val="008000"/>
          <w:sz w:val="20"/>
          <w:u w:val="single"/>
        </w:rPr>
        <w:t xml:space="preserve">for any </w:t>
      </w:r>
      <w:r>
        <w:rPr>
          <w:rFonts w:ascii="Times New Roman;Times;Serif" w:hAnsi="Times New Roman;Times;Serif"/>
          <w:b w:val="false"/>
          <w:i w:val="false"/>
          <w:caps w:val="false"/>
          <w:smallCaps w:val="false"/>
          <w:color w:val="0000FF"/>
          <w:sz w:val="20"/>
          <w:u w:val="single"/>
        </w:rPr>
        <w:t>liabilities associated with such sale or casualty, to the extent such reserve is required by GAAP or as otherwise required pursuant to the documentation with respect to such Asset Disposition or Insurance and Condemnation Event, (C) for the payment of unassumed liabilities relating to the assets sold or otherwise disposed of at the time of, or within 30 days after, the date of such sale or other disposition and (D) for the payment of indemnification obligations; provided that, to the extent and at the time any such amounts are released from such reserve and received by such Credit Party or any of its Subsidiaries, such amounts shall constitute Net Cash Proceeds, and (b) with respect to any Debt Issuance, the gross cash proceeds received by any Credit Party or any of its Subsidiaries therefrom less all reasonable and customary out-of-pocket legal, underwriting and other fees and expenses incurred in connection therewith.</w:t>
      </w:r>
    </w:p>
    <w:p>
      <w:pPr>
        <w:pStyle w:val="TextBody"/>
        <w:bidi w:val="0"/>
        <w:spacing w:before="0" w:after="0"/>
        <w:ind w:left="0" w:right="0" w:firstLine="72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NEXT</w:t>
      </w:r>
      <w:r>
        <w:rPr>
          <w:rFonts w:ascii="Times New Roman;Times;Serif" w:hAnsi="Times New Roman;Times;Serif"/>
          <w:b w:val="false"/>
          <w:i w:val="false"/>
          <w:caps w:val="false"/>
          <w:smallCaps w:val="false"/>
          <w:sz w:val="20"/>
        </w:rPr>
        <w:t>” means NEXT Electric, LLC, a Subsidiary of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means any Lender that does not approve any consent, waiver, amendment, modification or termination that (a) requires the approval of all Lenders or all affected Lenders in accordance with the terms of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and (b) has been approved by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means, at any time, each Lender that is not a Defaulting Lender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Non-Guarantor Subsidiary</w:t>
      </w:r>
      <w:r>
        <w:rPr>
          <w:rFonts w:ascii="Times New Roman;Times;Serif" w:hAnsi="Times New Roman;Times;Serif"/>
          <w:b w:val="false"/>
          <w:i w:val="false"/>
          <w:caps w:val="false"/>
          <w:smallCaps w:val="false"/>
          <w:sz w:val="20"/>
        </w:rPr>
        <w:t>” means any Subsidiary of Holdings (other than the Borrowers) that is not a Subsidiary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Non-Wholly-Owned Subsidiary</w:t>
      </w:r>
      <w:r>
        <w:rPr>
          <w:rFonts w:ascii="Times New Roman;Times;Serif" w:hAnsi="Times New Roman;Times;Serif"/>
          <w:b w:val="false"/>
          <w:i w:val="false"/>
          <w:caps w:val="false"/>
          <w:smallCaps w:val="false"/>
          <w:sz w:val="20"/>
        </w:rPr>
        <w:t>” means any Subsidiary of the Borrowers that is not Wholly-Owned.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means the collective reference to the Revolving Credit Notes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Swingline Notes </w:t>
      </w:r>
      <w:r>
        <w:rPr>
          <w:rFonts w:ascii="Times New Roman;Times;Serif" w:hAnsi="Times New Roman;Times;Serif"/>
          <w:b w:val="false"/>
          <w:i w:val="false"/>
          <w:caps w:val="false"/>
          <w:smallCaps w:val="false"/>
          <w:color w:val="0000FF"/>
          <w:sz w:val="20"/>
          <w:u w:val="single"/>
        </w:rPr>
        <w:t>and the Term Loan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Account Designation</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Conversion/Continuation</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Prepayment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in each case, whether now in existence or hereafter arising: (a) the principal of and interest on (including interest accruing after the filing of any bankruptcy or similar petition) the Loans, (b) the L/C Obligations and (c) all other fees and commissions (including attorneys’ fees), charges, indebtedness, loans, liabilities, financial accommodations, obligations, covenants and duties owing by the Credit Parties to the Lenders, the Issuing Lenders or the Administrative Agent, in each case under any Loan Document, with respect to any Loan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of any proceeding under any Debtor Relief Laws, naming such Person as the debtor in such proceeding, regardless of whether such interest and fees are allowed claims in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U.S. Department of the Treasury’s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any corporation, the certificate or articles of incorporation and the bylaws (or equivalent or comparable constitutive documents); (b) with respect to any limited liability company, the certificate or articles of formation or organization and operating agreement or limited liability company agreement (or equivalent or comparable documents);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means the regulations administered and enforced, together with any related public guidance issued, by the United States Treasury Department under U.S. Executive Order 14105 of August 9, 2023, or any similar law or regulation, and as codified at 31 C.F.R. § 850.101 et seq.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Rate</w:t>
      </w:r>
      <w:r>
        <w:rPr>
          <w:rFonts w:ascii="Times New Roman;Times;Serif" w:hAnsi="Times New Roman;Times;Serif"/>
          <w:b w:val="false"/>
          <w:i w:val="false"/>
          <w:caps w:val="false"/>
          <w:smallCaps w:val="false"/>
          <w:sz w:val="20"/>
        </w:rPr>
        <w:t>” means, for any day, the greater of (a) the Federal Funds Rate and (b) an overnight rate determined by the Administrative Agent in accordance with banking industry rules on interbank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11.9(d)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11.9(d)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Pass-Through Tax Liabilities</w:t>
      </w:r>
      <w:r>
        <w:rPr>
          <w:rFonts w:ascii="Times New Roman;Times;Serif" w:hAnsi="Times New Roman;Times;Serif"/>
          <w:b w:val="false"/>
          <w:i w:val="false"/>
          <w:caps w:val="false"/>
          <w:smallCaps w:val="false"/>
          <w:sz w:val="20"/>
        </w:rPr>
        <w:t>” means the amount of state and federal income tax paid or to be paid by the owner of any Equity Interests in a Borrower on taxable income earned by a Borrower and attributable to such owner of Equity Interests as a result of such Borrower’s “pass-through” tax status, assuming the highest marginal income tax rate for federal and state (for the state or states in which any owner of Equity Interests is liable for income taxes with respect to such income) income tax purposes, after taking into account any deduction for state income taxes in calculating the federal income tax liability and all other deductions, credits, deferrals and other reductions available to such owners of Equity Interests from or through such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means the USA PATRIOT Act (Title III of Pub. L. 107-56 (signed into law October 26, 2001)).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in Full</w:t>
      </w:r>
      <w:r>
        <w:rPr>
          <w:rFonts w:ascii="Times New Roman;Times;Serif" w:hAnsi="Times New Roman;Times;Serif"/>
          <w:b w:val="false"/>
          <w:i w:val="false"/>
          <w:caps w:val="false"/>
          <w:smallCaps w:val="false"/>
          <w:sz w:val="20"/>
        </w:rPr>
        <w:t>” means (a) the Commitments have expired or been terminated, (b) all of the Obligations (other than contingent indemnification obligations not then due) have been paid and satisfied in full in cash, and (c) all Letters of Credit shall have expired or terminated (or are Cash Collateralized or otherwise secured to the satisfaction of the Issuing Lenders) and all L/C Obligations shall have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or any successor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Plan</w:t>
      </w:r>
      <w:r>
        <w:rPr>
          <w:rFonts w:ascii="Times New Roman;Times;Serif" w:hAnsi="Times New Roman;Times;Serif"/>
          <w:b w:val="false"/>
          <w:i w:val="false"/>
          <w:caps w:val="false"/>
          <w:smallCaps w:val="false"/>
          <w:sz w:val="20"/>
        </w:rPr>
        <w:t>” means any Employee Benefit Plan, other than a Multiemployer Plan, which is subject to the provisions of Title IV of ERISA or Section 412 of the Code and which (a) is maintained, funded or administered for the employees of any Credit Party or any ERISA Affiliate, (b) has at any time within the preceding five (5) years been maintained, funded or administered for the employees of any Credit Party or any current or former ERISA Affiliates or (c) any Credit Party or any ERISA Affiliate has any liability (contingent or otherwise).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xml:space="preserve">” means any Acquisition (other than a Real Property Acquisition) that meets all of the following requirements, which in the case of a Limited Condition Acquisition shall be subject to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less than fifteen (15) Business Days prior to the proposed closing date of such Acquisition (or such shorter period as may be agreed to by the Administrative Agent), the Administrative Borrower shall have delivered written notice of such Acquisition to the Administrative Agent and the Lenders, which notice shall include the proposed closing date of such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stockholders and/or board of directors or other similar governing body of the Person to be acquired shall have approved such Acquisition (and, if requested, the Administrative Agent shall have received evidence, in form and substance reasonably satisfactory to the Administrative Agent, of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Person or business to be acquired shall be in a line of business permitted pursuant to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or, in the case of an Acquisition of assets, the assets acquired are useful in the business of the Borrowers and their Subsidiaries as conducted immediately prior to such Acquisition or permitted pursuant to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Acquisition is a merger or consolidation, a Borrower or a Subsidiary of a Borrower shall be the surviving Person, and such surviving Person shall become, if required, a Subsidiary Guarantor or Subsidiary Borrower in accordance with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and no Change in Control shall have been effected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later than five (5) Business Days prior to the proposed closing date of such Acquisition (or such shorter period as may be agreed to by the Administrative Agent), the Administrative Borrower shall have delivered to the Administrative Agent a Compliance Certificate demonstrating, in form and substance reasonably satisfactory to the Administrative Agent, that the Borrowers are in compliance on a Pro Forma Basis (based on the most recently completed Reference Period) with each covenant contained in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later than five (5) Business Days prior to the proposed closing date of such Acquisition (or such shorter period as may be agreed to by the Administrative Agent) the Administrative Borrower, to the extent requested by the Administrative Agent, (i) shall have delivered to the Administrative Agent promptly upon the finalization thereof copies of substantially final Permitted Acquisition Documents, which shall be in form and substance reasonably satisfactory to the Administrative Agent, and (ii) shall have delivered to, or made available for inspection by, the Administrative Agent substantially complete Permitted Acquisition Diligence Information, which shall be in form and substance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Default or Event of Default shall have occurred and be continuing both before and after giving effect to such Acquisition and any Indebtedness incurred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Borrowers shall demonstrate, in form and substance reasonably satisfactory to the Administrative Agent, that the entity to be acquired had positive Consolidated EBITDA for the most recently completed Reference Period prior to the proposed closing date of such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such Acquisition is permitted under </w:t>
      </w:r>
      <w:r>
        <w:rPr>
          <w:rFonts w:ascii="Times New Roman;Times;Serif" w:hAnsi="Times New Roman;Times;Serif"/>
          <w:b w:val="false"/>
          <w:i w:val="false"/>
          <w:caps w:val="false"/>
          <w:smallCaps w:val="false"/>
          <w:sz w:val="20"/>
          <w:u w:val="single"/>
        </w:rPr>
        <w:t>Section 8.3 (p)</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and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Administrative Borrower shall have (i) delivered to the Administrative Agent a certificate of a Responsible Officer certifying that all of the requirements set forth above have been satisfied or will be satisfied on or prior to the consummation of such purchase or other Acquisition and (ii) provided such other documents and other information as may be reasonably requested by the Administrative Agent or the Required Lenders (through the Administrative Agent) in connection with such purchase or other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 Consideration</w:t>
      </w:r>
      <w:r>
        <w:rPr>
          <w:rFonts w:ascii="Times New Roman;Times;Serif" w:hAnsi="Times New Roman;Times;Serif"/>
          <w:b w:val="false"/>
          <w:i w:val="false"/>
          <w:caps w:val="false"/>
          <w:smallCaps w:val="false"/>
          <w:sz w:val="20"/>
        </w:rPr>
        <w:t>” means the aggregate amount of the purchase price, including, but not limited to, any assumed debt, Earn-outs (valued at the maximum amount payable thereunder), deferred payments, or Equity Interests of any Borrower, to be paid on a singular basis in connection with any applicable Permitted Acquisition as set forth in the applicable Permitted Acquisition Documents executed by the Borrowers or any of their Subsidiaries in order to consummate the applicable Permitted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 Diligence Information</w:t>
      </w:r>
      <w:r>
        <w:rPr>
          <w:rFonts w:ascii="Times New Roman;Times;Serif" w:hAnsi="Times New Roman;Times;Serif"/>
          <w:b w:val="false"/>
          <w:i w:val="false"/>
          <w:caps w:val="false"/>
          <w:smallCaps w:val="false"/>
          <w:sz w:val="20"/>
        </w:rPr>
        <w:t>” means with respect to any applicable Acquisition, to the extent applicable, all material financial information, all material contracts, all material customer lists, all material supply agreements, and all other material information, in each case, reasonably requested to be delivered to the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 it being understood and agreed that the Administrative Borrower shall notify the Administrative Agent in the event that any information is excluded or not disclosed by reason of this parenthetical).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 Documents</w:t>
      </w:r>
      <w:r>
        <w:rPr>
          <w:rFonts w:ascii="Times New Roman;Times;Serif" w:hAnsi="Times New Roman;Times;Serif"/>
          <w:b w:val="false"/>
          <w:i w:val="false"/>
          <w:caps w:val="false"/>
          <w:smallCaps w:val="false"/>
          <w:sz w:val="20"/>
        </w:rPr>
        <w:t>” means with respect to any Acquisition proposed by the Borrowers or any Subsidiary Guarantor, final copies or substantially final drafts if not executed at the required time of delivery of the purchase agreement, sale agreement, merger agreement or other agreement evidencing such Acquisition, including all schedules, exhibits and annexes thereto and each other material document executed, delivered, contemplated by or prepared in connection therewith and any amendment, modification or supplement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Dispositions</w:t>
      </w:r>
      <w:r>
        <w:rPr>
          <w:rFonts w:ascii="Times New Roman;Times;Serif" w:hAnsi="Times New Roman;Times;Serif"/>
          <w:b w:val="false"/>
          <w:i w:val="false"/>
          <w:caps w:val="false"/>
          <w:smallCaps w:val="false"/>
          <w:sz w:val="20"/>
        </w:rPr>
        <w:t xml:space="preserve">” means Asset Dispositions permitted under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Holdback Indebtedness</w:t>
      </w:r>
      <w:r>
        <w:rPr>
          <w:rFonts w:ascii="Times New Roman;Times;Serif" w:hAnsi="Times New Roman;Times;Serif"/>
          <w:b w:val="false"/>
          <w:i w:val="false"/>
          <w:caps w:val="false"/>
          <w:smallCaps w:val="false"/>
          <w:sz w:val="20"/>
        </w:rPr>
        <w:t>” shall mean unsecured liabilities of a Credit Party, arising under an Acquisition agreement to pay the seller on a deferred basis the residual value of any portion of the purchase price that was held back in the agreement, in a fixed amount over a defined period, in order to support the seller’s indemnification or other obligations over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w:t>
      </w:r>
      <w:r>
        <w:rPr>
          <w:rFonts w:ascii="Times New Roman;Times;Serif" w:hAnsi="Times New Roman;Times;Serif"/>
          <w:b w:val="false"/>
          <w:i w:val="false"/>
          <w:caps w:val="false"/>
          <w:smallCaps w:val="false"/>
          <w:sz w:val="20"/>
        </w:rPr>
        <w:t>” means Tontine.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xml:space="preserve">” means Indebtedness permitted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Insurance Premium Financing Indebtedness</w:t>
      </w:r>
      <w:r>
        <w:rPr>
          <w:rFonts w:ascii="Times New Roman;Times;Serif" w:hAnsi="Times New Roman;Times;Serif"/>
          <w:b w:val="false"/>
          <w:i w:val="false"/>
          <w:caps w:val="false"/>
          <w:smallCaps w:val="false"/>
          <w:sz w:val="20"/>
        </w:rPr>
        <w:t>” means Indebtedness arising under or in connection with the financing by any Credit Party of any insurance premiums, in which the insurance premium financier (the “</w:t>
      </w:r>
      <w:r>
        <w:rPr>
          <w:rFonts w:ascii="Times New Roman;Times;Serif" w:hAnsi="Times New Roman;Times;Serif"/>
          <w:b w:val="false"/>
          <w:i w:val="false"/>
          <w:caps w:val="false"/>
          <w:smallCaps w:val="false"/>
          <w:sz w:val="20"/>
          <w:u w:val="single"/>
        </w:rPr>
        <w:t>Insurance Premium Lender</w:t>
      </w:r>
      <w:r>
        <w:rPr>
          <w:rFonts w:ascii="Times New Roman;Times;Serif" w:hAnsi="Times New Roman;Times;Serif"/>
          <w:b w:val="false"/>
          <w:i w:val="false"/>
          <w:caps w:val="false"/>
          <w:smallCaps w:val="false"/>
          <w:sz w:val="20"/>
        </w:rPr>
        <w:t>”) has agreed in writing for the benefit of Administrative Agent that (i) the Insurance Premium Lender shall provide Administrative Agent with thirty (30) days prior written notice of any intended cancellation of a financed insurance policy (such notice to include a brief description of the grounds for cancellation and the actions necessary to cure any breach or default), (ii) Administrative Agent shall have the right, but not the obligation, to cure any breach or default by the Credit Parties under the insurance premium financing arrangement (the “</w:t>
      </w:r>
      <w:r>
        <w:rPr>
          <w:rFonts w:ascii="Times New Roman;Times;Serif" w:hAnsi="Times New Roman;Times;Serif"/>
          <w:b w:val="false"/>
          <w:i w:val="false"/>
          <w:caps w:val="false"/>
          <w:smallCaps w:val="false"/>
          <w:sz w:val="20"/>
          <w:u w:val="single"/>
        </w:rPr>
        <w:t>Insurance Premium Loan Documents</w:t>
      </w:r>
      <w:r>
        <w:rPr>
          <w:rFonts w:ascii="Times New Roman;Times;Serif" w:hAnsi="Times New Roman;Times;Serif"/>
          <w:b w:val="false"/>
          <w:i w:val="false"/>
          <w:caps w:val="false"/>
          <w:smallCaps w:val="false"/>
          <w:sz w:val="20"/>
        </w:rPr>
        <w:t>”), (iii) any Lien of such Insurance Premium Lender is at all times junior in priority to the Liens in favor of Administrative Agent (except with respect to unearned premiums or otherwise to the extent such Liens have priority under applicable law), and (iv) if the Insurance Premium Lender sells, assigns, or otherwise transfers the Insurance Premium Loan Documents or the loan represented by the Insurance Premium Loan Documents, whether in whole or in part, the Insurance Premium Lender shall require that any such purchaser, assignee, or transferee agrees (in writing) to be bound by the foregoing terms and conditions.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Intercompany Advances</w:t>
      </w:r>
      <w:r>
        <w:rPr>
          <w:rFonts w:ascii="Times New Roman;Times;Serif" w:hAnsi="Times New Roman;Times;Serif"/>
          <w:b w:val="false"/>
          <w:i w:val="false"/>
          <w:caps w:val="false"/>
          <w:smallCaps w:val="false"/>
          <w:sz w:val="20"/>
        </w:rPr>
        <w:t>” means loans made by (a) a Credit Party to another Credit Party, (b) a Subsidiary of a Credit Party that is not a Credit Party to another Subsidiary of a Credit Party that is not a Credit Party, (c) a Subsidiary of a Credit Party that is not a Credit Party to a Credit Party, so long as the parties thereto are party to the Intercompany Subordination Agreement, and (d) a Credit Party to a Subsidiary of a Credit Party that is not a Credit Party so long as (i) the aggregate amount of all such loans (by type, not by the borrower) does not exceed $500,000 outstanding at any one time and (ii) at the time of the making of such loan, no Default or Event of Default has occurred and is continuing or would result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xml:space="preserve">” means Investments permitted under </w:t>
      </w:r>
      <w:r>
        <w:rPr>
          <w:rFonts w:ascii="Times New Roman;Times;Serif" w:hAnsi="Times New Roman;Times;Serif"/>
          <w:b w:val="false"/>
          <w:i w:val="false"/>
          <w:caps w:val="false"/>
          <w:smallCaps w:val="false"/>
          <w:sz w:val="20"/>
          <w:u w:val="single"/>
        </w:rPr>
        <w:t>Section 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means the Liens permitted under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Protest</w:t>
      </w:r>
      <w:r>
        <w:rPr>
          <w:rFonts w:ascii="Times New Roman;Times;Serif" w:hAnsi="Times New Roman;Times;Serif"/>
          <w:b w:val="false"/>
          <w:i w:val="false"/>
          <w:caps w:val="false"/>
          <w:smallCaps w:val="false"/>
          <w:sz w:val="20"/>
        </w:rPr>
        <w:t xml:space="preserve">” means the right of any Credit Party or any of its Subsidiaries to protest any Lien (other than any Lien that secures the Obligations), taxes (other than payroll taxes or taxes that are the subject of a United States federal tax lien), or rental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a reserve with respect to such obligation is established on such Credit Party’s or its Subsidiaries’ books and records in such amount as is required under GAAP, (b) any such protest is instituted promptly and prosecuted diligently by such Credit Party or its Subsidiary, as applicable, in good faith, and (c) Administrative Agent is satisfied that, while any such protest is pending, there will be no impairment of the enforceability, validity, or priority of any of Administrative Agent’s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Purchase Money Indebtedness</w:t>
      </w:r>
      <w:r>
        <w:rPr>
          <w:rFonts w:ascii="Times New Roman;Times;Serif" w:hAnsi="Times New Roman;Times;Serif"/>
          <w:b w:val="false"/>
          <w:i w:val="false"/>
          <w:caps w:val="false"/>
          <w:smallCaps w:val="false"/>
          <w:sz w:val="20"/>
        </w:rPr>
        <w:t>” means, as of any date of determination, Indebtedness (other than the Obligations, but including Capital Lease Obligations), incurred at the time of, or within 20 days after, the acquisition of any fixed assets for the purpose of financing all or any part of the acquisition cost thereof, in an aggregate principal amount outstanding at any one time not in excess of $20,000,000.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Refinancing Indebtedness</w:t>
      </w:r>
      <w:r>
        <w:rPr>
          <w:rFonts w:ascii="Times New Roman;Times;Serif" w:hAnsi="Times New Roman;Times;Serif"/>
          <w:b w:val="false"/>
          <w:i w:val="false"/>
          <w:caps w:val="false"/>
          <w:smallCaps w:val="false"/>
          <w:sz w:val="20"/>
        </w:rPr>
        <w:t>” means any Indebtedness (the “</w:t>
      </w:r>
      <w:r>
        <w:rPr>
          <w:rFonts w:ascii="Times New Roman;Times;Serif" w:hAnsi="Times New Roman;Times;Serif"/>
          <w:b w:val="false"/>
          <w:i w:val="false"/>
          <w:caps w:val="false"/>
          <w:smallCaps w:val="false"/>
          <w:sz w:val="20"/>
          <w:u w:val="single"/>
        </w:rPr>
        <w:t>Refinancing Indebtedness</w:t>
      </w:r>
      <w:r>
        <w:rPr>
          <w:rFonts w:ascii="Times New Roman;Times;Serif" w:hAnsi="Times New Roman;Times;Serif"/>
          <w:b w:val="false"/>
          <w:i w:val="false"/>
          <w:caps w:val="false"/>
          <w:smallCaps w:val="false"/>
          <w:sz w:val="20"/>
        </w:rPr>
        <w:t>”), the proceeds of which are used to refinance, refund, renew, extend or replace outstanding Indebtedness (such outstanding Indebtedness, the “</w:t>
      </w:r>
      <w:r>
        <w:rPr>
          <w:rFonts w:ascii="Times New Roman;Times;Serif" w:hAnsi="Times New Roman;Times;Serif"/>
          <w:b w:val="false"/>
          <w:i w:val="false"/>
          <w:caps w:val="false"/>
          <w:smallCaps w:val="false"/>
          <w:sz w:val="20"/>
          <w:u w:val="single"/>
        </w:rPr>
        <w:t>Refinanced Indebtedness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principal amount (or accreted value, if applicable) of such Refinancing Indebtedness (including any unused commitments thereunder) is not greater than the principal amount (or accreted value, if applicable) of the Refinanced Indebtedness at the time of such refinancing, refunding, renewal, extension or replacement, except by an amount equal to any original issue discount thereon and the amount of unpaid accrued interest and premium thereon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other reasonable amounts paid, and fees and expenses reasonably incurred, in connection with such refinancing, refunding, renewal, extension or replacement, and by an amount equal to any existing commitments thereunder that have not been utilized at the time of such refinancing, refunding, renewal, extension or replacement; (b) the final stated maturity and Weighted Average Life to Maturity of such Refinancing Indebtedness shall not be prior to or shorter than that applicable to the Refinanced Indebtedness and such Refinancing Indebtedness does not require any scheduled payment of principal, mandatory repayment, redemption or repurchase that is more favorable to the holders of the Refinancing Indebtedness than the corresponding terms (if any) of the Refinanced Indebtedness (including by virtue of such Refinancing Indebtedness participating on a greater basis in any mandatory repayment, redemption or repurchase as compared to the Refinanced Indebtedness, but excluding any scheduled payment of principal, mandatory repayment, redemption or repurchase occurring on or after the date that is 91 days after the latest scheduled maturity date of the Loans and Commitments); (c) such Refinancing Indebtedness shall not be secured by (i) Liens on assets other than assets securing the Refinanced Indebtedness at the time of such refinancing, refunding, renewal, extension or replacement or (ii) Liens having a higher priority than the Liens, if any, securing the Refinanced Indebtedness at the time of such refinancing, refunding, renewal, extension or replacement; (d) such Refinancing Indebtedness shall not be guaranteed by or otherwise recourse to any Person other than the Person(s) to whom the Refinanced Indebtedness is recourse or by whom it is guaranteed, in each case as of the time of such refinancing, refunding, renewal, extension or replacement; (e) to the extent such Refinanced Indebtedness is subordinated in right of payment to the Obligations (or the Liens securing such Indebtedness were originally contractually subordinated to the Liens securing the Collateral pursuant to the Security Documents), such refinancing, refunding, renewal, extension or replacement is subordinated in right of payment to the Obligations (or the Liens securing such Indebtedness shall be subordinated to the Liens securing the Collateral pursuant to the Security Documents) on terms at least as favorable to the Lenders as those contained in the documentation governing such Refinanced Indebtedness or otherwise reasonably acceptable to the Administrative Agent; (f) the covenants with respect to such Refinancing Indebtedness, when taken as a whole, are not materially more restrictive to the Borrowers and their Subsidiaries than those in the Refinanced Indebtedness (taken as a whole); (g) in the event that the Refinancing Indebtedness is unsecured Indebtedness (including unsecured Subordinated Indebtedness) such Refinancing Indebtedness does not include cross-defaults (but may include cross-payment defaults and cross-defaults at the final stated maturity thereof and cross-acceleration); and (h) no Default or Event of Default shall have occurred and be continuing at the time of, or would result from, such refinancing, refunding, renewal, extension or replacement.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means Debt Domain, Intralinks, SyndTrak or a substantially similar electronic transmission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Basis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calculating Consolidated EBITDA for any period during which one or more Specified Transactions occurs, that (i) such Specified Transaction (and all other Specified Transactions that have been consummated during the applicable period) shall be deemed to have occurred as of the first day of the applicable period of measurement, (ii) there shall be included in determining Consolidated EBITDA for such period, without duplication, the Acquired EBITDA of any Person or business, or attributable to any property or asset, acquired by any Borrower or any Subsidiary during such period (but not the Acquired EBITDA of any related Person or business or any Acquired EBITDA attributable to any assets or property, in each case to the extent not so acquired) in connection with a Permitted Acquisition to the extent not subsequently sold, transferred, abandoned or otherwise disposed of by such Borrower or such Subsidiary during such period, based on the actual Acquired EBITDA of such acquired entity or business for such period (including the portion thereof occurring prior to such acquisition) and (iii) there shall be excluded in determining Consolidated EBITDA for such period, without duplication, the Disposed EBITDA of any Person or business, or attributable to any property or asset, disposed of by any Borrower or any Subsidiary thereof during such period in connection with a Specified Disposition or discontinuation of operations, based on the Disposed EBITDA of such disposed entity or business or discontinued operations for such period (including the portion thereof occurring prior to such disposition or discontinuation);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amounts shall be without duplication of any adjustments that are already included in the calculation of Consolidated EBITDA; and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any Borrower or any Subsidiary thereof incurs (including by assumption or guarantees) or repays (including by redemption, repayment, retirement, discharge, defeasance or extinguishment) any Indebtedness included in the calculations of any financial ratio or test (in each case, other than Indebtedness incurred or repaid under any revolving credit facility in the ordinary course of business for working capital purposes), (i) during the applicable measurement period or (ii) subsequent to the end of the applicable measurement period and prior to or simultaneously with the event for which the calculation of any such ratio is made, then such financial ratio or test shall be calculated giving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effect to such incurrence or repayment of Indebtedness, to the extent required, as if the same had occurred on the first day of the applicable measurement period and any such Indebtedness that is incurred (including by assumption or guarantee) that has a floating or formula rate of interest shall have an implied rate of interest for the applicable period determined by utilizing the rate which is or would be in effect with respect to such Indebtedness as of the relevant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any right or interest in or to property of any kind whatsoever, whether real, personal or mixed and whether tangible or intangible, including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 xml:space="preserve">PTE” means a prohibited transaction class exemption issued by the U.S. Department of Labor, as any such exemption may be amended from time to time.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Lenders</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Equity Interests</w:t>
      </w:r>
      <w:r>
        <w:rPr>
          <w:rFonts w:ascii="Times New Roman;Times;Serif" w:hAnsi="Times New Roman;Times;Serif"/>
          <w:b w:val="false"/>
          <w:i w:val="false"/>
          <w:caps w:val="false"/>
          <w:smallCaps w:val="false"/>
          <w:sz w:val="20"/>
        </w:rPr>
        <w:t>” means any Equity Interests that are not Disqualified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Acquisition</w:t>
      </w:r>
      <w:r>
        <w:rPr>
          <w:rFonts w:ascii="Times New Roman;Times;Serif" w:hAnsi="Times New Roman;Times;Serif"/>
          <w:b w:val="false"/>
          <w:i w:val="false"/>
          <w:caps w:val="false"/>
          <w:smallCaps w:val="false"/>
          <w:sz w:val="20"/>
        </w:rPr>
        <w:t>” means an Acquisition of real property from a Person whose only asset is such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 the Administrative Agent, (b) any Lender, (c) any Issuing Lender, or (d) Swingline Lender,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means, as of any date of determination, the period of four (4) consecutive fiscal quarters ended on or immediately prior to such date for which financial statements of Holdings have been delivered to the Administrative Agent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Indebtedness</w:t>
      </w:r>
      <w:r>
        <w:rPr>
          <w:rFonts w:ascii="Times New Roman;Times;Serif" w:hAnsi="Times New Roman;Times;Serif"/>
          <w:b w:val="false"/>
          <w:i w:val="false"/>
          <w:caps w:val="false"/>
          <w:smallCaps w:val="false"/>
          <w:sz w:val="20"/>
        </w:rPr>
        <w:t>” has the meaning set forth in the definition of Permitted Refinancing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11.9(c)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xml:space="preserve">” means the obligations of the Borrowers to reimburse any Issuing Lender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for amounts drawn under Letters of Credit issued by such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FRB or the Federal Reserve Bank of New York, or a committee officially endorsed or convened by the FRB or the Federal Reserve Bank of New York,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10.6(b).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at any time, Lenders having Total Credit Exposure representing more than fifty percent (50%) of the Total Credit Exposure of all Lenders. The Total Credit Exposure of any Defaulting Lender shall be disregarded in determining Required Lenders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Revolving Credit Lenders</w:t>
      </w:r>
      <w:r>
        <w:rPr>
          <w:rFonts w:ascii="Times New Roman;Times;Serif" w:hAnsi="Times New Roman;Times;Serif"/>
          <w:b w:val="false"/>
          <w:i w:val="false"/>
          <w:caps w:val="false"/>
          <w:smallCaps w:val="false"/>
          <w:sz w:val="20"/>
        </w:rPr>
        <w:t>” means, at any time, Revolving Credit Lenders having unused Revolving Credit Commitments and Revolving Credit Exposure representing more than fifty percent (50%) of the aggregate unused Revolving Credit Commitments and Revolving Credit Exposure of all Revolving Credit Lenders. The unused Revolving Credit Commitment of, and Revolving Credit Exposure held or deemed held by, any Defaulting Lender shall be disregarded in determining Required Revolving Credit Lenders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10.6(a)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xml:space="preserve">” means, as to any Person, the chief executive officer, president, chief financial officer, controller, treasurer or assistant treasurer of such Person or any other officer of such Person designated in writing by the Administrative Borrower or such Person and reasonably acceptable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requested thereby, the Administrative Agent shall have received a certificate of such Person certifying as to the incumbency and genuineness of the signature of each such officer. Any document delivered hereunder or under any other Loan Document that is signed by a Responsible Officer of a Person shall be conclusively presumed to have been authorized by all necessary corporate, limited liability company, partnership and/or other action on the part of such Person and such Responsible Officer shall be conclusively presumed to have acted on behalf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any dividend on, or the making of any payment or other distribution on account of, or the purchase, redemption, retirement or other acquisition (directly or indirectly) of, or the setting apart assets for a sinking or other analogous fund for the purchase, redemption, retirement or other acquisition of, any class of Equity Interests of any Credit Party or any Subsidiary thereof, the making of any payment with respect to any earn-out or similar obligation incurred in connection with an Acquisition permitted hereunder or the making of any distribution of cash, property or assets to the holders of any Equity Interests of any Credit Party or any Subsidiary thereof on account of such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Commitment</w:t>
      </w:r>
      <w:r>
        <w:rPr>
          <w:rFonts w:ascii="Times New Roman;Times;Serif" w:hAnsi="Times New Roman;Times;Serif"/>
          <w:b w:val="false"/>
          <w:i w:val="false"/>
          <w:caps w:val="false"/>
          <w:smallCaps w:val="false"/>
          <w:sz w:val="20"/>
        </w:rPr>
        <w:t xml:space="preserve">” means (a) as to any Revolving Credit Lender, the obligation of such Revolving Credit Lender to make Revolving Credit Loans to, and to purchase participations in L/C Obligations and Swingline Loans for the account of, the Borrowers hereunder in an aggregate principal amount at any time outstanding not to exceed the amount set forth opposite such Revolving Credit Lender’s name on the Register, as such amount may be modified at any time or from time to time pursuant to the terms hereof (including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and (b) as to all Revolving Credit Lenders, the aggregate commitment of all Revolving Credit Lenders to make Revolving Credit Loans, as such amount may be modified at any time or from time to time pursuant to the terms hereof (including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The aggregate Revolving Credit Commitment of all the Revolving Credit Lenders on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2 Effective</w:t>
      </w:r>
      <w:r>
        <w:rPr>
          <w:rFonts w:ascii="Times New Roman;Times;Serif" w:hAnsi="Times New Roman;Times;Serif"/>
          <w:b w:val="false"/>
          <w:i w:val="false"/>
          <w:caps w:val="false"/>
          <w:smallCaps w:val="false"/>
          <w:sz w:val="20"/>
        </w:rPr>
        <w:t xml:space="preserve"> Date shall be $</w:t>
      </w:r>
      <w:r>
        <w:rPr>
          <w:rFonts w:ascii="Times New Roman;Times;Serif" w:hAnsi="Times New Roman;Times;Serif"/>
          <w:b w:val="false"/>
          <w:i w:val="false"/>
          <w:caps w:val="false"/>
          <w:smallCaps w:val="false"/>
          <w:strike/>
          <w:color w:val="FF0000"/>
          <w:sz w:val="20"/>
        </w:rPr>
        <w:t>300,000,000</w:t>
      </w:r>
      <w:r>
        <w:rPr>
          <w:rFonts w:ascii="Times New Roman;Times;Serif" w:hAnsi="Times New Roman;Times;Serif"/>
          <w:b w:val="false"/>
          <w:i w:val="false"/>
          <w:caps w:val="false"/>
          <w:smallCaps w:val="false"/>
          <w:color w:val="0000FF"/>
          <w:sz w:val="20"/>
          <w:u w:val="single"/>
        </w:rPr>
        <w:t>500,000,000</w:t>
      </w:r>
      <w:r>
        <w:rPr>
          <w:rFonts w:ascii="Times New Roman;Times;Serif" w:hAnsi="Times New Roman;Times;Serif"/>
          <w:b w:val="false"/>
          <w:i w:val="false"/>
          <w:caps w:val="false"/>
          <w:smallCaps w:val="false"/>
          <w:sz w:val="20"/>
        </w:rPr>
        <w:t xml:space="preserve">. The Revolving Credit Commitment of each Revolving Credit Lender on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2 Effective</w:t>
      </w:r>
      <w:r>
        <w:rPr>
          <w:rFonts w:ascii="Times New Roman;Times;Serif" w:hAnsi="Times New Roman;Times;Serif"/>
          <w:b w:val="false"/>
          <w:i w:val="false"/>
          <w:caps w:val="false"/>
          <w:smallCaps w:val="false"/>
          <w:sz w:val="20"/>
        </w:rPr>
        <w:t xml:space="preserve"> Date is set forth opposite the name of such Lender on </w:t>
      </w:r>
      <w:r>
        <w:rPr>
          <w:rFonts w:ascii="Times New Roman;Times;Serif" w:hAnsi="Times New Roman;Times;Serif"/>
          <w:b w:val="false"/>
          <w:i w:val="false"/>
          <w:caps w:val="false"/>
          <w:smallCaps w:val="false"/>
          <w:sz w:val="20"/>
          <w:u w:val="single"/>
        </w:rPr>
        <w:t>Schedule 1.2.</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Commitment Percentage</w:t>
      </w:r>
      <w:r>
        <w:rPr>
          <w:rFonts w:ascii="Times New Roman;Times;Serif" w:hAnsi="Times New Roman;Times;Serif"/>
          <w:b w:val="false"/>
          <w:i w:val="false"/>
          <w:caps w:val="false"/>
          <w:smallCaps w:val="false"/>
          <w:sz w:val="20"/>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Revolving Credit Commitment Percentage of each Revolving Credit Lender on the Closing Date is set forth opposite the name of such Lender on </w:t>
      </w:r>
      <w:r>
        <w:rPr>
          <w:rFonts w:ascii="Times New Roman;Times;Serif" w:hAnsi="Times New Roman;Times;Serif"/>
          <w:b w:val="false"/>
          <w:i w:val="false"/>
          <w:caps w:val="false"/>
          <w:smallCaps w:val="false"/>
          <w:sz w:val="20"/>
          <w:u w:val="single"/>
        </w:rPr>
        <w:t>Schedule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Exposure</w:t>
      </w:r>
      <w:r>
        <w:rPr>
          <w:rFonts w:ascii="Times New Roman;Times;Serif" w:hAnsi="Times New Roman;Times;Serif"/>
          <w:b w:val="false"/>
          <w:i w:val="false"/>
          <w:caps w:val="false"/>
          <w:smallCaps w:val="false"/>
          <w:sz w:val="20"/>
        </w:rPr>
        <w:t>” means, as to any Revolving Credit Lender at any time, the aggregate principal amount at such time of its outstanding Revolving Credit Loans and such Revolving Credit Lender’s participation in L/C Obligations and Swingline Loans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Facility</w:t>
      </w:r>
      <w:r>
        <w:rPr>
          <w:rFonts w:ascii="Times New Roman;Times;Serif" w:hAnsi="Times New Roman;Times;Serif"/>
          <w:b w:val="false"/>
          <w:i w:val="false"/>
          <w:caps w:val="false"/>
          <w:smallCaps w:val="false"/>
          <w:sz w:val="20"/>
        </w:rPr>
        <w:t xml:space="preserve">” means the revolving credit facility established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any increase in such revolving credit facility pursuant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Lenders</w:t>
      </w:r>
      <w:r>
        <w:rPr>
          <w:rFonts w:ascii="Times New Roman;Times;Serif" w:hAnsi="Times New Roman;Times;Serif"/>
          <w:b w:val="false"/>
          <w:i w:val="false"/>
          <w:caps w:val="false"/>
          <w:smallCaps w:val="false"/>
          <w:sz w:val="20"/>
        </w:rPr>
        <w:t>” means, collectively, all of the Lenders with a Revolving Credit Commitment or if the Revolving Credit Commitment has been terminated, all Lenders having Revolving Credit Exposure.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Loan</w:t>
      </w:r>
      <w:r>
        <w:rPr>
          <w:rFonts w:ascii="Times New Roman;Times;Serif" w:hAnsi="Times New Roman;Times;Serif"/>
          <w:b w:val="false"/>
          <w:i w:val="false"/>
          <w:caps w:val="false"/>
          <w:smallCaps w:val="false"/>
          <w:sz w:val="20"/>
        </w:rPr>
        <w:t xml:space="preserve">” means any revolving loan made to the Borrowers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and all such revolving loans collectively as the context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Maturity Date</w:t>
      </w:r>
      <w:r>
        <w:rPr>
          <w:rFonts w:ascii="Times New Roman;Times;Serif" w:hAnsi="Times New Roman;Times;Serif"/>
          <w:b w:val="false"/>
          <w:i w:val="false"/>
          <w:caps w:val="false"/>
          <w:smallCaps w:val="false"/>
          <w:sz w:val="20"/>
        </w:rPr>
        <w:t xml:space="preserve">” means the earliest to occur of (a) January 21, 2030, (b) the date of termination of the entire Revolving Credit Commitment by the Borrowers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(c) the date of termination of the Revolving Credit Commitment pursuant to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Note</w:t>
      </w:r>
      <w:r>
        <w:rPr>
          <w:rFonts w:ascii="Times New Roman;Times;Serif" w:hAnsi="Times New Roman;Times;Serif"/>
          <w:b w:val="false"/>
          <w:i w:val="false"/>
          <w:caps w:val="false"/>
          <w:smallCaps w:val="false"/>
          <w:sz w:val="20"/>
        </w:rPr>
        <w:t xml:space="preserve">” means a promissory note made by the Borrowers in favor of a Revolving Credit Lender evidencing the Revolving Credit Loans made by such Revolving Credit Lender, substantially in the form attached as </w:t>
      </w:r>
      <w:r>
        <w:rPr>
          <w:rFonts w:ascii="Times New Roman;Times;Serif" w:hAnsi="Times New Roman;Times;Serif"/>
          <w:b/>
          <w:i/>
          <w:caps w:val="false"/>
          <w:smallCaps w:val="false"/>
          <w:sz w:val="20"/>
        </w:rPr>
        <w:t>Exhibit D-1</w:t>
      </w:r>
      <w:r>
        <w:rPr>
          <w:rFonts w:ascii="Times New Roman;Times;Serif" w:hAnsi="Times New Roman;Times;Serif"/>
          <w:b w:val="false"/>
          <w:i w:val="false"/>
          <w:caps w:val="false"/>
          <w:smallCaps w:val="false"/>
          <w:sz w:val="20"/>
        </w:rPr>
        <w:t>, and any substitutes therefor, and any replacements, restatements, renewals or extension thereof,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Outstandings</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with respect to any L/C Obligations on any date,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 Service, a division of S&amp;P Global Inc.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(or whose government is) the subject or target of any Sanctions.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or other relevant sanctions authority in any jurisdiction in which (a) any Borrower or any Subsidiary or Affiliate of any Borrower is located or conducts business, (b) in which any of the proceeds of the Extensions of Credit will be used, or (c) from which repayment of the Extensions of Credit will be derived.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or any Governmental Authority succeeding to any of its principal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Cash Management Agreement</w:t>
      </w:r>
      <w:r>
        <w:rPr>
          <w:rFonts w:ascii="Times New Roman;Times;Serif" w:hAnsi="Times New Roman;Times;Serif"/>
          <w:b w:val="false"/>
          <w:i w:val="false"/>
          <w:caps w:val="false"/>
          <w:smallCaps w:val="false"/>
          <w:sz w:val="20"/>
        </w:rPr>
        <w:t>” means (a) any Cash Management Agreement in effect on the Closing Date between or among any Credit Party or any of its Subsidiaries and a counterparty that is (i) a Lender, (ii) the Administrative Agent or (iii) an Affiliate of a Lender or the Administrative Agent, in each case as determined as of the Closing Date or (b) any Cash Management Agreement entered into after the Closing Date between or among any Credit Party or any of its Subsidiaries and a counterparty that is (i) a Lender, (ii) the Administrative Agent or (iii) an Affiliate of a Lender or the Administrative Agent, in each case as determined at the time such Cash Management Agreement is entered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Cash Management Obligations</w:t>
      </w:r>
      <w:r>
        <w:rPr>
          <w:rFonts w:ascii="Times New Roman;Times;Serif" w:hAnsi="Times New Roman;Times;Serif"/>
          <w:b w:val="false"/>
          <w:i w:val="false"/>
          <w:caps w:val="false"/>
          <w:smallCaps w:val="false"/>
          <w:sz w:val="20"/>
        </w:rPr>
        <w:t>” means all existing or future payment and other obligations owing by any Credit Party or any of its Subsidiaries under any Secured Cash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Hedge Agreement</w:t>
      </w:r>
      <w:r>
        <w:rPr>
          <w:rFonts w:ascii="Times New Roman;Times;Serif" w:hAnsi="Times New Roman;Times;Serif"/>
          <w:b w:val="false"/>
          <w:i w:val="false"/>
          <w:caps w:val="false"/>
          <w:smallCaps w:val="false"/>
          <w:sz w:val="20"/>
        </w:rPr>
        <w:t>” means (a) any Hedge Agreement in effect on the Closing Date between or among any Credit Party or any of its Subsidiaries and a counterparty that is (i) a Lender, (ii) the Administrative Agent or (iii) an Affiliate of a Lender or the Administrative Agent, in each case as determined as of the Closing Date or (b) any Hedge Agreement entered into after the Closing Date between or among any Credit Party or any of its Subsidiaries and a counterparty that is (i) a Lender, (ii) the Administrative Agent or (iii) an Affiliate of a Lender or the Administrative Agent, in each case as determined at the time such Hedge Agreement is entered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Hedge Obligations</w:t>
      </w:r>
      <w:r>
        <w:rPr>
          <w:rFonts w:ascii="Times New Roman;Times;Serif" w:hAnsi="Times New Roman;Times;Serif"/>
          <w:b w:val="false"/>
          <w:i w:val="false"/>
          <w:caps w:val="false"/>
          <w:smallCaps w:val="false"/>
          <w:sz w:val="20"/>
        </w:rPr>
        <w:t xml:space="preserve">” means all existing or future payment and other obligations owing by any Credit Party or any of its Subsidiaries under any Secured Hedge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“Secured Hedge Obligations” of a Credit Party shall exclude any Excluded Swap Obligations with respect to such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means, collectively, (a) the Obligations, (b) any Secured Hedge Obligations and (c) any Secured Cash Management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xml:space="preserve">” means, collectively, the Administrative Agent, the Lenders, the Issuing Lenders, the holders of any Secured Hedge Obligations, the holders of any Secured Cash Management Obligations, each co-agent or sub-agent appointed by the Administrative Agent from time to time pursuant to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any other holder from time to time of any of any Secured Obligations and, in each case,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xml:space="preserve">” means the Securities Act of 1933 (15 U.S.C. § 77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means the collective reference to the Collateral Agreement, each Account Control Agreement, and each other agreement or writing pursuant to which any Credit Party pledges or grants a security interest in any Property or assets securing the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Federal Reserve Bank of New York (or a successor administrator of the secured overnight financing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xml:space="preserve">” means the website of the Federal Reserve Bank of New York, currently at </w:t>
      </w:r>
      <w:r>
        <w:rPr>
          <w:rFonts w:ascii="Times New Roman;Times;Serif" w:hAnsi="Times New Roman;Times;Serif"/>
          <w:b w:val="false"/>
          <w:i w:val="false"/>
          <w:caps w:val="false"/>
          <w:smallCaps w:val="false"/>
          <w:color w:val="0000FF"/>
          <w:sz w:val="20"/>
          <w:u w:val="single"/>
        </w:rPr>
        <w:t>http://www.newyorkfed.org</w:t>
      </w:r>
      <w:r>
        <w:rPr>
          <w:rFonts w:ascii="Times New Roman;Times;Serif" w:hAnsi="Times New Roman;Times;Serif"/>
          <w:b w:val="false"/>
          <w:i w:val="false"/>
          <w:caps w:val="false"/>
          <w:smallCaps w:val="false"/>
          <w:sz w:val="20"/>
        </w:rPr>
        <w:t>, or any successor source for the secured overnight financing rate identified as such by the SOFR Administrator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Loan</w:t>
      </w:r>
      <w:r>
        <w:rPr>
          <w:rFonts w:ascii="Times New Roman;Times;Serif" w:hAnsi="Times New Roman;Times;Serif"/>
          <w:b w:val="false"/>
          <w:i w:val="false"/>
          <w:caps w:val="false"/>
          <w:smallCaps w:val="false"/>
          <w:sz w:val="20"/>
        </w:rPr>
        <w:t>” means any Daily Simple SOFR Loan or Term SOFR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Disposition</w:t>
      </w:r>
      <w:r>
        <w:rPr>
          <w:rFonts w:ascii="Times New Roman;Times;Serif" w:hAnsi="Times New Roman;Times;Serif"/>
          <w:b w:val="false"/>
          <w:i w:val="false"/>
          <w:caps w:val="false"/>
          <w:smallCaps w:val="false"/>
          <w:sz w:val="20"/>
        </w:rPr>
        <w:t>” means any Asset Disposition having gross sales proceeds in excess of $20,000,000.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Transactions</w:t>
      </w:r>
      <w:r>
        <w:rPr>
          <w:rFonts w:ascii="Times New Roman;Times;Serif" w:hAnsi="Times New Roman;Times;Serif"/>
          <w:b w:val="false"/>
          <w:i w:val="false"/>
          <w:caps w:val="false"/>
          <w:smallCaps w:val="false"/>
          <w:sz w:val="20"/>
        </w:rPr>
        <w:t>” means (a) any Specified Disposition, (b) any Permitted Acquisition and (c)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the collective reference to any Indebtedness incurred by Holdings or any of its Subsidiaries that is subordinated in right and time of payment to the Obligations on terms and conditions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Holdings.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Borrowers</w:t>
      </w:r>
      <w:r>
        <w:rPr>
          <w:rFonts w:ascii="Times New Roman;Times;Serif" w:hAnsi="Times New Roman;Times;Serif"/>
          <w:b w:val="false"/>
          <w:i w:val="false"/>
          <w:caps w:val="false"/>
          <w:smallCaps w:val="false"/>
          <w:sz w:val="20"/>
        </w:rPr>
        <w:t xml:space="preserve">” means, collectively, (a) the Subsidiaries of Holdings party to this Agreement on the Closing Date and (b) each other </w:t>
      </w:r>
      <w:r>
        <w:rPr>
          <w:rFonts w:ascii="Times New Roman;Times;Serif" w:hAnsi="Times New Roman;Times;Serif"/>
          <w:b w:val="false"/>
          <w:i w:val="false"/>
          <w:caps w:val="false"/>
          <w:smallCaps w:val="false"/>
          <w:color w:val="0000FF"/>
          <w:sz w:val="20"/>
          <w:u w:val="single"/>
        </w:rPr>
        <w:t xml:space="preserve">Domestic </w:t>
      </w:r>
      <w:r>
        <w:rPr>
          <w:rFonts w:ascii="Times New Roman;Times;Serif" w:hAnsi="Times New Roman;Times;Serif"/>
          <w:b w:val="false"/>
          <w:i w:val="false"/>
          <w:caps w:val="false"/>
          <w:smallCaps w:val="false"/>
          <w:sz w:val="20"/>
        </w:rPr>
        <w:t xml:space="preserve">Subsidiary of Holdings that becomes a party hereto after the Closing Date by entering into a Joinder Agreement pursuant to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which has been acknowledged and accepted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Guarantors</w:t>
      </w:r>
      <w:r>
        <w:rPr>
          <w:rFonts w:ascii="Times New Roman;Times;Serif" w:hAnsi="Times New Roman;Times;Serif"/>
          <w:b w:val="false"/>
          <w:i w:val="false"/>
          <w:caps w:val="false"/>
          <w:smallCaps w:val="false"/>
          <w:sz w:val="20"/>
        </w:rPr>
        <w:t xml:space="preserve">” means, collectively, (a) the Subsidiaries of Holdings listed on </w:t>
      </w:r>
      <w:r>
        <w:rPr>
          <w:rFonts w:ascii="Times New Roman;Times;Serif" w:hAnsi="Times New Roman;Times;Serif"/>
          <w:b w:val="false"/>
          <w:i w:val="false"/>
          <w:caps w:val="false"/>
          <w:smallCaps w:val="false"/>
          <w:sz w:val="20"/>
          <w:u w:val="single"/>
        </w:rPr>
        <w:t xml:space="preserve">Schedule 6.1 </w:t>
      </w:r>
      <w:r>
        <w:rPr>
          <w:rFonts w:ascii="Times New Roman;Times;Serif" w:hAnsi="Times New Roman;Times;Serif"/>
          <w:b w:val="false"/>
          <w:i w:val="false"/>
          <w:caps w:val="false"/>
          <w:smallCaps w:val="false"/>
          <w:sz w:val="20"/>
        </w:rPr>
        <w:t xml:space="preserve">that are identified as a “Guarantor” and (b) each other </w:t>
      </w:r>
      <w:r>
        <w:rPr>
          <w:rFonts w:ascii="Times New Roman;Times;Serif" w:hAnsi="Times New Roman;Times;Serif"/>
          <w:b w:val="false"/>
          <w:i w:val="false"/>
          <w:caps w:val="false"/>
          <w:smallCaps w:val="false"/>
          <w:color w:val="0000FF"/>
          <w:sz w:val="20"/>
          <w:u w:val="single"/>
        </w:rPr>
        <w:t xml:space="preserve">Domestic </w:t>
      </w:r>
      <w:r>
        <w:rPr>
          <w:rFonts w:ascii="Times New Roman;Times;Serif" w:hAnsi="Times New Roman;Times;Serif"/>
          <w:b w:val="false"/>
          <w:i w:val="false"/>
          <w:caps w:val="false"/>
          <w:smallCaps w:val="false"/>
          <w:sz w:val="20"/>
        </w:rPr>
        <w:t xml:space="preserve">Subsidiary of Holdings that has executed and delivered a guaranty or guaranty supplement pursuant to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which has been acknowledged and accepted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Surety</w:t>
      </w:r>
      <w:r>
        <w:rPr>
          <w:rFonts w:ascii="Times New Roman;Times;Serif" w:hAnsi="Times New Roman;Times;Serif"/>
          <w:b w:val="false"/>
          <w:i w:val="false"/>
          <w:caps w:val="false"/>
          <w:smallCaps w:val="false"/>
          <w:sz w:val="20"/>
        </w:rPr>
        <w:t>” means any Person that issues a Surety Bond.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Surety Bond</w:t>
      </w:r>
      <w:r>
        <w:rPr>
          <w:rFonts w:ascii="Times New Roman;Times;Serif" w:hAnsi="Times New Roman;Times;Serif"/>
          <w:b w:val="false"/>
          <w:i w:val="false"/>
          <w:caps w:val="false"/>
          <w:smallCaps w:val="false"/>
          <w:sz w:val="20"/>
        </w:rPr>
        <w:t>” means any surety bond, insurance policy, indemnity agreement, guaranty, letter or credit or other instrument provided by a third party (i.e., excluding an Affiliate of the obligor) to an oblige to assure the payment by and/or performance of an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Surety Collateral”</w:t>
      </w:r>
      <w:r>
        <w:rPr>
          <w:rFonts w:ascii="Times New Roman;Times;Serif" w:hAnsi="Times New Roman;Times;Serif"/>
          <w:b w:val="false"/>
          <w:i w:val="false"/>
          <w:caps w:val="false"/>
          <w:smallCaps w:val="false"/>
          <w:sz w:val="20"/>
        </w:rPr>
        <w:t xml:space="preserve"> (a) all of the right, title and interest of the Credit Parties in and to all existing and future Bonded Contracts and associated contract rights; (b) Bonded Accounts; (c) all claims, rights and choses in action against any account debtor on any Surety Bond or against any other Person with respect to any Surety Bond or Bonded Contract; (d) to the extent assignable (other than to the extent that any such prohibition and assignment term would be rendered ineffective pursuant to applicable law) all rights and actions that any Credit Party may have or acquire in any subcontract, purchase order or other agreement in connection with any Bonded Contract, and against any subcontract, purchase order or other agreement with any Person furnishing or agreeing to furnish or supply vehicles, labor, supplies, machinery or other inventory or equipment in connection with or on account of any Bonded Contract, and against any surety or sureties of any such subcontractor, laborer or other Person; (e) Bonded Equipment; (f) Bonded Inventory; (g) any and all books, accounts, computer software and other computer-stored information, and any and all drawings, plans, specifications, shop and as-built drawings, in each case, used in or necessary to fully perform all obligations and services required of any Credit Party under the Bonded Contracts; (h) all progress schedules, work in process schedules (including, but not limited to, estimates of completion costs), accounts receivable ledgers, accounts payable ledgers and estimates of completion costs relating to any and all Bonded Contracts, and (i) any and all proceeds (other than such proceeds which are negotiable instruments or cash or Cash Equivalents in the possession or control of the Administrative Agent or any other Lender) remaining due to Credit Parties and products arising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Surety Intercreditor</w:t>
      </w:r>
      <w:r>
        <w:rPr>
          <w:rFonts w:ascii="Times New Roman;Times;Serif" w:hAnsi="Times New Roman;Times;Serif"/>
          <w:b w:val="false"/>
          <w:i w:val="false"/>
          <w:caps w:val="false"/>
          <w:smallCaps w:val="false"/>
          <w:sz w:val="20"/>
        </w:rPr>
        <w:t xml:space="preserve">” means (a) with respect to Surety Bonds in effect on the Closing Date, the intercreditor agreements in effect among the applicable Surety, applicable Credit Party and Wells Fargo Bank, National Association as the named lender thereunder, and (b) with respect to Surety Bonds procured after the Closing Date, intercreditor agreements in form and substance reasonably satisfactory to the Administrative Agent (it being understood an intercreditor agreement that is substantially in the same form and substance as the intercreditor agreements referred to in the preceding clause (a) are acceptable to the Administrative Agent so long as </w:t>
      </w:r>
      <w:r>
        <w:rPr>
          <w:rFonts w:ascii="Times New Roman;Times;Serif" w:hAnsi="Times New Roman;Times;Serif"/>
          <w:b w:val="false"/>
          <w:i w:val="false"/>
          <w:caps w:val="false"/>
          <w:smallCaps w:val="false"/>
          <w:strike/>
          <w:color w:val="FF0000"/>
          <w:sz w:val="20"/>
        </w:rPr>
        <w:t xml:space="preserve">the </w:t>
      </w:r>
      <w:r>
        <w:rPr>
          <w:rFonts w:ascii="Times New Roman;Times;Serif" w:hAnsi="Times New Roman;Times;Serif"/>
          <w:b w:val="false"/>
          <w:i w:val="false"/>
          <w:caps w:val="false"/>
          <w:smallCaps w:val="false"/>
          <w:sz w:val="20"/>
        </w:rPr>
        <w:t>Wells Fargo’s capacity, this Agreement and the Secured Obligations are properly noted and reflected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w:t>
      </w:r>
      <w:r>
        <w:rPr>
          <w:rFonts w:ascii="Times New Roman;Times;Serif" w:hAnsi="Times New Roman;Times;Serif"/>
          <w:b w:val="false"/>
          <w:i w:val="false"/>
          <w:caps w:val="false"/>
          <w:smallCaps w:val="false"/>
          <w:sz w:val="20"/>
        </w:rPr>
        <w:t>” means, with respect to any Credit Party, any obligation to pay or perform under any agreement, contract or transaction that constitutes a “swap” within the meaning of Section 1a(47) of the Commodity Exchange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Sweep Arrangement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means the lesser of (a) $30,000,000 and (b) the aggregate amount of the Revolving Credit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Facility</w:t>
      </w:r>
      <w:r>
        <w:rPr>
          <w:rFonts w:ascii="Times New Roman;Times;Serif" w:hAnsi="Times New Roman;Times;Serif"/>
          <w:b w:val="false"/>
          <w:i w:val="false"/>
          <w:caps w:val="false"/>
          <w:smallCaps w:val="false"/>
          <w:sz w:val="20"/>
        </w:rPr>
        <w:t xml:space="preserve">” means the swingline facility established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Wells Fargo in its capacity as swingline lender hereunder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xml:space="preserve">” means any swingline loan made by the Swingline Lender to the Borrowers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and all such swingline loans collectively as the context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Note</w:t>
      </w:r>
      <w:r>
        <w:rPr>
          <w:rFonts w:ascii="Times New Roman;Times;Serif" w:hAnsi="Times New Roman;Times;Serif"/>
          <w:b w:val="false"/>
          <w:i w:val="false"/>
          <w:caps w:val="false"/>
          <w:smallCaps w:val="false"/>
          <w:sz w:val="20"/>
        </w:rPr>
        <w:t xml:space="preserve">” means a promissory note made by the Borrowers in favor of the Swingline Lender evidencing the Swingline Loans made by the Swingline Lender, substantially in the form attached as </w:t>
      </w:r>
      <w:r>
        <w:rPr>
          <w:rFonts w:ascii="Times New Roman;Times;Serif" w:hAnsi="Times New Roman;Times;Serif"/>
          <w:b/>
          <w:i/>
          <w:caps w:val="false"/>
          <w:smallCaps w:val="false"/>
          <w:sz w:val="20"/>
        </w:rPr>
        <w:t>Exhibit D-2</w:t>
      </w:r>
      <w:r>
        <w:rPr>
          <w:rFonts w:ascii="Times New Roman;Times;Serif" w:hAnsi="Times New Roman;Times;Serif"/>
          <w:b w:val="false"/>
          <w:i w:val="false"/>
          <w:caps w:val="false"/>
          <w:smallCaps w:val="false"/>
          <w:sz w:val="20"/>
        </w:rPr>
        <w:t>, and any substitutes therefor, and any replacements, restatements, renewals or extension thereof,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Participation Amount</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2.2(b)(iii)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Synthetic Lease</w:t>
      </w:r>
      <w:r>
        <w:rPr>
          <w:rFonts w:ascii="Times New Roman;Times;Serif" w:hAnsi="Times New Roman;Times;Serif"/>
          <w:b w:val="false"/>
          <w:i w:val="false"/>
          <w:caps w:val="false"/>
          <w:smallCaps w:val="false"/>
          <w:sz w:val="20"/>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 xml:space="preserve">Term Loan Commitment” means (a) as to any Term Loan Lender, the obligation of such Term Loan Lender to make a portion of the Incremental Term Loan-1 and/or other Incremental Term Loans, as applicable, to the account of Holdings hereunder on the Amendment No. 2 Effective Date (in the case of the Incremental Term Loan-1) or </w:t>
      </w:r>
      <w:r>
        <w:rPr>
          <w:rFonts w:ascii="Times New Roman;Times;Serif" w:hAnsi="Times New Roman;Times;Serif"/>
          <w:b w:val="false"/>
          <w:i w:val="false"/>
          <w:caps w:val="false"/>
          <w:smallCaps w:val="false"/>
          <w:color w:val="008000"/>
          <w:sz w:val="20"/>
          <w:u w:val="single"/>
        </w:rPr>
        <w:t xml:space="preserve">the applicable </w:t>
      </w:r>
      <w:r>
        <w:rPr>
          <w:rFonts w:ascii="Times New Roman;Times;Serif" w:hAnsi="Times New Roman;Times;Serif"/>
          <w:b w:val="false"/>
          <w:i w:val="false"/>
          <w:caps w:val="false"/>
          <w:smallCaps w:val="false"/>
          <w:color w:val="0000FF"/>
          <w:sz w:val="20"/>
          <w:u w:val="single"/>
        </w:rPr>
        <w:t>borrowing date (in the case of any Incremental Term Loan) in an aggregate principal amount not to exceed the amount set forth opposite such Lender’s name on Schedule 1.2, as such amount may be increased, reduced or otherwise modified at any time or from time to time pursuant to the terms hereof and (b) as to all Term Loan Lenders, the aggregate commitment of all Term Loan Lenders to make such Term Loans. The aggregate Term Loan Commitment with respect to the Incremental Term Loan-1 of all Term Loan Lenders on the Amendment No. 2 Effective Date shall be $200,000,000. The Term Loan Commitment of each Term Loan Lender on the Amendment No. 2 Effective Date is set forth opposite the name of such Term Loan Lender on Schedule 1.2.</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Term Loan Facility” means the term loan facility established pursuant to Section 2.7 (including any new term loan facility established pursuant to Section 4.13).</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Term Loan Lender” means any Lender with a Term Loan Commitment and/or outstanding Term Loans.</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Term Loan Maturity Date” means the first to occur of (a) January 21, 2030, and (b) the date of acceleration of the Term Loans pursuant to Section 9.2(a).</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 xml:space="preserve">Term Loan Note” means a promissory note made by the Borrower in favor of a Term Loan Lender evidencing the portion of the Term Loans made by such Term Loan Lender, substantially in the form attached as </w:t>
      </w:r>
      <w:r>
        <w:rPr>
          <w:rFonts w:ascii="Times New Roman;Times;Serif" w:hAnsi="Times New Roman;Times;Serif"/>
          <w:b/>
          <w:i/>
          <w:caps w:val="false"/>
          <w:smallCaps w:val="false"/>
          <w:color w:val="0000FF"/>
          <w:sz w:val="20"/>
          <w:u w:val="single"/>
        </w:rPr>
        <w:t>Exhibit D-3</w:t>
      </w:r>
      <w:r>
        <w:rPr>
          <w:rFonts w:ascii="Times New Roman;Times;Serif" w:hAnsi="Times New Roman;Times;Serif"/>
          <w:b w:val="false"/>
          <w:i w:val="false"/>
          <w:caps w:val="false"/>
          <w:smallCaps w:val="false"/>
          <w:color w:val="0000FF"/>
          <w:sz w:val="20"/>
          <w:u w:val="single"/>
        </w:rPr>
        <w:t>, and any substitutes therefor, and any replacements, restatements, renewals or extension thereof, in whole or in part.</w:t>
      </w:r>
    </w:p>
    <w:p>
      <w:pPr>
        <w:pStyle w:val="TextBody"/>
        <w:bidi w:val="0"/>
        <w:spacing w:before="0" w:after="0"/>
        <w:ind w:left="0" w:right="0" w:firstLine="72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Term Loan Percentage” means, with respect to any Term Loan Lender at any time, the percentage of the total outstanding principal balance of the Term Loans represented by the outstanding principal balance of such Term Loan Lender’s Term Loans. The Term Loan Percentage of each Term Loan Lender as of the Amendment No. 2 Effective Date is set forth opposite the name of such Lender on Schedule 1.2.</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Term Loans” means the Incremental Term Loan-1 and, if applicable, other Incremental Term Loans and “Term Loan” means any of such Term Loans.</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 for any calculation,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xml:space="preserve">”) that is two (2) U.S. Government Securities Business Days prior to the first day of such Interest Period, as such rate is published by the Term SOFR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as of 5:00 p.m. (Eastern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Term SOFR determined as provided above shall ever be less than the Floor, then Term SOFR shall be deemed to be the Floor.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xml:space="preserve">” means any Loan bearing interest at a rate based on Term SOFR, as provided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Event</w:t>
      </w:r>
      <w:r>
        <w:rPr>
          <w:rFonts w:ascii="Times New Roman;Times;Serif" w:hAnsi="Times New Roman;Times;Serif"/>
          <w:b w:val="false"/>
          <w:i w:val="false"/>
          <w:caps w:val="false"/>
          <w:smallCaps w:val="false"/>
          <w:sz w:val="20"/>
        </w:rPr>
        <w:t>” means the occurrence of any of the following which, individually or in the aggregate, has resulted or could reasonably be expected to result in liability of the Credit Parties in an aggregate amount in excess of the Threshold Amount: (a) a “Reportable Event” described in Section 4043 of ERISA,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within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Threshold Amount</w:t>
      </w:r>
      <w:r>
        <w:rPr>
          <w:rFonts w:ascii="Times New Roman;Times;Serif" w:hAnsi="Times New Roman;Times;Serif"/>
          <w:b w:val="false"/>
          <w:i w:val="false"/>
          <w:caps w:val="false"/>
          <w:smallCaps w:val="false"/>
          <w:sz w:val="20"/>
        </w:rPr>
        <w:t>” means $30,000,000.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Tontine</w:t>
      </w:r>
      <w:r>
        <w:rPr>
          <w:rFonts w:ascii="Times New Roman;Times;Serif" w:hAnsi="Times New Roman;Times;Serif"/>
          <w:b w:val="false"/>
          <w:i w:val="false"/>
          <w:caps w:val="false"/>
          <w:smallCaps w:val="false"/>
          <w:sz w:val="20"/>
        </w:rPr>
        <w:t>” means Tontine Capital Partners L.P. and its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Credit Exposure</w:t>
      </w:r>
      <w:r>
        <w:rPr>
          <w:rFonts w:ascii="Times New Roman;Times;Serif" w:hAnsi="Times New Roman;Times;Serif"/>
          <w:b w:val="false"/>
          <w:i w:val="false"/>
          <w:caps w:val="false"/>
          <w:smallCaps w:val="false"/>
          <w:sz w:val="20"/>
        </w:rPr>
        <w:t xml:space="preserve">” means, as to any Lender at any time, the unused Commitments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Revolving Credit Exposure </w:t>
      </w:r>
      <w:r>
        <w:rPr>
          <w:rFonts w:ascii="Times New Roman;Times;Serif" w:hAnsi="Times New Roman;Times;Serif"/>
          <w:b w:val="false"/>
          <w:i w:val="false"/>
          <w:caps w:val="false"/>
          <w:smallCaps w:val="false"/>
          <w:color w:val="0000FF"/>
          <w:sz w:val="20"/>
          <w:u w:val="single"/>
        </w:rPr>
        <w:t xml:space="preserve">and outstanding Term Loans </w:t>
      </w:r>
      <w:r>
        <w:rPr>
          <w:rFonts w:ascii="Times New Roman;Times;Serif" w:hAnsi="Times New Roman;Times;Serif"/>
          <w:b w:val="false"/>
          <w:i w:val="false"/>
          <w:caps w:val="false"/>
          <w:smallCaps w:val="false"/>
          <w:sz w:val="20"/>
        </w:rPr>
        <w:t>of such Lender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execution, delivery and performance by the Credit Parties of this Agreement and the other Loan Documents, the Extensions of Credit and the use of the proceeds thereof, including the refinancing of the Existing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Travelers</w:t>
      </w:r>
      <w:r>
        <w:rPr>
          <w:rFonts w:ascii="Times New Roman;Times;Serif" w:hAnsi="Times New Roman;Times;Serif"/>
          <w:b w:val="false"/>
          <w:i w:val="false"/>
          <w:caps w:val="false"/>
          <w:smallCaps w:val="false"/>
          <w:sz w:val="20"/>
        </w:rPr>
        <w:t>” means Travelers Casualty and Surety Company of America, any of its Affiliates, and any respective successors and permitted assigns of the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in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UCP</w:t>
      </w:r>
      <w:r>
        <w:rPr>
          <w:rFonts w:ascii="Times New Roman;Times;Serif" w:hAnsi="Times New Roman;Times;Serif"/>
          <w:b w:val="false"/>
          <w:i w:val="false"/>
          <w:caps w:val="false"/>
          <w:smallCaps w:val="false"/>
          <w:sz w:val="20"/>
        </w:rPr>
        <w:t>” means the Uniform Customs and Practice for Documentary Credits, International Chamber of Commerce Publication No. 600 (or such later version thereof as may be in effect at the applicable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val="false"/>
          <w:i w:val="false"/>
          <w:caps w:val="false"/>
          <w:smallCaps w:val="false"/>
          <w:color w:val="0000FF"/>
          <w:sz w:val="20"/>
          <w:u w:val="single"/>
        </w:rPr>
        <w:t xml:space="preserve">UMB Letters of Credit” means (a) the Irrevocable Standby Letter of Credit No. SB50949 issued by UMB Bank, N.A. in favor of GrayWolf Integrated Construction Company, Inc. F/K/A Titan Contracting and Leasing Co., Inc. with a face value of $100,000 and Commonwealth of Kentucky as the beneficiary thereof and (b) the Irrevocable Standby Letter of Credit No. SB51604 issued by UMB Bank, N.A. in favor of GrayWolf Modular, Inc. and DBM Global Inc. with a face value of $5,655,372 and IDV-BP South Belt 11, LLC as the beneficiary thereof.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 Person</w:t>
      </w:r>
      <w:r>
        <w:rPr>
          <w:rFonts w:ascii="Times New Roman;Times;Serif" w:hAnsi="Times New Roman;Times;Serif"/>
          <w:b w:val="false"/>
          <w:i w:val="false"/>
          <w:caps w:val="false"/>
          <w:smallCaps w:val="false"/>
          <w:sz w:val="20"/>
        </w:rPr>
        <w:t>” 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 and Cash Equivalents</w:t>
      </w:r>
      <w:r>
        <w:rPr>
          <w:rFonts w:ascii="Times New Roman;Times;Serif" w:hAnsi="Times New Roman;Times;Serif"/>
          <w:b w:val="false"/>
          <w:i w:val="false"/>
          <w:caps w:val="false"/>
          <w:smallCaps w:val="false"/>
          <w:sz w:val="20"/>
        </w:rPr>
        <w:t xml:space="preserve">” means, as of any date of determination 100% of all cash and Cash Equivalents of the Credit Parties that are held in bank accounts or securities accounts located in the United States that are unrestricted and not subject to any Liens (other than Liens permitted under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proceeds of any Indebtedness incurred substantially concurrently with the determination of such amount shall be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notice requirements in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2.8(a), 2.10(a)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in each case, such day is also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any Person that is a “United States person” as defined in Section 7701(a)(30)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has the meaning assigned thereto in </w:t>
      </w:r>
      <w:r>
        <w:rPr>
          <w:rFonts w:ascii="Times New Roman;Times;Serif" w:hAnsi="Times New Roman;Times;Serif"/>
          <w:b w:val="false"/>
          <w:i w:val="false"/>
          <w:caps w:val="false"/>
          <w:smallCaps w:val="false"/>
          <w:sz w:val="20"/>
          <w:u w:val="single"/>
        </w:rPr>
        <w:t>Section 4.11(g)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installment, sinking fund, serial maturity or other required payment of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Wells Fargo</w:t>
      </w:r>
      <w:r>
        <w:rPr>
          <w:rFonts w:ascii="Times New Roman;Times;Serif" w:hAnsi="Times New Roman;Times;Serif"/>
          <w:b w:val="false"/>
          <w:i w:val="false"/>
          <w:caps w:val="false"/>
          <w:smallCaps w:val="false"/>
          <w:sz w:val="20"/>
        </w:rPr>
        <w:t>” means Wells Fargo Bank, National Association, a national banking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w:t>
      </w:r>
      <w:r>
        <w:rPr>
          <w:rFonts w:ascii="Times New Roman;Times;Serif" w:hAnsi="Times New Roman;Times;Serif"/>
          <w:b w:val="false"/>
          <w:i w:val="false"/>
          <w:caps w:val="false"/>
          <w:smallCaps w:val="false"/>
          <w:sz w:val="20"/>
        </w:rPr>
        <w:t>” means, with respect to a Subsidiary, that all of the Equity Interests of such Subsidiary are, directly or indirectly, owned or controlled by a Borrower and/or one or more of its Wholly-Owned Subsidiaries (except for directors’ qualifying shares or other shares required by Applicable Law to be owned by a Person other than a Borrower and/or one or more of its Wholly-Owned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means each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Other Definitions and Provisions</w:t>
      </w:r>
      <w:r>
        <w:rPr>
          <w:rFonts w:ascii="Times New Roman;Times;Serif" w:hAnsi="Times New Roman;Times;Serif"/>
          <w:b w:val="false"/>
          <w:i w:val="false"/>
          <w:caps w:val="false"/>
          <w:smallCaps w:val="false"/>
          <w:sz w:val="20"/>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Accounting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Times New Roman;Times;Serif" w:hAnsi="Times New Roman;Times;Serif"/>
          <w:b w:val="false"/>
          <w:i w:val="false"/>
          <w:caps w:val="false"/>
          <w:smallCaps w:val="false"/>
          <w:sz w:val="20"/>
          <w:u w:val="single"/>
        </w:rPr>
        <w:t>Section 5.1(e)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except</w:t>
      </w:r>
      <w:r>
        <w:rPr>
          <w:rFonts w:ascii="Times New Roman;Times;Serif" w:hAnsi="Times New Roman;Times;Serif"/>
          <w:b w:val="false"/>
          <w:i w:val="false"/>
          <w:caps w:val="false"/>
          <w:smallCaps w:val="false"/>
          <w:sz w:val="20"/>
        </w:rPr>
        <w:t xml:space="preserve"> as otherwise specifically prescribed herein. Notwithstanding the foregoing, for purposes of determining compliance with any covenant (including the computation of any financial covenant) contained herein, Indebtedness of Holdings and its Subsidiaries shall be deemed to be carried at 100% of the outstanding principal amount thereof, and the effects of FASB ASC 825 and FASB ASC 470-20 on financial liabilities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at any time any change in GAAP would affect the computation of any financial ratio or requirement set forth in any Loan Document, and either the Administrative Borrower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so amended, (i) such ratio or requirement shall continue to be computed in accordance with GAAP prior to such change therein and (ii) Holdings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 Lease Obligations in the financial statements and (B) all financial statements delivered to the Administrative Agent hereunder shall contain a schedule showing the modifications necessary to reconcile the adjustments made pursuant to clause (A) above with such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UCC Terms</w:t>
      </w:r>
      <w:r>
        <w:rPr>
          <w:rFonts w:ascii="Times New Roman;Times;Serif" w:hAnsi="Times New Roman;Times;Serif"/>
          <w:b w:val="false"/>
          <w:i w:val="false"/>
          <w:caps w:val="false"/>
          <w:smallCaps w:val="false"/>
          <w:sz w:val="20"/>
        </w:rPr>
        <w:t>. Terms defined in the UCC in effect on the Closing Date and not otherwise defined herein shall, unless the context otherwise indicates, have the meanings provided by those definitions, including but not limited to, “Account”, “Equipment”, and “Inventory”. Subject to the foregoing, the term “UCC” refers, as of any date of determination, to the UCC then in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Rounding</w:t>
      </w:r>
      <w:r>
        <w:rPr>
          <w:rFonts w:ascii="Times New Roman;Times;Serif" w:hAnsi="Times New Roman;Times;Serif"/>
          <w:b w:val="false"/>
          <w:i w:val="false"/>
          <w:caps w:val="false"/>
          <w:smallCaps w:val="false"/>
          <w:sz w:val="20"/>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References to Agreement and Laws</w:t>
      </w:r>
      <w:r>
        <w:rPr>
          <w:rFonts w:ascii="Times New Roman;Times;Serif" w:hAnsi="Times New Roman;Times;Serif"/>
          <w:b w:val="false"/>
          <w:i w:val="false"/>
          <w:caps w:val="false"/>
          <w:smallCaps w:val="false"/>
          <w:sz w:val="20"/>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Anti-Corruption Laws, Anti-Money Laundering Laws, the Bankruptcy Code, the Code, the Commodity Exchange Act, ERISA, the Exchange Act, the PATRIOT Act, the Securities Act, the UCC, the Investment Company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Times of Day</w:t>
      </w:r>
      <w:r>
        <w:rPr>
          <w:rFonts w:ascii="Times New Roman;Times;Serif" w:hAnsi="Times New Roman;Times;Serif"/>
          <w:b w:val="false"/>
          <w:i w:val="false"/>
          <w:caps w:val="false"/>
          <w:smallCaps w:val="false"/>
          <w:sz w:val="20"/>
        </w:rPr>
        <w:t>. Unless otherwise specified, all references herein to times of day shall be references to Eastern time (daylight or standard,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Guarantees/Earn-Outs</w:t>
      </w:r>
      <w:r>
        <w:rPr>
          <w:rFonts w:ascii="Times New Roman;Times;Serif" w:hAnsi="Times New Roman;Times;Serif"/>
          <w:b w:val="false"/>
          <w:i w:val="false"/>
          <w:caps w:val="false"/>
          <w:smallCaps w:val="false"/>
          <w:sz w:val="20"/>
        </w:rPr>
        <w:t>. Unless otherwise specified, (a) the amount of any Guarantee shall be the lesser of the amount of the obligations guaranteed and still outstanding and the maximum amount for which the guaranteeing Person may be liable pursuant to the terms of the instrument embodying such Guarantee and (b) the amount of any Earn-out or similar obligation shall be the amount of such obligation as reflected on the balance sheet of such Person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Covenant Compliance Generally</w:t>
      </w:r>
      <w:r>
        <w:rPr>
          <w:rFonts w:ascii="Times New Roman;Times;Serif" w:hAnsi="Times New Roman;Times;Serif"/>
          <w:b w:val="false"/>
          <w:i w:val="false"/>
          <w:caps w:val="false"/>
          <w:smallCaps w:val="false"/>
          <w:sz w:val="20"/>
        </w:rPr>
        <w:t xml:space="preserve">. For purposes of determining compliance under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8.6</w:t>
      </w:r>
      <w:r>
        <w:rPr>
          <w:rFonts w:ascii="Times New Roman;Times;Serif" w:hAnsi="Times New Roman;Times;Serif"/>
          <w:b w:val="false"/>
          <w:i w:val="false"/>
          <w:caps w:val="false"/>
          <w:smallCaps w:val="false"/>
          <w:sz w:val="20"/>
        </w:rPr>
        <w:t xml:space="preserve">, any amount in a currency other than Dollars will be converted to Dollars in a manner consistent with that used in calculating Consolidated Net Income in the most recent annual financial statements of Holdings and its Subsidiaries delivered pursuant to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5.1(e)</w:t>
      </w:r>
      <w:r>
        <w:rPr>
          <w:rFonts w:ascii="Times New Roman;Times;Serif" w:hAnsi="Times New Roman;Times;Serif"/>
          <w:b w:val="false"/>
          <w:i w:val="false"/>
          <w:caps w:val="false"/>
          <w:smallCaps w:val="false"/>
          <w:sz w:val="20"/>
        </w:rPr>
        <w:t xml:space="preserve">, as applicable. Notwithstanding the foregoing, for purposes of determining compliance with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8.3</w:t>
      </w:r>
      <w:r>
        <w:rPr>
          <w:rFonts w:ascii="Times New Roman;Times;Serif" w:hAnsi="Times New Roman;Times;Serif"/>
          <w:b w:val="false"/>
          <w:i w:val="false"/>
          <w:caps w:val="false"/>
          <w:smallCaps w:val="false"/>
          <w:sz w:val="20"/>
        </w:rPr>
        <w:t xml:space="preserve">,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foregoing provisions of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shall otherwise apply to such Sections, including with respect to determining whether any Indebtedness or Investment may be incurred at any time under such Sections.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 </w:t>
      </w:r>
      <w:r>
        <w:rPr>
          <w:rFonts w:ascii="Times New Roman;Times;Serif" w:hAnsi="Times New Roman;Times;Serif"/>
          <w:b w:val="false"/>
          <w:i w:val="false"/>
          <w:caps w:val="false"/>
          <w:smallCaps w:val="false"/>
          <w:sz w:val="20"/>
          <w:u w:val="single"/>
        </w:rPr>
        <w:t>Limited Condition Acquisitions</w:t>
      </w:r>
      <w:r>
        <w:rPr>
          <w:rFonts w:ascii="Times New Roman;Times;Serif" w:hAnsi="Times New Roman;Times;Serif"/>
          <w:b w:val="false"/>
          <w:i w:val="false"/>
          <w:caps w:val="false"/>
          <w:smallCaps w:val="false"/>
          <w:sz w:val="20"/>
        </w:rPr>
        <w:t xml:space="preserve">. In the event that the Administrative Borrower notify the Administrative Agent in writing that any proposed Acquisition is a Limited Condition Acquisition and that the Borrowers wish to test the conditions to such Acquisition and the Indebtedness that is to be used to finance such Acquisition in accordance with this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 then, so long as agreed to by the Administrative Agent and the lenders providing such Indebtedness, the following provisions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condition to such Limited Condition Acquisition or such Indebtedness that requires that no Default or Event of Default shall have occurred and be continuing at the time of such Limited Condition Acquisition or the incurrence of such Indebtedness, shall be satisfied if (i) no Default or Event of Default shall have occurred and be continuing at the time of the execution of the definitive purchase agreement, merger agreement or other acquisition agreement governing such Limited Condition Acquisition (the “</w:t>
      </w:r>
      <w:r>
        <w:rPr>
          <w:rFonts w:ascii="Times New Roman;Times;Serif" w:hAnsi="Times New Roman;Times;Serif"/>
          <w:b w:val="false"/>
          <w:i w:val="false"/>
          <w:caps w:val="false"/>
          <w:smallCaps w:val="false"/>
          <w:sz w:val="20"/>
          <w:u w:val="single"/>
        </w:rPr>
        <w:t>LCA Test Date</w:t>
      </w:r>
      <w:r>
        <w:rPr>
          <w:rFonts w:ascii="Times New Roman;Times;Serif" w:hAnsi="Times New Roman;Times;Serif"/>
          <w:b w:val="false"/>
          <w:i w:val="false"/>
          <w:caps w:val="false"/>
          <w:smallCaps w:val="false"/>
          <w:sz w:val="20"/>
        </w:rPr>
        <w:t xml:space="preserve">”) and (ii) no Event of Default under any of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9.1(j)</w:t>
      </w:r>
      <w:r>
        <w:rPr>
          <w:rFonts w:ascii="Times New Roman;Times;Serif" w:hAnsi="Times New Roman;Times;Serif"/>
          <w:b w:val="false"/>
          <w:i w:val="false"/>
          <w:caps w:val="false"/>
          <w:smallCaps w:val="false"/>
          <w:sz w:val="20"/>
        </w:rPr>
        <w:t xml:space="preserve"> shall have occurred and be continuing both immediately before and immediately after giving effect to such Limited Condition Acquisition and any Indebtedness incurred in connection therewith (including any such additional Indebtedness);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condition to such Limited Condition Acquisition or such Indebtedness that the representations and warranties in this Agreement and the other Loan Documents shall be true and correct at the time of consummation of such Limited Condition Acquisition or the incurrence of such 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Indebtedness shall be true and correct, but only to the extent that such Borrower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Indebtedness shall be true and correct in all material respects (except for any representation and warranty that is qualified by materiality or reference to Material Adverse Effect, which such representation and warranty shall be true and correct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financial ratio test or condition to be tested in connection with such Limited Condition Acquisition and the availability of such Indebtedness will be tested as of the LCA Test Date, in each case, after giving effect to the relevant Limited Condition Acquisition and related incurrence of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Consolidated EBITDA of such Borrower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(i) on a Pro Forma Basis assuming such Limited Condition Acquisition and other transactions in connection therewith (including the incurrence or assumption of Indebtedness) have been consummated and (ii) assuming such Limited Condition Acquisition and other transactions in connection therewith (including the incurrence or assumption of Indebtedness) have not been consummated. Notwithstanding the foregoing, any calculation of a ratio in connection with determining the Applicable Margin and determining whether or not the Borrower are in compliance with the financial covenants set forth in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 xml:space="preserve"> shall, in each case be calculated assuming such Limited Condition Acquisition and other transactions in connection therewith (including the incurrence or assumption of Indebtedness) have not been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shall apply with similar effect during the pendency of multiple Limited Condition Acquisitions such that each of the possible scenarios is separately tested.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Rates</w:t>
      </w:r>
      <w:r>
        <w:rPr>
          <w:rFonts w:ascii="Times New Roman;Times;Serif" w:hAnsi="Times New Roman;Times;Serif"/>
          <w:b w:val="false"/>
          <w:i w:val="false"/>
          <w:caps w:val="false"/>
          <w:smallCaps w:val="false"/>
          <w:sz w:val="20"/>
        </w:rPr>
        <w:t xml:space="preserve">. The Administrative Agent does not warrant or accept any responsibility for, and shall not have any liability with respect to, (a) the continuation of, administration of, submission of, calculation of or any other matter related to Daily Simple SOFR, SOFR,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 will be similar to, or produce the same value or economic equivalence of, or have the same volume or liquidity as, Daily Simple SOFR, SOFR,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Daily Simple SOFR, SOFR, the Term SOFR Reference Rate, or Term SOFR,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Daily Simple SOFR, SOFR, the Term SOFR Reference Rate or Term SOFR, or any other Benchmark, any component definition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w:t>
        <w:br/>
        <w:t>Revolving Credit Facility</w:t>
      </w:r>
    </w:p>
    <w:p>
      <w:pPr>
        <w:pStyle w:val="TextBody"/>
        <w:bidi w:val="0"/>
        <w:spacing w:before="0" w:after="0"/>
        <w:ind w:left="9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Revolving Credit Loans</w:t>
      </w:r>
      <w:r>
        <w:rPr>
          <w:rFonts w:ascii="Times New Roman;Times;Serif" w:hAnsi="Times New Roman;Times;Serif"/>
          <w:b w:val="false"/>
          <w:i w:val="false"/>
          <w:caps w:val="false"/>
          <w:smallCaps w:val="false"/>
          <w:sz w:val="20"/>
        </w:rPr>
        <w:t xml:space="preserve">. Subject to the terms and conditions of this Agreement and the other Loan Documents, and in reliance upon the representations and warranties set forth in this Agreement and the other Loan Documents, each Revolving Credit Lender severally agrees to make Revolving Credit Loans in Dollars to the Borrowers from time to time from the Closing Date to, but not including, the Revolving Credit Maturity Date as requested by the Administrative Borrower in accordance with the terms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the Revolving Credit Outstandings shall not exceed the aggregate Revolving Credit Commitments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Borrowers may borrow, repay and reborrow Revolving Credit Loans hereunder until the Revolving Credit Maturity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xml:space="preserve">. Subject to the terms and conditions of this Agreement and the other Loan Documents and in reliance upon the representations and warranties set forth in this Agreement and the other Loan Documents, the Swingline Lender may, in its sole discretion, make Swingline Loans in Dollars to the Borrowers from time to time from the Closing Date to, but not including, the Revolving Credit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after giving effect to any amount requested, the Revolving Credit Outstandings shall not exceed the aggregate Revolving Credit Commitments and (ii) the aggregate principal amount of all outstanding Swingline Loans (after giving effect to any amount requested) shall not exceed the Swingline Commitment. Notwithstanding any provision herein to the contrary, the Swingline Lender and the Administrative Borrower may agree that the Swingline Facility may be used to automatically draw and repay Swingline Loans (subject to the limitations set forth herein) pursuant to cash management arrangements between the Borrowers and the Swingline Lender (the “</w:t>
      </w:r>
      <w:r>
        <w:rPr>
          <w:rFonts w:ascii="Times New Roman;Times;Serif" w:hAnsi="Times New Roman;Times;Serif"/>
          <w:b w:val="false"/>
          <w:i w:val="false"/>
          <w:caps w:val="false"/>
          <w:smallCaps w:val="false"/>
          <w:sz w:val="20"/>
          <w:u w:val="single"/>
        </w:rPr>
        <w:t>Sweep Arrangement</w:t>
      </w:r>
      <w:r>
        <w:rPr>
          <w:rFonts w:ascii="Times New Roman;Times;Serif" w:hAnsi="Times New Roman;Times;Serif"/>
          <w:b w:val="false"/>
          <w:i w:val="false"/>
          <w:caps w:val="false"/>
          <w:smallCaps w:val="false"/>
          <w:sz w:val="20"/>
        </w:rPr>
        <w:t xml:space="preserve">”). Principal and interest on Swingline Loans deemed requested pursuant to the Sweep Arrangement shall be paid pursuant to the terms and conditions agreed to between the Administrative Borrower and the Swingline Lender (without any deduction, setoff or counterclaim whatsoever). The borrowing and disbursement provisions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any other provision hereof with respect to the timing or amount of payments on the Swingline Loans (other than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shall not be applicable to Swingline Loans made and prepaid pursuant to the Sweep Arrangement. Unless sooner paid pursuant to the provisions hereof or the provisions of the Sweep Arrangement, the principal amount of the Swingline Loans shall be paid in full, together with accrued interest thereon, on the Revolving Credit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Refunding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Swingline Lender, at any time and from time to time in its sole and absolute discretion may, on behalf of the Borrowers (which hereby irrevocably directs the Swingline Lender to act on its behalf), by written notice given no later than 11:00 a.m. on any Business Day request each Revolving Credit Lender to make, and each Revolving Credit Lender hereby agrees to make, a Revolving Credit Loan as a Base Rate Loan in an amount equal to such Revolving Credit Lender’s Revolving Credit Commitment Percentage of the aggregate amount of the Swingline Loans outstanding on the date of such notice, to repay the Swingline Lender. Each Revolving Credit Lender shall make the amount of such Revolving Credit Loan available to the Administrative Agent in immediately available funds at the Administrative Agent’s Office not later than 1:00 p.m. on the day specified in such notice. The proceeds of such Revolving Credit Loans shall be immediately made available by the Administrative Agent to the Swingline Lender for application by the Swingline Lender to the repayment of the Swingline Loans.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Borrowers shall pay to the Swingline Lender on demand, and in any event on the Revolving Credit Maturity Date, in immediately available funds the amount of such Swingline Loans to the extent amounts received from the Revolving Credit Lenders are not sufficient to repay in full the outstanding Swingline Loans requested or required to be refunded. In addition, the Borrowers irrevocably authorizes the Administrative Agent to charge any account maintained by any Borrower with the Swingline Lender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Borrowers from the Swingline Lender in bankruptcy or otherwise, the loss of the amount so recovered shall be ratably shared among all the Revolving Credit Lenders in accordance with their respective Revolving Credit Commitment Percentages.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for any reason any Swingline Loan cannot be refinanced with a Revolving Credit Loan pursuant to </w:t>
      </w:r>
      <w:r>
        <w:rPr>
          <w:rFonts w:ascii="Times New Roman;Times;Serif" w:hAnsi="Times New Roman;Times;Serif"/>
          <w:b w:val="false"/>
          <w:i w:val="false"/>
          <w:caps w:val="false"/>
          <w:smallCaps w:val="false"/>
          <w:sz w:val="20"/>
          <w:u w:val="single"/>
        </w:rPr>
        <w:t>Section 2.2(b)(i)</w:t>
      </w:r>
      <w:r>
        <w:rPr>
          <w:rFonts w:ascii="Times New Roman;Times;Serif" w:hAnsi="Times New Roman;Times;Serif"/>
          <w:b w:val="false"/>
          <w:i w:val="false"/>
          <w:caps w:val="false"/>
          <w:smallCaps w:val="false"/>
          <w:sz w:val="20"/>
        </w:rPr>
        <w:t xml:space="preserve">, each Revolving Credit Lender shall, on the date such Revolving Credit Loan was to have been made pursuant to the notice referred to in </w:t>
      </w:r>
      <w:r>
        <w:rPr>
          <w:rFonts w:ascii="Times New Roman;Times;Serif" w:hAnsi="Times New Roman;Times;Serif"/>
          <w:b w:val="false"/>
          <w:i w:val="false"/>
          <w:caps w:val="false"/>
          <w:smallCaps w:val="false"/>
          <w:sz w:val="20"/>
          <w:u w:val="single"/>
        </w:rPr>
        <w:t>Section 2.2(b)(i)</w:t>
      </w:r>
      <w:r>
        <w:rPr>
          <w:rFonts w:ascii="Times New Roman;Times;Serif" w:hAnsi="Times New Roman;Times;Serif"/>
          <w:b w:val="false"/>
          <w:i w:val="false"/>
          <w:caps w:val="false"/>
          <w:smallCaps w:val="false"/>
          <w:sz w:val="20"/>
        </w:rPr>
        <w:t>, purchase for cash an undivided participating interest in the then outstanding Swingline Loans by paying to the Swingline Lender an amount (the “</w:t>
      </w:r>
      <w:r>
        <w:rPr>
          <w:rFonts w:ascii="Times New Roman;Times;Serif" w:hAnsi="Times New Roman;Times;Serif"/>
          <w:b w:val="false"/>
          <w:i w:val="false"/>
          <w:caps w:val="false"/>
          <w:smallCaps w:val="false"/>
          <w:sz w:val="20"/>
          <w:u w:val="single"/>
        </w:rPr>
        <w:t>Swingline Participation Amount</w:t>
      </w:r>
      <w:r>
        <w:rPr>
          <w:rFonts w:ascii="Times New Roman;Times;Serif" w:hAnsi="Times New Roman;Times;Serif"/>
          <w:b w:val="false"/>
          <w:i w:val="false"/>
          <w:caps w:val="false"/>
          <w:smallCaps w:val="false"/>
          <w:sz w:val="20"/>
        </w:rPr>
        <w:t xml:space="preserve">”) equal to such Revolving Credit Lender’s Revolving Credit Commitment Percentage of the aggregate principal amount of Swingline Loans then outstanding. Each Revolving Credit Lender will immediately transfer to the Swingline Lender, in immediately available funds, the amount of its Swingline Participation Amount. Whenever, at any time after the Swingline Lender has received from any Revolving Credit Lender such Revolving Credit Lender’s Swingline Participation Amount, the Swingline Lender receives any payment on account of the Swingline Loans, the Swingline Lender will distribute to such Revolving Credit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Credit Lender’s pro rata portion of such payment if such payment is not sufficient to pay the principal of and interest on all Swingline Loans then due);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such payment received by the Swingline Lender is required to be returned, such Revolving Credit Lender will return to the Swingline Lender any portion thereof previously distributed to it by the Swingline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Each Revolving Credit Lender’s obligation to make the Revolving Credit Loans referred to in </w:t>
      </w:r>
      <w:r>
        <w:rPr>
          <w:rFonts w:ascii="Times New Roman;Times;Serif" w:hAnsi="Times New Roman;Times;Serif"/>
          <w:b w:val="false"/>
          <w:i w:val="false"/>
          <w:caps w:val="false"/>
          <w:smallCaps w:val="false"/>
          <w:sz w:val="20"/>
          <w:u w:val="single"/>
        </w:rPr>
        <w:t>Section 2.2(b)(i)</w:t>
      </w:r>
      <w:r>
        <w:rPr>
          <w:rFonts w:ascii="Times New Roman;Times;Serif" w:hAnsi="Times New Roman;Times;Serif"/>
          <w:b w:val="false"/>
          <w:i w:val="false"/>
          <w:caps w:val="false"/>
          <w:smallCaps w:val="false"/>
          <w:sz w:val="20"/>
        </w:rPr>
        <w:t xml:space="preserve"> and to purchase participating interests pursuant to </w:t>
      </w:r>
      <w:r>
        <w:rPr>
          <w:rFonts w:ascii="Times New Roman;Times;Serif" w:hAnsi="Times New Roman;Times;Serif"/>
          <w:b w:val="false"/>
          <w:i w:val="false"/>
          <w:caps w:val="false"/>
          <w:smallCaps w:val="false"/>
          <w:sz w:val="20"/>
          <w:u w:val="single"/>
        </w:rPr>
        <w:t>Section 2.2(b)(iii)</w:t>
      </w:r>
      <w:r>
        <w:rPr>
          <w:rFonts w:ascii="Times New Roman;Times;Serif" w:hAnsi="Times New Roman;Times;Serif"/>
          <w:b w:val="false"/>
          <w:i w:val="false"/>
          <w:caps w:val="false"/>
          <w:smallCaps w:val="false"/>
          <w:sz w:val="20"/>
        </w:rPr>
        <w:t xml:space="preserve"> shall be absolute and unconditional and shall not be affected by any circumstance, including (A) any setoff, counterclaim, recoupment, defense or other right that such Revolving Credit Lender or the Borrowers may have against the Swingline Lender, the Borrowers or any other Person for any reason whatsoever, (B) the occurrence or continuance of a Default or an Event of Default or the failure to satisfy any of the other conditions specified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(C) any adverse change in the condition (financial or otherwise) of the Borrowers, (D) any breach of this Agreement or any other Loan Document by the Borrowers, any other Credit Party or any other Revolving Credit Lender or (E) any other circumstance, happening or event whatsoever, whether or not similar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any Revolving Credit Lender fails to make available to the Administrative Agent, for the account of the Swingline Lender, any amount required to be paid by such Revolving Credit Lender pursuant to the foregoing provisions of this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by the time specified in </w:t>
      </w:r>
      <w:r>
        <w:rPr>
          <w:rFonts w:ascii="Times New Roman;Times;Serif" w:hAnsi="Times New Roman;Times;Serif"/>
          <w:b w:val="false"/>
          <w:i w:val="false"/>
          <w:caps w:val="false"/>
          <w:smallCaps w:val="false"/>
          <w:sz w:val="20"/>
          <w:u w:val="single"/>
        </w:rPr>
        <w:t>Section 2.2(b)(i)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2.2(b)(iii)</w:t>
      </w:r>
      <w:r>
        <w:rPr>
          <w:rFonts w:ascii="Times New Roman;Times;Serif" w:hAnsi="Times New Roman;Times;Serif"/>
          <w:b w:val="false"/>
          <w:i w:val="false"/>
          <w:caps w:val="false"/>
          <w:smallCaps w:val="false"/>
          <w:sz w:val="20"/>
        </w:rPr>
        <w:t>, as applicable, the Swingline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Swingline Lender at a rate per annum equal to the Overnight Rate, plus any administrative, processing or similar fees customarily charged by the Swingline Lender in connection with the foregoing. If such Revolving Credit Lender pays such amount (with interest and fees as aforesaid), the amount so paid shall constitute such Revolving Credit Lender’s Revolving Credit Loan or Swingline Participation Amount, as the case may be. A certificate of the Swingline Lender submitted to any Revolving Credit Lender (through the Administrative Agent) with respect to any amounts owing under this clause (v) shall be conclusive absent manifest error.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xml:space="preserve">. Notwithstanding anything to the contrary contained in this Agreement,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be subject to the terms and conditions of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Procedure for Advances of Revolving Credit Loans and Swingline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Requests for Borrowing</w:t>
      </w:r>
      <w:r>
        <w:rPr>
          <w:rFonts w:ascii="Times New Roman;Times;Serif" w:hAnsi="Times New Roman;Times;Serif"/>
          <w:b w:val="false"/>
          <w:i w:val="false"/>
          <w:caps w:val="false"/>
          <w:smallCaps w:val="false"/>
          <w:sz w:val="20"/>
        </w:rPr>
        <w:t xml:space="preserve">. The Administrative Borrower shall give the Administrative Agent irrevocable prior written notice substantially in the form of </w:t>
      </w:r>
      <w:r>
        <w:rPr>
          <w:rFonts w:ascii="Times New Roman;Times;Serif" w:hAnsi="Times New Roman;Times;Serif"/>
          <w:b/>
          <w:i/>
          <w:caps w:val="false"/>
          <w:smallCaps w:val="false"/>
          <w:sz w:val="20"/>
        </w:rPr>
        <w:t>Exhibit E</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not later than 11:00 a.m. (i) on the same Business Day as each Base Rate Loan and each Swingline Loan, (ii) at least five (5) U.S. Government Securities Business Days before each Daily Simple SOFR Loan and (iii) at least three (3) U.S. Government Securities Business Days before each Term SOFR Loan, of its intention to borrow, specifying (A) the date of such borrowing, which shall be a Business Day, (B) the amount of such borrowing, which shall be, (x) with respect to Base Rate Loans (other than Swingline Loans) in an aggregate principal amount of $1,000,000 or a whole multiple of $500,000 in excess thereof, (y) with respect to SOFR Loans in an aggregate principal amount of $2,000,000 or a whole multiple of $1,000,000 in excess thereof and (z) with respect to Swingline Loans in an aggregate principal amount of $100,000 or a whole multiple of $100,000 in excess thereof (or, in each case, the remaining amount of the aggregate Revolving Credit Commitments or the Swingline Commitment, as applicable), (C) whether such Loan is to be a Revolving Credit Loan or Swingline Loan, (D) in the case of a Revolving Credit Loan whether such Revolving Credit Loan is to be a Daily Simple SOFR Loan, a Term SOFR Loan or a Base Rate Loan, and (E) in the case of a Term SOFR Loan, the duration of the Interest Period applicable thereto. If the Administrative Borrower fails to specify a type of Loan in a Notice of Borrowing, then the applicable Loans shall be made as Base Rate Loans. If the Administrative Borrower requests a borrowing of a Term SOFR Loan in any such Notice of Borrowing, but fails to specify an Interest Period, it will be deemed to have specified an Interest Period of one month. A Notice of Borrowing received after 11:00 a.m. shall be deemed received on the next Business Day or U.S. Government Securities Business Day, as applicable. The Administrative Agent shall promptly notify the Revolving Credit Lenders of each Notice of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Disbursement of Revolving Credit and Swingline Loans</w:t>
      </w:r>
      <w:r>
        <w:rPr>
          <w:rFonts w:ascii="Times New Roman;Times;Serif" w:hAnsi="Times New Roman;Times;Serif"/>
          <w:b w:val="false"/>
          <w:i w:val="false"/>
          <w:caps w:val="false"/>
          <w:smallCaps w:val="false"/>
          <w:sz w:val="20"/>
        </w:rPr>
        <w:t xml:space="preserve">. Not later than 1:00 p.m. on the proposed borrowing date, (i) each Revolving Credit Lender will make available to the Administrative Agent, for the account of the Borrowers, at the Administrative Agent’s Office in funds immediately available to the Administrative Agent, such Revolving Credit Lender’s Revolving Credit Commitment Percentage of the Revolving Credit Loans to be made on such borrowing date and (ii) the Swingline Lender will make available to the Administrative Agent, for the account of the Borrowers, at the Administrative Agent’s Office in funds immediately available to the Administrative Agent, the Swingline Loans to be made on such borrowing date. The Borrowers hereby irrevocably authorize the Administrative Agent to disburse the proceeds of each borrowing requested pursuant to this Section in immediately available funds by crediting or wiring such proceeds to the deposit account of a Borrower identified in the most recent notice substantially in the form attached as </w:t>
      </w:r>
      <w:r>
        <w:rPr>
          <w:rFonts w:ascii="Times New Roman;Times;Serif" w:hAnsi="Times New Roman;Times;Serif"/>
          <w:b/>
          <w:i/>
          <w:caps w:val="false"/>
          <w:smallCaps w:val="false"/>
          <w:sz w:val="20"/>
        </w:rPr>
        <w:t>Exhibit F</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Account Designation</w:t>
      </w:r>
      <w:r>
        <w:rPr>
          <w:rFonts w:ascii="Times New Roman;Times;Serif" w:hAnsi="Times New Roman;Times;Serif"/>
          <w:b w:val="false"/>
          <w:i w:val="false"/>
          <w:caps w:val="false"/>
          <w:smallCaps w:val="false"/>
          <w:sz w:val="20"/>
        </w:rPr>
        <w:t xml:space="preserve">”) delivered by the Administrative Borrower to the Administrative Agent or as may be otherwise agreed upon by the Administrative Borrower and the Administrative Agent from time to time. Subject to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Repayment and Prepayment of Revolving Credit and Swingline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Repayment on Termination Date</w:t>
      </w:r>
      <w:r>
        <w:rPr>
          <w:rFonts w:ascii="Times New Roman;Times;Serif" w:hAnsi="Times New Roman;Times;Serif"/>
          <w:b w:val="false"/>
          <w:i w:val="false"/>
          <w:caps w:val="false"/>
          <w:smallCaps w:val="false"/>
          <w:sz w:val="20"/>
        </w:rPr>
        <w:t xml:space="preserve">. The Borrowers hereby agree to repay the outstanding principal amount of (i) all Revolving Credit Loans in full on the Revolving Credit Maturity Date, and (ii) all Swingline Loans in accordance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(but, in any event, no later than the Revolving Credit Maturity Date), together, in each case, with all accrued but unpaid interest thereon.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 xml:space="preserve">. If at any time the Revolving Credit Outstandings exceed the aggregate Revolving Credit Commitments, the Borrowers agree to repay immediately upon notice from the Administrative Agent, by payment to the Administrative Agent for the account of the Lenders, Extensions of Credit in an amount equal to such excess with each such repayment applied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principal amount of outstanding Swingline Loans,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principal amount of outstanding Revolving Credit Loans and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with respect to any Letters of Credit then outstanding, as a payment of Cash Collateral into a Cash Collateral account opened by the Administrative Agent, for the benefit of the Lenders, in an amount equal to such excess (such Cash Collateral to be applied in accordance with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 xml:space="preserve">. The Borrowers may at any time and from time to time prepay Revolving Credit Loans and Swingline Loans, in whole or in part, without premium or penalty, with irrevocable prior written notice to the Administrative Agent substantially in the form attached as </w:t>
      </w:r>
      <w:r>
        <w:rPr>
          <w:rFonts w:ascii="Times New Roman;Times;Serif" w:hAnsi="Times New Roman;Times;Serif"/>
          <w:b/>
          <w:i/>
          <w:caps w:val="false"/>
          <w:smallCaps w:val="false"/>
          <w:sz w:val="20"/>
        </w:rPr>
        <w:t>Exhibit G</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Prepayment</w:t>
      </w:r>
      <w:r>
        <w:rPr>
          <w:rFonts w:ascii="Times New Roman;Times;Serif" w:hAnsi="Times New Roman;Times;Serif"/>
          <w:b w:val="false"/>
          <w:i w:val="false"/>
          <w:caps w:val="false"/>
          <w:smallCaps w:val="false"/>
          <w:sz w:val="20"/>
        </w:rPr>
        <w:t xml:space="preserve">”) given not later than 11:00 a.m. (i) on the same Business Day as prepayment of each Base Rate Loan and each Swingline Loan, (ii) at least five (5) U.S. Government Securities Business Days before prepayment of each Daily Simple SOFR Loan and (iii) at least three (3) U.S. Government Securities Business Days before prepayment of each Term SOFR Loan, specifying the date and amount of prepayment and whether the prepayment is of Daily Simple SOFR Loans, Term SOFR Loans, Base Rate Loans,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a whole multiple of $500,000 in excess thereof with respect to Base Rate Loans (other than Swingline Loans), $2,000,000 or a whole multiple of $1,000,000 in excess thereof with respect to SOFR Loans and $100,000 or a whole multiple of $100,000 in excess thereof with respect to Swingline Loans. A Notice of Prepayment received after 11:00 a.m. shall be deemed received on the next Business Day or U.S. Government Securities Business Day, as applicable. Each such repayment shall be accompanied by any amount required to be paid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hereof. Notwithstanding the foregoing, any Notice of Prepayment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Administrative Borrower in the event such contingency is not met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such contingency shall not relieve any Borrower from its obligations in respect thereof under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 on Prepayment of SOFR Loans</w:t>
      </w:r>
      <w:r>
        <w:rPr>
          <w:rFonts w:ascii="Times New Roman;Times;Serif" w:hAnsi="Times New Roman;Times;Serif"/>
          <w:b w:val="false"/>
          <w:i w:val="false"/>
          <w:caps w:val="false"/>
          <w:smallCaps w:val="false"/>
          <w:sz w:val="20"/>
        </w:rPr>
        <w:t xml:space="preserve">. The Borrowers may not prepay any Term SOFR Loan on any day other than on the last day of the Interest Period applicable thereto, or any Daily Simple SOFR Loan on any day other than an Interest Payment Date therefor, unless such prepayment is accompanied by any amount required to be paid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Hedge Agreements</w:t>
      </w:r>
      <w:r>
        <w:rPr>
          <w:rFonts w:ascii="Times New Roman;Times;Serif" w:hAnsi="Times New Roman;Times;Serif"/>
          <w:b w:val="false"/>
          <w:i w:val="false"/>
          <w:caps w:val="false"/>
          <w:smallCaps w:val="false"/>
          <w:sz w:val="20"/>
        </w:rPr>
        <w:t>. No repayment or prepayment of the Loans pursuant to this Section shall affect any of the Borrower’s obligations under any Hedge Agreement entered into with respect to the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 Prepayment of Excess Proceeds. In the event proceeds remain after the prepayments of Term Loan Facility pursuant to Section 2.10(b), the amount of such excess proceeds shall be used on the date of the required prepayment under Section 2.10(b) to prepay the outstanding principal amount of the Revolving Credit Loans, without a corresponding reduction of the Revolving Credit Commitment, with remaining proceeds, if any, refunded to the Borrowers.</w:t>
      </w:r>
    </w:p>
    <w:p>
      <w:pPr>
        <w:pStyle w:val="TextBody"/>
        <w:bidi w:val="0"/>
        <w:spacing w:before="0" w:after="0"/>
        <w:ind w:left="0" w:right="0" w:firstLine="72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Permanent Reduction of the Revolving Credit Commitment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Voluntary Reduction</w:t>
      </w:r>
      <w:r>
        <w:rPr>
          <w:rFonts w:ascii="Times New Roman;Times;Serif" w:hAnsi="Times New Roman;Times;Serif"/>
          <w:b w:val="false"/>
          <w:i w:val="false"/>
          <w:caps w:val="false"/>
          <w:smallCaps w:val="false"/>
          <w:sz w:val="20"/>
        </w:rPr>
        <w:t>. The Borrowers shall have the right at any time and from time to time, upon at least five (5) Business Days prior irrevocable written notice by Administrative Borrower to the Administrative Agent, to permanently reduce, without premium or penalty, (i) the entire Revolving Credit Commitment at any time or (ii) portions of the Revolving Credit Commitment, from time to time, in an aggregate principal amount not less than $1,000,000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Notwithstanding the foregoing, any notice to reduce the Revolving Credit Commitment delivered in connection with any refinancing of all of the Credit Facilities with the proceeds of such refinancing or of any incurrence of Indebtedness or the occurrence of some other identifiable event or condition, may be, if expressly so stated to be, contingent upon the consummation of such refinancing or incurrence or occurrence of such identifiable event or condition and may be revoked by the Administrative Borrower in the event such contingency is not met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such contingency shall not relieve any Borrower from its obligations in respect thereof under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Corresponding Payment</w:t>
      </w:r>
      <w:r>
        <w:rPr>
          <w:rFonts w:ascii="Times New Roman;Times;Serif" w:hAnsi="Times New Roman;Times;Serif"/>
          <w:b w:val="false"/>
          <w:i w:val="false"/>
          <w:caps w:val="false"/>
          <w:smallCaps w:val="false"/>
          <w:sz w:val="20"/>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Borrowers shall be required to deposit Cash Collateral in a Cash Collateral account opened by the Administrative Agent in an amount equal to such excess. Such Cash Collateral shall be applied in accordance with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xml:space="preserve">. Any reduction of the Revolving Credit Commitment to zero shall be accompanied by payment of all outstanding Revolving Credit Loans and Swingline Loans (and furnishing of Cash Collateral satisfactory to the Administrative Agent for all L/C Obligations or other arrangements satisfactory to the respective Issuing Lenders) and shall result in the termination of the Revolving Credit Commitment and the Swingline Commitment and the Revolving Credit Facility. If the reduction of the Revolving Credit Commitment requires the repayment of any SOFR Loan, such repayment shall be accompanied by any amount required to be paid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Termination of Revolving Credit Facility</w:t>
      </w:r>
      <w:r>
        <w:rPr>
          <w:rFonts w:ascii="Times New Roman;Times;Serif" w:hAnsi="Times New Roman;Times;Serif"/>
          <w:b w:val="false"/>
          <w:i w:val="false"/>
          <w:caps w:val="false"/>
          <w:smallCaps w:val="false"/>
          <w:sz w:val="20"/>
        </w:rPr>
        <w:t>. The Revolving Credit Facility and the Revolving Credit Commitments shall terminate on the Revolving Credit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SECTION 2.7 Incremental Term Loan-1. Subject to the terms and conditions of this Agreement and the other Loan Documents, and in reliance upon the representations and warranties set forth in this Agreement and the other Loan Documents, each Term Loan Lender severally agrees to make the Incremental Term Loan-1 to Holdings on the Amendment No. 2 Effective Date in a principal amount equal to such Lender’s Term Loan Commitment as of the Amendment No. 2 Effective Date. Notwithstanding the foregoing, if the total Term Loan Commitment as of the Amendment No. 2 Effective Date is not drawn on the Amendment No. 2 Effective Date, the undrawn amount shall automatically be cancelled.</w:t>
      </w:r>
    </w:p>
    <w:p>
      <w:pPr>
        <w:pStyle w:val="TextBody"/>
        <w:bidi w:val="0"/>
        <w:spacing w:before="0" w:after="0"/>
        <w:ind w:left="0" w:right="0" w:hanging="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SECTION 2.8 Procedure for Advance of Term Loans.</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 Incremental Term Loan-1. The Administrative Borrower shall give the Administrative Agent an irrevocable Notice of Borrowing prior to 11:00 a.m. on the Amendment No. 2 Effective Date requesting that the Term Loan Lenders make the Incremental Term Loan-1 as a Base Rate Loan on such date (provided that the Administrative Borrower may request, no later than three (3) U.S. Government Securities Business Days prior to the Amendment No. 2 Effective Date, that the Lenders make the Incremental Term Loan-1 as a SOFR Loan if the Administrative Borrower has delivered to the Administrative Agent a letter in form and substance reasonably satisfactory to the Administrative Agent indemnifying the Lenders in the manner set forth in Section 4.9 of this Agreement). Upon receipt of such Notice of Borrowing from the Administrative Borrower, the Administrative Agent shall promptly notify each Term Loan Lender thereof. Not later than 1:00 p.m. on the Amendment No. 2 Effective Date, each Term Loan Lender will make available to the Administrative Agent for the account of Holdings, at the Administrative Agent’s Office in immediately available funds, the amount of such Incremental Term Loan-1 to be made by such Term Loan Lender on the Amendment No. 2 Effective Date. The Borrowers hereby irrevocably authorize the Administrative Agent to disburse the proceeds of the Incremental Term Loan-1 in immediately available funds by wire transfer to such Person or Persons as may be designated by the Administrative Borrower in writing.</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 Additional Incremental Term Loans. Any other Incremental Term Loans shall be borrowed pursuant to, and in accordance with Section 4.13.</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SECTION 2.9 Repayment of Term Loans.</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 Incremental Term Loan-1. The Borrowers shall repay the aggregate outstanding principal amount of the Incremental Term Loan-1 in consecutive quarterly installments on the last Business Day of each of March, June, September and December commencing December 31, 2026 as set forth below, except as the amounts of individual installments may be adjusted pursuant to Section 2.10 hereof:</w:t>
      </w:r>
    </w:p>
    <w:p>
      <w:pPr>
        <w:pStyle w:val="TextBody"/>
        <w:bidi w:val="0"/>
        <w:spacing w:before="0" w:after="0"/>
        <w:ind w:left="1440" w:right="0" w:hanging="0"/>
        <w:jc w:val="both"/>
        <w:rPr>
          <w:caps w:val="false"/>
          <w:smallCaps w:val="false"/>
        </w:rPr>
      </w:pPr>
      <w:r>
        <w:rPr>
          <w:caps w:val="false"/>
          <w:smallCaps w:val="false"/>
        </w:rPr>
        <w:t> </w:t>
      </w:r>
    </w:p>
    <w:tbl>
      <w:tblPr>
        <w:tblW w:w="5440" w:type="dxa"/>
        <w:jc w:val="center"/>
        <w:tblInd w:w="0" w:type="dxa"/>
        <w:tblLayout w:type="fixed"/>
        <w:tblCellMar>
          <w:top w:w="0" w:type="dxa"/>
          <w:left w:w="0" w:type="dxa"/>
          <w:bottom w:w="0" w:type="dxa"/>
          <w:right w:w="0" w:type="dxa"/>
        </w:tblCellMar>
      </w:tblPr>
      <w:tblGrid>
        <w:gridCol w:w="2105"/>
        <w:gridCol w:w="3335"/>
      </w:tblGrid>
      <w:tr>
        <w:trPr/>
        <w:tc>
          <w:tcPr>
            <w:tcW w:w="2105" w:type="dxa"/>
            <w:tcBorders/>
            <w:vAlign w:val="center"/>
          </w:tcPr>
          <w:p>
            <w:pPr>
              <w:pStyle w:val="TableContents"/>
              <w:bidi w:val="0"/>
              <w:spacing w:before="0" w:after="283"/>
              <w:jc w:val="center"/>
              <w:rPr>
                <w:rFonts w:ascii="Times New Roman;Times;Serif" w:hAnsi="Times New Roman;Times;Serif"/>
                <w:b/>
                <w:color w:val="0000FF"/>
                <w:sz w:val="20"/>
                <w:u w:val="single"/>
              </w:rPr>
            </w:pPr>
            <w:r>
              <w:rPr>
                <w:rFonts w:ascii="Times New Roman;Times;Serif" w:hAnsi="Times New Roman;Times;Serif"/>
                <w:b/>
                <w:color w:val="0000FF"/>
                <w:sz w:val="20"/>
                <w:u w:val="single"/>
              </w:rPr>
              <w:t>PAYMENT DATE</w:t>
            </w:r>
          </w:p>
        </w:tc>
        <w:tc>
          <w:tcPr>
            <w:tcW w:w="3335" w:type="dxa"/>
            <w:tcBorders/>
            <w:vAlign w:val="center"/>
          </w:tcPr>
          <w:p>
            <w:pPr>
              <w:pStyle w:val="TableContents"/>
              <w:bidi w:val="0"/>
              <w:spacing w:before="0" w:after="283"/>
              <w:jc w:val="center"/>
              <w:rPr>
                <w:rFonts w:ascii="Times New Roman;Times;Serif" w:hAnsi="Times New Roman;Times;Serif"/>
                <w:b/>
                <w:color w:val="0000FF"/>
                <w:sz w:val="20"/>
                <w:u w:val="single"/>
              </w:rPr>
            </w:pPr>
            <w:r>
              <w:rPr>
                <w:rFonts w:ascii="Times New Roman;Times;Serif" w:hAnsi="Times New Roman;Times;Serif"/>
                <w:b/>
                <w:color w:val="0000FF"/>
                <w:sz w:val="20"/>
                <w:u w:val="single"/>
              </w:rPr>
              <w:t>PRINCIPAL INSTALLMENT</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December 31, 2026</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March 31, 2027</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June 30, 2027</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September 30, 2027</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December 31, 2027</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March 31, 2028</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June 30, 2028</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September 30, 2028</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December 31, 2028</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March 31, 2029</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June 30, 2029</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September 30, 2029</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December 31, 2029</w:t>
            </w:r>
          </w:p>
        </w:tc>
        <w:tc>
          <w:tcPr>
            <w:tcW w:w="3335" w:type="dxa"/>
            <w:tcBorders/>
            <w:vAlign w:val="center"/>
          </w:tcPr>
          <w:p>
            <w:pPr>
              <w:pStyle w:val="TableContents"/>
              <w:bidi w:val="0"/>
              <w:spacing w:before="0" w:after="283"/>
              <w:jc w:val="both"/>
              <w:rPr>
                <w:rFonts w:ascii="Times New Roman;Times;Serif" w:hAnsi="Times New Roman;Times;Serif"/>
                <w:color w:val="0000FF"/>
                <w:sz w:val="20"/>
                <w:u w:val="single"/>
              </w:rPr>
            </w:pPr>
            <w:r>
              <w:rPr>
                <w:rFonts w:ascii="Times New Roman;Times;Serif" w:hAnsi="Times New Roman;Times;Serif"/>
                <w:color w:val="0000FF"/>
                <w:sz w:val="20"/>
                <w:u w:val="single"/>
              </w:rPr>
              <w:t>$2,500,000</w:t>
            </w:r>
          </w:p>
        </w:tc>
      </w:tr>
      <w:tr>
        <w:trPr/>
        <w:tc>
          <w:tcPr>
            <w:tcW w:w="210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Term Loan Maturity Date</w:t>
            </w:r>
          </w:p>
        </w:tc>
        <w:tc>
          <w:tcPr>
            <w:tcW w:w="3335" w:type="dxa"/>
            <w:tcBorders/>
            <w:vAlign w:val="center"/>
          </w:tcPr>
          <w:p>
            <w:pPr>
              <w:pStyle w:val="TableContents"/>
              <w:bidi w:val="0"/>
              <w:spacing w:before="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Aggregate outstanding principal amount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If not sooner paid, the Incremental Term Loan-1 shall be paid in full, together with accrued interest thereon, on the Term Loan Maturity Date.</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 Additional Incremental Term Loans. The Borrowers shall repay the aggregate outstanding principal amount of each other Incremental Term Loan (if any) as determined pursuant to, and in accordance with, Section 4.13.</w:t>
      </w:r>
    </w:p>
    <w:p>
      <w:pPr>
        <w:pStyle w:val="TextBody"/>
        <w:bidi w:val="0"/>
        <w:spacing w:before="0" w:after="0"/>
        <w:ind w:left="0" w:right="0" w:firstLine="72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SECTION 2.10 Prepayments of Term Loans.</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(a) Optional Prepayments. The Borrowers shall have the right at any time and from time to time, without premium or penalty, except as set forth in Section 4.9, to prepay the Term Loans pursuant to this Section 2.10(a), in whole or in part, upon delivery to the Administrative Agent of a Notice of Prepayment not later than 11:00 a.m. (i) on the same Business Day as prepayment of each Base Rate Loan and (ii) at least three (3) U.S. Government Securities Business Days before prepayment of each SOFR Loan, specifying the date and amount of prepayment, whether the prepayment is of SOFR Loans or Base Rate Loans or a combination thereof, and, if of a combination thereof, the amount allocable to each and whether the prepayment is of the Incremental Term Loan-1, an Incremental Term Loan or a combination thereof, and, if of a combination thereof, the amount allocable to each. Each optional prepayment of the Term Loans hereunder shall be in an aggregate principal amount of at least $1,000,000 or any whole multiple of $500,000 in excess thereof (or, if less, the remaining outstanding principal amount thereof) and shall be applied to prepay the Term Loans in the amounts set forth in the applicable Notice of Prepayment and shall be applied to reduce the scheduled principal amortizations of such Term Loans on a pro rata basis). Each repayment shall be accompanied by any amount required to be paid pursuant to Section 4.9 hereof. A Notice of Prepayment received after 11:00 a.m. shall be deemed received on the next Business Day or U.S. Government Securities Business Day, as applicable. The Administrative Agent shall promptly notify the applicable Term Loan Lenders of each Notice of Prepayment. Notwithstanding the foregoing, any Notice of Prepayment delivered in connection with any refinancing of all of the Credit Facility with the proceeds of such refinancing or of any other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Administrative Borrower in the event such contingency is not met; provided that the delay or failure of such contingency shall not relieve the Borrowers from their obligations in respect thereof under Section 4.9.</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(b) Mandatory Prepayments.</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 Debt Issuances. The Borrowers shall make mandatory principal prepayments of the Loans and, if applicable, Cash Collateralize the L/C Obligations in the manner set forth in clause (iv) below in an amount equal to one hundred percent (100%) of the aggregate Net Cash Proceeds from any Debt Issuance not otherwise permitted pursuant to Section 8.1. Such prepayment shall be made within three (3) Business Days after the date of receipt of the Net Cash Proceeds of any such Debt Issuance.</w:t>
      </w:r>
    </w:p>
    <w:p>
      <w:pPr>
        <w:pStyle w:val="TextBody"/>
        <w:bidi w:val="0"/>
        <w:spacing w:before="0" w:after="0"/>
        <w:ind w:left="720" w:right="0" w:firstLine="720"/>
        <w:jc w:val="both"/>
        <w:rPr>
          <w:caps w:val="false"/>
          <w:smallCaps w:val="false"/>
          <w:color w:val="0000FF"/>
        </w:rPr>
      </w:pPr>
      <w:r>
        <w:rPr>
          <w:caps w:val="false"/>
          <w:smallCaps w:val="false"/>
          <w:color w:val="0000FF"/>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(ii) Asset Dispositions and Insurance and Condemnation Events. The Borrowers shall make mandatory principal prepayments of the Loans and, if applicable, Cash Collateralize the L/C Obligations in the manner set forth in clause (iv) below in amounts equal to one hundred percent (100%) of the aggregate Net Cash Proceeds from (A) any Asset Disposition (other than any Asset Disposition permitted pursuant to, and in accordance with, clauses (a) through (n) of Section 8.5) or (B) any Insurance and Condemnation Event, to the extent that the aggregate amount of such Net Cash Proceeds, in the case of each of clauses (A) and (B), respectively, exceed $10,000,000 during any Fiscal Year. Such prepayments shall be made within three (3) Business Days after the date of receipt of the Net Cash Proceeds; provided that, so long as no Default or Event of Default has occurred and is continuing, no prepayment shall be required under this Section 2.10(b)(ii) with respect to such portion of such Net Cash Proceeds that the Administrative Borrower shall have, on or prior to such date given written notice to the Administrative Agent of its intent to reinvest in accordance with Section 2.10(b)(iii).</w:t>
      </w:r>
    </w:p>
    <w:p>
      <w:pPr>
        <w:pStyle w:val="TextBody"/>
        <w:bidi w:val="0"/>
        <w:spacing w:before="0" w:after="0"/>
        <w:ind w:left="720" w:right="0" w:firstLine="72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(iii) Reinvestment Option. </w:t>
      </w:r>
      <w:r>
        <w:rPr>
          <w:rFonts w:ascii="Times New Roman;Times;Serif" w:hAnsi="Times New Roman;Times;Serif"/>
          <w:b w:val="false"/>
          <w:i w:val="false"/>
          <w:caps w:val="false"/>
          <w:smallCaps w:val="false"/>
          <w:color w:val="008000"/>
          <w:sz w:val="20"/>
          <w:u w:val="single"/>
        </w:rPr>
        <w:t xml:space="preserve">With respect to </w:t>
      </w:r>
      <w:r>
        <w:rPr>
          <w:rFonts w:ascii="Times New Roman;Times;Serif" w:hAnsi="Times New Roman;Times;Serif"/>
          <w:b w:val="false"/>
          <w:i w:val="false"/>
          <w:caps w:val="false"/>
          <w:smallCaps w:val="false"/>
          <w:color w:val="0000FF"/>
          <w:sz w:val="20"/>
          <w:u w:val="single"/>
        </w:rPr>
        <w:t xml:space="preserve">any Net Cash Proceeds realized or received with respect to any Asset Disposition or any Insurance and Condemnation Event by any Credit Party of any Subsidiary thereof (in each case, to the extent not excluded pursuant to Section 2.10(b)(ii)), at the option of the Borrowers set forth in a written notice to the Administrative Agent on or </w:t>
      </w:r>
      <w:r>
        <w:rPr>
          <w:rFonts w:ascii="Times New Roman;Times;Serif" w:hAnsi="Times New Roman;Times;Serif"/>
          <w:b w:val="false"/>
          <w:i w:val="false"/>
          <w:caps w:val="false"/>
          <w:smallCaps w:val="false"/>
          <w:color w:val="008000"/>
          <w:sz w:val="20"/>
          <w:u w:val="single"/>
        </w:rPr>
        <w:t xml:space="preserve">prior to the </w:t>
      </w:r>
      <w:r>
        <w:rPr>
          <w:rFonts w:ascii="Times New Roman;Times;Serif" w:hAnsi="Times New Roman;Times;Serif"/>
          <w:b w:val="false"/>
          <w:i w:val="false"/>
          <w:caps w:val="false"/>
          <w:smallCaps w:val="false"/>
          <w:color w:val="0000FF"/>
          <w:sz w:val="20"/>
          <w:u w:val="single"/>
        </w:rPr>
        <w:t>date such prepayment is required, the Credit Parties may reinvest all or any portion of such Net Cash Proceeds in assets used or useful for the business of the Credit Parties and their Subsidiaries within (x) twelve (12) months following receipt of such Net Cash Proceeds or (y) if such Credit Party enters into a bona fide commitment to reinvest such Net Cash Proceeds within twelve (12) months following receipt thereof, within the later of (A) twelve (12) months following receipt thereof and (B) six (6) months of the date of such commitment; provided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Loans as set forth in this Section 2.10(b); provided further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pStyle w:val="TextBody"/>
        <w:bidi w:val="0"/>
        <w:spacing w:before="0" w:after="0"/>
        <w:ind w:left="720" w:right="0" w:firstLine="720"/>
        <w:jc w:val="both"/>
        <w:rPr>
          <w:caps w:val="false"/>
          <w:smallCaps w:val="false"/>
          <w:color w:val="0000FF"/>
        </w:rPr>
      </w:pPr>
      <w:r>
        <w:rPr>
          <w:caps w:val="false"/>
          <w:smallCaps w:val="false"/>
          <w:color w:val="0000FF"/>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(iv) Notice; Manner of Payment. Upon the occurrence of any event triggering the prepayment requirement under clauses (i) through and including (iii) above, the Administrative Borrower shall promptly deliver notice thereof to the Administrative Agent and upon receipt of such notice, the Administrative Agent shall promptly so notify the Lenders. Each prepayment of the Loans under this Section shall be applied as follows: first, ratably between the Incremental Term Loan-1 and (unless otherwise agreed by </w:t>
      </w:r>
      <w:r>
        <w:rPr>
          <w:rFonts w:ascii="Times New Roman;Times;Serif" w:hAnsi="Times New Roman;Times;Serif"/>
          <w:b w:val="false"/>
          <w:i w:val="false"/>
          <w:caps w:val="false"/>
          <w:smallCaps w:val="false"/>
          <w:color w:val="008000"/>
          <w:sz w:val="20"/>
          <w:u w:val="single"/>
        </w:rPr>
        <w:t xml:space="preserve">the applicable </w:t>
      </w:r>
      <w:r>
        <w:rPr>
          <w:rFonts w:ascii="Times New Roman;Times;Serif" w:hAnsi="Times New Roman;Times;Serif"/>
          <w:b w:val="false"/>
          <w:i w:val="false"/>
          <w:caps w:val="false"/>
          <w:smallCaps w:val="false"/>
          <w:color w:val="0000FF"/>
          <w:sz w:val="20"/>
          <w:u w:val="single"/>
        </w:rPr>
        <w:t>Incremental Lenders) any other Incremental Term Loans to reduce on a pro rata basis the remaining scheduled principal installments of the Incremental Term Loan-1 pursuant to Section 2.9 (including the final payment due on the Term Loan Maturity Date) and (as determined by the Administrative Borrower and the applicable Incremental Lenders) to reduce the remaining scheduled principal installments of any other Incremental Term Loans pursuant to the terms of the applicable Incremental Amendment and (ii) second, to the extent of any excess, to repay the Revolving Credit Loans pursuant to Section 2.4(f), without a corresponding reduction in the Revolving Credit Commitment.</w:t>
      </w:r>
    </w:p>
    <w:p>
      <w:pPr>
        <w:pStyle w:val="TextBody"/>
        <w:bidi w:val="0"/>
        <w:spacing w:before="0" w:after="0"/>
        <w:ind w:left="720" w:right="0" w:firstLine="720"/>
        <w:jc w:val="both"/>
        <w:rPr>
          <w:caps w:val="false"/>
          <w:smallCaps w:val="false"/>
          <w:color w:val="0000FF"/>
        </w:rPr>
      </w:pPr>
      <w:r>
        <w:rPr>
          <w:caps w:val="false"/>
          <w:smallCaps w:val="false"/>
          <w:color w:val="0000FF"/>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(v) Prepayment of SOFR Loans. Each prepayment of SOFR Loans shall be accompanied by any amount required to be paid pursuant to Section 4.9; provided that, so long as no Default or Event of Default shall have occurred and be continuing, if any prepayment of SOFR Loans is required to be made under this Section 2.10(b) prior to the last day of the </w:t>
      </w:r>
      <w:r>
        <w:rPr>
          <w:rFonts w:ascii="Times New Roman;Times;Serif" w:hAnsi="Times New Roman;Times;Serif"/>
          <w:b w:val="false"/>
          <w:i w:val="false"/>
          <w:caps w:val="false"/>
          <w:smallCaps w:val="false"/>
          <w:color w:val="008000"/>
          <w:sz w:val="20"/>
          <w:u w:val="single"/>
        </w:rPr>
        <w:t xml:space="preserve">Interest Period </w:t>
      </w:r>
      <w:r>
        <w:rPr>
          <w:rFonts w:ascii="Times New Roman;Times;Serif" w:hAnsi="Times New Roman;Times;Serif"/>
          <w:b w:val="false"/>
          <w:i w:val="false"/>
          <w:caps w:val="false"/>
          <w:smallCaps w:val="false"/>
          <w:color w:val="0000FF"/>
          <w:sz w:val="20"/>
          <w:u w:val="single"/>
        </w:rPr>
        <w:t>therefor, in lieu of making any payment pursuant to this Section 2.10(b) in respect of any such SOFR Loan prior to the last day of the Interest Period therefor, the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Administrative Borrower or any other Credit Party) to apply such amount to the prepayment of such Term Loans in accordance with this Section 2.10(b). Upon the occurrence and during the continuance of any Default or Event of Default, the Administrative Agent shall also be authorized (without any further action by or notice to or from the Administrative Borrower or any other Credit Party) to apply such amount to the prepayment of the outstanding Term Loans in accordance with the relevant provisions of this Section 2.10(b).</w:t>
      </w:r>
    </w:p>
    <w:p>
      <w:pPr>
        <w:pStyle w:val="TextBody"/>
        <w:bidi w:val="0"/>
        <w:spacing w:before="0" w:after="0"/>
        <w:ind w:left="720" w:right="0" w:firstLine="720"/>
        <w:jc w:val="both"/>
        <w:rPr>
          <w:caps w:val="false"/>
          <w:smallCaps w:val="false"/>
          <w:color w:val="0000FF"/>
        </w:rPr>
      </w:pPr>
      <w:r>
        <w:rPr>
          <w:caps w:val="false"/>
          <w:smallCaps w:val="false"/>
          <w:color w:val="0000FF"/>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(vi) No Reborrowings. Amounts prepaid under the Term Loan pursuant to this Section may not be reborrowed.</w:t>
      </w:r>
    </w:p>
    <w:p>
      <w:pPr>
        <w:pStyle w:val="TextBody"/>
        <w:bidi w:val="0"/>
        <w:spacing w:before="0" w:after="0"/>
        <w:ind w:left="720" w:right="0" w:firstLine="720"/>
        <w:jc w:val="both"/>
        <w:rPr>
          <w:caps w:val="false"/>
          <w:smallCaps w:val="false"/>
          <w:color w:val="0000FF"/>
        </w:rPr>
      </w:pPr>
      <w:r>
        <w:rPr>
          <w:caps w:val="false"/>
          <w:smallCaps w:val="false"/>
          <w:color w:val="0000FF"/>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br/>
        <w:t>Letter of Credit Facility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L/C Facility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Availability</w:t>
      </w:r>
      <w:r>
        <w:rPr>
          <w:rFonts w:ascii="Times New Roman;Times;Serif" w:hAnsi="Times New Roman;Times;Serif"/>
          <w:b w:val="false"/>
          <w:i w:val="false"/>
          <w:caps w:val="false"/>
          <w:smallCaps w:val="false"/>
          <w:sz w:val="20"/>
        </w:rPr>
        <w:t xml:space="preserve">. Subject to the terms and conditions hereof, each Issuing Lender, in reliance on the agreements of the Revolving Credit Lenders set forth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agrees to issue standby or commercial Letters of Credit in an aggregate amount not to exceed its L/C Commitment for the account of the Borrowers. Letters of Credit may be issued on any Business Day from the Closing Date to, but not including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prior to the Revolving Credit Maturity Date in such form as may be approved from time to time by the applicable Issuing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Issuing Lender shall issue any Letter of Credit if, after giving effect to such issuance, (i) the aggregate amount of the outstanding Letters of Credit issued by such Issuing Lender would exceed its L/C Commitment, (ii) the L/C Obligations would exceed the L/C Sublimit or (iii) the Revolving Credit Outstandings would exceed the aggregate Revolving Credit Commitments. Letters of Credit issued hereunder shall constitute utilization of the Revolving Credit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Terms of Letters of Credit</w:t>
      </w:r>
      <w:r>
        <w:rPr>
          <w:rFonts w:ascii="Times New Roman;Times;Serif" w:hAnsi="Times New Roman;Times;Serif"/>
          <w:b w:val="false"/>
          <w:i w:val="false"/>
          <w:caps w:val="false"/>
          <w:smallCaps w:val="false"/>
          <w:sz w:val="20"/>
        </w:rPr>
        <w:t xml:space="preserve">. Each Letter of Credit shall (i) be denominated in Dollars, (ii) expire on a date no more than twelve (12) months after the date of issuance or last renewal or extension of such Letter of Credit, which date shall be no later than the fifth (5th) Business Day prior to the Revolving Credit Maturity Date, and (iii) unless otherwise expressly agreed by the applicable Issuing Lender and the Administrative Borrower when a Letter of Credit is issued by it, be subject to the UCP, in the case of a commercial Letter of Credit, or ISP, in the case of a standby Letter of Credit, in each case as set forth in the Letter of Credit Documents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or arbitrator shall by its terms purport to enjoin or restrain such Issuing Lender from issuing such Letter of Credit, or request that such Issuing Lender refrain from, or any Applicable Law applicable to such Issuing Lender or any request or directive (whether or not having the force of law) from any Governmental Authority with jurisdiction over such Issuing Lender shall prohibit,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or known to such Issuing Lender as of the Closing Date and that such Issuing Lender in good faith deems material to it, (B) the conditions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are not satisfied</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it has received notice from the Administrative Agent, any Lender or any Borrower that the conditions set forth in Section 5.2 will not be satisfied and directing such Issuing Lender not to issue such Letter of Credit,</w:t>
      </w:r>
      <w:r>
        <w:rPr>
          <w:rFonts w:ascii="Times New Roman;Times;Serif" w:hAnsi="Times New Roman;Times;Serif"/>
          <w:b w:val="false"/>
          <w:i w:val="false"/>
          <w:caps w:val="false"/>
          <w:smallCaps w:val="false"/>
          <w:sz w:val="20"/>
        </w:rPr>
        <w:t xml:space="preserve"> (C) the issuance of such Letter of Credit would violate one or more policies of such Issuing Lender applicable to letters of credit generally, (D) the proceeds of which would be made available to any Person (x) to fund any activity or business of or with any Sanctioned Person, or in any Sanctioned Country or (y) in any manner that would result in a violation of any Sanctions by any party to this Agreement or (E) any Revolving Credit Lender is at that time a Defaulting Lender, unless such Issuing Lender has entered into arrangements, including the delivery of Cash Collateral, satisfactory to such Issuing Lender (in its sole discretion) with the Administrative Borrower or such Lender to eliminate such Issuing Lender’s actual or potential Fronting Exposure (after giving effect to </w:t>
      </w:r>
      <w:r>
        <w:rPr>
          <w:rFonts w:ascii="Times New Roman;Times;Serif" w:hAnsi="Times New Roman;Times;Serif"/>
          <w:b w:val="false"/>
          <w:i w:val="false"/>
          <w:caps w:val="false"/>
          <w:smallCaps w:val="false"/>
          <w:sz w:val="20"/>
          <w:u w:val="single"/>
        </w:rPr>
        <w:t>Section 4.15(a)(iv)</w:t>
      </w:r>
      <w:r>
        <w:rPr>
          <w:rFonts w:ascii="Times New Roman;Times;Serif" w:hAnsi="Times New Roman;Times;Serif"/>
          <w:b w:val="false"/>
          <w:i w:val="false"/>
          <w:caps w:val="false"/>
          <w:smallCaps w:val="false"/>
          <w:sz w:val="20"/>
        </w:rPr>
        <w:t xml:space="preserve">) with respect to the Defaulting Lender arising from either the Letter of Credit then proposed to be issued or that Letter of Credit and all other L/C Obligations as to which such Issuing Lender has actual or potential Fronting Exposure, as it may elect in its sole discretion. An Issuing Lender shall be under no obligation to amend any Letter of Credit if (x) such Issuing Lender would have no obligation at such time to issue the Letter of Credit in its amended form under the terms hereof or (y) the beneficiary of the Letter of Credit does not accept the proposed amendment to the Letter of Credit. References herein to “issue” and derivations thereof with respect to Letters of Credit shall also include extensions or modifications of any outstanding Letters of Credit, unless the context otherwise requires. As of the Closing Date </w:t>
      </w:r>
      <w:r>
        <w:rPr>
          <w:rFonts w:ascii="Times New Roman;Times;Serif" w:hAnsi="Times New Roman;Times;Serif"/>
          <w:b w:val="false"/>
          <w:i w:val="false"/>
          <w:caps w:val="false"/>
          <w:smallCaps w:val="false"/>
          <w:color w:val="0000FF"/>
          <w:sz w:val="20"/>
          <w:u w:val="single"/>
        </w:rPr>
        <w:t>(or in the case of the UMB Letters of Credit, the Amendment No. 2 Effective Date)</w:t>
      </w:r>
      <w:r>
        <w:rPr>
          <w:rFonts w:ascii="Times New Roman;Times;Serif" w:hAnsi="Times New Roman;Times;Serif"/>
          <w:b w:val="false"/>
          <w:i w:val="false"/>
          <w:caps w:val="false"/>
          <w:smallCaps w:val="false"/>
          <w:sz w:val="20"/>
        </w:rPr>
        <w:t>, each of the Existing Letters of Credit shall constitute, for all purposes of this Agreement and the other Loan Documents, a Letter of Credit issued and outstanding hereunder.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xml:space="preserve">. Notwithstanding anything to the contrary contained in this Agreement,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be subject to the terms and conditions of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Procedure for Issuance and Disbursement of 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Borrowers may from time to time request that any Issuing Lender issue, amend, renew or extend a Letter of Credit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Letter of Credit Documents and information as such Issuing Lender or the Administrative Agent may request, not later than 11:00 a.m. at least two (2) Business Days (or such later date and time as the Administrative Agent and such Issuing Lender may agree in their sole discretion) prior to the proposed date of issuance, amendment, renewal or extension, as the case may be. Such notice shall specify (i) the requested date of issuance, amendment, renewal or extension (which shall be a Business Day), (ii) the date on which such Letter of Credit is to expire (which shall comply with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(iii) the amount of such Letter of Credit, (iv) the name and address of the beneficiary thereof, (v) the purpose and nature of such Letter of Credit and (vi) such other information as shall be necessary to issue, amend, renew or extend such Letter of Credit. Upon receipt of any Letter of Credit Application, the applicable Issuing Lender shall process such Letter of Credit Application and the certificates, documents and other Letter of Credit Documents and information delivered to it in connection therewith in accordance with its customary procedures and shall, subject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promptly issue, amend, renew or extend the Letter of Credit requested thereby (subject to the timing requirements set forth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by issuing the original of such Letter of Credit to the beneficiary thereof or as otherwise may be agreed by such Issuing Lender and the Administrative Borrower. Additionally, the Administrative Borrower shall furnish to the applicable Issuing Lender and the Administrative Agent such other documents and information pertaining to such requested Letter of Credit issuance or amendment, renewal or extension, including any Letter of Credit Documents, as the applicable Issuing Lender or the Administrative Agent may require. The applicable Issuing Lender shall promptly furnish to the Administrative Borrower and the Administrative Agent a copy of such Letter of Credit and the related Letter of Credit Documents and the Administrative Agent shall promptly notify each Revolving Credit Lender of the issuance and upon request by any Revolving Credit Lender, furnish to such Revolving Credit Lender a copy of such Letter of Credit and the amount of such Revolving Credit Lender’s participation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Issuing Lender for any Letter of Credit shall, within the time allowed by Applicable Laws or the specific terms of the Letter of Credit following its receipt thereof, examine all documents purporting to represent a demand for payment under such Letter of Credit. Such Issuing Lender shall promptly after such examination notify the Administrative Agent and the Administrative Borrower in writing of such demand for payment if such Issuing Lender has or will honor such demand for payment thereunder; provided that any failure to give or delay in giving such notice shall not relieve any Borrower of its obligation to reimburse such Issuing Lender and the L/C Participants with respect to such payment.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Commissions and Other Charges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Letter of Credit Commissions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4.15(a)(iii)(B)</w:t>
      </w:r>
      <w:r>
        <w:rPr>
          <w:rFonts w:ascii="Times New Roman;Times;Serif" w:hAnsi="Times New Roman;Times;Serif"/>
          <w:b w:val="false"/>
          <w:i w:val="false"/>
          <w:caps w:val="false"/>
          <w:smallCaps w:val="false"/>
          <w:sz w:val="20"/>
        </w:rPr>
        <w:t xml:space="preserve">, the Borrowers shall pay to the Administrative Agent, for the account of the applicable Issuing Lender and the L/C Participants, a letter of credit commission with respect to each Letter of Credit in an amount equal to the greater of (i) the daily amount available to be drawn under such Letters of Credit </w:t>
      </w:r>
      <w:r>
        <w:rPr>
          <w:rFonts w:ascii="Times New Roman;Times;Serif" w:hAnsi="Times New Roman;Times;Serif"/>
          <w:b w:val="false"/>
          <w:i/>
          <w:caps w:val="false"/>
          <w:smallCaps w:val="false"/>
          <w:sz w:val="20"/>
          <w:u w:val="single"/>
        </w:rPr>
        <w:t>times</w:t>
      </w:r>
      <w:r>
        <w:rPr>
          <w:rFonts w:ascii="Times New Roman;Times;Serif" w:hAnsi="Times New Roman;Times;Serif"/>
          <w:b w:val="false"/>
          <w:i w:val="false"/>
          <w:caps w:val="false"/>
          <w:smallCaps w:val="false"/>
          <w:sz w:val="20"/>
        </w:rPr>
        <w:t xml:space="preserve"> the Applicable Margin with respect to Revolving Credit Loans that are SOFR Loans (determined on a per annum basis), and (ii) $750 per annum. Such commission shall be payable quarterly in arrears on the last Business Day of each calendar quarter (commencing with the first such date to occur after the issuance of such Letter of Credit),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in accordance with their respective Revolving Credit Commitment Percentages.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Issuance Fee</w:t>
      </w:r>
      <w:r>
        <w:rPr>
          <w:rFonts w:ascii="Times New Roman;Times;Serif" w:hAnsi="Times New Roman;Times;Serif"/>
          <w:b w:val="false"/>
          <w:i w:val="false"/>
          <w:caps w:val="false"/>
          <w:smallCaps w:val="false"/>
          <w:sz w:val="20"/>
        </w:rPr>
        <w:t xml:space="preserve">. In addition to the foregoing commission, the Borrowers shall pay directly to the applicable Issuing Lender, for its own account, an issuance fee with respect to each Letter of Credit issued by such Issuing Lender in an amount equal to the greater of (i) the daily amount available to be drawn under such Letters of Credit </w:t>
      </w:r>
      <w:r>
        <w:rPr>
          <w:rFonts w:ascii="Times New Roman;Times;Serif" w:hAnsi="Times New Roman;Times;Serif"/>
          <w:b w:val="false"/>
          <w:i/>
          <w:caps w:val="false"/>
          <w:smallCaps w:val="false"/>
          <w:sz w:val="20"/>
          <w:u w:val="single"/>
        </w:rPr>
        <w:t>times</w:t>
      </w:r>
      <w:r>
        <w:rPr>
          <w:rFonts w:ascii="Times New Roman;Times;Serif" w:hAnsi="Times New Roman;Times;Serif"/>
          <w:b w:val="false"/>
          <w:i w:val="false"/>
          <w:caps w:val="false"/>
          <w:smallCaps w:val="false"/>
          <w:sz w:val="20"/>
        </w:rPr>
        <w:t xml:space="preserve"> 0.250% (determined on a per annum basis) and (ii) $750 per annum.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 For the avoidance of doubt, such issuance fee shall be applicable to and paid upon each of the Existing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Fees, Costs, Charges and Expenses</w:t>
      </w:r>
      <w:r>
        <w:rPr>
          <w:rFonts w:ascii="Times New Roman;Times;Serif" w:hAnsi="Times New Roman;Times;Serif"/>
          <w:b w:val="false"/>
          <w:i w:val="false"/>
          <w:caps w:val="false"/>
          <w:smallCaps w:val="false"/>
          <w:sz w:val="20"/>
        </w:rPr>
        <w:t>.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 Such customary fees, costs, charges and expenses are due and payable on demand and are nonrefundable.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L/C Participations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Borrowers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becoming aware of any amount required to be paid by any L/C Participant to any Issuing Lender pursuant to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the Administrative Agent, which in turn shall pay such Issuing Lender on demand, in addition to such amount, the product of (i) such amount,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(ii) the Overnight Rate as determined by the Administrative Agent during the period from and including the date such payment is due to the date on which such payment is immediately available to such Issuing Lender,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(iii) a fraction the numerator of which is the number of days that elapse during such period and the denominator of which is 360, plus any administrative, processing or similar fees customarily charged by such Issuing Lender in connection with the foregoing.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Administrative Agent or otherwise), or any payment of interest on account thereof, such Issuing Lender will distribute to such L/C Participant its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event that any such payment received by such Issuing Lender shall be required to be returned by such Issuing Lender, such L/C Participant shall return to the Administrative Agent, which shall in turn pay to such Issuing Lender, the portion thereof previously distributed by such Issuing Lender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L/C Participant’s obligation to make the Revolving Credit Loans and to purchase participating interests pursuant to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as applicable, shall be absolute and unconditional and shall not be affected by any circumstance, including (i) any setoff, counterclaim, recoupment, defense or other right that such Revolving Credit Lender or any Borrower may have against the applicable Issuing Lender, any Borrower or any other Person for any reason whatsoever, (ii) the occurrence or continuance of a Default or an Event of Default or the failure to satisfy any of the other conditions specified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(iii) any adverse change in the condition (financial or otherwise) of the Borrowers, (iv) any breach of this Agreement or any other Loan Document by the Borrowers, any other Credit Party or any other Revolving Credit Lender or (v) any other circumstance, happening or event whatsoever, whether or not similar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 Any payment made by a Lender pursuant to this Section 3.4 shall not constitute a Loan and shall not relieve the Borrowers of their obligation to reimburse such Letter of Credit.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(f) In furtherance of the foregoing, each L/C Participant acknowledges and agrees that its participation in each Letter of Credit will be automatically adjusted to reflect such Lender’s Revolving Credit Commitment Percentage of the aggregate amount available to be drawn under such Letter of Credit at each time that such Lender’s Revolving Credit Commitment is amended pursuant to Section 4.13, as a result of an assignment in accordance with Section 11.9 or otherwise in accordance with this Agreement.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In the event of any drawing under any Letter of Credit, the Borrowers agree to reimburse (either with the proceeds of a Revolving Credit Loan as provided for in this Section or with funds from other sources), in same day funds, the applicable Issuing Lender by paying to the Administrative Agent the amount of such drawing not later than 12:00 noon on (i) the Business Day that any Borrower receives notice of such drawing, if such notice is received by the Administrative Borrower prior to 10:00 a.m., or (ii) the Business Day immediately following the day that any Borrower receives such notice, if such notice is not received prior to such time, for the amount of (x) such draft so paid and (y) any amounts referred to in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incurred by such Issuing Lender in connection with such payment. Unless the Administrative Borrower shall immediately notify the Administrative Agent and such Issuing Lender that the Borrowers intend to reimburse such Issuing Lender for such drawing from other sources or funds, the Borrowers shall be deemed to have timely given a Notice of Borrowing to the Administrative Agent requesting that the Revolving Credit Lenders make a Revolving Credit Loan as a Base Rate Loan on the applicable repayment date in the amount (without regard to the minimum and multiples specified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(i) such draft so paid and (ii) any amounts referred to in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incurred by such Issuing Lender in connection with such payment, and the Revolving Credit Lenders shall make a Revolving Credit Loan as a Base Rate Loan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non-satisfaction of the conditions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If the Borrowers have elected to pay the amount of such drawing with funds from other sources and shall fail to reimburse such Issuing Lender as provided above, or if the amount of such drawing is not fully refunded through a Base Rate Loan as provided above, the unreimbursed amount of such drawing shall bear interest at the rate which would be payable on any outstanding Base Rate Loans which were then overdue from the date such amounts become payable (whether at stated maturity, by acceleration or otherwise) until paid in full.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Borrowers’ obligations under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(including the Reimbursement Obligation) shall be absolute, unconditional and irrevocable under any and all circumstances whatsoever, and shall be performed strictly in accordance with the terms of this Agreement, and irrespective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any Letter of Credit, any Letter of Credit Document or this Agreement, or any term or provision therein or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existence of any claim, counterclaim, setoff, defense or other right that any Borrower may have or have had against the applicable Issuing Lender or any beneficiary of a Letter of Credit (or any Person for whom any such beneficiary or any such transferee may be acting), the applicable Issuing Lender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validity or genuineness of documents or of any endorsements thereon, even though such documents shall in fact prove to be invalid, fraudulent, forged or insufficient in any respect or any statement in such draft or other document being untrue or inaccurate in any respect; or any loss or delay in the transmission or otherwise of any document required in order to make a drawing under such Letter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payment by an Issuing Lender under a Letter of Credit against presentation of a draft or other document that does not comply with the terms of such Letter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draft or other document presented under a Letter of Credit proving to be forged, fraudulent or invalid in any respect or any statement in such draft or other document being untrue or inaccurate in any respect;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other event or circumstance whatsoever, whether or not similar to any of the foregoing, that might, but for the provisions of this Section, constitute a legal or equitable discharge of, or provide a right of setoff against, any Borrower’s obligations hereunder.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also agree that the applicable Issuing Lender and the L/C Participants shall not be responsible for, and the Borrowers’ Reimbursement Obligation under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not be affected by, among other things, the validity or genuineness of documents or of any endorsements thereon, even though such documents shall in fact prove to be invalid, fraudulent or forged, or any dispute between or among any Borrower and any beneficiary of any Letter of Credit or any other party to which such Letter of Credit may be transferred or any claims whatsoever of any Borrower against any beneficiary of such Letter of Credit or any such transferee. The applicable Issuing Lender, the L/C Participants and their respective Related Parties shall not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to excuse an Issuing Lender from liability to a Borrower to the extent of any direct damages (as opposed to special, indirect, consequential or punitive damages, claims in respect of which are hereby waived by the Borrowers to the extent permitted by Applicable Law) suffered by such Borrower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the applicable Issuing Lender (as finally determined by a court of competent jurisdiction), such Issuing Lender shall be deemed to have exercised care in each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furtherance of the foregoing and without limiting the generality thereof, the parties agree that (i)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(ii) an Issuing Lender may act upon any instruction or request relative to a Letter of Credit or requested Letter of Credit that such Issuing Lender in good faith believes to have been given by a Person authorized to give such instruction or request and (iii) an Issuing Lender may replace a purportedly lost, stolen, or destroyed original Letter of Credit or missing amendment thereto with a certified true copy marked as such or waive a requirement for its presentation. The responsibility of any Issuing Lender to any Borrower in connection with any draft presented for payment under any Letter of Credit issued by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no Issuing Lender shall be responsible to any Borrower for, and such Issuing Lender’s rights and remedies against the Borrowers shall not be impaired by, any action or inaction of such Issuing Lender required or permitted under any law, order, or practice that is required or permitted to be applied to any Letter of Credit or this Agreement, including the Applicable Laws or any order of a jurisdiction in which such Issuing Lender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(e) This Section 3.6 shall establish the standard of care to be exercised by an Issuing Lender when determining whether drafts and other documents presented under a Letter of Credit comply with the terms thereof (and the parties hereto hereby waive, to the extent permitted by Applicable Law, any standard of care stricter than the foregoing). Each Issuing Lender shall have all of the benefits and immunities (but not the obligations) (i) provided to the Administrative Agent in Article X with respect to any acts taken or omissions suffered by such Issuing Lender in connection with Letters of Credit issued by it or proposed to be issued by it and the Letter of Credit Documents pertaining to such Letters of Credit as fully as if the term “Administrative Agent” as used in Article X included such Issuing Lender with respect to such acts or omissions and (ii) as additionally provided herein with respect to such Issuing Lender.</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Effect of Letter of Credit Documents</w:t>
      </w:r>
      <w:r>
        <w:rPr>
          <w:rFonts w:ascii="Times New Roman;Times;Serif" w:hAnsi="Times New Roman;Times;Serif"/>
          <w:b w:val="false"/>
          <w:i w:val="false"/>
          <w:caps w:val="false"/>
          <w:smallCaps w:val="false"/>
          <w:sz w:val="20"/>
        </w:rPr>
        <w:t xml:space="preserve">. To the extent that any provision of any Letter of Credit Document related to any Letter of Credit is inconsistent with the provisions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Removal and Resignation of Issuing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Borrower may at any time remove any Lender from its role as an Issuing Lender hereunder upon not less than thirty (30) days prior notice to such Issuing Lender and the Administrative Agent (or such shorter period of time as may be acceptable to such Issuing Lender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Issuing Lender may resign at any time by giving 30 days’ prior notice to the Administrative Agent, the Lenders and the Administrative Borrower.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the outstanding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the right to require the Revolving Credit Lenders to take such actions as are required under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Without limiting the foregoing, upon the removal or resignation of a Lender as an Issuing Lender hereunder, the Administrative Borrower may, or at the request of such removed or resigned Issuing Lender the Administrative Borrower shall, use commercially reasonable efforts to, arrange for one or more of the other Issuing Lenders to issue Letters of Credit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Reporting of Letter of Credit Information and L/C Commitment</w:t>
      </w:r>
      <w:r>
        <w:rPr>
          <w:rFonts w:ascii="Times New Roman;Times;Serif" w:hAnsi="Times New Roman;Times;Serif"/>
          <w:b w:val="false"/>
          <w:i w:val="false"/>
          <w:caps w:val="false"/>
          <w:smallCaps w:val="false"/>
          <w:sz w:val="20"/>
        </w:rPr>
        <w:t xml:space="preserve">. At any time that there is an Issuing Lender that is not also the financial institution acting as Administrative Agent, then (a) no later than the fifth Business Day following the last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shall limit the obligations of the Borrowers or any Revolving Credit Lender hereunder with respect to its reimbursement and participation obligations hereunder.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Letters of Credit Issued for Subsidiaries</w:t>
      </w:r>
      <w:r>
        <w:rPr>
          <w:rFonts w:ascii="Times New Roman;Times;Serif" w:hAnsi="Times New Roman;Times;Serif"/>
          <w:b w:val="false"/>
          <w:i w:val="false"/>
          <w:caps w:val="false"/>
          <w:smallCaps w:val="false"/>
          <w:sz w:val="20"/>
        </w:rPr>
        <w:t xml:space="preserve">. Notwithstanding that a Letter of Credit issued or outstanding hereunder is in support of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Borrowers (a) shall be obligated to reimburse, or to cause the applicable Subsidiary to reimburse, the applicable Issuing Lender hereunder for any and all drawings under such Letter of Credit as if such Letter of Credit had been issued solely for the account of the Borrowers and (b) irrevocably waives any and all defenses that might otherwise be available to it as a guarantor or surety of any or all of the obligations of such Subsidiary in respect of such Letter of Credit. Each Borrower hereby acknowledges that the issuance of Letters of Credit for the account of any Subsidiary inures to the benefit of such Borrower and that such Borrower’s business derives substantial benefits from the businesses of such Subsidiaries. </w:t>
      </w:r>
      <w:r>
        <w:rPr>
          <w:rFonts w:ascii="Times New Roman;Times;Serif" w:hAnsi="Times New Roman;Times;Serif"/>
          <w:b w:val="false"/>
          <w:i w:val="false"/>
          <w:caps w:val="false"/>
          <w:smallCaps w:val="false"/>
          <w:color w:val="0000FF"/>
          <w:sz w:val="20"/>
          <w:u w:val="single"/>
        </w:rPr>
        <w:t>To the extent that any Letter of Credit is issued for the account of any Subsidiary of a Borrower, such Borrower agrees that (i) such Subsidiary shall have no rights against any Issuing Lender, the Administrative Agent, any Lender or any of their respective Related Parites, (ii) such Borrower shall be responsible for the obligations in respect of such Letter of Credit under this Agreement, any Letter of Credit Documents and any application or reimbursement agreement with respect to such Letter of Credit, (iii) such Borrower shall have the sole right to give instructions and make agreements with respect to this Agreement, such Letter of Credit and any Letter of Credit Documents pertaining thereto and the disposition of any documents related thereto and (iv) such Borrower shall have all powers and rights in respect of any security arising in connection with such Letter of Credit and the transactions related thereto. Such Borrower shall, at the request of the Issuing Lender, cause such Subsidiary to execute and deliver an agreement confirming the terms specified in the immediately preceding sentence and acknowledging that it is bound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val="false"/>
          <w:caps w:val="false"/>
          <w:smallCaps w:val="false"/>
          <w:sz w:val="20"/>
          <w:u w:val="single"/>
        </w:rPr>
        <w:t>Letter of Credit Amounts</w:t>
      </w:r>
      <w:r>
        <w:rPr>
          <w:rFonts w:ascii="Times New Roman;Times;Serif" w:hAnsi="Times New Roman;Times;Serif"/>
          <w:b w:val="false"/>
          <w:i w:val="false"/>
          <w:caps w:val="false"/>
          <w:smallCaps w:val="false"/>
          <w:sz w:val="20"/>
        </w:rPr>
        <w:t>. Unless otherwise specified, all references herein to the amount of a Letter of Credit at any time shall be deemed to mean the maximum face amount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 (b) any amount which is drawn, reimbursed and no longer available under such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General Loan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Interest Rate Options</w:t>
      </w:r>
      <w:r>
        <w:rPr>
          <w:rFonts w:ascii="Times New Roman;Times;Serif" w:hAnsi="Times New Roman;Times;Serif"/>
          <w:b w:val="false"/>
          <w:i w:val="false"/>
          <w:caps w:val="false"/>
          <w:smallCaps w:val="false"/>
          <w:sz w:val="20"/>
        </w:rPr>
        <w:t xml:space="preserve">. Subject to the provisions of this Section, at the election of the Administrative Borrower, (i) Revolving Credit Loans </w:t>
      </w:r>
      <w:r>
        <w:rPr>
          <w:rFonts w:ascii="Times New Roman;Times;Serif" w:hAnsi="Times New Roman;Times;Serif"/>
          <w:b w:val="false"/>
          <w:i w:val="false"/>
          <w:caps w:val="false"/>
          <w:smallCaps w:val="false"/>
          <w:color w:val="0000FF"/>
          <w:sz w:val="20"/>
          <w:u w:val="single"/>
        </w:rPr>
        <w:t xml:space="preserve">and Term Loans </w:t>
      </w:r>
      <w:r>
        <w:rPr>
          <w:rFonts w:ascii="Times New Roman;Times;Serif" w:hAnsi="Times New Roman;Times;Serif"/>
          <w:b w:val="false"/>
          <w:i w:val="false"/>
          <w:caps w:val="false"/>
          <w:smallCaps w:val="false"/>
          <w:sz w:val="20"/>
        </w:rPr>
        <w:t xml:space="preserve">shall bear interest at (A) the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(B) Daily Simple SOFR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(provided that Daily Simple SOFR shall not be available for five (5) U.S. Government Securities Business Days after the Closing Date unless the Administrative Borrower has delivered to the Administrative Agent a letter in form and substance reasonably satisfactory to the Administrative Agent indemnifying the Lenders in the manner set forth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of this Agreement) or (C) Term SOFR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(provided that Term SOFR shall not be available until three (3) U.S. Government Securities Business Days after the Closing Date unless the Administrative Borrower has delivered to the Administrative Agent a letter in form and substance reasonably satisfactory to the Administrative Agent indemnifying the Lenders in the manner set forth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of this Agreement) and (ii) any Swingline Loan shall bear interest at the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Margin. The Administrative Borrower shall select the rate of interest and Interest Period, if any, applicable to any Loan at the time a Notice of Borrowing is given or at the time a Notice of Conversion/Continuation is given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 immediately upon the occurrence and during the continuance of an Event of Default under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or (ii) at the election of the Required Lenders (or the Administrative Agent at the direction of the Required Lenders), upon the occurrence and during the continuance of any other Event of Default, (A) the Borrowers shall no longer have the option to request SOFR Loans, Swingline Loans or Letters of Credit, (B) all outstanding Daily Simple SOFR Loans shall bear interest at a rate per annum of two percent (2%) in excess of the rate (including the Applicable Margin) then applicable to Daily Simple SOFR Loans until the applicable Interest Payment Date, and thereafter at a rate per annum of two percent (2%) in excess of the rate (including the Applicable Margin) then applicable to Base Rate Loans, (C) all outstanding Term SOFR Loans shall bear interest at a rate per annum of two percent (2%) in excess of the rate (including the Applicable Margin) then applicable to Term SOFR Loans until the end of the applicable Interest Period, and thereafter at a rate per annum of two percent (2%) in excess of the rate (including the Applicable Margin) then applicable to Base Rate Loans, (D) all outstanding Base Rate Loans and other Obligations arising hereunder or under any other Loan Document shall bear interest at a rate per annum of two percent (2%) in excess of the rate (including the Applicable Margin) then applicable to Base Rate Loans or such other Obligations arising hereunder or under any other Loan Document and (E) all accrued and unpaid interest shall be due and payable on demand of the Administrative Agent, and if no demand is made, on each Interest Payment Date. Interest shall continue to accrue on the Obligations after the filing by or against any Borrower of any petition seeking any relief in bankruptcy or under any Debtor Relief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Interest Payment and Computation</w:t>
      </w:r>
      <w:r>
        <w:rPr>
          <w:rFonts w:ascii="Times New Roman;Times;Serif" w:hAnsi="Times New Roman;Times;Serif"/>
          <w:b w:val="false"/>
          <w:i w:val="false"/>
          <w:caps w:val="false"/>
          <w:smallCaps w:val="false"/>
          <w:sz w:val="20"/>
        </w:rPr>
        <w:t xml:space="preserve">. Interest on each Loan shall be due and payable in arrears on each Interest Payment Date applicable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the event of any repayment or prepayment of any Term SOFR Loan, accrued interest on the principal amount repaid or prepaid shall be payable on the date of such repayment or prepayment and (ii) in the event of any conversion of any Term SOFR Loan prior to the end of the Interest Period therefor, accrued interest on such Loan shall be payable on the effective date of such conversion.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Borrowers any interest received by the Lenders in excess of the maximum lawful rate or (ii) apply such excess to the principal balance of the Obligations. It is the intent hereof that the Borrowers not pay or contract to pay, and that neither the Administrative Agent nor any Lender receive or contract to receive, directly or indirectly in any manner whatsoever, interest in excess of that which may be paid by the Borrowers under Applicable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Initial Benchmark Conforming Changes</w:t>
      </w:r>
      <w:r>
        <w:rPr>
          <w:rFonts w:ascii="Times New Roman;Times;Serif" w:hAnsi="Times New Roman;Times;Serif"/>
          <w:b w:val="false"/>
          <w:i w:val="false"/>
          <w:caps w:val="false"/>
          <w:smallCaps w:val="false"/>
          <w:sz w:val="20"/>
        </w:rPr>
        <w:t>. 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Administrative Borrower and the Lenders of the effectiveness of any Conforming Changes in connection with the use or administration of any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Notice and Manner of Conversion or Continuation of Loans</w:t>
      </w:r>
      <w:r>
        <w:rPr>
          <w:rFonts w:ascii="Times New Roman;Times;Serif" w:hAnsi="Times New Roman;Times;Serif"/>
          <w:b w:val="false"/>
          <w:i w:val="false"/>
          <w:caps w:val="false"/>
          <w:smallCaps w:val="false"/>
          <w:sz w:val="20"/>
        </w:rPr>
        <w:t xml:space="preserve">. Provided that no Default or Event of Default has occurred and is then continuing, the Administrative Borrower shall have the option to (a) convert at any time following (x) the sixth U.S. Government Securities Business Day after the Closing Date, with respect to a conversion to Daily Simple SOFR or (y) the third U.S. Government Securities Business Day after the Closing Date, with respect to a conversion to Term SOFR, subject to the notice requirements herein, all or any portion of any outstanding Base Rate Loans (other than Swingline Loans) in a principal amount equal to $2,000,000 or any whole multiple of $1,000,000 in excess thereof (or such lesser amount as shall represent all of the Base Rate Loans then outstanding) into one or more SOFR Loans and (b) with respect to any (x) Daily Simple SOFR Loan, on an Interest Payment Date or (y) Term SOFR Loan, upon the expiration of any Interest Period therefor, in each case, (i) convert all or any part of any outstanding SOFR Loans in a principal amount equal to $1,000,000 or a whole multiple of $500,000 in excess thereof (or such lesser amount as shall represent all of the Daily Simple SOFR Loans or Term SOFR Loans, as applicable, then outstanding) into Base Rate Loans (other than Swingline Loans), Daily Simple SOFR Loans or Term SOFR Loans, (ii) continue any Daily Simple SOFR Loans as Daily Simple SOFR Loans, or (iii) continue any Term SOFR Loans as Term SOFR Loans. Whenever the Borrowers desires to convert or continue Loans as provided above, the Administrative Borrower shall give the Administrative Agent irrevocable prior written notice in the form attached as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Conversion/Continuation</w:t>
      </w:r>
      <w:r>
        <w:rPr>
          <w:rFonts w:ascii="Times New Roman;Times;Serif" w:hAnsi="Times New Roman;Times;Serif"/>
          <w:b w:val="false"/>
          <w:i w:val="false"/>
          <w:caps w:val="false"/>
          <w:smallCaps w:val="false"/>
          <w:sz w:val="20"/>
        </w:rPr>
        <w:t>”) not later than 11:00 a.m. (x) in the case of a Loan continuing as or converting to a Daily Simple SOFR Loan, five (5) U.S. Government Securities Business Days before the day on which a proposed conversion or continuation of such Loan is to be effective, (y) in the case of a Loan continuing as or converting to a Term SOFR Loan, three (3) U.S. Government Securities Business Days before the day on which a proposed conversion or continuation of such Loan is to be effective or (z) in the case of a Loan converting to a Base Rate Loan, on the Business Day of such conversion, in each case, (A) the Loans to be converted or continued, and, in the case of any Term SOFR Loan to be converted or continued, the last day of the Interest Period therefor, (B) the effective date of such conversion or continuation (which shall be a Business Day), (C) the principal amount of such Loans to be converted or continued and (D) in the case of any Term SOFR Loan, the Interest Period to be applicable to such converted or continued Term SOFR Loan. If the Administrative Borrower fails to deliver a timely Notice of Conversion/Continuation prior to (x) with respect to a Daily Simple SOFR Loan, the applicable Interest Payment Date therefor, such Daily Simple SOFR Loan shall be automatically converted to a Base Rate Loan as of such Interest Payment Date or (y) with respect to a Term SOFR Loan, prior to the end of the applicable Interest Period therefor, then the applicable Interest Payment Date therefor, such Term SOFR Loan shall be shall be automatically converted to a Base Rate Loan as of the last day of such Interest Period. If the Administrative Borrower requests a conversion to, or continuation of, a Term SOFR Loan, but fails to specify an Interest Period, it will be deemed to have specified an Interest Period of one month. Notwithstanding anything to the contrary herein, a Swingline Loan may not be converted to a SOFR Loan. The Administrative Agent shall promptly notify the affected Lenders of such Notice of Conversion/Continuation.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xml:space="preserve">. Commencing on the Closing Date, subject to </w:t>
      </w:r>
      <w:r>
        <w:rPr>
          <w:rFonts w:ascii="Times New Roman;Times;Serif" w:hAnsi="Times New Roman;Times;Serif"/>
          <w:b w:val="false"/>
          <w:i w:val="false"/>
          <w:caps w:val="false"/>
          <w:smallCaps w:val="false"/>
          <w:sz w:val="20"/>
          <w:u w:val="single"/>
        </w:rPr>
        <w:t>Section 4.15(a)(iii)(A)</w:t>
      </w:r>
      <w:r>
        <w:rPr>
          <w:rFonts w:ascii="Times New Roman;Times;Serif" w:hAnsi="Times New Roman;Times;Serif"/>
          <w:b w:val="false"/>
          <w:i w:val="false"/>
          <w:caps w:val="false"/>
          <w:smallCaps w:val="false"/>
          <w:sz w:val="20"/>
        </w:rPr>
        <w:t>, the Borrowers shall pay to the Administrative Agent, for the account of the Revolving Credit Lenders, a non-refundable commitment fee (the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xml:space="preserve">”) at a rate per annum equal to the applicable amount for Commitment Fees as set forth in the definition of Applicable Margin on the </w:t>
      </w:r>
      <w:r>
        <w:rPr>
          <w:rFonts w:ascii="Times New Roman;Times;Serif" w:hAnsi="Times New Roman;Times;Serif"/>
          <w:b w:val="false"/>
          <w:i w:val="false"/>
          <w:caps w:val="false"/>
          <w:smallCaps w:val="false"/>
          <w:strike/>
          <w:color w:val="FF0000"/>
          <w:sz w:val="20"/>
        </w:rPr>
        <w:t xml:space="preserve">average </w:t>
      </w:r>
      <w:r>
        <w:rPr>
          <w:rFonts w:ascii="Times New Roman;Times;Serif" w:hAnsi="Times New Roman;Times;Serif"/>
          <w:b w:val="false"/>
          <w:i w:val="false"/>
          <w:caps w:val="false"/>
          <w:smallCaps w:val="false"/>
          <w:sz w:val="20"/>
        </w:rPr>
        <w:t xml:space="preserve">daily unused portion of the Revolving Credit Commitment of the Revolving Credit Lenders (other than the Defaulting Lenders, if 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with the calendar quarter ended December 31, 2024, and ending on the date upon which all Obligations (other than contingent indemnification obligations not then due) arising under the Revolving Credit Facility shall have been indefeasibly and irrevocably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in accordance with such Revolving Credit Lenders’ respective Revolving Credit Commitment Percentages.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Fees</w:t>
      </w:r>
      <w:r>
        <w:rPr>
          <w:rFonts w:ascii="Times New Roman;Times;Serif" w:hAnsi="Times New Roman;Times;Serif"/>
          <w:b w:val="false"/>
          <w:i w:val="false"/>
          <w:caps w:val="false"/>
          <w:smallCaps w:val="false"/>
          <w:sz w:val="20"/>
        </w:rPr>
        <w:t>. The Borrowers shall pay to the Left Lead Arranger, the Administrative Agent, and any Lender for their own respective accounts fees in the amounts and at the times specified in their respective Fee Letters.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Manner of Payment</w:t>
      </w:r>
      <w:r>
        <w:rPr>
          <w:rFonts w:ascii="Times New Roman;Times;Serif" w:hAnsi="Times New Roman;Times;Serif"/>
          <w:b w:val="false"/>
          <w:i w:val="false"/>
          <w:caps w:val="false"/>
          <w:smallCaps w:val="false"/>
          <w:sz w:val="20"/>
        </w:rPr>
        <w:t xml:space="preserve">. Each payment by the Borrowers on account of the principal of or interest on the Loans or of any fee, commission or other amounts (including the Reimbursement Obligation) payable to the Lenders under this Agreement shall be made not later than 1:00 p.m. on the date specified for payment under this Agreement to the Administrative Agent at the Administrative Agent’s Office for the account of the Lenders entitled to such payment in Dollars, in immediately available funds and shall be made without any setoff, counterclaim or deduction whatsoever. Any payment received after such time but before 2:00 p.m. on such day shall be deemed a payment on such date for the purposes of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Times New Roman;Times;Serif" w:hAnsi="Times New Roman;Times;Serif"/>
          <w:b w:val="false"/>
          <w:i w:val="false"/>
          <w:caps w:val="false"/>
          <w:smallCaps w:val="false"/>
          <w:sz w:val="20"/>
          <w:u w:val="single"/>
        </w:rPr>
        <w:t>Sections 4.9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11.3</w:t>
      </w:r>
      <w:r>
        <w:rPr>
          <w:rFonts w:ascii="Times New Roman;Times;Serif" w:hAnsi="Times New Roman;Times;Serif"/>
          <w:b w:val="false"/>
          <w:i w:val="false"/>
          <w:caps w:val="false"/>
          <w:smallCaps w:val="false"/>
          <w:sz w:val="20"/>
        </w:rPr>
        <w:t xml:space="preserve"> shall be paid to the Administrative Agent for the account of the applicable Lender. Subject to the definitions of Interest Period and Interest Payment Date,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the Borrowers to such Defaulting Lender hereunder shall be applied in accordance with </w:t>
      </w:r>
      <w:r>
        <w:rPr>
          <w:rFonts w:ascii="Times New Roman;Times;Serif" w:hAnsi="Times New Roman;Times;Serif"/>
          <w:b w:val="false"/>
          <w:i w:val="false"/>
          <w:caps w:val="false"/>
          <w:smallCaps w:val="false"/>
          <w:sz w:val="20"/>
          <w:u w:val="single"/>
        </w:rPr>
        <w:t>Section 4.15(a)(ii)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Evidence of Indebtedness</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Extensions of Credit</w:t>
      </w:r>
      <w:r>
        <w:rPr>
          <w:rFonts w:ascii="Times New Roman;Times;Serif" w:hAnsi="Times New Roman;Times;Serif"/>
          <w:b w:val="false"/>
          <w:i w:val="false"/>
          <w:caps w:val="false"/>
          <w:smallCaps w:val="false"/>
          <w:sz w:val="20"/>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Credit Note</w:t>
      </w:r>
      <w:r>
        <w:rPr>
          <w:rFonts w:ascii="Times New Roman;Times;Serif" w:hAnsi="Times New Roman;Times;Serif"/>
          <w:b w:val="false"/>
          <w:i w:val="false"/>
          <w:caps w:val="false"/>
          <w:smallCaps w:val="false"/>
          <w:color w:val="0000FF"/>
          <w:sz w:val="20"/>
          <w:u w:val="single"/>
        </w:rPr>
        <w:t>, Term Loan Note</w:t>
      </w:r>
      <w:r>
        <w:rPr>
          <w:rFonts w:ascii="Times New Roman;Times;Serif" w:hAnsi="Times New Roman;Times;Serif"/>
          <w:b w:val="false"/>
          <w:i w:val="false"/>
          <w:caps w:val="false"/>
          <w:smallCaps w:val="false"/>
          <w:sz w:val="20"/>
        </w:rPr>
        <w:t xml:space="preserve"> and/or Swingline Note, as applicable, which shall evidence such Lender’s Revolving Credit Loans</w:t>
      </w:r>
      <w:r>
        <w:rPr>
          <w:rFonts w:ascii="Times New Roman;Times;Serif" w:hAnsi="Times New Roman;Times;Serif"/>
          <w:b w:val="false"/>
          <w:i w:val="false"/>
          <w:caps w:val="false"/>
          <w:smallCaps w:val="false"/>
          <w:color w:val="0000FF"/>
          <w:sz w:val="20"/>
          <w:u w:val="single"/>
        </w:rPr>
        <w:t>, Term Loans</w:t>
      </w:r>
      <w:r>
        <w:rPr>
          <w:rFonts w:ascii="Times New Roman;Times;Serif" w:hAnsi="Times New Roman;Times;Serif"/>
          <w:b w:val="false"/>
          <w:i w:val="false"/>
          <w:caps w:val="false"/>
          <w:smallCaps w:val="false"/>
          <w:sz w:val="20"/>
        </w:rPr>
        <w:t xml:space="preserve"> and/or Swingline Loans, as applicable, in addition to such accounts or records. Each Lender may attach schedules to its Notes and endorse thereon the date, amount and maturity of its Loans and payments with respect thereto.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Sharing of Payments by Lenders</w:t>
      </w:r>
      <w:r>
        <w:rPr>
          <w:rFonts w:ascii="Times New Roman;Times;Serif" w:hAnsi="Times New Roman;Times;Serif"/>
          <w:b w:val="false"/>
          <w:i w:val="false"/>
          <w:caps w:val="false"/>
          <w:smallCaps w:val="false"/>
          <w:sz w:val="20"/>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Times;Serif" w:hAnsi="Times New Roman;Times;Serif"/>
          <w:b w:val="false"/>
          <w:i w:val="false"/>
          <w:caps w:val="false"/>
          <w:smallCaps w:val="false"/>
          <w:sz w:val="20"/>
          <w:u w:val="single"/>
        </w:rPr>
        <w:t>Sections 4.9</w:t>
      </w:r>
      <w:r>
        <w:rPr>
          <w:rFonts w:ascii="Times New Roman;Times;Serif" w:hAnsi="Times New Roman;Times;Serif"/>
          <w:b w:val="false"/>
          <w:i w:val="false"/>
          <w:caps w:val="false"/>
          <w:smallCaps w:val="false"/>
          <w:sz w:val="20"/>
        </w:rPr>
        <w:t>, 4</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11.3</w:t>
      </w:r>
      <w:r>
        <w:rPr>
          <w:rFonts w:ascii="Times New Roman;Times;Serif" w:hAnsi="Times New Roman;Times;Serif"/>
          <w:b w:val="false"/>
          <w:i w:val="false"/>
          <w:caps w:val="false"/>
          <w:smallCaps w:val="false"/>
          <w:sz w:val="20"/>
        </w:rPr>
        <w:t xml:space="preserve">) greater than its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provisions of this paragraph shall not be construed to apply to (A) any payment made by any Borrower pursuant to and in accordance with the express terms of this Agreement (including the application of funds arising from the existence of a Defaulting Lender), (B) the application of Cash Collateral provided for in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or (C) any payment obtained by a Lender as consideration for the assignment of, or sale of, a participation in any of its Loans or participations in Swingline Loans and Letters of Credit to any assignee or participant, other than to Holdings or any of its Subsidiaries or Affiliates (as to which the provisions of this paragraph shall apply).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Administrative Agent’s Clawback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Funding by Lenders; Presumption by Administrative Agent</w:t>
      </w:r>
      <w:r>
        <w:rPr>
          <w:rFonts w:ascii="Times New Roman;Times;Serif" w:hAnsi="Times New Roman;Times;Serif"/>
          <w:b w:val="false"/>
          <w:i w:val="false"/>
          <w:caps w:val="false"/>
          <w:smallCaps w:val="false"/>
          <w:sz w:val="20"/>
        </w:rPr>
        <w:t xml:space="preserve">. In connection with any borrowing hereunder, the Administrative Agent may assume that each Lender has made its respective share of such borrowing available on such date in accordance with </w:t>
      </w:r>
      <w:r>
        <w:rPr>
          <w:rFonts w:ascii="Times New Roman;Times;Serif" w:hAnsi="Times New Roman;Times;Serif"/>
          <w:b w:val="false"/>
          <w:i w:val="false"/>
          <w:caps w:val="false"/>
          <w:smallCaps w:val="false"/>
          <w:sz w:val="20"/>
          <w:u w:val="single"/>
        </w:rPr>
        <w:t>Sections 2.3(b)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00FF"/>
          <w:sz w:val="20"/>
          <w:u w:val="single"/>
        </w:rPr>
        <w:t>2.8</w:t>
      </w:r>
      <w:r>
        <w:rPr>
          <w:rFonts w:ascii="Times New Roman;Times;Serif" w:hAnsi="Times New Roman;Times;Serif"/>
          <w:b w:val="false"/>
          <w:i w:val="false"/>
          <w:caps w:val="false"/>
          <w:smallCaps w:val="false"/>
          <w:sz w:val="20"/>
        </w:rPr>
        <w:t xml:space="preserve"> may, in reliance upon such assumption, make available to the applicable Borrower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(A) in the case of a payment to be made by such Lender, the Overnight Rate and (B) in the case of a payment to be made by any Borrower, the interest rate applicable to Base Rate Loans. If the Borrowers and such Lender shall pay such interest to the Administrative Agent for the same or an overlapping period, the Administrative Agent shall promptly remit to the Administrative Borrower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Payments by the Borrowers; Presumptions by Administrative Agent</w:t>
      </w:r>
      <w:r>
        <w:rPr>
          <w:rFonts w:ascii="Times New Roman;Times;Serif" w:hAnsi="Times New Roman;Times;Serif"/>
          <w:b w:val="false"/>
          <w:i w:val="false"/>
          <w:caps w:val="false"/>
          <w:smallCaps w:val="false"/>
          <w:sz w:val="20"/>
        </w:rPr>
        <w:t>. Unless the Administrative Agent shall have received notice from the Administrative Borrower prior to the date on which any payment is due to the Administrative Agent for the account of the Lenders, the Issuing Lenders or the Swingline Lender hereunder that the Borrowers will not make such payment, the Administrative Agent may assume that the Borrowers have made such payment on such date in accordance herewith and may, in reliance upon such assumption, distribute to the Lenders, the Issuing Lenders or the Swingline Lender, as the case may be, the amount due. In such event, if the Borrowers have not in fact made such payment, then each of the Lenders, the Issuing Lenders or the Swingline Lender, as the case maybe, severally agrees to repay to the Administrative Agent forthwith on demand the amount so distributed to such Lender, Issuing Lender or the Swingline Lender, with interest thereon, for each day from and including the date such amount is distributed to it to but excluding the date of payment to the Administrative Agent, at the Overnight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Nature of Obligations of Lenders</w:t>
      </w:r>
      <w:r>
        <w:rPr>
          <w:rFonts w:ascii="Times New Roman;Times;Serif" w:hAnsi="Times New Roman;Times;Serif"/>
          <w:b w:val="false"/>
          <w:i w:val="false"/>
          <w:caps w:val="false"/>
          <w:smallCaps w:val="false"/>
          <w:sz w:val="20"/>
        </w:rPr>
        <w:t xml:space="preserve">. The obligations of the Lenders under this Agreement to make the Loans, to issue or participate in Letters of Credit and to make payments under this Section, </w:t>
      </w:r>
      <w:r>
        <w:rPr>
          <w:rFonts w:ascii="Times New Roman;Times;Serif" w:hAnsi="Times New Roman;Times;Serif"/>
          <w:b w:val="false"/>
          <w:i w:val="false"/>
          <w:caps w:val="false"/>
          <w:smallCaps w:val="false"/>
          <w:sz w:val="20"/>
          <w:u w:val="single"/>
        </w:rPr>
        <w:t>Section 4.11(e)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11.3(c)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as applicable, are several and are not joint or joint and several. The failure of any Lender to make available its Commitment Percentage of any Loan requested by the Borrowers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Changed Circumstances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Circumstances Affecting Benchmark Availability</w:t>
      </w:r>
      <w:r>
        <w:rPr>
          <w:rFonts w:ascii="Times New Roman;Times;Serif" w:hAnsi="Times New Roman;Times;Serif"/>
          <w:b w:val="false"/>
          <w:i w:val="false"/>
          <w:caps w:val="false"/>
          <w:smallCaps w:val="false"/>
          <w:sz w:val="20"/>
        </w:rPr>
        <w:t xml:space="preserve">.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Daily Simple SOFR pursuant to the definition thereof or Term SOFR with respect to a proposed Term SOFR Loan on or prior to the first day of the applicable Interest Period or (ii) the Required Lenders shall determine (which determination shall be conclusive and binding absent manifest error) that Daily Simple SOFR or Term SOFR, as applicable, does not adequately and fairly reflect the cost to such Lenders of making or maintaining any such Loan during, with respect to Term SOFR, such Interest Period and, in the case of clause (ii), the Required Lenders have provided notice of such determination to the Administrative Agent, then, in each case, the Administrative Agent shall promptly give notice thereof to the Administrative Borrower. Upon notice thereof by the Administrative Agent to the Administrative Borrower, any obligation of the Lenders to make SOFR Loans, and any right of the Borrowers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Borrowers may revoke any pending request for a borrowing of, conversion to or continuation of SOFR Loans (to the extent of the affected SOFR Loans or the affected Interest Periods) or, failing that, the Borrowers will be deemed to have converted any such request into a request for a borrowing of or conversion to Base Rate Loans in the amount specified therein and (B) any outstanding affected SOFR Loans will be deemed to have been converted into Base Rate Loans (I) with respect to any Daily Simple SOFR Loans, immediately and (II) with respect to any Term SOFR Loans, at the end of the applicable Interest Period. Upon any such prepayment or conversion, the Borrowers shall also pay accrued interest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Laws Affecting SOFR Availability</w:t>
      </w:r>
      <w:r>
        <w:rPr>
          <w:rFonts w:ascii="Times New Roman;Times;Serif" w:hAnsi="Times New Roman;Times;Serif"/>
          <w:b w:val="false"/>
          <w:i w:val="false"/>
          <w:caps w:val="false"/>
          <w:smallCaps w:val="false"/>
          <w:sz w:val="20"/>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Daily Simple SOFR, the Term SOFR Reference Rate or Term SOFR, such Lender shall promptly give notice thereof to the Administrative Agent and the Administrative Agent shall promptly give notice to the Administrative Borrower and the other Lenders (an “</w:t>
      </w:r>
      <w:r>
        <w:rPr>
          <w:rFonts w:ascii="Times New Roman;Times;Serif" w:hAnsi="Times New Roman;Times;Serif"/>
          <w:b w:val="false"/>
          <w:i w:val="false"/>
          <w:caps w:val="false"/>
          <w:smallCaps w:val="false"/>
          <w:sz w:val="20"/>
          <w:u w:val="single"/>
        </w:rPr>
        <w:t>Illegality Notice</w:t>
      </w:r>
      <w:r>
        <w:rPr>
          <w:rFonts w:ascii="Times New Roman;Times;Serif" w:hAnsi="Times New Roman;Times;Serif"/>
          <w:b w:val="false"/>
          <w:i w:val="false"/>
          <w:caps w:val="false"/>
          <w:smallCaps w:val="false"/>
          <w:sz w:val="20"/>
        </w:rPr>
        <w:t xml:space="preserve">”). Thereafter, until each affected Lender notifies the Administrative Agent and the Administrative Agent notifies the Administrative Borrower that the circumstances giving rise to such determination no longer exist, (i) any obligation of the Lenders to make Daily Simple SOFR Loans or Term SOFR Loans, as applicable, and any right of the Borrowers to convert any Loan to a Daily Simple SOFR Loan or a Term SOFR Loan, as applicable, shall be suspended and (ii) if necessary to avoid such illegality, the Administrative Agent shall compute the Base Rate without reference to clause (c) of the definition of “Base Rate”. Upon receipt of an Illegality Notice, the Borrowers shall, if necessary to avoid such illegality, upon demand from any Lender (with a copy to the Administrative Agent), prepay or, if applicable, convert all affected SOFR Loans to Base Rate Loans (in each case, if necessary to avoid such illegality, the Administrative Agent shall compute the Base Rate without reference to clause (c) of the definition of “Base Rate”) (A) with respect to any Daily Simple SOFR Loans, on the Interest Payment Date therefor and (B) with respect to any Term SOFR Loans,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Borrowers shall also pay accrued interest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herein or in any other Loan Document, upon the occurrence of a Benchmark Transition Event with respect to any Benchmark, the Administrative Agent and the Administrative Borrower may amend this Agreement to replace such Benchmark with a Benchmark Replacement. Any such amendment with respect to a Benchmark Transition Event will become effective at 5:00 p.m.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Administrative Agent has posted such proposed amendment to all affected Lenders and the Administrative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Times;Serif" w:hAnsi="Times New Roman;Times;Serif"/>
          <w:b w:val="false"/>
          <w:i w:val="false"/>
          <w:caps w:val="false"/>
          <w:smallCaps w:val="false"/>
          <w:sz w:val="20"/>
          <w:u w:val="single"/>
        </w:rPr>
        <w:t>Section 4.8(c)(i)(A)</w:t>
      </w:r>
      <w:r>
        <w:rPr>
          <w:rFonts w:ascii="Times New Roman;Times;Serif" w:hAnsi="Times New Roman;Times;Serif"/>
          <w:b w:val="false"/>
          <w:i w:val="false"/>
          <w:caps w:val="false"/>
          <w:smallCaps w:val="false"/>
          <w:sz w:val="20"/>
        </w:rPr>
        <w:t xml:space="preserve"> will occur prior to the applicable Benchmark Transition Start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xml:space="preserve">. The Administrative Agent will promptly notify the Administrative Borrower and the Lenders of (A) the implementation of any Benchmark Replacement and (B) the effectiveness of any Conforming Changes in connection with the use, administration, adoption or implementation of a Benchmark Replacement. The Administrative Agent will promptly notify the Administrative Borrower of </w:t>
      </w:r>
      <w:r>
        <w:rPr>
          <w:rFonts w:ascii="Times New Roman;Times;Serif" w:hAnsi="Times New Roman;Times;Serif"/>
          <w:b w:val="false"/>
          <w:i w:val="false"/>
          <w:caps w:val="false"/>
          <w:smallCaps w:val="false"/>
          <w:color w:val="0000FF"/>
          <w:sz w:val="20"/>
          <w:u w:val="single"/>
        </w:rPr>
        <w:t xml:space="preserve">(x) </w:t>
      </w:r>
      <w:r>
        <w:rPr>
          <w:rFonts w:ascii="Times New Roman;Times;Serif" w:hAnsi="Times New Roman;Times;Serif"/>
          <w:b w:val="false"/>
          <w:i w:val="false"/>
          <w:caps w:val="false"/>
          <w:smallCaps w:val="false"/>
          <w:sz w:val="20"/>
        </w:rPr>
        <w:t xml:space="preserve">the removal or reinstatement of any tenor of a Benchmark pursuant to </w:t>
      </w:r>
      <w:r>
        <w:rPr>
          <w:rFonts w:ascii="Times New Roman;Times;Serif" w:hAnsi="Times New Roman;Times;Serif"/>
          <w:b w:val="false"/>
          <w:i w:val="false"/>
          <w:caps w:val="false"/>
          <w:smallCaps w:val="false"/>
          <w:sz w:val="20"/>
          <w:u w:val="single"/>
        </w:rPr>
        <w:t xml:space="preserve">Section 4.8(c)(iv) </w:t>
      </w:r>
      <w:r>
        <w:rPr>
          <w:rFonts w:ascii="Times New Roman;Times;Serif" w:hAnsi="Times New Roman;Times;Serif"/>
          <w:b w:val="false"/>
          <w:i w:val="false"/>
          <w:caps w:val="false"/>
          <w:smallCaps w:val="false"/>
          <w:color w:val="0000FF"/>
          <w:sz w:val="20"/>
          <w:u w:val="single"/>
        </w:rPr>
        <w:t>and (y) the commencement of any Benchmark Unavailability Period</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the Administrative Borrower’s receipt of notice of the commencement of a Benchmark Unavailability Period with respect to a given Benchmark, (A) the Administrative Borrower may revoke any pending request for a borrowing of, conversion to or continuation of any affected SOFR Loans to be made, converted or continued during any Benchmark Unavailability Period and, failing that, the Borrowers will be deemed to have converted any such request into a request for a borrowing of or conversion to Base Rate Loans and (B) any outstanding affected SOFR Loans will be deemed to have been converted to Base Rate Loans (I) with respect to any Daily Simple SOFR Loans, immediately and (II) with respect to any Term SOFR Loans, at the end of the applicable Interest Period. During any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If, in any applicable jurisdiction, the Administrative Agent, any Issuing Lender or any Lender determines that any Applicable Law has made it unlawful, or that any Governmental Authority has asserted that it is unlawful, for the Administrative Agent, any Issuing Lender or any Lender to (i) perform any of its obligations hereunder or under any other Loan Document, (ii) to fund or maintain its participation in any Loan or (iii) issue, make, maintain, fund or charge interest or fees with respect to any Extension of Credit, such Person shall promptly notify the Administrative Agent, then, upon the Administrative Agent notifying the Administrative Borrower,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Credit Parties shall, (A) repay that Person’s participation in the Loans or other applicable Obligations on (I) with respect to any Daily Simple SOFR Loan, the applicable Interest Payment Date therefor or (II) with respect to any Term SOFR Loan, the last day of the Interest Period therefor, or on another applicable date with respect to another Obligation, occurring after the Administrative Agent has notified the Administrative Borrower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xml:space="preserve">. Each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Borrowers to make any payment when due of any amount due hereunder in connection with a SOFR Loan, (b) any failure of the Borrowers to borrow or continue a SOFR Loan or convert to a SOFR Loan on a date specified therefor in a Notice of Borrowing or Notice of Conversion/Continuation, (c) any failure of the Borrowers to prepay any SOFR Loan on a date specified therefor in any Notice of Prepayment (regardless of whether any such Notice of Prepayment may be revoked under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trike/>
          <w:color w:val="FF0000"/>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Section 2.10(a)</w:t>
      </w:r>
      <w:r>
        <w:rPr>
          <w:rFonts w:ascii="Times New Roman;Times;Serif" w:hAnsi="Times New Roman;Times;Serif"/>
          <w:b w:val="false"/>
          <w:i w:val="false"/>
          <w:caps w:val="false"/>
          <w:smallCaps w:val="false"/>
          <w:sz w:val="20"/>
        </w:rPr>
        <w:t xml:space="preserve"> and is revoked in accordance therewith), (d) any payment, prepayment or conversion of any SOFR Loan on a date other than (i) with respect to any Daily Simple SOFR Loan, the applicable Interest Payment Date therefor or (ii) with respect to any Term SOFR Loan, the last day of the Interest Period therefor (in each case, including as a result of an Event of Default) or (e) the assignment of any SOFR Loan other than on (i) with respect to any Daily Simple SOFR Loan, the applicable Interest Payment Date therefor or (ii) with respect to any Term SOFR Loan, the last day of the Interest Period therefor, in each case, as a result of a request by the Borrowers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 certificate of such Lender setting forth the basis for determining such amount or amounts necessary to compensate such Lender shall be forwarded to the Administrative Borrower through the Administrative Agent and shall be conclusively presumed to be correct save for manifest error. All of the obligations of the Credit Parties under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Increased Costs Generally</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or any Issuing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or any Issuing Lender any other condition, cost or expense (other than Taxes) affecting this Agreement or Loans made by such Lender or any Letter of Credit or participation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any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Borrowers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 Requirements</w:t>
      </w:r>
      <w:r>
        <w:rPr>
          <w:rFonts w:ascii="Times New Roman;Times;Serif" w:hAnsi="Times New Roman;Times;Serif"/>
          <w:b w:val="false"/>
          <w:i w:val="false"/>
          <w:caps w:val="false"/>
          <w:smallCaps w:val="false"/>
          <w:sz w:val="20"/>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Borrowers shall promptly pay to such Lender or such Issuing Lender, as the case may be, such additional amount or amounts as will compensate such Lender or such Issuing Lender or such Lender’s or such Issuing Lender’s holding company for any such reduction suffered.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Certificates for Reimbursement</w:t>
      </w:r>
      <w:r>
        <w:rPr>
          <w:rFonts w:ascii="Times New Roman;Times;Serif" w:hAnsi="Times New Roman;Times;Serif"/>
          <w:b w:val="false"/>
          <w:i w:val="false"/>
          <w:caps w:val="false"/>
          <w:smallCaps w:val="false"/>
          <w:sz w:val="20"/>
        </w:rPr>
        <w:t>. A certificate of a Lender, or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Administrative Borrower, shall be conclusive absent manifest error. The Borrowers shall pay such Lender or such Issuing Lender or such other Recipient, as the case may be, the amount shown as due on any such certificate within ten (10) days after receipt thereof.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Delay in Requests</w:t>
      </w:r>
      <w:r>
        <w:rPr>
          <w:rFonts w:ascii="Times New Roman;Times;Serif" w:hAnsi="Times New Roman;Times;Serif"/>
          <w:b w:val="false"/>
          <w:i w:val="false"/>
          <w:caps w:val="false"/>
          <w:smallCaps w:val="false"/>
          <w:sz w:val="20"/>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Borrowers shall not be required to compensate any Lender or an Issuing Lender or any other Recipient pursuant to this Section for any increased costs incurred or reductions suffered more than nine (9) months prior to the date that such Lender or such Issuing Lender or such other Recipient, as the case may be, notifies the Administrative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of the obligations of the Credit Parties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the term “Lender” includes any Issuing Lender, and the term “Applicable Law” includes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 of Other Taxes by the Credit Parties</w:t>
      </w:r>
      <w:r>
        <w:rPr>
          <w:rFonts w:ascii="Times New Roman;Times;Serif" w:hAnsi="Times New Roman;Times;Serif"/>
          <w:b w:val="false"/>
          <w:i w:val="false"/>
          <w:caps w:val="false"/>
          <w:smallCaps w:val="false"/>
          <w:sz w:val="20"/>
        </w:rPr>
        <w:t>. The Credit Parties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Indemnification by the Credit Parties</w:t>
      </w:r>
      <w:r>
        <w:rPr>
          <w:rFonts w:ascii="Times New Roman;Times;Serif" w:hAnsi="Times New Roman;Times;Serif"/>
          <w:b w:val="false"/>
          <w:i w:val="false"/>
          <w:caps w:val="false"/>
          <w:smallCaps w:val="false"/>
          <w:sz w:val="20"/>
        </w:rPr>
        <w:t>. The Credit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Administrative Borrower by a Recipient (with a copy to the Administrative Agent), or by the Administrative Agent on its own behalf or on behalf of a Recipient,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xml:space="preserve">.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11.9(d)</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xml:space="preserve">. As soon as practicable after any payment of Taxes by any Credit Party to a Governmental Authority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Administrative Borrower and the Administrative Agent, at the time or times reasonably requested by the Administrative Borrower or the Administrative Agent, such properly completed and executed documentation reasonably requested by the Administrative Borrower or the Administrative Agent as will permit such payments to be made without withholding or at a reduced rate of withholding. In addition, any Lender, if reasonably requested by the Administrative Borrower or the Administrative Agent, shall deliver such other documentation prescribed by Applicable Law or reasonably requested by the Administrative Borrower or the Administrative Agent as will enable the Administrative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4.11(g)(ii)(A)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Administrative Borrower and the Administrative Agent on or prior to the date on which such Lender becomes a Lender under this Agreement (and from time to time thereafter upon the reasonable request of the Administrative Borrower or the Administrative Agent), executed copies of IRS Form W-9 certifying that such Lender is exempt from United States federal backup withholding tax;</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Administrative Borrower and the Administrative Agent (in such number of copies as shall be requested by the recipient) on or prior to the date on which such Foreign Lender becomes a Lender under this Agreement (and from time to time thereafter upon the reasonable request of the Administrative Borrower or the Administrative Agent), whichever of the following is applicable: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executed copies of IRS Form W-8BEN-E establishing an exemption from, or reduction of, United States federal withholding Tax pursuant to the “interest” article of such tax treaty and (y) with respect to any other applicable payments under any Loan Document, IRS Form W-8BEN-E establishing an exemption from, or reduction of, United States federal withholding Tax pursuant to the “business profits” or “other income” article of such tax treaty;</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IRS Form W-8ECI;</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881(c) of the Code, (x) a certificate substantially in the form of </w:t>
      </w:r>
      <w:r>
        <w:rPr>
          <w:rFonts w:ascii="Times New Roman;Times;Serif" w:hAnsi="Times New Roman;Times;Serif"/>
          <w:b/>
          <w:i/>
          <w:caps w:val="false"/>
          <w:smallCaps w:val="false"/>
          <w:sz w:val="20"/>
        </w:rPr>
        <w:t>Exhibit I-1</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executed copies of IRS Form W-8BEN-E;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W-8BEN-E, a U.S. Tax Compliance Certificate substantially in the form of </w:t>
      </w:r>
      <w:r>
        <w:rPr>
          <w:rFonts w:ascii="Times New Roman;Times;Serif" w:hAnsi="Times New Roman;Times;Serif"/>
          <w:b/>
          <w:i/>
          <w:caps w:val="false"/>
          <w:smallCaps w:val="false"/>
          <w:sz w:val="20"/>
        </w:rPr>
        <w:t>Exhibit I-2</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caps w:val="false"/>
          <w:smallCaps w:val="false"/>
          <w:sz w:val="20"/>
        </w:rPr>
        <w:t>Exhibit I-3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Administrative Borrower and the Administrative Agent (in such number of copies as shall be requested by the recipient) on or prior to the date on which such Foreign Lender becomes a Lender under this Agreement (and from time to time thereafter upon the reasonable request of the Administrative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Borrowers or the Administrative Agent to determine the withholding or deduction required to be made; and</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Administrative Borrower and the Administrative Agent at the time or times prescribed by law and at such time or times reasonably requested by the Administrative Borrower or the Administrative Agent such documentation prescribed by Applicable Law (including as prescribed by Section 1471(b)(3)(C)(i) of the Code) and such additional documentation reasonably requested by the Administrative Borrower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Administrative Borrower and the Administrative Agent in writing of its legal inability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Designation of a Different Lending Office</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or requires the Borrowers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then such Lender shall, at the request of the Administrative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Replacement of Lenders</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or if the Borrowers are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and, in each case, such Lender has declined or is unable to designate a different Lending Office in accordance with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or if any Lender is a Defaulting Lender or a Non-Consenting Lender, then the Borrowers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xml:space="preserve">), all of its interests, rights (other than its existing rights to payments pursuant to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and obligations under this Agreement and the related Loan Documents to an Eligible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Borrowers shall have paid to the Administrative Agent the assignment fee (if any) specified in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from the assignee (to the extent of such outstanding principal and accrued interest and fees) or the Borrowers (in the case of all other amounts;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any such assignment resulting from a claim for compensation under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such assignment will result in a reduction in such compensation or payments thereafter;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assignment does not conflict with Applicable Law;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any assignment resulting from a Lender becoming a Non-Consenting Lender, the applicable assignee shall have consented to the applicable amendment, waiver or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hereto agrees that (x) an assignment required pursuant to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may be effected pursuant to an Assignment and Assumption executed by the Borrowers, the Administrative Agent and the assignee and (y)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or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such documents shall be without recourse to or warranty by the parties thereto.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Selection of Lending Office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each Lender may make any Loan to the Borrowers through any Lending Office, provided that the exercise of this option shall not affect the obligations of the Borrowers to repay the Loan in accordance with the terms of this Agreement or otherwise alter the rights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Incremental Increases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Request for Incremental Increase</w:t>
      </w:r>
      <w:r>
        <w:rPr>
          <w:rFonts w:ascii="Times New Roman;Times;Serif" w:hAnsi="Times New Roman;Times;Serif"/>
          <w:b w:val="false"/>
          <w:i w:val="false"/>
          <w:caps w:val="false"/>
          <w:smallCaps w:val="false"/>
          <w:sz w:val="20"/>
        </w:rPr>
        <w:t xml:space="preserve">. At any time after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2 Effective</w:t>
      </w:r>
      <w:r>
        <w:rPr>
          <w:rFonts w:ascii="Times New Roman;Times;Serif" w:hAnsi="Times New Roman;Times;Serif"/>
          <w:b w:val="false"/>
          <w:i w:val="false"/>
          <w:caps w:val="false"/>
          <w:smallCaps w:val="false"/>
          <w:sz w:val="20"/>
        </w:rPr>
        <w:t xml:space="preserve"> Date, upon written notice by the Administrative Borrower to the Administrative Agent, the Borrowers may, from time to time, request (i) one or more incremental term loan commitments (an “</w:t>
      </w:r>
      <w:r>
        <w:rPr>
          <w:rFonts w:ascii="Times New Roman;Times;Serif" w:hAnsi="Times New Roman;Times;Serif"/>
          <w:b w:val="false"/>
          <w:i w:val="false"/>
          <w:caps w:val="false"/>
          <w:smallCaps w:val="false"/>
          <w:sz w:val="20"/>
          <w:u w:val="single"/>
        </w:rPr>
        <w:t>Incremental Term Loan Commitment</w:t>
      </w:r>
      <w:r>
        <w:rPr>
          <w:rFonts w:ascii="Times New Roman;Times;Serif" w:hAnsi="Times New Roman;Times;Serif"/>
          <w:b w:val="false"/>
          <w:i w:val="false"/>
          <w:caps w:val="false"/>
          <w:smallCaps w:val="false"/>
          <w:sz w:val="20"/>
        </w:rPr>
        <w:t xml:space="preserve">”) to make one or more </w:t>
      </w:r>
      <w:r>
        <w:rPr>
          <w:rFonts w:ascii="Times New Roman;Times;Serif" w:hAnsi="Times New Roman;Times;Serif"/>
          <w:b w:val="false"/>
          <w:i w:val="false"/>
          <w:caps w:val="false"/>
          <w:smallCaps w:val="false"/>
          <w:color w:val="0000FF"/>
          <w:sz w:val="20"/>
          <w:u w:val="single"/>
        </w:rPr>
        <w:t xml:space="preserve">additional </w:t>
      </w:r>
      <w:r>
        <w:rPr>
          <w:rFonts w:ascii="Times New Roman;Times;Serif" w:hAnsi="Times New Roman;Times;Serif"/>
          <w:b w:val="false"/>
          <w:i w:val="false"/>
          <w:caps w:val="false"/>
          <w:smallCaps w:val="false"/>
          <w:sz w:val="20"/>
        </w:rPr>
        <w:t>term loans</w:t>
      </w:r>
      <w:r>
        <w:rPr>
          <w:rFonts w:ascii="Times New Roman;Times;Serif" w:hAnsi="Times New Roman;Times;Serif"/>
          <w:b w:val="false"/>
          <w:i w:val="false"/>
          <w:caps w:val="false"/>
          <w:smallCaps w:val="false"/>
          <w:color w:val="0000FF"/>
          <w:sz w:val="20"/>
          <w:u w:val="single"/>
        </w:rPr>
        <w:t>, including a borrowing of an additional term loan the principal amount of which will be added to the outstanding principal amount of the existing Class of outstanding Term Loans with the latest scheduled maturity date</w:t>
      </w:r>
      <w:r>
        <w:rPr>
          <w:rFonts w:ascii="Times New Roman;Times;Serif" w:hAnsi="Times New Roman;Times;Serif"/>
          <w:b w:val="false"/>
          <w:i w:val="false"/>
          <w:caps w:val="false"/>
          <w:smallCaps w:val="false"/>
          <w:sz w:val="20"/>
        </w:rPr>
        <w:t xml:space="preserve"> (any such term loan, an “</w:t>
      </w:r>
      <w:r>
        <w:rPr>
          <w:rFonts w:ascii="Times New Roman;Times;Serif" w:hAnsi="Times New Roman;Times;Serif"/>
          <w:b w:val="false"/>
          <w:i w:val="false"/>
          <w:caps w:val="false"/>
          <w:smallCaps w:val="false"/>
          <w:sz w:val="20"/>
          <w:u w:val="single"/>
        </w:rPr>
        <w:t>Incremental Term Loan</w:t>
      </w:r>
      <w:r>
        <w:rPr>
          <w:rFonts w:ascii="Times New Roman;Times;Serif" w:hAnsi="Times New Roman;Times;Serif"/>
          <w:b w:val="false"/>
          <w:i w:val="false"/>
          <w:caps w:val="false"/>
          <w:smallCaps w:val="false"/>
          <w:sz w:val="20"/>
        </w:rPr>
        <w:t>”) and/or (ii) one or more increases in the Revolving Credit Commitments (each, a “</w:t>
      </w:r>
      <w:r>
        <w:rPr>
          <w:rFonts w:ascii="Times New Roman;Times;Serif" w:hAnsi="Times New Roman;Times;Serif"/>
          <w:b w:val="false"/>
          <w:i w:val="false"/>
          <w:caps w:val="false"/>
          <w:smallCaps w:val="false"/>
          <w:sz w:val="20"/>
          <w:u w:val="single"/>
        </w:rPr>
        <w:t>Incremental Revolving Credit Facility Increase</w:t>
      </w:r>
      <w:r>
        <w:rPr>
          <w:rFonts w:ascii="Times New Roman;Times;Serif" w:hAnsi="Times New Roman;Times;Serif"/>
          <w:b w:val="false"/>
          <w:i w:val="false"/>
          <w:caps w:val="false"/>
          <w:smallCaps w:val="false"/>
          <w:sz w:val="20"/>
        </w:rPr>
        <w:t>” and, together with the Incremental Term Loan Commitments and Incremental Term Loans, the “</w:t>
      </w:r>
      <w:r>
        <w:rPr>
          <w:rFonts w:ascii="Times New Roman;Times;Serif" w:hAnsi="Times New Roman;Times;Serif"/>
          <w:b w:val="false"/>
          <w:i w:val="false"/>
          <w:caps w:val="false"/>
          <w:smallCaps w:val="false"/>
          <w:sz w:val="20"/>
          <w:u w:val="single"/>
        </w:rPr>
        <w:t>Incremental Increases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(A) the aggregate initial principal amount of such requested Incremental Increase shall not exceed the Incremental Facilities Limit, (B) any such Incremental Increase shall be in a minimum amount of $10,000,000 (or such lesser amount as agreed to by the Administrative Agent) or, if less, the remaining amount of the Incremental Facilities Limit, and (C) no Lender will be required otherwise obligated to provide any portion of such Incremental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Incremental Lenders</w:t>
      </w:r>
      <w:r>
        <w:rPr>
          <w:rFonts w:ascii="Times New Roman;Times;Serif" w:hAnsi="Times New Roman;Times;Serif"/>
          <w:b w:val="false"/>
          <w:i w:val="false"/>
          <w:caps w:val="false"/>
          <w:smallCaps w:val="false"/>
          <w:sz w:val="20"/>
        </w:rPr>
        <w:t xml:space="preserve">. Each notice from the Administrative Borrower pursuant to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shall set forth the requested amount and proposed terms of the relevant Incremental Increase. Incremental Increases may be provided by any existing Lender or by any other Persons (each such Lender or other Person, an “</w:t>
      </w:r>
      <w:r>
        <w:rPr>
          <w:rFonts w:ascii="Times New Roman;Times;Serif" w:hAnsi="Times New Roman;Times;Serif"/>
          <w:b w:val="false"/>
          <w:i w:val="false"/>
          <w:caps w:val="false"/>
          <w:smallCaps w:val="false"/>
          <w:sz w:val="20"/>
          <w:u w:val="single"/>
        </w:rPr>
        <w:t>Incremental Lender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each Issuing Lender and/or the Swingline Lender, as applicable, shall have consented (not to be unreasonably withheld or delayed) to such Incremental Lender’s providing such Incremental Increases to the extent any such consent would be required under </w:t>
      </w:r>
      <w:r>
        <w:rPr>
          <w:rFonts w:ascii="Times New Roman;Times;Serif" w:hAnsi="Times New Roman;Times;Serif"/>
          <w:b w:val="false"/>
          <w:i w:val="false"/>
          <w:caps w:val="false"/>
          <w:smallCaps w:val="false"/>
          <w:sz w:val="20"/>
          <w:u w:val="single"/>
        </w:rPr>
        <w:t>Section 11.9(b)</w:t>
      </w:r>
      <w:r>
        <w:rPr>
          <w:rFonts w:ascii="Times New Roman;Times;Serif" w:hAnsi="Times New Roman;Times;Serif"/>
          <w:b w:val="false"/>
          <w:i w:val="false"/>
          <w:caps w:val="false"/>
          <w:smallCaps w:val="false"/>
          <w:sz w:val="20"/>
        </w:rPr>
        <w:t xml:space="preserve"> for an assignment of Loans or Commitments, as applicable, to such Incremental Lender. At the time of sending such notice, the Administrative Borrower (in consultation with the Administrative Agent) shall specify the time period within which each proposed Incremental Lender is requested to respond, which shall in no event be less than ten (10) Business Days from the date of delivery of such notice to the proposed Incremental Lenders (or such shorter period as agreed to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Increase Effective Date and Allocations</w:t>
      </w:r>
      <w:r>
        <w:rPr>
          <w:rFonts w:ascii="Times New Roman;Times;Serif" w:hAnsi="Times New Roman;Times;Serif"/>
          <w:b w:val="false"/>
          <w:i w:val="false"/>
          <w:caps w:val="false"/>
          <w:smallCaps w:val="false"/>
          <w:sz w:val="20"/>
        </w:rPr>
        <w:t>. The Administrative Agent and the Borrowers shall determine the effective date (the “</w:t>
      </w:r>
      <w:r>
        <w:rPr>
          <w:rFonts w:ascii="Times New Roman;Times;Serif" w:hAnsi="Times New Roman;Times;Serif"/>
          <w:b w:val="false"/>
          <w:i w:val="false"/>
          <w:caps w:val="false"/>
          <w:smallCaps w:val="false"/>
          <w:sz w:val="20"/>
          <w:u w:val="single"/>
        </w:rPr>
        <w:t>Increase Effective Date</w:t>
      </w:r>
      <w:r>
        <w:rPr>
          <w:rFonts w:ascii="Times New Roman;Times;Serif" w:hAnsi="Times New Roman;Times;Serif"/>
          <w:b w:val="false"/>
          <w:i w:val="false"/>
          <w:caps w:val="false"/>
          <w:smallCaps w:val="false"/>
          <w:sz w:val="20"/>
        </w:rPr>
        <w:t>”) and the final allocation of such Incremental Increase (limited in the case of the Incremental Lenders to their own respective allocations thereof). The Administrative Agent shall promptly notify the Borrowers and the Incremental Lenders of the final allocation of such Incremental Increases and the Increase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Terms of Incremental Increases</w:t>
      </w:r>
      <w:r>
        <w:rPr>
          <w:rFonts w:ascii="Times New Roman;Times;Serif" w:hAnsi="Times New Roman;Times;Serif"/>
          <w:b w:val="false"/>
          <w:i w:val="false"/>
          <w:caps w:val="false"/>
          <w:smallCaps w:val="false"/>
          <w:sz w:val="20"/>
        </w:rPr>
        <w:t xml:space="preserve">. The terms of each Incremental Increase (which shall be set forth in the relevant Incremental Amendment) shall be determined by the Borrowers and the applicable Incremental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each Incremental Term Loan: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maturity of any such Incremental Term Loan shall not be earlier than the latest scheduled maturity date of the Loans and Commitments in effect as of the Increase Effective Date;</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all-in yield and pricing grid, if applicable, for such Incremental Term Loan shall be determined by the Administrative Agent, the applicable Incremental Lenders and the Borrowers on the applicable Increase Effective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(C) any mandatory prepayment (other than scheduled amortization payments) of each Incremental Term Loan shall be made on a pro rata basis with all then existing Term Loans, except that the Borrower and the Incremental Lenders in respect of such Incremental Term Loan may, in their sole discretion, elect to prepay or receive, as applicable, any prepayments on a less than pro rata basis (but not on a greater than pro rata basis); and</w:t>
      </w:r>
    </w:p>
    <w:p>
      <w:pPr>
        <w:pStyle w:val="TextBody"/>
        <w:bidi w:val="0"/>
        <w:spacing w:before="0" w:after="0"/>
        <w:ind w:left="1440" w:right="0" w:firstLine="720"/>
        <w:jc w:val="both"/>
        <w:rPr>
          <w:caps w:val="false"/>
          <w:smallCaps w:val="false"/>
          <w:color w:val="0000FF"/>
        </w:rPr>
      </w:pPr>
      <w:r>
        <w:rPr>
          <w:caps w:val="false"/>
          <w:smallCaps w:val="false"/>
          <w:color w:val="0000FF"/>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(D) </w:t>
      </w:r>
      <w:r>
        <w:rPr>
          <w:rFonts w:ascii="Times New Roman;Times;Serif" w:hAnsi="Times New Roman;Times;Serif"/>
          <w:b w:val="false"/>
          <w:i w:val="false"/>
          <w:caps w:val="false"/>
          <w:smallCaps w:val="false"/>
          <w:strike/>
          <w:color w:val="FF0000"/>
          <w:sz w:val="20"/>
        </w:rPr>
        <w:t xml:space="preserve">(C) </w:t>
      </w:r>
      <w:r>
        <w:rPr>
          <w:rFonts w:ascii="Times New Roman;Times;Serif" w:hAnsi="Times New Roman;Times;Serif"/>
          <w:b w:val="false"/>
          <w:i w:val="false"/>
          <w:caps w:val="false"/>
          <w:smallCaps w:val="false"/>
          <w:sz w:val="20"/>
        </w:rPr>
        <w:t xml:space="preserve">except as provided above, all other terms and conditions applicable to any new Incremental Term Loan shall be consistent with the terms and conditions applicable to </w:t>
      </w:r>
      <w:r>
        <w:rPr>
          <w:rFonts w:ascii="Times New Roman;Times;Serif" w:hAnsi="Times New Roman;Times;Serif"/>
          <w:b w:val="false"/>
          <w:i w:val="false"/>
          <w:caps w:val="false"/>
          <w:smallCaps w:val="false"/>
          <w:strike/>
          <w:color w:val="FF0000"/>
          <w:sz w:val="20"/>
        </w:rPr>
        <w:t>any prior</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Incremental Term Loan</w:t>
      </w:r>
      <w:r>
        <w:rPr>
          <w:rFonts w:ascii="Times New Roman;Times;Serif" w:hAnsi="Times New Roman;Times;Serif"/>
          <w:b w:val="false"/>
          <w:i w:val="false"/>
          <w:caps w:val="false"/>
          <w:smallCaps w:val="false"/>
          <w:color w:val="0000FF"/>
          <w:sz w:val="20"/>
          <w:u w:val="single"/>
        </w:rPr>
        <w:t>-1</w:t>
      </w:r>
      <w:r>
        <w:rPr>
          <w:rFonts w:ascii="Times New Roman;Times;Serif" w:hAnsi="Times New Roman;Times;Serif"/>
          <w:b w:val="false"/>
          <w:i w:val="false"/>
          <w:caps w:val="false"/>
          <w:smallCaps w:val="false"/>
          <w:sz w:val="20"/>
        </w:rPr>
        <w:t xml:space="preserve"> or otherwise reasonably satisfactory to the Administrative Agent and the Borrowers; (provided that such other terms and conditions, taken as a whole, shall not be more favorable to the Lenders under any new Incremental Term Loans than such other terms and conditions, taken as a whole, under </w:t>
      </w:r>
      <w:r>
        <w:rPr>
          <w:rFonts w:ascii="Times New Roman;Times;Serif" w:hAnsi="Times New Roman;Times;Serif"/>
          <w:b w:val="false"/>
          <w:i w:val="false"/>
          <w:caps w:val="false"/>
          <w:smallCaps w:val="false"/>
          <w:strike/>
          <w:color w:val="FF0000"/>
          <w:sz w:val="20"/>
        </w:rPr>
        <w:t>any prior</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Incremental Term </w:t>
      </w:r>
      <w:r>
        <w:rPr>
          <w:rFonts w:ascii="Times New Roman;Times;Serif" w:hAnsi="Times New Roman;Times;Serif"/>
          <w:b w:val="false"/>
          <w:i w:val="false"/>
          <w:caps w:val="false"/>
          <w:smallCaps w:val="false"/>
          <w:strike/>
          <w:color w:val="FF0000"/>
          <w:sz w:val="20"/>
        </w:rPr>
        <w:t>Loans</w:t>
      </w:r>
      <w:r>
        <w:rPr>
          <w:rFonts w:ascii="Times New Roman;Times;Serif" w:hAnsi="Times New Roman;Times;Serif"/>
          <w:b w:val="false"/>
          <w:i w:val="false"/>
          <w:caps w:val="false"/>
          <w:smallCaps w:val="false"/>
          <w:color w:val="0000FF"/>
          <w:sz w:val="20"/>
          <w:u w:val="single"/>
        </w:rPr>
        <w:t>Loan-1</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each Incremental Revolving Credit Facility Increase: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such Incremental Revolving Credit Facility Increase shall have the same terms, including maturity, Applicable Margin and Commitment Fees, as the Revolving Credit Facility;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any upfront fees payable by the Borrowers to the Lenders under any Incremental Revolving Credit Facility Increases may differ from those payable under the then existing Revolving Credit Commitments and (y) the Applicable Margins or Commitment Fees or interest rate floor applicable to any Incremental Revolving Credit Facility Increase may be higher than the Applicable Margins or Commitment Fees or interest rate floor applicable to the Revolving Credit Facility if the Applicable Margins or Commitment Fees or interest rate floor applicable to the Revolving Credit Facility are increased to equal the Applicable Margins and Commitment Fees and interest rate floor applicable to such Incremental Revolving Credit Facility Increase;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Revolving Credit Facility Increase) agree to make all payments and adjustments necessary to effect such reallocation and the Borrowers shall pay any and all costs required pursuant to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in connection with such reallocation as if such reallocation were a repayment);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Incremental Increase shall constitute Obligations of the Borrowers and will be guaranteed by the Guarantors and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other Secured Obligations;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clauses (i)(C) and (ii)(A) of this </w:t>
      </w:r>
      <w:r>
        <w:rPr>
          <w:rFonts w:ascii="Times New Roman;Times;Serif" w:hAnsi="Times New Roman;Times;Serif"/>
          <w:b w:val="false"/>
          <w:i w:val="false"/>
          <w:caps w:val="false"/>
          <w:smallCaps w:val="false"/>
          <w:sz w:val="20"/>
          <w:u w:val="single"/>
        </w:rPr>
        <w:t>Section 4.13(d)</w:t>
      </w:r>
      <w:r>
        <w:rPr>
          <w:rFonts w:ascii="Times New Roman;Times;Serif" w:hAnsi="Times New Roman;Times;Serif"/>
          <w:b w:val="false"/>
          <w:i w:val="false"/>
          <w:caps w:val="false"/>
          <w:smallCaps w:val="false"/>
          <w:sz w:val="20"/>
        </w:rPr>
        <w:t xml:space="preserve"> to the contrary, the terms and conditions applicable to any new Incremental Term Loan or Incremental Revolving Credit Facility Increase may be different than the terms and conditions applicable to any prior Incremental Term Loan or Revolving Credit Facility, as applicable, if such differences are applicable solely to periods after the latest scheduled maturity date of the Loans and Commitments in effect as of the Increase Effective Date.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Conditions to Effectiveness of Incremental Increases</w:t>
      </w:r>
      <w:r>
        <w:rPr>
          <w:rFonts w:ascii="Times New Roman;Times;Serif" w:hAnsi="Times New Roman;Times;Serif"/>
          <w:b w:val="false"/>
          <w:i w:val="false"/>
          <w:caps w:val="false"/>
          <w:smallCaps w:val="false"/>
          <w:sz w:val="20"/>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Acquisition, shall be subject to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shall exist on such Increase Effective Date immediately prior to or after giving effect to (A) such Incremental Increase or (B) the making of the initial Extensions of Credit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representations and warranties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be true and correct in all material respects (or if qualified by materiality or Material Adverse Effect, in all respects) as of such Increase Effective Date, or if such representation speaks as of an earlier date, as of such earlier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Administrative Agent shall have received from Holdings, a Compliance Certificate demonstrating that the Borrowers are in compliance with the financial covenants set forth in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 xml:space="preserve"> based on the financial statements for the most recently completed Reference Period, both before and after giving effect on a Pro Forma Basis to the incurrence of any such Incremental Increase (and assuming that any such Incremental Revolving Credit Facility Increase is fully drawn) and any Permitted Acquisition, refinancing of Indebtedness or other event consummated in connection therewith giving rise to a Pro Forma Basis adjustment;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Credit Parties shall have executed an Incremental Amendment in form and substance reasonably acceptable to the Borrowers and the applicable Incremental Lenders;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Administrative Agent shall have received from the Borrowers, any customary legal opinions or other documents (including a resolution duly adopted by the board of directors (or equivalent governing body) of each Credit Party authorizing such Incremental Increase), modifications to existing mortgages and other instruments and documents of the type required by </w:t>
      </w:r>
      <w:r>
        <w:rPr>
          <w:rFonts w:ascii="Times New Roman;Times;Serif" w:hAnsi="Times New Roman;Times;Serif"/>
          <w:b w:val="false"/>
          <w:i w:val="false"/>
          <w:caps w:val="false"/>
          <w:smallCaps w:val="false"/>
          <w:sz w:val="20"/>
          <w:u w:val="single"/>
        </w:rPr>
        <w:t>Section 7.14(e)</w:t>
      </w:r>
      <w:r>
        <w:rPr>
          <w:rFonts w:ascii="Times New Roman;Times;Serif" w:hAnsi="Times New Roman;Times;Serif"/>
          <w:b w:val="false"/>
          <w:i w:val="false"/>
          <w:caps w:val="false"/>
          <w:smallCaps w:val="false"/>
          <w:sz w:val="20"/>
        </w:rPr>
        <w:t>, reasonably requested by Administrative Agent in connection with such Incremental Increase.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Incremental Amendments</w:t>
      </w:r>
      <w:r>
        <w:rPr>
          <w:rFonts w:ascii="Times New Roman;Times;Serif" w:hAnsi="Times New Roman;Times;Serif"/>
          <w:b w:val="false"/>
          <w:i w:val="false"/>
          <w:caps w:val="false"/>
          <w:smallCaps w:val="false"/>
          <w:sz w:val="20"/>
        </w:rPr>
        <w:t>. Each such Incremental Increase shall be effected pursuant to an amendment (an “</w:t>
      </w:r>
      <w:r>
        <w:rPr>
          <w:rFonts w:ascii="Times New Roman;Times;Serif" w:hAnsi="Times New Roman;Times;Serif"/>
          <w:b w:val="false"/>
          <w:i w:val="false"/>
          <w:caps w:val="false"/>
          <w:smallCaps w:val="false"/>
          <w:sz w:val="20"/>
          <w:u w:val="single"/>
        </w:rPr>
        <w:t>Incremental Amendment</w:t>
      </w:r>
      <w:r>
        <w:rPr>
          <w:rFonts w:ascii="Times New Roman;Times;Serif" w:hAnsi="Times New Roman;Times;Serif"/>
          <w:b w:val="false"/>
          <w:i w:val="false"/>
          <w:caps w:val="false"/>
          <w:smallCaps w:val="false"/>
          <w:sz w:val="20"/>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Times;Serif" w:hAnsi="Times New Roman;Times;Serif"/>
          <w:b w:val="false"/>
          <w:i w:val="false"/>
          <w:caps w:val="false"/>
          <w:smallCaps w:val="false"/>
          <w:sz w:val="20"/>
          <w:u w:val="single"/>
        </w:rPr>
        <w:t xml:space="preserve">Section 4.13 </w:t>
      </w:r>
      <w:r>
        <w:rPr>
          <w:rFonts w:ascii="Times New Roman;Times;Serif" w:hAnsi="Times New Roman;Times;Serif"/>
          <w:b w:val="false"/>
          <w:i w:val="false"/>
          <w:caps w:val="false"/>
          <w:smallCaps w:val="false"/>
          <w:color w:val="0000FF"/>
          <w:sz w:val="20"/>
          <w:u w:val="single"/>
        </w:rPr>
        <w:t>(including, if applicable, amendments to make any such Incremental Term Loan fungible with any existing Class of Term Loans)</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proceeds of any Incremental Increase may be used by the Borrowers and its Subsidiaries for working capital and other general corporate purposes, including the financing of Permitted Acquisitions and other Investments permitted hereunder and any other use not prohibited by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At any time that there shall exist a Defaulting Lender, within one Business Day following the written request of the Administrative Agent, any Issuing Lender (with a copy to the Administrative Agent) or the Swingline Lender (with a copy to the Administrative Agent), the Borrowers shall Cash Collateralize the Fronting Exposure of such Issuing Lender and/or the Swingline Lender, as applicable, with respect to such Defaulting Lender (determined after giving effect to </w:t>
      </w:r>
      <w:r>
        <w:rPr>
          <w:rFonts w:ascii="Times New Roman;Times;Serif" w:hAnsi="Times New Roman;Times;Serif"/>
          <w:b w:val="false"/>
          <w:i w:val="false"/>
          <w:caps w:val="false"/>
          <w:smallCaps w:val="false"/>
          <w:sz w:val="20"/>
          <w:u w:val="single"/>
        </w:rPr>
        <w:t>Section 4.15(a)(iv)</w:t>
      </w:r>
      <w:r>
        <w:rPr>
          <w:rFonts w:ascii="Times New Roman;Times;Serif" w:hAnsi="Times New Roman;Times;Serif"/>
          <w:b w:val="false"/>
          <w:i w:val="false"/>
          <w:caps w:val="false"/>
          <w:smallCaps w:val="false"/>
          <w:sz w:val="20"/>
        </w:rPr>
        <w:t xml:space="preserve"> and any Cash Collateral provided by such Defaulting Lender) in an amount not less than the Minimum Collateral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The Borrowers, and to the extent provided by any Defaulting Lender, such Defaulting Lender, hereby grants to the Administrative Agent, for the benefit of each Issuing Lender and the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the Swingline Lender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Notwithstanding anything to the contrary contained in this Agreement or any other Loan Document, Cash Collateral provided under this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of Requirement</w:t>
      </w:r>
      <w:r>
        <w:rPr>
          <w:rFonts w:ascii="Times New Roman;Times;Serif" w:hAnsi="Times New Roman;Times;Serif"/>
          <w:b w:val="false"/>
          <w:i w:val="false"/>
          <w:caps w:val="false"/>
          <w:smallCaps w:val="false"/>
          <w:sz w:val="20"/>
        </w:rPr>
        <w:t xml:space="preserve">. Cash Collateral (or the appropriate portion thereof) provided to reduce the Fronting Exposure of any Issuing Lender and/or the Swingline Lender, as applicable, shall no longer be required to be held as Cash Collateral pursuant to this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following (i) the elimination of the applicable Fronting Exposure (including by the termination of Defaulting Lender status of the applicable Lender), or (ii) the determination by the Administrative Agent, the Issuing Lenders and the Swingline Lender that there exists excess Cash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the Person providing Cash Collateral, the Issuing Lenders and the Swingline Lender may agree that Cash Collateral shall be held to support future anticipated Fronting Exposure or other obligations;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to the extent that such Cash Collateral was provided by any Borrower, such Cash Collateral shall remain subject to the security interest granted pursuant to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Defaulting Lender 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w:t>
      </w:r>
      <w:r>
        <w:rPr>
          <w:rFonts w:ascii="Times New Roman;Times;Serif" w:hAnsi="Times New Roman;Times;Serif"/>
          <w:b w:val="false"/>
          <w:i w:val="false"/>
          <w:caps w:val="false"/>
          <w:smallCaps w:val="false"/>
          <w:strike/>
          <w:color w:val="FF0000"/>
          <w:sz w:val="20"/>
        </w:rPr>
        <w:t>definition</w:t>
      </w:r>
      <w:r>
        <w:rPr>
          <w:rFonts w:ascii="Times New Roman;Times;Serif" w:hAnsi="Times New Roman;Times;Serif"/>
          <w:b w:val="false"/>
          <w:i w:val="false"/>
          <w:caps w:val="false"/>
          <w:smallCaps w:val="false"/>
          <w:color w:val="0000FF"/>
          <w:sz w:val="20"/>
          <w:u w:val="single"/>
        </w:rPr>
        <w:t>definitions</w:t>
      </w:r>
      <w:r>
        <w:rPr>
          <w:rFonts w:ascii="Times New Roman;Times;Serif" w:hAnsi="Times New Roman;Times;Serif"/>
          <w:b w:val="false"/>
          <w:i w:val="false"/>
          <w:caps w:val="false"/>
          <w:smallCaps w:val="false"/>
          <w:sz w:val="20"/>
        </w:rPr>
        <w:t xml:space="preserve"> of “Required </w:t>
      </w:r>
      <w:r>
        <w:rPr>
          <w:rFonts w:ascii="Times New Roman;Times;Serif" w:hAnsi="Times New Roman;Times;Serif"/>
          <w:b w:val="false"/>
          <w:i w:val="false"/>
          <w:caps w:val="false"/>
          <w:smallCaps w:val="false"/>
          <w:color w:val="0000FF"/>
          <w:sz w:val="20"/>
          <w:u w:val="single"/>
        </w:rPr>
        <w:t xml:space="preserve">Lenders” or “Required Revolving Credit </w:t>
      </w:r>
      <w:r>
        <w:rPr>
          <w:rFonts w:ascii="Times New Roman;Times;Serif" w:hAnsi="Times New Roman;Times;Serif"/>
          <w:b w:val="false"/>
          <w:i w:val="false"/>
          <w:caps w:val="false"/>
          <w:smallCaps w:val="false"/>
          <w:sz w:val="20"/>
        </w:rPr>
        <w:t xml:space="preserve">Lenders” and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payment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of any amounts owing by such Defaulting Lender to the Issuing Lenders or the Swingline Lender 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Cash Collateralize the Fronting Exposure of the Issuing Lenders and the Swingline Lender with respect to such Defaulting Lender in accordance with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the Administrative Agent and the Borrowers, to be held in a deposit account and released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issued under this Agreement, in accordance with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Times;Serif" w:hAnsi="Times New Roman;Times;Serif"/>
          <w:b w:val="false"/>
          <w:i/>
          <w:caps w:val="false"/>
          <w:smallCaps w:val="false"/>
          <w:sz w:val="20"/>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were satisfied or waived, such payment shall be applied solely to pay the Loans of, and funded participations in Letters of Credit or Swingline Loans owed to, all Non-Defaulting Lenders on a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in accordance with the Revolving Credit Commitments under the applicable Revolving Credit Facility without giving effect to </w:t>
      </w:r>
      <w:r>
        <w:rPr>
          <w:rFonts w:ascii="Times New Roman;Times;Serif" w:hAnsi="Times New Roman;Times;Serif"/>
          <w:b w:val="false"/>
          <w:i w:val="false"/>
          <w:caps w:val="false"/>
          <w:smallCaps w:val="false"/>
          <w:sz w:val="20"/>
          <w:u w:val="single"/>
        </w:rPr>
        <w:t>Section 4.15(a)(iv)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4.15(a)(ii)</w:t>
      </w:r>
      <w:r>
        <w:rPr>
          <w:rFonts w:ascii="Times New Roman;Times;Serif" w:hAnsi="Times New Roman;Times;Serif"/>
          <w:b w:val="false"/>
          <w:i w:val="false"/>
          <w:caps w:val="false"/>
          <w:smallCaps w:val="false"/>
          <w:sz w:val="20"/>
        </w:rPr>
        <w:t xml:space="preserve"> shall be deemed paid to and redirected by such Defaulting Lender, and each Lender irrevocably consents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Defaulting Lender shall be entitled to receive Letter of Credit commissions pursuant to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Reallocation of Participations to Reduce Fronting Exposure</w:t>
      </w:r>
      <w:r>
        <w:rPr>
          <w:rFonts w:ascii="Times New Roman;Times;Serif" w:hAnsi="Times New Roman;Times;Serif"/>
          <w:b w:val="false"/>
          <w:i w:val="false"/>
          <w:caps w:val="false"/>
          <w:smallCaps w:val="false"/>
          <w:sz w:val="20"/>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Times New Roman;Times;Serif" w:hAnsi="Times New Roman;Times;Serif"/>
          <w:b w:val="false"/>
          <w:i w:val="false"/>
          <w:caps w:val="false"/>
          <w:smallCaps w:val="false"/>
          <w:sz w:val="20"/>
          <w:u w:val="single"/>
        </w:rPr>
        <w:t>Section 11.23</w:t>
      </w:r>
      <w:r>
        <w:rPr>
          <w:rFonts w:ascii="Times New Roman;Times;Serif" w:hAnsi="Times New Roman;Times;Serif"/>
          <w:b w:val="false"/>
          <w:i w:val="false"/>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Cash Collateral, Repayment of Swingline Loans</w:t>
      </w:r>
      <w:r>
        <w:rPr>
          <w:rFonts w:ascii="Times New Roman;Times;Serif" w:hAnsi="Times New Roman;Times;Serif"/>
          <w:b w:val="false"/>
          <w:i w:val="false"/>
          <w:caps w:val="false"/>
          <w:smallCaps w:val="false"/>
          <w:sz w:val="20"/>
        </w:rPr>
        <w:t xml:space="preserve">. If the reallocation described in clause (iv) above cannot, or can only partially, be effected, the Borrowers shall, without prejudice to any right or remedy available to it hereunder or under law, (x)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repay Swingline Loans in an amount equal to the Swingline Lenders’ Fronting Exposure and (y)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Cash Collateralize the Issuing Lenders’ Fronting Exposure in accordance with the procedures set forth in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Borrowers,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by the Lenders in accordance with the Commitments under the applicable Credit Facility (without giving effect to </w:t>
      </w:r>
      <w:r>
        <w:rPr>
          <w:rFonts w:ascii="Times New Roman;Times;Serif" w:hAnsi="Times New Roman;Times;Serif"/>
          <w:b w:val="false"/>
          <w:i w:val="false"/>
          <w:caps w:val="false"/>
          <w:smallCaps w:val="false"/>
          <w:sz w:val="20"/>
          <w:u w:val="single"/>
        </w:rPr>
        <w:t>Section 4.15(a)(iv)</w:t>
      </w:r>
      <w:r>
        <w:rPr>
          <w:rFonts w:ascii="Times New Roman;Times;Serif" w:hAnsi="Times New Roman;Times;Serif"/>
          <w:b w:val="false"/>
          <w:i w:val="false"/>
          <w:caps w:val="false"/>
          <w:smallCaps w:val="false"/>
          <w:sz w:val="20"/>
        </w:rPr>
        <w:t xml:space="preserve">),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Borrowers while that Lender was a Defaulting Lender;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Joint and Several Liability of Borrowers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Borrowers to accept joint and several liability for the Secured Obligations.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Borrower, jointly and severally, hereby irrevocably and unconditionally accepts, not merely as a surety but also as a co-debtor, joint and several liability with the other Borrowers, with respect to the payment and performance of all of the Secured Obligations (including any Secured Obligations arising under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it being the intention of the parties hereto that all the Secured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and to the extent that any Borrower shall fail to make any payment with respect to any of the Secured Obligations as and when due, whether upon maturity, acceleration, or otherwise, or to perform any of the Secured Obligations in accordance with the terms thereof, then in each such event the other Borrowers will make such payment with respect to, or perform, such Secured Obligations until such time as all of the Secured Obligations are paid in full and Payment in Full has occurred, and without the need for demand, protest, or any other notice or formality.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Secured Obligations of each Borrower under the provisions of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Times New Roman;Times;Serif" w:hAnsi="Times New Roman;Times;Serif"/>
          <w:b w:val="false"/>
          <w:i w:val="false"/>
          <w:caps w:val="false"/>
          <w:smallCaps w:val="false"/>
          <w:sz w:val="20"/>
          <w:u w:val="single"/>
        </w:rPr>
        <w:t>Section 4.16(d)</w:t>
      </w:r>
      <w:r>
        <w:rPr>
          <w:rFonts w:ascii="Times New Roman;Times;Serif" w:hAnsi="Times New Roman;Times;Serif"/>
          <w:b w:val="false"/>
          <w:i w:val="false"/>
          <w:caps w:val="false"/>
          <w:smallCaps w:val="false"/>
          <w:sz w:val="20"/>
        </w:rPr>
        <w:t>) or any other circumstances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Without limiting the generality of the foregoing and except as otherwise expressly provided in this Agreement, each Borrower hereby waives presentments, demands for performance, protests and notices, including notices of acceptance of its joint and several liability, notice of any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Secured Obligations or other financial accommodations or of any demand for any payment under this Agreement, notice of any action at any time taken or omitted by Administrative Agent or Lenders under or in respect of any of the Secured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Secured Party’s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Secured Party, any defense (legal or equitable), set-off, counterclaim, or claim which each Borrower may now or at any time hereafter have against any other Borrower or any other party liable to any Secured Party, any defense, set-off, counterclaim, or claim, of any kind or nature, arising directly or indirectly from the present or future lack of perfection, sufficiency, validity, or enforceability of the Secured Obligations or any security therefor, and any right or defense arising by reason of any claim or defense based upon an election of remedies by any Secured Party including any defense based upon an impairment or elimination of such Borrower’s rights of subrogation, reimbursement, contribution, or indemnity of such Borrower. Without limiting the generality of the foregoing, each Borrower hereby assents to, and waives notice of, any extension or postponement of the time for the payment of any of the Secured Obligations, the acceptance of any payment of any of the Secured Obligations, the acceptance of any partial payment thereon, any waiver, consent or other action or acquiescence by any Secured Party at any time or times in respect of any default by any Borrower in the performance or satisfaction of any term, covenant, condition or provision of this Agreement, any and all other indulgences whatsoever by any Secured Party in respect of any of the Secured Obligations, and the taking, addition, substitution or release, in whole or in part, at any time or times, of any security for any of the Secured Obligations or the addition, substitution or release, in whole or in part, of any Borrower. Without limiting the generality of the foregoing, each Borrower assents to any other action or delay in acting or failure to act on the part of any Secured Party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afford grounds for terminating, discharging or relieving any Borrower, in whole or in part, from any of its obligations under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it being the intention of each Borrower that, so long as any of the Secured Obligations hereunder remain unsatisfied, the obligations of each Borrower under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shall not be discharged except by performance and then only to the extent of such performance. The obligations of each Borrower under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shall not be diminished or rendered unenforceable by any winding up, reorganization, arrangement, liquidation, reconstruction or similar proceeding with respect to any other Borrower or any Secured Party.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Secured Obligations to the extent of such payment, based on or arising out of the disability of any Borrower or any other Person, or the validity, legality, or unenforceability of the Secured Obligations or any part thereof from any cause, or the cessation from any cause of the liability of any Borrower other than payment of the Secured Obligations to the extent of such payment. Administrative Agent may, at the election of the Required Lenders, foreclose upon any Collateral held by Administrative Agent by one or more judicial or nonjudicial sales or other dispositions, whether or not every aspect of any such sale is commercially reasonable or otherwise fails to comply with applicable law or may exercise any other right or remedy Administrative Agent, any other Secured Party may have against any Borrower or any other Person, or any security, in each case, without affecting or impairing in any way the liability of any of the Borrowers hereunder except to the extent the Secured Obligations have been paid.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Borrower represents and warrants to the Secured Parties that such Borrower is currently informed of the financial condition of Borrowers and of all other circumstances which a diligent inquiry would reveal and which bear upon the risk of nonpayment of the Secured Obligations. Each Borrower further represents and warrants to Secured Parties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are made for the benefit of the Secured Parties and their respective successors and assigns, and may be enforced by it or them from time to time against any or all Borrowers as often as occasion therefor may arise and without requirement on the part of any Secured Party,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Secured Obligations hereunder or to elect any other remedy. The provisions of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shall remain in effect until all of the Secured Obligations shall have been paid in full and Payment in Full has occurred. If at any time, any payment, or any part thereof, made in respect of any of the Secured Obligations, is rescinded or must otherwise be restored or returned by Administrative Agent or any other Secured Party upon the insolvency, bankruptcy or reorganization of any Borrower, or otherwise, the provisions of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will forthwith be reinstated in effect, as though such payment had not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Borrower hereby agrees that it will not enforce any of its rights that arise from the existence, payment, performance or enforcement of the provisions of this Section 4.16, including rights of subrogation, reimbursement, exoneration, contribution or indemnification and any right to participate in any claim or remedy of Administrative Agent or any other Secured Party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Secured Obligations have been paid in full in cash and Payment in Full has occurred. Any claim which any Borrower may have against any other Borrower with respect to any payments to any Administrative Agent or any other Secured Party hereunder or under any of the Cash Management Agreements or Hedge Agreements are hereby expressly made subordinate and junior in right of payment, without limitation as to any increases in the Secured Obligations arising hereunder or thereunder, to the prior payment in full in cash of the Secured Obligations and, in the event of any insolvency, bankruptcy, receivership, liquidation, reorganization or other similar proceeding under the laws of any jurisdiction relating to any Borrower, its debts or its assets, whether voluntary or involuntary, all such Secured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Administrative Agent, for the benefit of the Secured Parties, and shall forthwith be paid to Administrative Agent to be credited and applied to the Secured Obligations and all other amounts payable under this Agreement, whether matured or unmatured, in accordance with the terms of this Agreement, or to be held as Collateral for any Secured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Times New Roman;Times;Serif" w:hAnsi="Times New Roman;Times;Serif"/>
          <w:b w:val="false"/>
          <w:i w:val="false"/>
          <w:caps w:val="false"/>
          <w:smallCaps w:val="false"/>
          <w:sz w:val="20"/>
          <w:u w:val="single"/>
        </w:rPr>
        <w:t>Foreclosed Borrower</w:t>
      </w:r>
      <w:r>
        <w:rPr>
          <w:rFonts w:ascii="Times New Roman;Times;Serif" w:hAnsi="Times New Roman;Times;Serif"/>
          <w:b w:val="false"/>
          <w:i w:val="false"/>
          <w:caps w:val="false"/>
          <w:smallCaps w:val="false"/>
          <w:sz w:val="20"/>
        </w:rPr>
        <w:t>”), including after payment in full of the Secured Obligations, if all or any portion of the Secured Obligations have been satisfied in connection with an exercise of remedies in respect of the Equity Interests of such Foreclosed Borrower whether pursuant to this Agreement or otherwise.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Anything herein or in any other Loan Document to the contrary notwithstanding, the maximum liability of each Subsidiary Borrower hereunder and under the other Loan Documents shall in no event exceed the largest amount which can be guaranteed by such Subsidiary Borrower without rendering its obligations hereunder subject to avoidance as a fraudulent transfer or conveyance under Section 548 of the Bankruptcy Code of the United States or any applicable provisions of comparable laws relating to bankruptcy, insolvency or reorganization, or relief of debtors (such laws, collectively, the “</w:t>
      </w:r>
      <w:r>
        <w:rPr>
          <w:rFonts w:ascii="Times New Roman;Times;Serif" w:hAnsi="Times New Roman;Times;Serif"/>
          <w:b w:val="false"/>
          <w:i w:val="false"/>
          <w:caps w:val="false"/>
          <w:smallCaps w:val="false"/>
          <w:sz w:val="20"/>
          <w:u w:val="single"/>
        </w:rPr>
        <w:t>Fraudulent Transfer Laws</w:t>
      </w:r>
      <w:r>
        <w:rPr>
          <w:rFonts w:ascii="Times New Roman;Times;Serif" w:hAnsi="Times New Roman;Times;Serif"/>
          <w:b w:val="false"/>
          <w:i w:val="false"/>
          <w:caps w:val="false"/>
          <w:smallCaps w:val="false"/>
          <w:sz w:val="20"/>
        </w:rPr>
        <w:t xml:space="preserve">”) (after giving effect to the right of contribution established in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below), but only to the extent that any such laws have been found in a final non-appealable judgment of a court of competent jurisdiction to be applicable to the obligations in question as of such date, in each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after giving effect to all liabilities of such Subsidiary Borrower, contingent or otherwise, that are relevant under the Fraudulent Transfer Laws, but specifically excluding: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liabilities of such Subsidiary Borrower in respect of intercompany indebtedness to Holdings or other Affiliates of Holdings to the extent that such indebtedness would be discharged in an amount equal to the amount paid by such Subsidiary Borrower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liabilities of such Subsidiary Borrower under this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liabilities of such Subsidiary Borrower under each of its other guarantees of and joint and several co-borrowings, in each case entered into on the date this Agreement becomes effective, which contain a limitation as to maximum amount substantially similar to that set forth in this </w:t>
      </w:r>
      <w:r>
        <w:rPr>
          <w:rFonts w:ascii="Times New Roman;Times;Serif" w:hAnsi="Times New Roman;Times;Serif"/>
          <w:b w:val="false"/>
          <w:i w:val="false"/>
          <w:caps w:val="false"/>
          <w:smallCaps w:val="false"/>
          <w:sz w:val="20"/>
          <w:u w:val="single"/>
        </w:rPr>
        <w:t>Section 4.16(i)</w:t>
      </w:r>
      <w:r>
        <w:rPr>
          <w:rFonts w:ascii="Times New Roman;Times;Serif" w:hAnsi="Times New Roman;Times;Serif"/>
          <w:b w:val="false"/>
          <w:i w:val="false"/>
          <w:caps w:val="false"/>
          <w:smallCaps w:val="false"/>
          <w:sz w:val="20"/>
        </w:rPr>
        <w:t xml:space="preserve"> (each such other guarantee and joint and several co-borrowing entered into on the date this Agreement becomes effective, a “</w:t>
      </w:r>
      <w:r>
        <w:rPr>
          <w:rFonts w:ascii="Times New Roman;Times;Serif" w:hAnsi="Times New Roman;Times;Serif"/>
          <w:b w:val="false"/>
          <w:i w:val="false"/>
          <w:caps w:val="false"/>
          <w:smallCaps w:val="false"/>
          <w:sz w:val="20"/>
          <w:u w:val="single"/>
        </w:rPr>
        <w:t>Competing Guaranty</w:t>
      </w:r>
      <w:r>
        <w:rPr>
          <w:rFonts w:ascii="Times New Roman;Times;Serif" w:hAnsi="Times New Roman;Times;Serif"/>
          <w:b w:val="false"/>
          <w:i w:val="false"/>
          <w:caps w:val="false"/>
          <w:smallCaps w:val="false"/>
          <w:sz w:val="20"/>
        </w:rPr>
        <w:t xml:space="preserve">”) to the extent such Subsidiary Borrower’s liabilities under such Competing Guaranty exceed an amount equal to (x) the aggregate principal amount of such Subsidiary Borrower’s obligations under such Competing Guaranty (notwithstanding the operation of that limitation contained in such Competing Guaranty that is substantially similar to this </w:t>
      </w:r>
      <w:r>
        <w:rPr>
          <w:rFonts w:ascii="Times New Roman;Times;Serif" w:hAnsi="Times New Roman;Times;Serif"/>
          <w:b w:val="false"/>
          <w:i w:val="false"/>
          <w:caps w:val="false"/>
          <w:smallCaps w:val="false"/>
          <w:sz w:val="20"/>
          <w:u w:val="single"/>
        </w:rPr>
        <w:t>Section 4.16(i)</w:t>
      </w:r>
      <w:r>
        <w:rPr>
          <w:rFonts w:ascii="Times New Roman;Times;Serif" w:hAnsi="Times New Roman;Times;Serif"/>
          <w:b w:val="false"/>
          <w:i w:val="false"/>
          <w:caps w:val="false"/>
          <w:smallCaps w:val="false"/>
          <w:sz w:val="20"/>
        </w:rPr>
        <w:t xml:space="preserve">), multiplied by (y) a fraction (I) the numerator of which is the aggregate principal amount of such Subsidiary Borrower’s obligations under such Competing Guaranty (notwithstanding the operation of that limitation contained in such Competing Guaranty that is substantially similar to this </w:t>
      </w:r>
      <w:r>
        <w:rPr>
          <w:rFonts w:ascii="Times New Roman;Times;Serif" w:hAnsi="Times New Roman;Times;Serif"/>
          <w:b w:val="false"/>
          <w:i w:val="false"/>
          <w:caps w:val="false"/>
          <w:smallCaps w:val="false"/>
          <w:sz w:val="20"/>
          <w:u w:val="single"/>
        </w:rPr>
        <w:t>Section 4.16(i)</w:t>
      </w:r>
      <w:r>
        <w:rPr>
          <w:rFonts w:ascii="Times New Roman;Times;Serif" w:hAnsi="Times New Roman;Times;Serif"/>
          <w:b w:val="false"/>
          <w:i w:val="false"/>
          <w:caps w:val="false"/>
          <w:smallCaps w:val="false"/>
          <w:sz w:val="20"/>
        </w:rPr>
        <w:t xml:space="preserve">), and (II) the denominator of which is the sum of (A) the aggregate principal amount of the obligations of such Subsidiary Borrower under all other Competing Guaranties (notwithstanding the operation of those limitations contained in such other Competing Guaranties that are substantially similar to this </w:t>
      </w:r>
      <w:r>
        <w:rPr>
          <w:rFonts w:ascii="Times New Roman;Times;Serif" w:hAnsi="Times New Roman;Times;Serif"/>
          <w:b w:val="false"/>
          <w:i w:val="false"/>
          <w:caps w:val="false"/>
          <w:smallCaps w:val="false"/>
          <w:sz w:val="20"/>
          <w:u w:val="single"/>
        </w:rPr>
        <w:t>Section 4.16(i)</w:t>
      </w:r>
      <w:r>
        <w:rPr>
          <w:rFonts w:ascii="Times New Roman;Times;Serif" w:hAnsi="Times New Roman;Times;Serif"/>
          <w:b w:val="false"/>
          <w:i w:val="false"/>
          <w:caps w:val="false"/>
          <w:smallCaps w:val="false"/>
          <w:sz w:val="20"/>
        </w:rPr>
        <w:t xml:space="preserve">), (B) the aggregate principal amount of the obligations of such Subsidiary Borrower under this Agreement (notwithstanding the operation of this </w:t>
      </w:r>
      <w:r>
        <w:rPr>
          <w:rFonts w:ascii="Times New Roman;Times;Serif" w:hAnsi="Times New Roman;Times;Serif"/>
          <w:b w:val="false"/>
          <w:i w:val="false"/>
          <w:caps w:val="false"/>
          <w:smallCaps w:val="false"/>
          <w:sz w:val="20"/>
          <w:u w:val="single"/>
        </w:rPr>
        <w:t>Section 4.16(i)</w:t>
      </w:r>
      <w:r>
        <w:rPr>
          <w:rFonts w:ascii="Times New Roman;Times;Serif" w:hAnsi="Times New Roman;Times;Serif"/>
          <w:b w:val="false"/>
          <w:i w:val="false"/>
          <w:caps w:val="false"/>
          <w:smallCaps w:val="false"/>
          <w:sz w:val="20"/>
        </w:rPr>
        <w:t xml:space="preserve">), and (C) the aggregate principal amount of the obligations of such Subsidiary Borrower under such Competing Guaranty (notwithstanding the operation of that limitation contained in such Competing Guaranty that is substantially similar to this </w:t>
      </w:r>
      <w:r>
        <w:rPr>
          <w:rFonts w:ascii="Times New Roman;Times;Serif" w:hAnsi="Times New Roman;Times;Serif"/>
          <w:b w:val="false"/>
          <w:i w:val="false"/>
          <w:caps w:val="false"/>
          <w:smallCaps w:val="false"/>
          <w:sz w:val="20"/>
          <w:u w:val="single"/>
        </w:rPr>
        <w:t>Section 4.16(i)</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after giving effect as assets to the value (as determined under the applicable provisions of the Fraudulent Transfer Laws) of any rights to subrogation, reimbursement, indemnification or contribution of such Subsidiary Borrower pursuant to any Applicable Law or pursuant to the terms of any agreement (including any such right of contribution under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Each Subsidiary Borrower hereby agrees that to the extent that a Subsidiary Borrower shall have paid more than its proportionate share of any payment made hereunder, such Subsidiary Borrower shall be entitled to seek and receive contribution from and against any other Subsidiary Borrower hereunder which has not paid its proportionate share of such payment. Each Subsidiary Borrower’s right of contribution shall be subject to the above terms and conditions of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4.16(j)</w:t>
      </w:r>
      <w:r>
        <w:rPr>
          <w:rFonts w:ascii="Times New Roman;Times;Serif" w:hAnsi="Times New Roman;Times;Serif"/>
          <w:b w:val="false"/>
          <w:i w:val="false"/>
          <w:caps w:val="false"/>
          <w:smallCaps w:val="false"/>
          <w:sz w:val="20"/>
        </w:rPr>
        <w:t xml:space="preserve"> shall in no respect limit the obligations and liabilities of any Subsidiary Borrower to the Administrative Agent and the Secured Parties, and each Subsidiary Borrower shall remain liable to the Administrative Agent and the Secured Parties for the full amount of the Secured Obligations subject to the above provisions of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Conditions of Closing and Borrowing</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Conditions to Closing and Initial Extensions of Credit</w:t>
      </w:r>
      <w:r>
        <w:rPr>
          <w:rFonts w:ascii="Times New Roman;Times;Serif" w:hAnsi="Times New Roman;Times;Serif"/>
          <w:b w:val="false"/>
          <w:i w:val="false"/>
          <w:caps w:val="false"/>
          <w:smallCaps w:val="false"/>
          <w:sz w:val="20"/>
        </w:rPr>
        <w:t>. The obligation of the Lenders to close this Agreement and to make the initial Loans or issue or participate in the initial Letter of Credit, if any, is subject to the satisfaction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Executed Loan Documents</w:t>
      </w:r>
      <w:r>
        <w:rPr>
          <w:rFonts w:ascii="Times New Roman;Times;Serif" w:hAnsi="Times New Roman;Times;Serif"/>
          <w:b w:val="false"/>
          <w:i w:val="false"/>
          <w:caps w:val="false"/>
          <w:smallCaps w:val="false"/>
          <w:sz w:val="20"/>
        </w:rPr>
        <w:t>. This Agreement, a Revolving Credit Note in favor of each Revolving Credit Lender requesting a Revolving Credit Note, a Swingline Note in favor of the Swingline Lender (in each case, if requested thereby), the Security Documents to be delivered on the Closing Date (including the Intercompany Subordination Agreement) and the Guaranty Agreements, together with any other applicable Loan Documents, shall have been duly authorized, executed and delivered to the Administrative Agent by the parties thereto, shall be in full force and effect and no Default or Event of Default shall have occurred and be continuing.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Certificates; Etc.</w:t>
      </w:r>
      <w:r>
        <w:rPr>
          <w:rFonts w:ascii="Times New Roman;Times;Serif" w:hAnsi="Times New Roman;Times;Serif"/>
          <w:b w:val="false"/>
          <w:i w:val="false"/>
          <w:caps w:val="false"/>
          <w:smallCaps w:val="false"/>
          <w:sz w:val="20"/>
        </w:rPr>
        <w:t xml:space="preserve"> The Administrative Agent shall have received each of the following in form and substance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xml:space="preserve">. A certificate from a Responsible Officer of each Borrower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none of the Credit Parties is in violation of any of the covenants contained in this Agreement and the other Loan Documents; (C) after giving effect to the Transactions, no Default or Event of Default has occurred and is continuing; (D) since September 30, 2024, no event has occurred or condition arisen, either individually or in the aggregate, that has had or could reasonably be expected to have a Material Adverse Effect; and (E) each of the Credit Parties, as applicable, has satisfied each of the conditions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Certificate of Secretary of each Credit Party</w:t>
      </w:r>
      <w:r>
        <w:rPr>
          <w:rFonts w:ascii="Times New Roman;Times;Serif" w:hAnsi="Times New Roman;Times;Serif"/>
          <w:b w:val="false"/>
          <w:i w:val="false"/>
          <w:caps w:val="false"/>
          <w:smallCaps w:val="false"/>
          <w:sz w:val="20"/>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certified as of a recent date by the appropriate Governmental Authority in its jurisdiction of incorporation, organization or formation (or equivalent), as applicable, (B) the bylaws or governing documents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each certificate required to be delivered pursuant to </w:t>
      </w:r>
      <w:r>
        <w:rPr>
          <w:rFonts w:ascii="Times New Roman;Times;Serif" w:hAnsi="Times New Roman;Times;Serif"/>
          <w:b w:val="false"/>
          <w:i w:val="false"/>
          <w:caps w:val="false"/>
          <w:smallCaps w:val="false"/>
          <w:sz w:val="20"/>
          <w:u w:val="single"/>
        </w:rPr>
        <w:t>Section 5.1(b)(iii)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Certificates of Good Standing</w:t>
      </w:r>
      <w:r>
        <w:rPr>
          <w:rFonts w:ascii="Times New Roman;Times;Serif" w:hAnsi="Times New Roman;Times;Serif"/>
          <w:b w:val="false"/>
          <w:i w:val="false"/>
          <w:caps w:val="false"/>
          <w:smallCaps w:val="false"/>
          <w:sz w:val="20"/>
        </w:rPr>
        <w:t>. Certificates as of a recent date of the good standing of each Credit Party under the laws of its jurisdiction of incorporation, organization or formation (or equivalent), as applicable, and, to the extent requested by the Administrative Agent, each other jurisdiction where such Credit Party is qualified to do business and, to the extent available, a certificate of the relevant taxing authorities of such jurisdictions certifying that such Credit Party has filed all required tax returns and owes no delinquent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Opinions of Counsel</w:t>
      </w:r>
      <w:r>
        <w:rPr>
          <w:rFonts w:ascii="Times New Roman;Times;Serif" w:hAnsi="Times New Roman;Times;Serif"/>
          <w:b w:val="false"/>
          <w:i w:val="false"/>
          <w:caps w:val="false"/>
          <w:smallCaps w:val="false"/>
          <w:sz w:val="20"/>
        </w:rPr>
        <w:t>. Opinions of counsel to the Credit Parties, including opinions of special counsel and local counsel as may be reasonably requested by the Administrative Agent, addressed to the Administrative Agent and the Lenders with respect to the Credit Parties, the Loan Documents and such other matters as the Administrative Agent shall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Filings and Recordings</w:t>
      </w:r>
      <w:r>
        <w:rPr>
          <w:rFonts w:ascii="Times New Roman;Times;Serif" w:hAnsi="Times New Roman;Times;Serif"/>
          <w:b w:val="false"/>
          <w:i w:val="false"/>
          <w:caps w:val="false"/>
          <w:smallCaps w:val="false"/>
          <w:sz w:val="20"/>
        </w:rPr>
        <w:t>. Subject to the limitations and qualifications in the Security Documents, the Administrative Agent shall have received all filings and recordations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Pledged Collateral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008000"/>
          <w:sz w:val="20"/>
        </w:rPr>
        <w:t xml:space="preserve">Subject to </w:t>
      </w:r>
      <w:r>
        <w:rPr>
          <w:rFonts w:ascii="Times New Roman;Times;Serif" w:hAnsi="Times New Roman;Times;Serif"/>
          <w:b w:val="false"/>
          <w:i w:val="false"/>
          <w:caps w:val="false"/>
          <w:smallCaps w:val="false"/>
          <w:strike/>
          <w:color w:val="008000"/>
          <w:sz w:val="20"/>
          <w:u w:val="single"/>
        </w:rPr>
        <w:t>Section 7.20</w:t>
      </w:r>
      <w:r>
        <w:rPr>
          <w:rFonts w:ascii="Times New Roman;Times;Serif" w:hAnsi="Times New Roman;Times;Serif"/>
          <w:b w:val="false"/>
          <w:i w:val="false"/>
          <w:caps w:val="false"/>
          <w:smallCaps w:val="false"/>
          <w:strike/>
          <w:color w:val="008000"/>
          <w:sz w:val="20"/>
        </w:rPr>
        <w:t xml:space="preserve">,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Administrative Agent shall have received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in tangible form that is pledged pursuant to the Security Documents together with an undated allonge for each such promissory note duly executed in blank by the holder thereof.</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Lien Search</w:t>
      </w:r>
      <w:r>
        <w:rPr>
          <w:rFonts w:ascii="Times New Roman;Times;Serif" w:hAnsi="Times New Roman;Times;Serif"/>
          <w:b w:val="false"/>
          <w:i w:val="false"/>
          <w:caps w:val="false"/>
          <w:smallCaps w:val="false"/>
          <w:sz w:val="20"/>
        </w:rPr>
        <w:t>. The Administrative Agent shall have received the results of a Lien search (including a search as to judgments, pending litigation, bankruptcy, tax and intellectual property matters), in form and substance reasonably satisfactory thereto, made against the Credit Parties under the Uniform Commercial Code (or applicable judicial docket) as in effect in each jurisdiction in which filings or recordations under the applicable Uniform Commercial Code should be made to evidence or perfect security interests in all assets of such Credit Party, indicating among other things that the assets of each such Credit Party are free and clear of any Lien (except for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Property and Liability Insurance</w:t>
      </w:r>
      <w:r>
        <w:rPr>
          <w:rFonts w:ascii="Times New Roman;Times;Serif" w:hAnsi="Times New Roman;Times;Serif"/>
          <w:b w:val="false"/>
          <w:i w:val="false"/>
          <w:caps w:val="false"/>
          <w:smallCaps w:val="false"/>
          <w:sz w:val="20"/>
        </w:rPr>
        <w:t>. The Administrative Agent shall have received, in each case in form and substance reasonably satisfactory to the Administrative Agent, certificates of insurance with respect to property and liability insurance covering each Credit Party (naming the Administrative Agent as lender’s loss payee on all policies for property hazard insurance and as additional insured on all policies for liability insurance).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Administrative Agent shall have received security agreements duly executed by the applicable Credit Parties for all federally registered copyrights, copyright applications, patents, patent applications, trademarks and trademark applications included in the Collateral, in each case in proper form for filing with the U.S. Patent and Trademark Office or U.S. Copyright Office,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Control Agreements</w:t>
      </w:r>
      <w:r>
        <w:rPr>
          <w:rFonts w:ascii="Times New Roman;Times;Serif" w:hAnsi="Times New Roman;Times;Serif"/>
          <w:b w:val="false"/>
          <w:i w:val="false"/>
          <w:caps w:val="false"/>
          <w:smallCaps w:val="false"/>
          <w:sz w:val="20"/>
        </w:rPr>
        <w:t xml:space="preserve">. The Administrative Agent shall have received all Account Control Agreements, duly executed by the Administrative Agent, the Borrowers, and such depositary bank, commodity intermediary, securities intermediary or such other third-party, as applicable, required pursuant to </w:t>
      </w:r>
      <w:r>
        <w:rPr>
          <w:rFonts w:ascii="Times New Roman;Times;Serif" w:hAnsi="Times New Roman;Times;Serif"/>
          <w:b w:val="false"/>
          <w:i w:val="false"/>
          <w:caps w:val="false"/>
          <w:smallCaps w:val="false"/>
          <w:sz w:val="20"/>
          <w:u w:val="single"/>
        </w:rPr>
        <w:t>Sections 8.15.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Other Collateral Documentation</w:t>
      </w:r>
      <w:r>
        <w:rPr>
          <w:rFonts w:ascii="Times New Roman;Times;Serif" w:hAnsi="Times New Roman;Times;Serif"/>
          <w:b w:val="false"/>
          <w:i w:val="false"/>
          <w:caps w:val="false"/>
          <w:smallCaps w:val="false"/>
          <w:sz w:val="20"/>
        </w:rPr>
        <w:t xml:space="preserve">. The Administrative Agent shall have received any documents reasonably requested thereby or as required by the terms of the Security Documents to evidence its security interest in the Collateral (including, without limitation, any Landlord Agreements, notices and assignments of claims required under Applicable Laws, bailee or warehouseman letters or filings with the FCC or any other applicable Governmental Authority requested by the Administrative Agent);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in no event shall the Credit Parties be required to obtain Landlord Agreements under this clause (viii) for any leased facility if the fair market value of any Collateral located thereon is less than $1,000,000.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 Defaults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Governmental and Third Party Approvals</w:t>
      </w:r>
      <w:r>
        <w:rPr>
          <w:rFonts w:ascii="Times New Roman;Times;Serif" w:hAnsi="Times New Roman;Times;Serif"/>
          <w:b w:val="false"/>
          <w:i w:val="false"/>
          <w:caps w:val="false"/>
          <w:smallCaps w:val="false"/>
          <w:sz w:val="20"/>
        </w:rPr>
        <w:t>. The Credit Parties shall have received all material governmental, shareholder and third party consents and approvals necessary (or any other material consents as determined in the reasonable discretion of the Administrative Agent) in connection with the Transactions, which shall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 Injunction, Etc.</w:t>
      </w:r>
      <w:r>
        <w:rPr>
          <w:rFonts w:ascii="Times New Roman;Times;Serif" w:hAnsi="Times New Roman;Times;Serif"/>
          <w:b w:val="false"/>
          <w:i w:val="false"/>
          <w:caps w:val="false"/>
          <w:smallCaps w:val="false"/>
          <w:sz w:val="20"/>
        </w:rPr>
        <w:t xml:space="preserve"> No action, suit, proceeding or investigation shall be pending or, to the knowledge of any Borrower, threatened in any court or before any arbitrator or any Governmental Authority to enjoin, restrain, or prohibit, or to obtain substantial damages in respect of, or which is related to or arises out of this Agreement or the other Loan Documents or the consummation of the Transactions, or which, in the Administrative Agent’s sole discretion, would make it inadvisable to consummate the transactions contemplated by this Agreement or the other Loan Documents or the consummation of the transactions contemplated hereby or thereby.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Financial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Administrative Agent shall have received (A) the audited Consolidated balance sheet of Holdings and its Subsidiaries as of September 30, 2024 and the related audited statements of income, shareholder’s equity, retained earnings, and cash flows for the Fiscal Year then ended and (B) unaudited Consolidated balance sheet of Holdings and its Subsidiaries as of June 30, 2024 and related unaudited interim statements of income and retained earnings.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Financial Projections</w:t>
      </w:r>
      <w:r>
        <w:rPr>
          <w:rFonts w:ascii="Times New Roman;Times;Serif" w:hAnsi="Times New Roman;Times;Serif"/>
          <w:b w:val="false"/>
          <w:i w:val="false"/>
          <w:caps w:val="false"/>
          <w:smallCaps w:val="false"/>
          <w:sz w:val="20"/>
        </w:rPr>
        <w:t>. The Administrative Agent shall have received pro forma Consolidated financial statements for Holdings and its Subsidiaries, and projections prepared by management of Holdings, of balance sheets, income statements and cash flow statements on an annual basis for the Fiscal Year ended September 30, 2025 and each Fiscal Year following the Closing Date during the term of the Credit Facility, which shall not be materially inconsistent with any financial information or projections previously delivered to the Administrative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Financial Condition/Solvency Certificate</w:t>
      </w:r>
      <w:r>
        <w:rPr>
          <w:rFonts w:ascii="Times New Roman;Times;Serif" w:hAnsi="Times New Roman;Times;Serif"/>
          <w:b w:val="false"/>
          <w:i w:val="false"/>
          <w:caps w:val="false"/>
          <w:smallCaps w:val="false"/>
          <w:sz w:val="20"/>
        </w:rPr>
        <w:t xml:space="preserve">. Holdings shall have delivered to the Administrative Agent a certificate, in form and substance reasonably satisfactory to the Administrative Agent, and certified as accurate by the chief financial officer of Holdings, that (A) after giving effect to the Transactions, each Credit Party and each Subsidiary thereof is each Solvent, (B) attached thereto are calculations evidencing compliance on a Pro Forma Basis after giving effect to the Transactions with the covenants contained in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 xml:space="preserve"> for the most recent four consecutive fiscal quarter period for which quarterly financial statements have been delivered pursuant to clause (i) above, and (C) the financial projections previously delivered to the Administrative Agent represent the good faith estimates (utilizing reasonable assumptions) of the financial condition and operations of Holdings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Payment at Closing</w:t>
      </w:r>
      <w:r>
        <w:rPr>
          <w:rFonts w:ascii="Times New Roman;Times;Serif" w:hAnsi="Times New Roman;Times;Serif"/>
          <w:b w:val="false"/>
          <w:i w:val="false"/>
          <w:caps w:val="false"/>
          <w:smallCaps w:val="false"/>
          <w:sz w:val="20"/>
        </w:rPr>
        <w:t xml:space="preserve">. The Borrowers shall have paid or made arrangements to pay contemporaneously with closing (A) to the Administrative Agent, the Left Lead Arranger and the Lenders the fees set forth or referenced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estimate shall not thereafter preclude a final settling of accounts between the Borrowers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 of Account Designation</w:t>
      </w:r>
      <w:r>
        <w:rPr>
          <w:rFonts w:ascii="Times New Roman;Times;Serif" w:hAnsi="Times New Roman;Times;Serif"/>
          <w:b w:val="false"/>
          <w:i w:val="false"/>
          <w:caps w:val="false"/>
          <w:smallCaps w:val="false"/>
          <w:sz w:val="20"/>
        </w:rPr>
        <w:t>. The Administrative Agent shall have received a Notice of Account Designation specifying the account or accounts to which the proceeds of any Loans made on or after the Closing Date are to be disbursed.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The Administrative Agent shall have completed, to its satisfaction, all legal, tax, environmental, business and other due diligence with respect to the business, assets, liabilities, operations and condition (financial or otherwise) of Holdings and its Subsidiaries in scope and determination satisfactory to the Administrative Agent in its sole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 xml:space="preserve">PATRIOT Act, etc.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and the Lenders shall have received, at least five (5) Business Days prior to the Closing Date, all documentation and other information requested by the Administrative Agent or any Lender or required by regulatory authorities in order for the Administrative Agent and the Lenders to comply with requirements of any Anti-Money Laundering Laws, including the PATRIOT Act and any applicable “know your customer” rules and regulations.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or Subsidiary thereof that qualifies as a “legal entity customer” under the Beneficial Ownership Regulation shall have delivered to the Administrative Agent, and directly to any Lender requesting the same, a Beneficial Ownership Certification in relation to such Credit Party or such Subsidiary, in each case, at least ten (10)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Other Documents</w:t>
      </w:r>
      <w:r>
        <w:rPr>
          <w:rFonts w:ascii="Times New Roman;Times;Serif" w:hAnsi="Times New Roman;Times;Serif"/>
          <w:b w:val="false"/>
          <w:i w:val="false"/>
          <w:caps w:val="false"/>
          <w:smallCaps w:val="false"/>
          <w:sz w:val="20"/>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of </w:t>
      </w:r>
      <w:r>
        <w:rPr>
          <w:rFonts w:ascii="Times New Roman;Times;Serif" w:hAnsi="Times New Roman;Times;Serif"/>
          <w:b w:val="false"/>
          <w:i w:val="false"/>
          <w:caps w:val="false"/>
          <w:smallCaps w:val="false"/>
          <w:sz w:val="20"/>
          <w:u w:val="single"/>
        </w:rPr>
        <w:t>Section 10.3(c)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for purposes of determining compliance with the conditions specified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Conditions to All Extensions of Credit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 xml:space="preserve"> solely with respect to any Incremental Term Loan incurred to finance a substantially concurrent Limited Condition Acquisition, the obligations of the Lenders to make or participate in any Extensions of Credit (including the initial Extension of Credit), convert or continue any Loan and/or any Issuing Lender to issue or extend any Letter of Credit are subject to the satisfaction of the following conditions precedent on the relevant borrowing, continuation, conversion, issuance or extension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Continuation of Representations and Warranties</w:t>
      </w:r>
      <w:r>
        <w:rPr>
          <w:rFonts w:ascii="Times New Roman;Times;Serif" w:hAnsi="Times New Roman;Times;Serif"/>
          <w:b w:val="false"/>
          <w:i w:val="false"/>
          <w:caps w:val="false"/>
          <w:smallCaps w:val="false"/>
          <w:sz w:val="20"/>
        </w:rPr>
        <w:t>.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continuation, conversion,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Existing Default</w:t>
      </w:r>
      <w:r>
        <w:rPr>
          <w:rFonts w:ascii="Times New Roman;Times;Serif" w:hAnsi="Times New Roman;Times;Serif"/>
          <w:b w:val="false"/>
          <w:i w:val="false"/>
          <w:caps w:val="false"/>
          <w:smallCaps w:val="false"/>
          <w:sz w:val="20"/>
        </w:rPr>
        <w:t>. No Default or Event of Default shall have occurred and be continuing (i) on the borrowing, continuation or conversion date with respect to such Loan or after giving effect to the Loans to be made, continued or converted on such date or (ii) on the issuance or extension date with respect to such Letter of Credit or after giving effect to the issuance or extension of such Letter of Credit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The Administrative Agent shall have received a Notice of Borrowing, Letter of Credit Application, or Notice of Conversion/Continuation, as applicable, from the Administrative Borrower in accordance with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color w:val="0000FF"/>
          <w:sz w:val="20"/>
          <w:u w:val="single"/>
        </w:rPr>
        <w:t xml:space="preserve">2.8, Section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The Administrative Agent shall have received each additional document, instrument, legal opinion or other item reasonably requested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New Swingline Loans/Letters of Credit</w:t>
      </w:r>
      <w:r>
        <w:rPr>
          <w:rFonts w:ascii="Times New Roman;Times;Serif" w:hAnsi="Times New Roman;Times;Serif"/>
          <w:b w:val="false"/>
          <w:i w:val="false"/>
          <w:caps w:val="false"/>
          <w:smallCaps w:val="false"/>
          <w:sz w:val="20"/>
        </w:rPr>
        <w:t>. So long as any Lender is a Defaulting Lender, the Issuing Lenders shall not be required to issue, extend, renew or increase any Letter of Credit unless it is satisfied that it will have no Fronting Exposure after giving effect thereto. Without limiting the discretionary nature of the Swingline Facility, so long as any Lender is a Defaulting Lender, the Swingline Lender may not fund any Swingline Loans unless it is satisfied that it will have no Fronting Exposure after giving effect to such Swingline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of Borrowing, Letter of Credit Application, as applicable, submitted by the Administrative Borrower or any Borrower shall be deemed to be a representation and warranty that the conditions specified in </w:t>
      </w:r>
      <w:r>
        <w:rPr>
          <w:rFonts w:ascii="Times New Roman;Times;Serif" w:hAnsi="Times New Roman;Times;Serif"/>
          <w:b w:val="false"/>
          <w:i w:val="false"/>
          <w:caps w:val="false"/>
          <w:smallCaps w:val="false"/>
          <w:sz w:val="20"/>
          <w:u w:val="single"/>
        </w:rPr>
        <w:t>Sections 5.2(a)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have been satisfied on and as of the date of the applicable Extension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Representations and Warranties of the Credit Parties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induce the Administrative Agent and Lenders to enter into this Agreement and to induce the Lenders to make Extensions of Credit, the Credit Parties hereby represent and warrant to the Administrative Agent and the Lenders both before and after giving effect to the transactions contemplated hereunder, which representations and warranties shall be deemed made on the Closing Date and as otherwise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Organization; Power; Qualification</w:t>
      </w:r>
      <w:r>
        <w:rPr>
          <w:rFonts w:ascii="Times New Roman;Times;Serif" w:hAnsi="Times New Roman;Times;Serif"/>
          <w:b w:val="false"/>
          <w:i w:val="false"/>
          <w:caps w:val="false"/>
          <w:smallCaps w:val="false"/>
          <w:sz w:val="20"/>
        </w:rPr>
        <w:t>. Each Credit Party and each Subsidiary thereof (a) is duly organized, validly existing and in good standing (to the extent the concept is applicable in such jurisdiction) under the laws of the jurisdiction of its incorporation or formation, (b) has the power and authority to own its Properties and to carry on its business as now being and hereafter proposed to be conducted, except where the failure to do so could not, individually or in the aggregate, reasonably be expected to result in a Material Adverse Effect, and (c) is duly qualified and authorized to do business in each jurisdiction in which the character of its Properties or the nature of its business requires such qualification and authorization except in jurisdictions where the failure to be so qualified or in good standing could not, individually or in the aggregate, reasonably be expected to result in a Material Adverse Effect. The jurisdictions in which each Credit Party and each Subsidiary thereof are organized and qualified to do business as of the Closing Date are described on Schedule 6.1. Schedule 6.1 identifies each Subsidiary Guarantor as of the Closing Date. No Credit Party nor any Subsidiary thereof is an Affected Financial Institution or a Covered Party.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xml:space="preserve">. Each Subsidiary of each Credit Party as of the Closing Date is listed on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 xml:space="preserve">. As of the Closing Date, the capitalization of each Credit Party and its Subsidiaries consists of the number of shares, authorized, issued and outstanding, of such classes and series, with or without par value, described on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 xml:space="preserve">. All outstanding shares have been duly authorized and validly issued and are fully paid and nonassessable and not subject to any preemptive or similar rights, except as described in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 xml:space="preserve">. The shareholders or other owners, as applicable, of each Credit Party and its Subsidiaries and the number of shares owned by each as of the Closing Date are described on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 xml:space="preserve">. As of the Closing Date, there are no outstanding stock purchase warrants, subscriptions, options, securities, instruments or other rights of any type or nature whatsoever, which are convertible into, exchangeable for or otherwise provide for or require the issuance of Equity Interests of any Credit Party or any Subsidiary thereof, except as described on </w:t>
      </w:r>
      <w:r>
        <w:rPr>
          <w:rFonts w:ascii="Times New Roman;Times;Serif" w:hAnsi="Times New Roman;Times;Serif"/>
          <w:b w:val="false"/>
          <w:i w:val="false"/>
          <w:caps w:val="false"/>
          <w:smallCaps w:val="false"/>
          <w:sz w:val="20"/>
          <w:u w:val="single"/>
        </w:rPr>
        <w:t>Schedule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Each Credit Party and each Subsidiary thereof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have been duly executed and delivered by the duly authorized officers of each Credit Party and each Subsidiary thereof that is a party thereto, and each such document constitutes the legal, valid and binding obligation of each Credit Party and each Subsidiary thereof that is a party thereto,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Compliance of Agreement, Loan Documents and Borrowing with Laws, Etc</w:t>
      </w:r>
      <w:r>
        <w:rPr>
          <w:rFonts w:ascii="Times New Roman;Times;Serif" w:hAnsi="Times New Roman;Times;Serif"/>
          <w:b w:val="false"/>
          <w:i w:val="false"/>
          <w:caps w:val="false"/>
          <w:smallCaps w:val="false"/>
          <w:sz w:val="20"/>
        </w:rPr>
        <w:t>. The execution, delivery and performance by each Credit Party and each Subsidiary thereof of the Loan Documents to which each such Person is a party, in accordance with their respective terms, the Extensions of Credit hereunder and the transactions contemplated hereby or thereby do not and will not, by the passage of time, the giving of notice or otherwise, (a) require any Governmental Approval or violate any Applicable Law relating to any Credit Party or any Subsidiary thereof, (b) conflict with, result in a breach of or constitute a default under the Organizational Documents of any Credit Party or any Subsidiary thereof, (c) conflict with, result in a breach of or constitute a default under any indenture, agreement or other instrument to which such Person is a party or by which any of its properties may be bound or any Governmental Approval relating to such Person, and with respect to the performance of the Loan Documents, where such conflict, breach, or default could, individually or in the aggregate, reasonably be expected to have a Material Adverse Effect, (d) result in or require the creation or imposition of any Lien upon or with respect to any property now owned or hereafter acquired by such Person other than Permitted Liens or (e) require any consent or authorization of, filing with, or other act in respect of, an arbitrator or Governmental Authority and no consent of any other Person is required in connection with the execution, delivery, performance, validity or enforceability of this Agreement other than (i) consents or filings under the UCC, (ii) filings with the United States Copyright Office, the United States Patent and Trademark Office and/or the United States Securities and Exchange Commission and (iii) consents or approvals of third parties necessary under agreements with respect to the performance of the Loan Documents of which the failure to obtain could not individually or in the aggregate reasonably be expected to cause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Compliance with Law; Governmental Approvals</w:t>
      </w:r>
      <w:r>
        <w:rPr>
          <w:rFonts w:ascii="Times New Roman;Times;Serif" w:hAnsi="Times New Roman;Times;Serif"/>
          <w:b w:val="false"/>
          <w:i w:val="false"/>
          <w:caps w:val="false"/>
          <w:smallCaps w:val="false"/>
          <w:sz w:val="20"/>
        </w:rPr>
        <w:t>. Each Credit Party and each Subsidiary thereof (a) has all Governmental Approvals required by any Applicable Law for it to conduct its business, each of which is in full force and effect, is final and not subject to review on appeal and is not the subject of any pending or, to its knowledge, threatened attack by direct or collateral proceeding, (b) is in compliance with each Governmental Approval applicable to it and in compliance with all other Applicable Laws relating to it or any of its respective properties, the non-compliance with which, individually or in the aggregate, could not reasonably be expected to result in a Material Adverse Effect, and (c) has timely filed all material reports, documents and other materials required to be filed by it under all Applicable Laws with any Governmental Authority and has retained all material records and documents required to be retained by it under Applicable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Tax Returns and Payments</w:t>
      </w:r>
      <w:r>
        <w:rPr>
          <w:rFonts w:ascii="Times New Roman;Times;Serif" w:hAnsi="Times New Roman;Times;Serif"/>
          <w:b w:val="false"/>
          <w:i w:val="false"/>
          <w:caps w:val="false"/>
          <w:smallCaps w:val="false"/>
          <w:sz w:val="20"/>
        </w:rPr>
        <w:t>. Each Credit Party and each Subsidiary thereof has duly filed or caused to be filed all federal, state, local and other tax returns required by Applicable Law to be filed, and has paid, or made adequate provision for the payment of, all federal, state, local and other taxes, assessments and governmental charges or levies upon it and its property, income, profits and assets which are due and payable (other than any amount the validity of which is currently being contested in good faith by appropriate proceedings and with respect to which reserves in conformity with GAAP have been provided for on the books of the relevant Credit Party). Such returns accurately reflect in all material respects all liability for taxes of any Credit Party or any Subsidiary thereof for the periods covered thereby. As of the Closing Date, there is no ongoing audit or examination or, to the knowledge of each of the Credit Parties and each Subsidiary thereof, other investigation by any Governmental Authority of the tax liability of any Credit Party or any Subsidiary thereof. No Governmental Authority has asserted any Lien or other claim against any Credit Party or any Subsidiary thereof with respect to unpaid taxes which has not been discharged or resolved (other than (a) any amount the validity of which is currently being contested in good faith by appropriate proceedings and with respect to which reserves in conformity with GAAP have been provided for on the books of the relevant Credit Party and (b) Permitted Liens). The charges, accruals and reserves on the books of each Credit Party and each Subsidiary thereof in respect of federal, state, local and other taxes for all Fiscal Years and portions thereof since the organization of any Credit Party or any Subsidiary thereof are in the reasonable judgment of Holdings adequate, and the Borrowers do not anticipate any additional taxes or assessments for any of such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Intellectual Property Matters</w:t>
      </w:r>
      <w:r>
        <w:rPr>
          <w:rFonts w:ascii="Times New Roman;Times;Serif" w:hAnsi="Times New Roman;Times;Serif"/>
          <w:b w:val="false"/>
          <w:i w:val="false"/>
          <w:caps w:val="false"/>
          <w:smallCaps w:val="false"/>
          <w:sz w:val="20"/>
        </w:rPr>
        <w:t>. Each Credit Party and each Subsidiary thereof owns or possesses rights to use all franchises, licenses, copyrights, copyright applications, patents, patent rights or licenses, patent applications, trademarks, trademark rights, service mark, service mark rights, trade names, trade name rights, copyrights and other rights with respect to the foregoing which are necessary to conduct its business except where the failure to own or possess such rights could not, individually or in the aggregate, reasonably be expected to result in a Material Adverse Effect. No event has occurred which permits, or after notice or lapse of time or both would permit, the revocation or termination of any such rights, and no Credit Party nor any Subsidiary thereof is liable to any Person for infringement under Applicable Law with respect to any such rights as a result of its business operations where any such liability could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6.8</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properties owned, leased or operated by each Credit Party and each Subsidiary thereof now or in the past do not contain, and to their knowledge have not previously contained, any Hazardous Materials in amounts or concentrations which constitute or constituted a violation of applicable Environmental Laws and which, individually or in the aggregate,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and each Subsidiary thereof and such properties and all operations conducted in connection therewith are in compliance, and have been in compliance, with all applicable Environmental Laws (other than non-compliance which, individually or in the aggregate, could not reasonably be expected to result in a Material Adverse Effect), and there is no contamination at, under or about such properties or such operations which could interfere with the continued operation of such properties or impair the fair saleable value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Credit Party nor any Subsidiary thereof has received any notice of violation, alleged violation, non-compliance, liability or potential liability regarding environmental matters, Hazardous Materials, or compliance with Environmental Laws which violation, non-compliance, liability or potential liability, individually or in the aggregate could reasonably be expected to result in a Material Adverse Effect, nor does any Credit Party or any Subsidiary thereof have knowledge or reason to believe that any such notice will be received or is being threatened;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knowledge of each Credit Party and Subsidiary, Hazardous Materials have not been transported or disposed of to or from the properties owned, leased or operated by any Credit Party or any Subsidiary thereof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judicial proceedings or governmental or administrative action is pending, or, to the knowledge of any Borrower, threatened, under any Environmental Law to which any Credit Party or any Subsidiary thereof is or will be named as a potentially responsible party, nor are there any consent decrees or other decrees, consent orders, administrative orders or other orders, or other administrative or judicial requirements outstanding under any applicable Environmental Law with respect to any Credit Party, any Subsidiary thereof, with respect to any real property owned, leased or operated by any Credit Party or any Subsidiary thereof or operations conducted in connection therewith;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has been no release, or to its knowledge, threat of release, of Hazardous Materials at or from properties owned, leased or operated by any Credit Party or any Subsidiary, now or in the past, in violation of or in amounts or in a manner that could give rise to liability under applicable Environmental Laws and which, individually or in the aggregate,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Employee Benefit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Closing Date, no Credit Party nor any ERISA Affiliate maintains or contributes to, or has any obligation under, any Employee Benefit Plans other than those identified on </w:t>
      </w:r>
      <w:r>
        <w:rPr>
          <w:rFonts w:ascii="Times New Roman;Times;Serif" w:hAnsi="Times New Roman;Times;Serif"/>
          <w:b w:val="false"/>
          <w:i w:val="false"/>
          <w:caps w:val="false"/>
          <w:smallCaps w:val="false"/>
          <w:sz w:val="20"/>
          <w:u w:val="single"/>
        </w:rPr>
        <w:t>Schedule 6.9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except where a failure to so comply could not, individually or in the aggregate,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No liability has been incurred by any Credit Party or any ERISA Affiliate which remains unsatisfied for any taxes or penalties assessed with respect to any Employee Benefit Plan or any Multiemployer Plan except for a liability that could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Closing Date, no Pension Plan has been terminated, nor has any Pension Plan become subject to funding based upon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where the failure of any of the following representations to be correct could not, individually or in the aggregate,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Sections 412 or 430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Termination Event has occurred or is reasonably expected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where the failure of any of the following representations to be correct could not, individually or in the aggregate, reasonably be expected, individually or in the aggregate, to have a Material Adverse Effect, no proceeding, claim (other than a benefits claim in the ordinary course of business), lawsuit and/or investigation is existing or, to its knowledge, threatened concerning or involving (i) any employee welfare benefit plan (as defined in Section 3(1) of ERISA) currently maintained or contributed to by any Credit Party or any ERISA Affiliate, (ii) any Pension Plan or (iii) any Multiemployer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Closing Date, no Borrower is using, nor will any Borrower be using, “plan assets” (within the meaning of 29 CFR § 2510.3-101, as modified by Section 3(42) of ERISA) of one or more Benefit Plans in connection with the Loans, the Letters of Credit or the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xml:space="preserve">. No Credit Party nor any Subsidiary thereof is engaged principally or as one of its activities in the business of extending credit for the purpose of “purchasing” or “carrying” any “margin stock” (as each such term is defined or used, directly or indirectly, in Regulation U of the FRB). Following the application of the proceeds of each Extension of Credit, not more than twenty-five percent (25%) of the value of the assets (of any Borrower or of Holdings and its Subsidiaries on a Consolidated basis) subject to the provisions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or subject to any restriction contained in any agreement or instrument between the Borrowers and any Lender or any Affiliate of any Lender relating to Indebtedness in excess of the Threshold Amount will be “margin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Government Regulation</w:t>
      </w:r>
      <w:r>
        <w:rPr>
          <w:rFonts w:ascii="Times New Roman;Times;Serif" w:hAnsi="Times New Roman;Times;Serif"/>
          <w:b w:val="false"/>
          <w:i w:val="false"/>
          <w:caps w:val="false"/>
          <w:smallCaps w:val="false"/>
          <w:sz w:val="20"/>
        </w:rPr>
        <w:t>. No Credit Party nor any Subsidiary thereof is an “investment company” or a company “controlled” by an “investment company” (as each such term is defined or used in the Investment Company Act) and no Credit Party nor any Subsidiary thereof is, or after giving effect to any Extension of Credit will be, subject to regulation under the Interstate Commerce Act, or any other Applicable Law which limits its ability to incur or consummate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6.12</w:t>
      </w:r>
      <w:r>
        <w:rPr>
          <w:rFonts w:ascii="Times New Roman;Times;Serif" w:hAnsi="Times New Roman;Times;Serif"/>
          <w:b w:val="false"/>
          <w:i w:val="false"/>
          <w:caps w:val="false"/>
          <w:smallCaps w:val="false"/>
          <w:sz w:val="20"/>
        </w:rPr>
        <w:t xml:space="preserve"> sets forth a complete and accurate list of all Material Contracts of each Credit Party and each Subsidiary thereof in effect as of the Closing Date. Other than as set forth in </w:t>
      </w:r>
      <w:r>
        <w:rPr>
          <w:rFonts w:ascii="Times New Roman;Times;Serif" w:hAnsi="Times New Roman;Times;Serif"/>
          <w:b w:val="false"/>
          <w:i w:val="false"/>
          <w:caps w:val="false"/>
          <w:smallCaps w:val="false"/>
          <w:sz w:val="20"/>
          <w:u w:val="single"/>
        </w:rPr>
        <w:t>Schedule 6.12</w:t>
      </w:r>
      <w:r>
        <w:rPr>
          <w:rFonts w:ascii="Times New Roman;Times;Serif" w:hAnsi="Times New Roman;Times;Serif"/>
          <w:b w:val="false"/>
          <w:i w:val="false"/>
          <w:caps w:val="false"/>
          <w:smallCaps w:val="false"/>
          <w:sz w:val="20"/>
        </w:rPr>
        <w:t xml:space="preserve">, as of the Closing Date, each such Material Contract is, and after giving effect to the consummation of the transactions contemplated by the Loan Documents will be, in full force and effect in accordance with the terms thereof. To the extent requested by the Administrative Agent, each Credit Party and each Subsidiary thereof has delivered to the Administrative Agent a true and complete copy of each Material Contract required to be listed on </w:t>
      </w:r>
      <w:r>
        <w:rPr>
          <w:rFonts w:ascii="Times New Roman;Times;Serif" w:hAnsi="Times New Roman;Times;Serif"/>
          <w:b w:val="false"/>
          <w:i w:val="false"/>
          <w:caps w:val="false"/>
          <w:smallCaps w:val="false"/>
          <w:sz w:val="20"/>
          <w:u w:val="single"/>
        </w:rPr>
        <w:t>Schedule 6.12</w:t>
      </w:r>
      <w:r>
        <w:rPr>
          <w:rFonts w:ascii="Times New Roman;Times;Serif" w:hAnsi="Times New Roman;Times;Serif"/>
          <w:b w:val="false"/>
          <w:i w:val="false"/>
          <w:caps w:val="false"/>
          <w:smallCaps w:val="false"/>
          <w:sz w:val="20"/>
        </w:rPr>
        <w:t xml:space="preserve"> or any other Schedule hereto. As of the Closing Date, no Credit Party nor any Subsidiary thereof (nor, to its knowledge, any other party thereto) is in breach of or in default under any Material Contract in any material respect.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Employee Relations</w:t>
      </w:r>
      <w:r>
        <w:rPr>
          <w:rFonts w:ascii="Times New Roman;Times;Serif" w:hAnsi="Times New Roman;Times;Serif"/>
          <w:b w:val="false"/>
          <w:i w:val="false"/>
          <w:caps w:val="false"/>
          <w:smallCaps w:val="false"/>
          <w:sz w:val="20"/>
        </w:rPr>
        <w:t xml:space="preserve">. As of the Closing Date, no Credit Party nor any Subsidiary thereof is party to any collective bargaining agreement, nor has any labor union been recognized as the representative of its employees except as set forth on </w:t>
      </w:r>
      <w:r>
        <w:rPr>
          <w:rFonts w:ascii="Times New Roman;Times;Serif" w:hAnsi="Times New Roman;Times;Serif"/>
          <w:b w:val="false"/>
          <w:i w:val="false"/>
          <w:caps w:val="false"/>
          <w:smallCaps w:val="false"/>
          <w:sz w:val="20"/>
          <w:u w:val="single"/>
        </w:rPr>
        <w:t>Schedule 6.13</w:t>
      </w:r>
      <w:r>
        <w:rPr>
          <w:rFonts w:ascii="Times New Roman;Times;Serif" w:hAnsi="Times New Roman;Times;Serif"/>
          <w:b w:val="false"/>
          <w:i w:val="false"/>
          <w:caps w:val="false"/>
          <w:smallCaps w:val="false"/>
          <w:sz w:val="20"/>
        </w:rPr>
        <w:t>. No Borrower knows of any pending, threatened or contemplated strikes, work stoppage or other collective labor disputes involving its employees or those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The audited and unaudited financial statements delivered pursuant to </w:t>
      </w:r>
      <w:r>
        <w:rPr>
          <w:rFonts w:ascii="Times New Roman;Times;Serif" w:hAnsi="Times New Roman;Times;Serif"/>
          <w:b w:val="false"/>
          <w:i w:val="false"/>
          <w:caps w:val="false"/>
          <w:smallCaps w:val="false"/>
          <w:sz w:val="20"/>
          <w:u w:val="single"/>
        </w:rPr>
        <w:t>Section 5.1(e)(i)</w:t>
      </w:r>
      <w:r>
        <w:rPr>
          <w:rFonts w:ascii="Times New Roman;Times;Serif" w:hAnsi="Times New Roman;Times;Serif"/>
          <w:b w:val="false"/>
          <w:i w:val="false"/>
          <w:caps w:val="false"/>
          <w:smallCaps w:val="false"/>
          <w:sz w:val="20"/>
        </w:rPr>
        <w:t xml:space="preserve"> are complete and correct and fairly present on a Consolidated basis the assets, liabilities and financial position of Holdings and its Subsidiaries as at such dates, and the results of the operations and changes of financial position for the periods then ended (other than customary year-end adjustments for unaudited financial statements and the absence of footnotes from unaudited financial statements). All such financial statements, including the related schedules and notes thereto, have been prepared in accordance with GAAP. Such financial statements show all material indebtedness and other material liabilities, direct or contingent, of Holdings and its Subsidiaries as of the date thereof, including material liabilities for taxes, material commitments, and Indebtedness, in each case, to the extent required to be disclosed under GAAP. The projections delivered pursuant to </w:t>
      </w:r>
      <w:r>
        <w:rPr>
          <w:rFonts w:ascii="Times New Roman;Times;Serif" w:hAnsi="Times New Roman;Times;Serif"/>
          <w:b w:val="false"/>
          <w:i w:val="false"/>
          <w:caps w:val="false"/>
          <w:smallCaps w:val="false"/>
          <w:sz w:val="20"/>
          <w:u w:val="single"/>
        </w:rPr>
        <w:t>Section 5.1(e)(ii)</w:t>
      </w:r>
      <w:r>
        <w:rPr>
          <w:rFonts w:ascii="Times New Roman;Times;Serif" w:hAnsi="Times New Roman;Times;Serif"/>
          <w:b w:val="false"/>
          <w:i w:val="false"/>
          <w:caps w:val="false"/>
          <w:smallCaps w:val="false"/>
          <w:sz w:val="20"/>
        </w:rPr>
        <w:t xml:space="preserve"> and were prepared in good faith on the basis of the assumptions stated therein, which assumptions are believed to be reasonable in light of then existing conditions except that such financial projections and statements shall be subject to normal year end closing and audit adjustments (it being recognized by the Lenders that projections are not to be viewed as facts and that the actual results during the period or periods covered by such projections may vary from such projections).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September 30, 2024, there has been no material adverse change in the properties, business, operations, prospects, or condition (financial or otherwise) of Holdings and its Subsidiaries and no event has occurred or condition arisen, either individually or in the aggregate, that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Each Credit Party and each Subsidiary thereof is, individually and on a Consolidated basis,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Each Credit Party and each Subsidiary thereof has such title to the real property owned or leased by it as is necessary or desirable to the conduct of its business and valid and legal title to all of its personal property and assets, except those which have been disposed of by the Credit Parties and their Subsidiaries subsequent to such date which dispositions have been in the ordinary course of business or as otherwise expressly permitted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6.18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for matters existing on the Closing Date and set forth on </w:t>
      </w:r>
      <w:r>
        <w:rPr>
          <w:rFonts w:ascii="Times New Roman;Times;Serif" w:hAnsi="Times New Roman;Times;Serif"/>
          <w:b w:val="false"/>
          <w:i w:val="false"/>
          <w:caps w:val="false"/>
          <w:smallCaps w:val="false"/>
          <w:sz w:val="20"/>
          <w:u w:val="single"/>
        </w:rPr>
        <w:t>Schedule 6.18</w:t>
      </w:r>
      <w:r>
        <w:rPr>
          <w:rFonts w:ascii="Times New Roman;Times;Serif" w:hAnsi="Times New Roman;Times;Serif"/>
          <w:b w:val="false"/>
          <w:i w:val="false"/>
          <w:caps w:val="false"/>
          <w:smallCaps w:val="false"/>
          <w:sz w:val="20"/>
        </w:rPr>
        <w:t>, there are no actions, suits or proceedings pending nor, to its knowledge, threatened against or in any other way relating adversely to or affecting any Credit Party or any Subsidiary thereof or any of their respective properties in any court or before any arbitrator of any kind or before or by any Governmental Authority that either individually or in the aggregate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6.19 </w:t>
      </w:r>
      <w:r>
        <w:rPr>
          <w:rFonts w:ascii="Times New Roman;Times;Serif" w:hAnsi="Times New Roman;Times;Serif"/>
          <w:b w:val="false"/>
          <w:i w:val="false"/>
          <w:caps w:val="false"/>
          <w:smallCaps w:val="false"/>
          <w:sz w:val="20"/>
          <w:u w:val="single"/>
        </w:rPr>
        <w:t>Anti-Corruption Laws; Anti-Money Laundering Laws and Sanctions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(i) the Borrowers, any Subsidiary or, to the knowledge of any Borrower or such Subsidiary, any of their respective directors, officers, employees or Affiliates, or (ii) to the knowledge of any Borrower or Subsidiary, any agent or representative of any Borrower or any Subsidiary that will act in any capacity in connection with or benefit from the Credit Facility, (A) is a Sanctioned Person or currently the subject or target of any Sanctions, (B) has its assets located in a Sanctioned Country, (C)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(D) directly or indirectly derives revenues from investments in, or transactions with, Sanctioned Persons.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and each Subsidiary of any Borrower has implemented and maintains in effect policies and procedures reasonably designed to ensure compliance by the Borrowers and their Subsidiaries and their respective directors, officers, employees, agents and Affiliates with all Anti-Corruption Laws, Anti-Money Laundering Laws and applicable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Borrower and each Subsidiary of any Borrower, and to the knowledge of any Borrower, director, officer, employee, agent and Affiliate of any Borrower or any Subsidiary, is in compliance with all Anti-Corruption Laws, Anti-Money Laundering Laws in all respects and applicable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proceeds of any Extension of Credit have been used, directly or indirectly, by the Borrowers, any of their Subsidiaries or any of its or their respective directors, officers, employees and agents in violation of </w:t>
      </w:r>
      <w:r>
        <w:rPr>
          <w:rFonts w:ascii="Times New Roman;Times;Serif" w:hAnsi="Times New Roman;Times;Serif"/>
          <w:b w:val="false"/>
          <w:i w:val="false"/>
          <w:caps w:val="false"/>
          <w:smallCaps w:val="false"/>
          <w:sz w:val="20"/>
          <w:u w:val="single"/>
        </w:rPr>
        <w:t>Section 7.15(c)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6.20 </w:t>
      </w:r>
      <w:r>
        <w:rPr>
          <w:rFonts w:ascii="Times New Roman;Times;Serif" w:hAnsi="Times New Roman;Times;Serif"/>
          <w:b w:val="false"/>
          <w:i w:val="false"/>
          <w:caps w:val="false"/>
          <w:smallCaps w:val="false"/>
          <w:sz w:val="20"/>
          <w:u w:val="single"/>
        </w:rPr>
        <w:t>Absence of Defaults</w:t>
      </w:r>
      <w:r>
        <w:rPr>
          <w:rFonts w:ascii="Times New Roman;Times;Serif" w:hAnsi="Times New Roman;Times;Serif"/>
          <w:b w:val="false"/>
          <w:i w:val="false"/>
          <w:caps w:val="false"/>
          <w:smallCaps w:val="false"/>
          <w:sz w:val="20"/>
        </w:rPr>
        <w:t>. No event has occurred or is continuing (a) which constitutes a Default or an Event of Default, or (b) which constitutes, or which with the passage of time or giving of notice or both would constitute, a default or event of default by any Credit Party or any Subsidiary thereof under (i) any Material Contract or (ii) any judgment, decree or order to which any Credit Party or any Subsidiary thereof is a party or by which any Credit Party or any Subsidiary thereof or any of their respective properties may be bound or which would require any Credit Party or any Subsidiary thereof to make any payment thereunder prior to the scheduled maturity date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6.21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Holdings and/or its Subsidiaries have disclosed to the Administrative Agent and the Lenders all agreements, instruments and corporate or other restrictions to which any Credit Party and any Subsidiary thereof are subject, and all other matters known to them, that, individually or in the aggregate, could reasonably be expected to result in a Material Adverse Effect. No financial statement, material report, material certificate or other material information furnished (whether in writing or orally)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pro forma financial information, estimated financial information and other projected or estimated information, such information was prepared in good faith based upon assumptions believed to be reasonable at the time (it being recognized by the Lenders that projections are not to be viewed as facts and that the actual results during the period or periods covered by such projections may vary from such projections). As of the Closing Date, all of the information included in the Beneficial Ownership Certification is true and correct.</w:t>
      </w:r>
      <w:r>
        <w:rPr>
          <w:rFonts w:ascii="Times New Roman;Times;Serif" w:hAnsi="Times New Roman;Times;Serif"/>
          <w:b w:val="false"/>
          <w:i w:val="false"/>
          <w:caps w:val="false"/>
          <w:smallCaps w:val="false"/>
          <w:strike/>
          <w:color w:val="FF0000"/>
          <w:sz w:val="20"/>
        </w:rPr>
        <w:b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6.22 </w:t>
      </w:r>
      <w:r>
        <w:rPr>
          <w:rFonts w:ascii="Times New Roman;Times;Serif" w:hAnsi="Times New Roman;Times;Serif"/>
          <w:b w:val="false"/>
          <w:i w:val="false"/>
          <w:caps w:val="false"/>
          <w:smallCaps w:val="false"/>
          <w:sz w:val="20"/>
          <w:u w:val="single"/>
        </w:rPr>
        <w:t>Senior Indebtedness Status</w:t>
      </w:r>
      <w:r>
        <w:rPr>
          <w:rFonts w:ascii="Times New Roman;Times;Serif" w:hAnsi="Times New Roman;Times;Serif"/>
          <w:b w:val="false"/>
          <w:i w:val="false"/>
          <w:caps w:val="false"/>
          <w:smallCaps w:val="false"/>
          <w:sz w:val="20"/>
        </w:rPr>
        <w:t>. The Obligations of each Credit Party and each Subsidiary thereof under this Agreement and each of the other Loan Documents ranks and shall continue to rank at least senior in priority of payment to all Subordinated Indebtedness and all senior unsecured Indebtedness of each such Person and is designated as “Senior Indebtedness” (or any other similar term) under all instruments and documents, now or in the future, relating to all Subordinated Indebtedness and all senior unsecured Indebtedness of such Person.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6.23 </w:t>
      </w:r>
      <w:r>
        <w:rPr>
          <w:rFonts w:ascii="Times New Roman;Times;Serif" w:hAnsi="Times New Roman;Times;Serif"/>
          <w:b w:val="false"/>
          <w:i w:val="false"/>
          <w:caps w:val="false"/>
          <w:smallCaps w:val="false"/>
          <w:sz w:val="20"/>
          <w:u w:val="single"/>
        </w:rPr>
        <w:t>Surety Bonds; Bonded Contracts</w:t>
      </w:r>
      <w:r>
        <w:rPr>
          <w:rFonts w:ascii="Times New Roman;Times;Serif" w:hAnsi="Times New Roman;Times;Serif"/>
          <w:b w:val="false"/>
          <w:i w:val="false"/>
          <w:caps w:val="false"/>
          <w:smallCaps w:val="false"/>
          <w:sz w:val="20"/>
        </w:rPr>
        <w:t xml:space="preserve">. No Credit Party or any of its Subsidiaries has provided any cash collateral or letters of credit to issuers of Surety Bonds except as disclosed on </w:t>
      </w:r>
      <w:r>
        <w:rPr>
          <w:rFonts w:ascii="Times New Roman;Times;Serif" w:hAnsi="Times New Roman;Times;Serif"/>
          <w:b w:val="false"/>
          <w:i w:val="false"/>
          <w:caps w:val="false"/>
          <w:smallCaps w:val="false"/>
          <w:sz w:val="20"/>
          <w:u w:val="single"/>
        </w:rPr>
        <w:t>Schedule 1.1(b)</w:t>
      </w:r>
      <w:r>
        <w:rPr>
          <w:rFonts w:ascii="Times New Roman;Times;Serif" w:hAnsi="Times New Roman;Times;Serif"/>
          <w:b w:val="false"/>
          <w:i w:val="false"/>
          <w:caps w:val="false"/>
          <w:smallCaps w:val="false"/>
          <w:sz w:val="20"/>
        </w:rPr>
        <w:t xml:space="preserve"> (including all amendments or updates thereto). No Credit Party is subject to any Bonded Contract except as disclosed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(including all amendments or updates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6.24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xml:space="preserve">. No Credit Party nor any Subsidiary of any Credit Party is a “covered foreign person” as that term is used in the Outbound Investment Rules. No Credit Party nor any Subsidiary of any Credit Party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Credit Party were a United States Person or (iii) any other activity that would cause the Administrative Agent or any other Lender to be in violation of the Outbound Investment Rules </w:t>
      </w:r>
      <w:r>
        <w:rPr>
          <w:rFonts w:ascii="Times New Roman;Times;Serif" w:hAnsi="Times New Roman;Times;Serif"/>
          <w:b w:val="false"/>
          <w:i w:val="false"/>
          <w:caps w:val="false"/>
          <w:smallCaps w:val="false"/>
          <w:color w:val="0000FF"/>
          <w:sz w:val="20"/>
          <w:u w:val="single"/>
        </w:rPr>
        <w:t xml:space="preserve">or cause the Administrative Agent or the Lenders to be legally prohibited by the Outbound Investment Rules </w:t>
      </w:r>
      <w:r>
        <w:rPr>
          <w:rFonts w:ascii="Times New Roman;Times;Serif" w:hAnsi="Times New Roman;Times;Serif"/>
          <w:b w:val="false"/>
          <w:i w:val="false"/>
          <w:caps w:val="false"/>
          <w:smallCaps w:val="false"/>
          <w:sz w:val="20"/>
        </w:rPr>
        <w:t>from performing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Affirmative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of the Obligations (other than contingent indemnification obligations not then due) have been paid and satisfied in full in cash, all Letters of Credit have been terminated or expired and the Commitments terminated, each Credit Party will, and will cause each of its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Financial Statements and Budgets</w:t>
      </w:r>
      <w:r>
        <w:rPr>
          <w:rFonts w:ascii="Times New Roman;Times;Serif" w:hAnsi="Times New Roman;Times;Serif"/>
          <w:b w:val="false"/>
          <w:i w:val="false"/>
          <w:caps w:val="false"/>
          <w:smallCaps w:val="false"/>
          <w:sz w:val="20"/>
        </w:rPr>
        <w:t>. Deliver to the Administrative Agent, in form and detail reasonably satisfactory to the Administrative Agent (which shall promptly make such information available to the Lenders in accordance with its customary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As soon as practicable and in any event within one-hundred-and-twenty (120) days (or, if earlier, on the date of any required public filing thereof) after the end of each Fiscal Year (commencing with the Fiscal Year ended September 30, 2025), an audited Consolidated balance sheet of Holdings and its Subsidiaries as of the close of such Fiscal Year and audited Consolidated statements of income, retained earnings and cash flows including the notes thereto,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recognized national standing reasonably acceptable to the Administrative Agent,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Holdings or any of its Subsidiaries not in accordance with GAAP.</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 As soon as practicable and in any event within forty-five (45) days (or, if earlier, on the date of any required public filing thereof) after the end of each fiscal quarter (commencing with the fiscal quarter ended December 31, 2024), an unaudited Consolidated balance sheet of Holdings and its Subsidiaries as of the close of such fiscal quarter and unaudited Consolidated statements of income, retained earnings and cash flows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Holdings in accordance with GAAP and, if applicable, containing disclosure of the effect on the financial position or results of operations of any change in the application of accounting principles and practices during the period, and certified by the chief financial officer of Holdings to present fairly in all material respects the financial condition of Holdings and its Subsidiaries on a Consolidated basis as of their respective dates and the results of operations of Holdings and its Subsidiaries for the respective periods then ended, subject to normal year-end adjustments and the absence of footnotes.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Annual Business Plan and Budget</w:t>
      </w:r>
      <w:r>
        <w:rPr>
          <w:rFonts w:ascii="Times New Roman;Times;Serif" w:hAnsi="Times New Roman;Times;Serif"/>
          <w:b w:val="false"/>
          <w:i w:val="false"/>
          <w:caps w:val="false"/>
          <w:smallCaps w:val="false"/>
          <w:sz w:val="20"/>
        </w:rPr>
        <w:t xml:space="preserve">. As soon as practicable and in any event within forty-five (45) days after the end of each Fiscal Year, a business plan and operating and capital budget of Holdings and its Subsidiaries for the ensuing four (4) fiscal quarters, such plan to be prepared in accordance with GAAP and to include, on a quarterly basis, the following: a quarterly operating and capital budget, a projected income statement, statement of cash flows and balance sheet, calculations demonstrating projected compliance with the financial covenants set forth in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 xml:space="preserve"> and a report containing management’s discussion and analysis of such budget with a reasonable disclosure of the key assumptions and drivers with respect to such budget, accompanied by a certificate from a Responsible Officer of Holdings to the effect that such budget contains good faith estimates (utilizing assumptions believed to be reasonable at the time of delivery of such budget) of the financial condition and operations of Holdings and its Subsidiaries for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Certificates; Other Reports</w:t>
      </w:r>
      <w:r>
        <w:rPr>
          <w:rFonts w:ascii="Times New Roman;Times;Serif" w:hAnsi="Times New Roman;Times;Serif"/>
          <w:b w:val="false"/>
          <w:i w:val="false"/>
          <w:caps w:val="false"/>
          <w:smallCaps w:val="false"/>
          <w:sz w:val="20"/>
        </w:rPr>
        <w:t>. Deliver to the Administrative Agent (which shall promptly make such information available to the Lenders in accordance with its customary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each time financial statements are delivered pursuant to </w:t>
      </w:r>
      <w:r>
        <w:rPr>
          <w:rFonts w:ascii="Times New Roman;Times;Serif" w:hAnsi="Times New Roman;Times;Serif"/>
          <w:b w:val="false"/>
          <w:i w:val="false"/>
          <w:caps w:val="false"/>
          <w:smallCaps w:val="false"/>
          <w:sz w:val="20"/>
          <w:u w:val="single"/>
        </w:rPr>
        <w:t>Sections 7.1(a)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at such other times as the Administrative Agent shall reasonably request, a duly completed Compliance Certificate that, among other things, (i) states that no Default or Event of Default is continuing as of the date of delivery of such Compliance Certificate or, if a Default or Event of Default is continuing, states the nature thereof and the action that the Borrowers propose to take with respect thereto, (ii) demonstrates compliance with the financial covenants set forth in </w:t>
      </w:r>
      <w:r>
        <w:rPr>
          <w:rFonts w:ascii="Times New Roman;Times;Serif" w:hAnsi="Times New Roman;Times;Serif"/>
          <w:b w:val="false"/>
          <w:i w:val="false"/>
          <w:caps w:val="false"/>
          <w:smallCaps w:val="false"/>
          <w:sz w:val="20"/>
          <w:u w:val="single"/>
        </w:rPr>
        <w:t>Section 8.14</w:t>
      </w:r>
      <w:r>
        <w:rPr>
          <w:rFonts w:ascii="Times New Roman;Times;Serif" w:hAnsi="Times New Roman;Times;Serif"/>
          <w:b w:val="false"/>
          <w:i w:val="false"/>
          <w:caps w:val="false"/>
          <w:smallCaps w:val="false"/>
          <w:sz w:val="20"/>
        </w:rPr>
        <w:t xml:space="preserve"> as of the last day of the applicable Reference Period ending on the last day of the Reference Period covered by such financial statements, (iii) certifies the maximum amount of Surety Bonds in effect as of the date of such certificate, and (iv) certifies the aggregate book value amount of Certificated Equipment owned by the Credit Parties as of such certificate date, all together with a report containing management’s discussion and analysis of Holdings’ material quarterly and annual operating results, as applicable, and a report containing management’s discussion and analysis of such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upon receipt thereof, copies of all reports, if any, submitted to any Credit Party, any Subsidiary thereof or any of their respective boards of directors by their respective independent public accountants in connection with their auditing function, including any management report and any management responses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the furnishing thereof, copies of any statement or report furnished to any holder of Indebtedness of any Credit Party or any Subsidiary thereof in excess of the Threshold Amount pursuant to the terms of any indenture, loan or credit or similar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after the assertion or occurrence thereof, notice of any action or proceeding against or of any noncompliance by any Credit Party or any Subsidiary thereof with any Environmental Law that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after the same are available, copies of each annual report, proxy or financial statement or other report or communication sent to the stockholders of Holdings, and copies of all annual, regular, periodic and special reports and registration statements which the Borrowers may file or be required to file with the SEC under Section 13 or 15(d) of the Exchange Act, or with any national securities exchange, and in any case not otherwise required to be delivered to the Administrative Agent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and in any event within five (5) Business Days after receipt thereof by any Credit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Credit Party or any Subsidiary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upon the request thereof, such other information and documentation required under applicable “know your customer” rules and regulations, the PATRIOT Act or any applicable Anti-Money Laundering Laws or Anti-Corruption Laws, in each case as from time to time reasonably requested by the Administrative Agent or any Lender;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other information regarding the operations, business affairs and financial condition of any Credit Party or any Subsidiary thereof as the Administrative Agent or any Lender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7.2(f)</w:t>
      </w:r>
      <w:r>
        <w:rPr>
          <w:rFonts w:ascii="Times New Roman;Times;Serif" w:hAnsi="Times New Roman;Times;Serif"/>
          <w:b w:val="false"/>
          <w:i w:val="false"/>
          <w:caps w:val="false"/>
          <w:smallCaps w:val="false"/>
          <w:sz w:val="20"/>
        </w:rPr>
        <w:t xml:space="preserve"> (to the extent any such documents are included in materials otherwise filed with the SEC) may be delivered electronically and if so delivered, shall be deemed to have been delivered on the date (i) on which Holdings’ post such documents, or provides a link thereto on Holdings’ website on the Internet; or (ii) on which such documents are posted on Holdings’ behalf on an Internet or intranet website, if any, to which each Lender and the Administrative Agent have access (whether a commercial, third-party website or whether sponsored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Administrative Borrower shall deliver paper copies of such documents to the Administrative Agent or any Lender that requests the Administrative Borrower to deliver such paper copies until a written request to cease delivering paper copies is given by the Administrative Agent or such Lender and (ii) the Administrative Borrower shall notify the Administrative Agent and each Lender (by facsimile or electronic mail) of the posting of any such documents and provide to the Administrative Agent by electronic mail electronic versions of such documents. Notwithstanding anything contained herein, in every instance the Borrowers shall be required to provide copies of the Compliance Certificates required by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to the Administrative Agent in accordance with the procedures set forth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Except for such Compliance Certificates, the Administrative Agent shall have no obligation to request the delivery or to maintain copies of the documents referred to above, and in any event shall have no responsibility to monitor compliance by the Borrowers with any such request for delivery, and each Lender shall be solely responsible for requesting delivery to it or maintaining its copies of such documents.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hereby acknowledges that (a) the Administrative Agent and/or the Left Lead Arranger will make available to the Lenders and the Issuing Lenders materials and/or information provided by or on behalf of the Borrowers hereunder (collectively, “</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by posting the Borrower Materials on the Platform and (b) certain of the Lenders may be “public-side” Lenders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Lenders that do not wish to receive material non-public information with respect to any Borrower or its securities)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Borrowers shall be deemed to have authorized the Administrative Agent, the Arrangers, the Issuing Lenders and the Lenders to treat such Borrower Materials as not containing any material non-public information (although it may be sensitive and proprietary) with respect to the Borrowers or their securities for purposes of United States federal and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such Borrower Materials constitute Information, they shall be treated as set forth in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Notice of Litigation and Other Matters</w:t>
      </w:r>
      <w:r>
        <w:rPr>
          <w:rFonts w:ascii="Times New Roman;Times;Serif" w:hAnsi="Times New Roman;Times;Serif"/>
          <w:b w:val="false"/>
          <w:i w:val="false"/>
          <w:caps w:val="false"/>
          <w:smallCaps w:val="false"/>
          <w:sz w:val="20"/>
        </w:rPr>
        <w:t>. Promptly (but in no event later than ten (10) days after any Responsible Officer of any Credit Party obtains knowledge thereof) notify the Administrative Agent in writing of (which shall promptly make such information available to the Lenders in accordance with its customary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which individually or in the aggregate,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notice of any violation received by any Credit Party or any Subsidiary thereof from any Governmental Authority including any notice of violation of Environmental Laws, which individually or in the aggregate,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labor controversy that has resulted in, or threatens to result in, a strike or other work action against any Credit Party or any Subsidiary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attachment, judgment, lien, levy or order exceeding the Threshold Amount that may be assessed against or threatened against any Credit Party or any Subsidiary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event which constitutes or which with the passage of time or giving of notice or both would constitute a default or event of default under any Material Contract to which any Borrower or any of their Subsidiaries is a party or by which any Borrower or any Subsidiary thereof or any of their respective properties may be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any unfavorable determination letter from the IRS regarding the qualification of an Employee Benefit Plan under Section 401(a) of the Code (along with a copy thereof), (ii) all notices received by any Credit Party or any ERISA Affiliate of the PBGC’s intent to terminate any Pension Plan or to have a trustee appointed to administer any Pension Plan, (iii) all notices received by any Credit Party or any ERISA Affiliate from a Multiemployer Plan sponsor concerning the imposition or amount of withdrawal liability pursuant to Section 4202 of ERISA and (iv) any Borrower obtaining knowledge or reason to know that any Credit Party or any ERISA Affiliate has filed or intends to file a notice of intent to terminate any Pension Plan under a distress termination within the meaning of Section 4041(c) of ERISA;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event which makes any of the representations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that is subject to materiality or Material Adverse Effect qualifications inaccurate in any respect or any event which makes any of the representations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that is not subject to materiality or Material Adverse Effect qualifications inaccurate in any material respect;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pursuant to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shall be accompanied by a statement of a Responsible Officer of the Administrative Borrower setting forth details of the occurrence referred to therein and stating what action the Borrowers has taken and proposes to take with respect thereto. Each notice pursuant to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shall describe with particularity any and all provisions of this Agreement and any other Loan Document that have been breached.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Preservation of Corporate Existence and Related Matters</w:t>
      </w:r>
      <w:r>
        <w:rPr>
          <w:rFonts w:ascii="Times New Roman;Times;Serif" w:hAnsi="Times New Roman;Times;Serif"/>
          <w:b w:val="false"/>
          <w:i w:val="false"/>
          <w:caps w:val="false"/>
          <w:smallCaps w:val="false"/>
          <w:sz w:val="20"/>
        </w:rPr>
        <w:t xml:space="preserve">. Except as permitted by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preserve and maintain its separate corporate existence or equivalent form and all rights, franchises, licenses and privileges necessary to the conduct of its business, and qualify and remain qualified as a foreign corporation or other entity and authorized to do business in each jurisdiction where the nature and scope of its activities require it to so qualify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trike/>
          <w:color w:val="FF0000"/>
          <w:sz w:val="20"/>
          <w:u w:val="single"/>
        </w:rPr>
        <w:t>Maintenances</w:t>
      </w:r>
      <w:r>
        <w:rPr>
          <w:rFonts w:ascii="Times New Roman;Times;Serif" w:hAnsi="Times New Roman;Times;Serif"/>
          <w:b w:val="false"/>
          <w:i w:val="false"/>
          <w:caps w:val="false"/>
          <w:smallCaps w:val="false"/>
          <w:color w:val="0000FF"/>
          <w:sz w:val="20"/>
          <w:u w:val="single"/>
        </w:rPr>
        <w:t>Maintenance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of Properties and Licenses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requirements of any of the Security Documents, protect and preserve all Properties necessary in and material to its business, including copyrights, patents, trade names, service marks and trademarks; maintain in good working order and condition, ordinary wear and tear excepted, all buildings, equipment and other tangible real and personal property; and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of the foregoing clauses (i) through (iii), except as such action or inaction could not, individually or in the aggregate,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in full force and effect in all material respects, each and every material license, permit, certification, qualification, approval or franchise issued by any Governmental Authority required for each of them to conduct their respective businesses as presently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Maintain insurance with financially sound and reputable insurance companies against at least such risks and in at least such amounts as are customarily maintained by similar businesses and as may be required by Applicable Law and as are required by any Security Documents (including hazard and business interruption insurance). Subject to </w:t>
      </w:r>
      <w:r>
        <w:rPr>
          <w:rFonts w:ascii="Times New Roman;Times;Serif" w:hAnsi="Times New Roman;Times;Serif"/>
          <w:b w:val="false"/>
          <w:i w:val="false"/>
          <w:caps w:val="false"/>
          <w:smallCaps w:val="false"/>
          <w:sz w:val="20"/>
          <w:u w:val="single"/>
        </w:rPr>
        <w:t>Section 7.20</w:t>
      </w:r>
      <w:r>
        <w:rPr>
          <w:rFonts w:ascii="Times New Roman;Times;Serif" w:hAnsi="Times New Roman;Times;Serif"/>
          <w:b w:val="false"/>
          <w:i w:val="false"/>
          <w:caps w:val="false"/>
          <w:smallCaps w:val="false"/>
          <w:sz w:val="20"/>
        </w:rPr>
        <w:t>, all such insurance shall, (a) provide that no cancellation or material modification thereof shall be effective until at least 30 days after receipt by the Administrative Agent of written notice thereof (except as a result of non-payment of premium in which case only 10 days’ prior written notice shall be required) and (b) in the case of liability insurance, name the Administrative Agent as an additional insured party thereunder and (c) in the case of each property insurance policy, name the Administrative Agent as lender’s loss payee or mortgagee, as applicable. On the Closing Date and from time to time thereafter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 If any portion of any real property subject to a Mortgage is at any time located in an area identified by the Federal Emergency Management Agency (or any successor agency) as a special flood hazard area with respect to which flood insurance has been made available under the Flood Insurance Laws, then the Borrowers shall, or shall cause the applicable Credit Party to, (i) maintain, or cause to be maintained, with a financially sound and reputable insurer, flood insurance in an amount and otherwise sufficient to comply with all applicable rules and regulations promulgated pursuant to the Flood Insurance Laws, (ii) reasonably cooperate with the Administrative Agent and the Lenders and provide information reasonably required by the Administrative Agent and the Lenders to comply with the Flood Insurance Laws, (iii) deliver to the Administrative Agent evidence of such compliance in form and substance reasonably acceptable to the Administrative Agent, including evidence of annual renewals of such insurance and (iv) furnish to the Administrative Agent and the Lenders prompt written notice of any re-designation of any such Mortgaged Property into or out of a special flood hazard area.</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Accounting Methods and Financial Records</w:t>
      </w:r>
      <w:r>
        <w:rPr>
          <w:rFonts w:ascii="Times New Roman;Times;Serif" w:hAnsi="Times New Roman;Times;Serif"/>
          <w:b w:val="false"/>
          <w:i w:val="false"/>
          <w:caps w:val="false"/>
          <w:smallCaps w:val="false"/>
          <w:sz w:val="20"/>
        </w:rPr>
        <w:t>. Maintain a system of accounting, and keep proper books, records and accounts (which shall be accurate and complete in all material respects) as may be required or as may be necessary to permit the preparation of financial statements in accordance in all material respects with GAAP and in compliance with the regulations of any Governmental Authority having jurisdiction over it or any of its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Payment of Taxes and Other Obligations</w:t>
      </w:r>
      <w:r>
        <w:rPr>
          <w:rFonts w:ascii="Times New Roman;Times;Serif" w:hAnsi="Times New Roman;Times;Serif"/>
          <w:b w:val="false"/>
          <w:i w:val="false"/>
          <w:caps w:val="false"/>
          <w:smallCaps w:val="false"/>
          <w:sz w:val="20"/>
        </w:rPr>
        <w:t>. Pay and perform (a) all taxes, assessments and other governmental charges that may be levied or assessed upon it or any of its Property and (b) all other Indebtedness, obligations and liabilities in accordance with customary trade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Compliance with Laws and Approvals</w:t>
      </w:r>
      <w:r>
        <w:rPr>
          <w:rFonts w:ascii="Times New Roman;Times;Serif" w:hAnsi="Times New Roman;Times;Serif"/>
          <w:b w:val="false"/>
          <w:i w:val="false"/>
          <w:caps w:val="false"/>
          <w:smallCaps w:val="false"/>
          <w:sz w:val="20"/>
        </w:rPr>
        <w:t>. Observe and remain in compliance in all material respects with all Applicable Laws and maintain in full force and effect all Governmental Approvals, in each case applicable to the conduct of its business, except where the failure to so comply could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xml:space="preserve">. In addition to and without limiting the generality of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(a) comply with, and ensure such compliance by all tenants and subtenants with all applicable Environmental Laws and obtain and comply with and maintain, and ensure that all tenants and subtenants, if any, obtain and comply with and maintain, any and all licenses, approvals, notifications, registrations or permits required by applicable Environmental Laws, except where the failure to so comply could not, individually or in the aggregate, reasonably be expected to have a Material Adverse Effect, and (b) conduct and complete all investigations, studies, sampling and testing, and all remedial, removal and other actions required under Environmental Laws, and promptly comply with all lawful orders and directives of any Governmental Authority regarding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Compliance with ERISA</w:t>
      </w:r>
      <w:r>
        <w:rPr>
          <w:rFonts w:ascii="Times New Roman;Times;Serif" w:hAnsi="Times New Roman;Times;Serif"/>
          <w:b w:val="false"/>
          <w:i w:val="false"/>
          <w:caps w:val="false"/>
          <w:smallCaps w:val="false"/>
          <w:sz w:val="20"/>
        </w:rPr>
        <w:t xml:space="preserve">. In addition to and without limiting the generality of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(ii) not take any action or fail to take action the result of which could reasonably be expected to result in a liability to the PBGC or to a Multiemployer Plan, (iii) not participate in any prohibited transaction that could result in any civil penalty under ERISA or tax under the Code and (iv) operate each Employee Benefit Plan in such a manner that will not incur any tax liability under Section 4980B of the Code or any liability to any qualified beneficiary as defined in Section 4980B of the Code and (b) furnish to the Administrative Agent upon the Administrative Agent’s request such additional information about any Employee Benefit Plan as may be reasonably requested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Compliance with Material Contracts</w:t>
      </w:r>
      <w:r>
        <w:rPr>
          <w:rFonts w:ascii="Times New Roman;Times;Serif" w:hAnsi="Times New Roman;Times;Serif"/>
          <w:b w:val="false"/>
          <w:i w:val="false"/>
          <w:caps w:val="false"/>
          <w:smallCaps w:val="false"/>
          <w:sz w:val="20"/>
        </w:rPr>
        <w:t xml:space="preserve">. Comply in all material respects with, and maintain in full force and effect, each Material Contract;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Borrower or any such Subsidiary may contest the terms and conditions of any such Material Contract in good faith through applicable proceedings so long as adequate reserves are maintained in accordance with GAAP.</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Visits and Inspections</w:t>
      </w:r>
      <w:r>
        <w:rPr>
          <w:rFonts w:ascii="Times New Roman;Times;Serif" w:hAnsi="Times New Roman;Times;Serif"/>
          <w:b w:val="false"/>
          <w:i w:val="false"/>
          <w:caps w:val="false"/>
          <w:smallCaps w:val="false"/>
          <w:sz w:val="20"/>
        </w:rPr>
        <w:t xml:space="preserve">. Permit representatives of the Administrative Agent or any Lender, from time to time upon prior reasonable notice, at reasonable intervals, and at such times during normal business hours, all at the expense of the Borrowers,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and during the continuance of an Event of Default, the Administrative Agent or any Lender may do any of the foregoing at the expense of the Borrowers at any time without advance notice. Upon the request of the Administrative Agent or the Required Lenders, participate in a meeting of the Administrative Agent and Lenders once during each Fiscal Year, which meeting will be held at the Borrowers’ corporate offices (or such other location as may be agreed to by the Administrative Borrower and the Administrative Agent) at such time as may be agreed by the Administrative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Additional Guarantors and Collateral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Additional Subsidiaries</w:t>
      </w:r>
      <w:r>
        <w:rPr>
          <w:rFonts w:ascii="Times New Roman;Times;Serif" w:hAnsi="Times New Roman;Times;Serif"/>
          <w:b w:val="false"/>
          <w:i w:val="false"/>
          <w:caps w:val="false"/>
          <w:smallCaps w:val="false"/>
          <w:sz w:val="20"/>
        </w:rPr>
        <w:t xml:space="preserve">. Promptly notify the Administrative Agent of (i) the creation or acquisition (including by division) of a Person that becomes a </w:t>
      </w:r>
      <w:r>
        <w:rPr>
          <w:rFonts w:ascii="Times New Roman;Times;Serif" w:hAnsi="Times New Roman;Times;Serif"/>
          <w:b w:val="false"/>
          <w:i w:val="false"/>
          <w:caps w:val="false"/>
          <w:smallCaps w:val="false"/>
          <w:color w:val="0000FF"/>
          <w:sz w:val="20"/>
          <w:u w:val="single"/>
        </w:rPr>
        <w:t xml:space="preserve">Domestic </w:t>
      </w:r>
      <w:r>
        <w:rPr>
          <w:rFonts w:ascii="Times New Roman;Times;Serif" w:hAnsi="Times New Roman;Times;Serif"/>
          <w:b w:val="false"/>
          <w:i w:val="false"/>
          <w:caps w:val="false"/>
          <w:smallCaps w:val="false"/>
          <w:sz w:val="20"/>
        </w:rPr>
        <w:t xml:space="preserve">Subsidiary (other than an Excluded Subsidiary), (ii) any Domestic Subsidiary that is an Excluded Subsidiary failing to constitute an Excluded Subsidiary, and (iii) Holdings’ desire to designate a Subsidiary Guarantor that is </w:t>
      </w:r>
      <w:r>
        <w:rPr>
          <w:rFonts w:ascii="Times New Roman;Times;Serif" w:hAnsi="Times New Roman;Times;Serif"/>
          <w:b w:val="false"/>
          <w:i w:val="false"/>
          <w:caps w:val="false"/>
          <w:smallCaps w:val="false"/>
          <w:color w:val="0000FF"/>
          <w:sz w:val="20"/>
          <w:u w:val="single"/>
        </w:rPr>
        <w:t xml:space="preserve">a Domestic Subsidiary but </w:t>
      </w:r>
      <w:r>
        <w:rPr>
          <w:rFonts w:ascii="Times New Roman;Times;Serif" w:hAnsi="Times New Roman;Times;Serif"/>
          <w:b w:val="false"/>
          <w:i w:val="false"/>
          <w:caps w:val="false"/>
          <w:smallCaps w:val="false"/>
          <w:sz w:val="20"/>
        </w:rPr>
        <w:t xml:space="preserve">not a Borrower as a Borrower, and within thirty (30) days after such event (as such time period may be extended by the Administrative Agent in its sole discretion) cause such Subsidiary to (A) become a Subsidiary Guarantor or a Subsidiary Borrower by delivering to the Administrative Agent a duly executed Joinder Agreement or such other document as the Administrative Agent shall deem appropriate for such purpose, (B) grant a security interest in all Collateral (subject to the exceptions specified in the Collateral Agreement) owned by such Subsidiary by delivering to the Administrative Agent a duly executed joinder and/or supplement to each applicable Security Document or such other document as the Administrative Agent shall deem appropriate for such purpose and comply with the terms of each applicable Security Document, (C) deliver to the Administrative Agent such opinions, documents and certificates of the type referred to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as may be reasonably requested by the Administrative Agent, (D) if such Equity Interests are certificated, deliver to the Administrative Agent such original certificated Equity Interests or other certificates and stock or other transfer powers evidencing the Equity Interests of such Person, (E) deliver to the Administrative Agent such updated Schedules to the Security Documents as requested by the Administrative Agent with respect to such Subsidiary, and (F) deliver to the Administrative Agent such other documents as may be reasonably requested by the Administrative Agent, including, if applicable, such additional items required to be delivered pursuant to </w:t>
      </w:r>
      <w:r>
        <w:rPr>
          <w:rFonts w:ascii="Times New Roman;Times;Serif" w:hAnsi="Times New Roman;Times;Serif"/>
          <w:b w:val="false"/>
          <w:i w:val="false"/>
          <w:caps w:val="false"/>
          <w:smallCaps w:val="false"/>
          <w:sz w:val="20"/>
          <w:u w:val="single"/>
        </w:rPr>
        <w:t>Section 7.2(g)</w:t>
      </w:r>
      <w:r>
        <w:rPr>
          <w:rFonts w:ascii="Times New Roman;Times;Serif" w:hAnsi="Times New Roman;Times;Serif"/>
          <w:b w:val="false"/>
          <w:i w:val="false"/>
          <w:caps w:val="false"/>
          <w:smallCaps w:val="false"/>
          <w:sz w:val="20"/>
        </w:rPr>
        <w:t xml:space="preserve"> in order for a Person to become a Borrower, all in form, content and scope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Additional First Tier Foreign Subsidiaries and CFC Holdcos</w:t>
      </w:r>
      <w:r>
        <w:rPr>
          <w:rFonts w:ascii="Times New Roman;Times;Serif" w:hAnsi="Times New Roman;Times;Serif"/>
          <w:b w:val="false"/>
          <w:i w:val="false"/>
          <w:caps w:val="false"/>
          <w:smallCaps w:val="false"/>
          <w:sz w:val="20"/>
        </w:rPr>
        <w:t xml:space="preserve">. In each case, subject to the limitation set forth in clause (e) below, notify the Administrative Agent promptly after any Person becomes a First Tier Foreign Subsidiary or a CFC Holdco, and promptly thereafter (and, in any event, within forty five (45) days after such notification, as such time period may be extended by the Administrative Agent in its sole discretion), cause (i) the applicable Credit Party to deliver to the Administrative Agent Security Documents pledging sixty-five percent (65%) of the total outstanding voting Equity Interests (and one hundred percent (100%) of the non-voting Equity Interests) of any such new First Tier Foreign Subsidiary that is a CFC or any such CFC Holdco and 100% of the Equity Interests of any First Tier Foreign Subsidiary that is not a CFC and a consent thereto executed by such new First Tier Foreign Subsidiary (including, if applicable, original certificated Equity Interests (or the equivalent thereof pursuant to the Applicable Laws and practices of any relevant foreign jurisdiction) evidencing the Equity Interests of such new First Tier Foreign Subsidiary or CFC Holdco, as applicable, together with an appropriate undated stock or other transfer power for each certificate duly executed in blank by the registered owner thereof), (ii) such Person to deliver to the Administrative Agent such opinions, documents and certificates of the type referred to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Merger Subsidiaries</w:t>
      </w:r>
      <w:r>
        <w:rPr>
          <w:rFonts w:ascii="Times New Roman;Times;Serif" w:hAnsi="Times New Roman;Times;Serif"/>
          <w:b w:val="false"/>
          <w:i w:val="false"/>
          <w:caps w:val="false"/>
          <w:smallCaps w:val="false"/>
          <w:sz w:val="20"/>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set forth in </w:t>
      </w:r>
      <w:r>
        <w:rPr>
          <w:rFonts w:ascii="Times New Roman;Times;Serif" w:hAnsi="Times New Roman;Times;Serif"/>
          <w:b w:val="false"/>
          <w:i w:val="false"/>
          <w:caps w:val="false"/>
          <w:smallCaps w:val="false"/>
          <w:sz w:val="20"/>
          <w:u w:val="single"/>
        </w:rPr>
        <w:t>Section 7.14(a)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as applicable, until the consummation of such Permitted Acquisition (at which time, the surviving entity of the respective merger transaction shall be required to so comply with </w:t>
      </w:r>
      <w:r>
        <w:rPr>
          <w:rFonts w:ascii="Times New Roman;Times;Serif" w:hAnsi="Times New Roman;Times;Serif"/>
          <w:b w:val="false"/>
          <w:i w:val="false"/>
          <w:caps w:val="false"/>
          <w:smallCaps w:val="false"/>
          <w:sz w:val="20"/>
          <w:u w:val="single"/>
        </w:rPr>
        <w:t>Section 7.14(a)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as applicable, within ten (10) Business Days of the consummation of such Permitted Acquisition, as such time period may be extended by the Administrative Agent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Real Property Collateral</w:t>
      </w:r>
      <w:r>
        <w:rPr>
          <w:rFonts w:ascii="Times New Roman;Times;Serif" w:hAnsi="Times New Roman;Times;Serif"/>
          <w:b w:val="false"/>
          <w:i w:val="false"/>
          <w:caps w:val="false"/>
          <w:smallCaps w:val="false"/>
          <w:sz w:val="20"/>
        </w:rPr>
        <w:t xml:space="preserve">. (i) Promptly after the acquisition of any Material Real Property (or after any owned real property becomes Material Real Property) by any Credit Party that is not subject to a Mortgage (and, in any event, within thirty (30) days after such acquisition or event, as such time period may be extended by the Administrative Agent in its sole discretion), notify the Administrative Agent and (ii) if requested by the Administrative Agent, promptly thereafter (and in any event, within sixty (60) days of such acquisition or event, as such time period may be extended by the Administrative Agent, or as such requirement may be waived by the Administrative Agent, in each case in its sole discretion (it being understood that any such waiver may be temporary in nature)), deliver to the Administrative Agent (A) a Mortgage duly executed and delivered by the record owner of such Material Real Property (together with UCC fixture filings, if requested by the Administrative Agent), and (B) customary legal opinions and evidence of organizational approval in form and substance reasonably satisfactory to the Administrative Agent with respect to the mortgagor of such Mortgage and the enforceability and perfection of such Mortgage, and (iii) if a request for a Mortgage is made by the Administrative Agent under the preceding clause (ii), prior to the delivery of such Mortgage, promptly deliver (A) to each Lender a completed “Life-of-Loan” Federal Emergency Management Agency Standard Flood Hazard Determination with respect to each such Material Real Property (together with a notice about special flood hazard area status and flood disaster assistance, which, if applicable, shall be duly executed by the applicable Credit Party relating to such Material Real Property), and (B) if any such Material Real Property is located in an area determined by the Federal Emergency Management Agency to have special flood hazards, to each Lender evidence of such flood insurance as may be required under applicable Law, including Regulation H of the FRB and the other Flood Insurance Laws and as required under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Surety Intercreditors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With </w:t>
      </w:r>
      <w:r>
        <w:rPr>
          <w:rFonts w:ascii="Times New Roman;Times;Serif" w:hAnsi="Times New Roman;Times;Serif"/>
          <w:b w:val="false"/>
          <w:i w:val="false"/>
          <w:caps w:val="false"/>
          <w:smallCaps w:val="false"/>
          <w:color w:val="008000"/>
          <w:sz w:val="20"/>
          <w:u w:val="single"/>
        </w:rPr>
        <w:t xml:space="preserve">Subject to Section 7.20, </w:t>
      </w:r>
      <w:r>
        <w:rPr>
          <w:rFonts w:ascii="Times New Roman;Times;Serif" w:hAnsi="Times New Roman;Times;Serif"/>
          <w:b w:val="false"/>
          <w:i w:val="false"/>
          <w:caps w:val="false"/>
          <w:smallCaps w:val="false"/>
          <w:color w:val="0000FF"/>
          <w:sz w:val="20"/>
          <w:u w:val="single"/>
        </w:rPr>
        <w:t xml:space="preserve">with </w:t>
      </w:r>
      <w:r>
        <w:rPr>
          <w:rFonts w:ascii="Times New Roman;Times;Serif" w:hAnsi="Times New Roman;Times;Serif"/>
          <w:b w:val="false"/>
          <w:i w:val="false"/>
          <w:caps w:val="false"/>
          <w:smallCaps w:val="false"/>
          <w:sz w:val="20"/>
        </w:rPr>
        <w:t>respect to each Surety Bond procured by any Credit Party after the Closing Date which is to be secured with Security Collateral pursuant to Section 8.2(r), the Borrowers shall deliver to the Administrative Agent a Surety Intercreditor.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Additional Collateral</w:t>
      </w:r>
      <w:r>
        <w:rPr>
          <w:rFonts w:ascii="Times New Roman;Times;Serif" w:hAnsi="Times New Roman;Times;Serif"/>
          <w:b w:val="false"/>
          <w:i w:val="false"/>
          <w:caps w:val="false"/>
          <w:smallCaps w:val="false"/>
          <w:sz w:val="20"/>
        </w:rPr>
        <w:t>. Comply with the requirements set forth in the Security Documents with respect to any Property constituting Collateral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shall be subject to the limitations and exclusions, if any, set forth in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Use the proceeds of the Extensions of Credit (i) to refinance existing indebtedness, (ii) </w:t>
      </w:r>
      <w:r>
        <w:rPr>
          <w:rFonts w:ascii="Times New Roman;Times;Serif" w:hAnsi="Times New Roman;Times;Serif"/>
          <w:b w:val="false"/>
          <w:i w:val="false"/>
          <w:caps w:val="false"/>
          <w:smallCaps w:val="false"/>
          <w:color w:val="0000FF"/>
          <w:sz w:val="20"/>
          <w:u w:val="single"/>
        </w:rPr>
        <w:t xml:space="preserve">to </w:t>
      </w:r>
      <w:r>
        <w:rPr>
          <w:rFonts w:ascii="Times New Roman;Times;Serif" w:hAnsi="Times New Roman;Times;Serif"/>
          <w:b w:val="false"/>
          <w:i w:val="false"/>
          <w:caps w:val="false"/>
          <w:smallCaps w:val="false"/>
          <w:sz w:val="20"/>
        </w:rPr>
        <w:t xml:space="preserve">pay fees, commissions and expenses in connection with the Transactions,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(iii</w:t>
      </w:r>
      <w:r>
        <w:rPr>
          <w:rFonts w:ascii="Times New Roman;Times;Serif" w:hAnsi="Times New Roman;Times;Serif"/>
          <w:b w:val="false"/>
          <w:i w:val="false"/>
          <w:caps w:val="false"/>
          <w:smallCaps w:val="false"/>
          <w:color w:val="0000FF"/>
          <w:sz w:val="20"/>
          <w:u w:val="single"/>
        </w:rPr>
        <w:t>) to finance the DBM Acquisition and pay fees, commissions and expenses in connection therewith, and (iv</w:t>
      </w:r>
      <w:r>
        <w:rPr>
          <w:rFonts w:ascii="Times New Roman;Times;Serif" w:hAnsi="Times New Roman;Times;Serif"/>
          <w:b w:val="false"/>
          <w:i w:val="false"/>
          <w:caps w:val="false"/>
          <w:smallCaps w:val="false"/>
          <w:sz w:val="20"/>
        </w:rPr>
        <w:t xml:space="preserve">) for working capital and general corporate purposes of the Borrowers and their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part of the proceeds of any of the Loans or Letters of Credit shall be used for purchasing or carrying margin stock (within the meaning of Regulation T, U or X of the FRB) or for any purpose which violates the provisions of Regulation T, U or X of the FRB. If requested by the Administrative Agent or any Lender (through the Administrative Agent), the Borrowers shall promptly furnish to the Administrative Agent and each requesting Lender a statement in conformity with the requirements of Form G-3 or Form U-1, as applicable, under Regulation U of the FRB.</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Use the proceeds of any Incremental Term Loan and any Incremental Revolving Credit Facility Increase as permitted pursuant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 request any Extension of Credit, and the Borrowers shall not use, and each Borrower shall ensure that its Subsidiaries and its or their respective directors, officers, employees and agents shall not use, the proceeds of any Extension of Credit, directly or indirectly, (i) in furtherance of an offer, payment, promise to pay, or authorization of the payment or giving of money, or anything else of value, to any Person in violation of any Anti-Corruption Laws or Anti-Money Laundering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7.16 </w:t>
      </w:r>
      <w:r>
        <w:rPr>
          <w:rFonts w:ascii="Times New Roman;Times;Serif" w:hAnsi="Times New Roman;Times;Serif"/>
          <w:b w:val="false"/>
          <w:i w:val="false"/>
          <w:caps w:val="false"/>
          <w:smallCaps w:val="false"/>
          <w:sz w:val="20"/>
          <w:u w:val="single"/>
        </w:rPr>
        <w:t>Compliance with Anti-Corruption Laws; Beneficial Ownership Regulation, Anti-Money Laundering Laws and Sanctions</w:t>
      </w:r>
      <w:r>
        <w:rPr>
          <w:rFonts w:ascii="Times New Roman;Times;Serif" w:hAnsi="Times New Roman;Times;Serif"/>
          <w:b w:val="false"/>
          <w:i w:val="false"/>
          <w:caps w:val="false"/>
          <w:smallCaps w:val="false"/>
          <w:sz w:val="20"/>
        </w:rPr>
        <w:t>. (a) Maintain in effect and enforce policies and procedures reasonably designed to ensure compliance by the Borrowers, such Borrowers’ Subsidiaries and their respective directors, officers, employees and agents with all Anti-Corruption Laws, Anti-Money Laundering Laws and applicable Sanctions, (b) notify the Administrative Agent and each Lender that previously received a Beneficial Ownership Certification (or a certification that the Borrowers qualify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any Borrower ceasing to fall within an express exclusion to the definition of “legal entity customer” under the Beneficial Ownership Regulation) and (c)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7.17 </w:t>
      </w:r>
      <w:r>
        <w:rPr>
          <w:rFonts w:ascii="Times New Roman;Times;Serif" w:hAnsi="Times New Roman;Times;Serif"/>
          <w:b w:val="false"/>
          <w:i w:val="false"/>
          <w:caps w:val="false"/>
          <w:smallCaps w:val="false"/>
          <w:sz w:val="20"/>
          <w:u w:val="single"/>
        </w:rPr>
        <w:t>Corporate Governance</w:t>
      </w:r>
      <w:r>
        <w:rPr>
          <w:rFonts w:ascii="Times New Roman;Times;Serif" w:hAnsi="Times New Roman;Times;Serif"/>
          <w:b w:val="false"/>
          <w:i w:val="false"/>
          <w:caps w:val="false"/>
          <w:smallCaps w:val="false"/>
          <w:sz w:val="20"/>
        </w:rPr>
        <w:t xml:space="preserve">. (a) Maintain entity records and books of account separate from those of any other entity which is an Affiliate of such entity, (b) not commingle its funds or assets with those of any other entity which is an Affiliate of such entity (except pursuant to cash management systems reasonably acceptable to the Administrative Agent) and (c) provide that its board of directors (or equivalent governing body) will hold all appropriate meetings or enter into written consents in lieu of such meetings to authorize and approve such entity’s actions, which meetings or consents will be separate from those of any other entity which is an Affiliate of such entity. For the purposes of this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“Affiliate” shall not include the Borrowers or any Subsidiary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in no event shall the Credit Parties be required to (a) obtain a Landlord Agreement for any leased premises if the fair market value of Collateral located thereon is less than $1,000,000; provided that, in the event such value is equal to or exceeds $1,000,000, the Credit Parties shall use commercially reasonable efforts to obtain a Landlord Agreement for such leased premises, or (b) create or perfect any Liens in favor of the Administrative Agent in any real property that is not Material Real Property. The Borrowers also agree to provide to the Administrative Agent, from time to time upon the reasonable request by the Administrative Agent, evidence reasonably satisfactory to the Administrative Agent as to the perfection and priority of the Liens created or intended to be created by the Security Documents.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7.19 </w:t>
      </w:r>
      <w:r>
        <w:rPr>
          <w:rFonts w:ascii="Times New Roman;Times;Serif" w:hAnsi="Times New Roman;Times;Serif"/>
          <w:b w:val="false"/>
          <w:i w:val="false"/>
          <w:caps w:val="false"/>
          <w:smallCaps w:val="false"/>
          <w:sz w:val="20"/>
          <w:u w:val="single"/>
        </w:rPr>
        <w:t>Flood Insurance Matters</w:t>
      </w:r>
      <w:r>
        <w:rPr>
          <w:rFonts w:ascii="Times New Roman;Times;Serif" w:hAnsi="Times New Roman;Times;Serif"/>
          <w:b w:val="false"/>
          <w:i w:val="false"/>
          <w:caps w:val="false"/>
          <w:smallCaps w:val="false"/>
          <w:sz w:val="20"/>
        </w:rPr>
        <w:t>. The parties hereto acknowledge and agree that, if there is any Collateral under a Mortgage, any increase, extension, or renewal of any of the Loans or Commitments (including any Incremental Term Loan and any Incremental Increase, but excluding (a) any continuation or conversion of borrowings, (b) the making of any Revolving Credit Loans or Swingline Loans or (c) the issuance, renewal or extension of Letters of Credit) may, in the sole discretion of the Administrative Agent, be subject to (and conditioned upon): (i) the prior delivery of all flood zone determination certifications, acknowledgements and evidence of flood insurance and other flood-related documentation with respect to such Mortgaged Property reasonably sufficient to evidence compliance with Flood Insurance Laws and as otherwise reasonably required by the Administrative Agent and (ii) the earlier to occur of (A) the date that occurs thirty (30) days after the Administrative Agent has delivered the documentation set forth in clause (i) of this Section to the Lenders (which may be delivered electronically) or (B) the Administrative Agent’s receipt of written confirmation from each of the Lenders that flood insurance due diligence and flood insurance compliance has been completed by such Lender (such written confirmation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7.20 </w:t>
      </w:r>
      <w:r>
        <w:rPr>
          <w:rFonts w:ascii="Times New Roman;Times;Serif" w:hAnsi="Times New Roman;Times;Serif"/>
          <w:b w:val="false"/>
          <w:i w:val="false"/>
          <w:caps w:val="false"/>
          <w:smallCaps w:val="false"/>
          <w:sz w:val="20"/>
          <w:u w:val="single"/>
        </w:rPr>
        <w:t>Post-Closing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(a) </w:t>
      </w:r>
      <w:r>
        <w:rPr>
          <w:rFonts w:ascii="Times New Roman;Times;Serif" w:hAnsi="Times New Roman;Times;Serif"/>
          <w:b w:val="false"/>
          <w:i w:val="false"/>
          <w:caps w:val="false"/>
          <w:smallCaps w:val="false"/>
          <w:strike/>
          <w:color w:val="008000"/>
          <w:sz w:val="20"/>
        </w:rPr>
        <w:t xml:space="preserve">With respect to </w:t>
      </w:r>
      <w:r>
        <w:rPr>
          <w:rFonts w:ascii="Times New Roman;Times;Serif" w:hAnsi="Times New Roman;Times;Serif"/>
          <w:b w:val="false"/>
          <w:i w:val="false"/>
          <w:caps w:val="false"/>
          <w:smallCaps w:val="false"/>
          <w:strike/>
          <w:color w:val="FF0000"/>
          <w:sz w:val="20"/>
        </w:rPr>
        <w:t xml:space="preserve">Surety Intercreditors </w:t>
      </w:r>
      <w:r>
        <w:rPr>
          <w:rFonts w:ascii="Times New Roman;Times;Serif" w:hAnsi="Times New Roman;Times;Serif"/>
          <w:b w:val="false"/>
          <w:i w:val="false"/>
          <w:caps w:val="false"/>
          <w:smallCaps w:val="false"/>
          <w:strike/>
          <w:color w:val="008000"/>
          <w:sz w:val="20"/>
        </w:rPr>
        <w:t xml:space="preserve">in effect on the </w:t>
      </w:r>
      <w:r>
        <w:rPr>
          <w:rFonts w:ascii="Times New Roman;Times;Serif" w:hAnsi="Times New Roman;Times;Serif"/>
          <w:b w:val="false"/>
          <w:i w:val="false"/>
          <w:caps w:val="false"/>
          <w:smallCaps w:val="false"/>
          <w:strike/>
          <w:color w:val="FF0000"/>
          <w:sz w:val="20"/>
        </w:rPr>
        <w:t xml:space="preserve">Closing </w:t>
      </w:r>
      <w:r>
        <w:rPr>
          <w:rFonts w:ascii="Times New Roman;Times;Serif" w:hAnsi="Times New Roman;Times;Serif"/>
          <w:b w:val="false"/>
          <w:i w:val="false"/>
          <w:caps w:val="false"/>
          <w:smallCaps w:val="false"/>
          <w:strike/>
          <w:color w:val="008000"/>
          <w:sz w:val="20"/>
        </w:rPr>
        <w:t xml:space="preserve">Date, the Borrowers shall, within sixty (60) days after the </w:t>
      </w:r>
      <w:r>
        <w:rPr>
          <w:rFonts w:ascii="Times New Roman;Times;Serif" w:hAnsi="Times New Roman;Times;Serif"/>
          <w:b w:val="false"/>
          <w:i w:val="false"/>
          <w:caps w:val="false"/>
          <w:smallCaps w:val="false"/>
          <w:strike/>
          <w:color w:val="FF0000"/>
          <w:sz w:val="20"/>
        </w:rPr>
        <w:t xml:space="preserve">Closing </w:t>
      </w:r>
      <w:r>
        <w:rPr>
          <w:rFonts w:ascii="Times New Roman;Times;Serif" w:hAnsi="Times New Roman;Times;Serif"/>
          <w:b w:val="false"/>
          <w:i w:val="false"/>
          <w:caps w:val="false"/>
          <w:smallCaps w:val="false"/>
          <w:strike/>
          <w:color w:val="008000"/>
          <w:sz w:val="20"/>
        </w:rPr>
        <w:t xml:space="preserve">Date (or such longer period as may be acceptable to the Administrative Agent in its sole discretion), </w:t>
      </w:r>
      <w:r>
        <w:rPr>
          <w:rFonts w:ascii="Times New Roman;Times;Serif" w:hAnsi="Times New Roman;Times;Serif"/>
          <w:b w:val="false"/>
          <w:i w:val="false"/>
          <w:caps w:val="false"/>
          <w:smallCaps w:val="false"/>
          <w:strike/>
          <w:color w:val="FF0000"/>
          <w:sz w:val="20"/>
        </w:rPr>
        <w:t xml:space="preserve">take commercially reasonable efforts to deliver amendments to such Surety Intercreditors </w:t>
      </w:r>
      <w:r>
        <w:rPr>
          <w:rFonts w:ascii="Times New Roman;Times;Serif" w:hAnsi="Times New Roman;Times;Serif"/>
          <w:b w:val="false"/>
          <w:i w:val="false"/>
          <w:caps w:val="false"/>
          <w:smallCaps w:val="false"/>
          <w:strike/>
          <w:color w:val="008000"/>
          <w:sz w:val="20"/>
        </w:rPr>
        <w:t xml:space="preserve">in form and substance reasonably satisfactory to the Administrative Agent </w:t>
      </w:r>
      <w:r>
        <w:rPr>
          <w:rFonts w:ascii="Times New Roman;Times;Serif" w:hAnsi="Times New Roman;Times;Serif"/>
          <w:b w:val="false"/>
          <w:i w:val="false"/>
          <w:caps w:val="false"/>
          <w:smallCaps w:val="false"/>
          <w:strike/>
          <w:color w:val="FF0000"/>
          <w:sz w:val="20"/>
        </w:rPr>
        <w:t xml:space="preserve">to properly reflect Wells Fargo’s role as Administrative Agent hereunder and the description of obligations secured by the Liens granted to the Administrative Agent. </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(b) </w:t>
      </w:r>
      <w:r>
        <w:rPr>
          <w:rFonts w:ascii="Times New Roman;Times;Serif" w:hAnsi="Times New Roman;Times;Serif"/>
          <w:b w:val="false"/>
          <w:i w:val="false"/>
          <w:caps w:val="false"/>
          <w:smallCaps w:val="false"/>
          <w:strike/>
          <w:color w:val="008000"/>
          <w:sz w:val="20"/>
        </w:rPr>
        <w:t xml:space="preserve">With respect to </w:t>
      </w:r>
      <w:r>
        <w:rPr>
          <w:rFonts w:ascii="Times New Roman;Times;Serif" w:hAnsi="Times New Roman;Times;Serif"/>
          <w:b w:val="false"/>
          <w:i w:val="false"/>
          <w:caps w:val="false"/>
          <w:smallCaps w:val="false"/>
          <w:strike/>
          <w:color w:val="FF0000"/>
          <w:sz w:val="20"/>
        </w:rPr>
        <w:t xml:space="preserve">stock powers executed and delivered to Wells Fargo in its capacity as secured party </w:t>
      </w:r>
      <w:r>
        <w:rPr>
          <w:rFonts w:ascii="Times New Roman;Times;Serif" w:hAnsi="Times New Roman;Times;Serif"/>
          <w:b w:val="false"/>
          <w:i w:val="false"/>
          <w:caps w:val="false"/>
          <w:smallCaps w:val="false"/>
          <w:strike/>
          <w:color w:val="008000"/>
          <w:sz w:val="20"/>
        </w:rPr>
        <w:t xml:space="preserve">prior to the </w:t>
      </w:r>
      <w:r>
        <w:rPr>
          <w:rFonts w:ascii="Times New Roman;Times;Serif" w:hAnsi="Times New Roman;Times;Serif"/>
          <w:b w:val="false"/>
          <w:i w:val="false"/>
          <w:caps w:val="false"/>
          <w:smallCaps w:val="false"/>
          <w:strike/>
          <w:color w:val="FF0000"/>
          <w:sz w:val="20"/>
        </w:rPr>
        <w:t xml:space="preserve">Closing Date, the </w:t>
      </w:r>
      <w:r>
        <w:rPr>
          <w:rFonts w:ascii="Times New Roman;Times;Serif" w:hAnsi="Times New Roman;Times;Serif"/>
          <w:b w:val="false"/>
          <w:i w:val="false"/>
          <w:caps w:val="false"/>
          <w:smallCaps w:val="false"/>
          <w:strike/>
          <w:color w:val="008000"/>
          <w:sz w:val="20"/>
        </w:rPr>
        <w:t xml:space="preserve">Borrowers shall, within </w:t>
      </w:r>
      <w:r>
        <w:rPr>
          <w:rFonts w:ascii="Times New Roman;Times;Serif" w:hAnsi="Times New Roman;Times;Serif"/>
          <w:b w:val="false"/>
          <w:i w:val="false"/>
          <w:caps w:val="false"/>
          <w:smallCaps w:val="false"/>
          <w:strike/>
          <w:color w:val="FF0000"/>
          <w:sz w:val="20"/>
        </w:rPr>
        <w:t>sixty (60</w:t>
      </w:r>
      <w:r>
        <w:rPr>
          <w:rFonts w:ascii="Times New Roman;Times;Serif" w:hAnsi="Times New Roman;Times;Serif"/>
          <w:b w:val="false"/>
          <w:i w:val="false"/>
          <w:caps w:val="false"/>
          <w:smallCaps w:val="false"/>
          <w:strike/>
          <w:color w:val="008000"/>
          <w:sz w:val="20"/>
        </w:rPr>
        <w:t xml:space="preserve">) days after the </w:t>
      </w:r>
      <w:r>
        <w:rPr>
          <w:rFonts w:ascii="Times New Roman;Times;Serif" w:hAnsi="Times New Roman;Times;Serif"/>
          <w:b w:val="false"/>
          <w:i w:val="false"/>
          <w:caps w:val="false"/>
          <w:smallCaps w:val="false"/>
          <w:strike/>
          <w:color w:val="FF0000"/>
          <w:sz w:val="20"/>
        </w:rPr>
        <w:t xml:space="preserve">Closing </w:t>
      </w:r>
      <w:r>
        <w:rPr>
          <w:rFonts w:ascii="Times New Roman;Times;Serif" w:hAnsi="Times New Roman;Times;Serif"/>
          <w:b w:val="false"/>
          <w:i w:val="false"/>
          <w:caps w:val="false"/>
          <w:smallCaps w:val="false"/>
          <w:strike/>
          <w:color w:val="008000"/>
          <w:sz w:val="20"/>
        </w:rPr>
        <w:t xml:space="preserve">Date (or such longer period as may be acceptable to the Administrative Agent in its sole discretion), deliver </w:t>
      </w:r>
      <w:r>
        <w:rPr>
          <w:rFonts w:ascii="Times New Roman;Times;Serif" w:hAnsi="Times New Roman;Times;Serif"/>
          <w:b w:val="false"/>
          <w:i w:val="false"/>
          <w:caps w:val="false"/>
          <w:smallCaps w:val="false"/>
          <w:strike/>
          <w:color w:val="FF0000"/>
          <w:sz w:val="20"/>
        </w:rPr>
        <w:t xml:space="preserve">stock powers executed in blank in such form and substance reasonably satisfactory </w:t>
      </w:r>
      <w:r>
        <w:rPr>
          <w:rFonts w:ascii="Times New Roman;Times;Serif" w:hAnsi="Times New Roman;Times;Serif"/>
          <w:b w:val="false"/>
          <w:i w:val="false"/>
          <w:caps w:val="false"/>
          <w:smallCaps w:val="false"/>
          <w:strike/>
          <w:color w:val="008000"/>
          <w:sz w:val="20"/>
        </w:rPr>
        <w:t>to the Administrative Agent</w:t>
      </w:r>
      <w:r>
        <w:rPr>
          <w:rFonts w:ascii="Times New Roman;Times;Serif" w:hAnsi="Times New Roman;Times;Serif"/>
          <w:b w:val="false"/>
          <w:i w:val="false"/>
          <w:caps w:val="false"/>
          <w:smallCaps w:val="false"/>
          <w:strike/>
          <w:color w:val="FF0000"/>
          <w:sz w:val="20"/>
        </w:rPr>
        <w:t xml:space="preserve">. </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(a) </w:t>
      </w:r>
      <w:r>
        <w:rPr>
          <w:rFonts w:ascii="Times New Roman;Times;Serif" w:hAnsi="Times New Roman;Times;Serif"/>
          <w:b w:val="false"/>
          <w:i w:val="false"/>
          <w:caps w:val="false"/>
          <w:smallCaps w:val="false"/>
          <w:strike/>
          <w:color w:val="FF0000"/>
          <w:sz w:val="20"/>
        </w:rPr>
        <w:t xml:space="preserve">(c) </w:t>
      </w:r>
      <w:r>
        <w:rPr>
          <w:rFonts w:ascii="Times New Roman;Times;Serif" w:hAnsi="Times New Roman;Times;Serif"/>
          <w:b w:val="false"/>
          <w:i w:val="false"/>
          <w:caps w:val="false"/>
          <w:smallCaps w:val="false"/>
          <w:sz w:val="20"/>
        </w:rPr>
        <w:t xml:space="preserve">The Borrowers shall, within </w:t>
      </w:r>
      <w:r>
        <w:rPr>
          <w:rFonts w:ascii="Times New Roman;Times;Serif" w:hAnsi="Times New Roman;Times;Serif"/>
          <w:b w:val="false"/>
          <w:i w:val="false"/>
          <w:caps w:val="false"/>
          <w:smallCaps w:val="false"/>
          <w:strike/>
          <w:color w:val="FF0000"/>
          <w:sz w:val="20"/>
        </w:rPr>
        <w:t>sixty</w:t>
      </w:r>
      <w:r>
        <w:rPr>
          <w:rFonts w:ascii="Times New Roman;Times;Serif" w:hAnsi="Times New Roman;Times;Serif"/>
          <w:b w:val="false"/>
          <w:i w:val="false"/>
          <w:caps w:val="false"/>
          <w:smallCaps w:val="false"/>
          <w:color w:val="0000FF"/>
          <w:sz w:val="20"/>
          <w:u w:val="single"/>
        </w:rPr>
        <w:t>thirty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60</w:t>
      </w:r>
      <w:r>
        <w:rPr>
          <w:rFonts w:ascii="Times New Roman;Times;Serif" w:hAnsi="Times New Roman;Times;Serif"/>
          <w:b w:val="false"/>
          <w:i w:val="false"/>
          <w:caps w:val="false"/>
          <w:smallCaps w:val="false"/>
          <w:color w:val="0000FF"/>
          <w:sz w:val="20"/>
          <w:u w:val="single"/>
        </w:rPr>
        <w:t>30</w:t>
      </w:r>
      <w:r>
        <w:rPr>
          <w:rFonts w:ascii="Times New Roman;Times;Serif" w:hAnsi="Times New Roman;Times;Serif"/>
          <w:b w:val="false"/>
          <w:i w:val="false"/>
          <w:caps w:val="false"/>
          <w:smallCaps w:val="false"/>
          <w:sz w:val="20"/>
        </w:rPr>
        <w:t xml:space="preserve">) days after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2 Effective</w:t>
      </w:r>
      <w:r>
        <w:rPr>
          <w:rFonts w:ascii="Times New Roman;Times;Serif" w:hAnsi="Times New Roman;Times;Serif"/>
          <w:b w:val="false"/>
          <w:i w:val="false"/>
          <w:caps w:val="false"/>
          <w:smallCaps w:val="false"/>
          <w:sz w:val="20"/>
        </w:rPr>
        <w:t xml:space="preserve"> Date (or such longer period as may be acceptable to the Administrative Agent in its sole discretion), deliver to the Administrative Agent, in each case in form and substance reasonably satisfactory to the Administrative Agent, appropriate </w:t>
      </w:r>
      <w:r>
        <w:rPr>
          <w:rFonts w:ascii="Times New Roman;Times;Serif" w:hAnsi="Times New Roman;Times;Serif"/>
          <w:b w:val="false"/>
          <w:i w:val="false"/>
          <w:caps w:val="false"/>
          <w:smallCaps w:val="false"/>
          <w:color w:val="0000FF"/>
          <w:sz w:val="20"/>
          <w:u w:val="single"/>
        </w:rPr>
        <w:t xml:space="preserve">insurance certificates and </w:t>
      </w:r>
      <w:r>
        <w:rPr>
          <w:rFonts w:ascii="Times New Roman;Times;Serif" w:hAnsi="Times New Roman;Times;Serif"/>
          <w:b w:val="false"/>
          <w:i w:val="false"/>
          <w:caps w:val="false"/>
          <w:smallCaps w:val="false"/>
          <w:sz w:val="20"/>
        </w:rPr>
        <w:t xml:space="preserve">endorsements </w:t>
      </w:r>
      <w:r>
        <w:rPr>
          <w:rFonts w:ascii="Times New Roman;Times;Serif" w:hAnsi="Times New Roman;Times;Serif"/>
          <w:b w:val="false"/>
          <w:i w:val="false"/>
          <w:caps w:val="false"/>
          <w:smallCaps w:val="false"/>
          <w:color w:val="0000FF"/>
          <w:sz w:val="20"/>
          <w:u w:val="single"/>
        </w:rPr>
        <w:t xml:space="preserve">for each Person that became a Credit Party on the Amendment No. 2 Effective Date </w:t>
      </w:r>
      <w:r>
        <w:rPr>
          <w:rFonts w:ascii="Times New Roman;Times;Serif" w:hAnsi="Times New Roman;Times;Serif"/>
          <w:b w:val="false"/>
          <w:i w:val="false"/>
          <w:caps w:val="false"/>
          <w:smallCaps w:val="false"/>
          <w:sz w:val="20"/>
        </w:rPr>
        <w:t xml:space="preserve">with respect to insurance otherwise required under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naming the Administrative Agent as lender’s loss payee on all policies for property hazard insurance and as additional insured on all policies for liability insurance, and if requested by the Administrative Agent, copies of such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(b) </w:t>
      </w:r>
      <w:r>
        <w:rPr>
          <w:rFonts w:ascii="Times New Roman;Times;Serif" w:hAnsi="Times New Roman;Times;Serif"/>
          <w:b w:val="false"/>
          <w:i w:val="false"/>
          <w:caps w:val="false"/>
          <w:smallCaps w:val="false"/>
          <w:color w:val="008000"/>
          <w:sz w:val="20"/>
          <w:u w:val="single"/>
        </w:rPr>
        <w:t xml:space="preserve">With respect to </w:t>
      </w:r>
      <w:r>
        <w:rPr>
          <w:rFonts w:ascii="Times New Roman;Times;Serif" w:hAnsi="Times New Roman;Times;Serif"/>
          <w:b w:val="false"/>
          <w:i w:val="false"/>
          <w:caps w:val="false"/>
          <w:smallCaps w:val="false"/>
          <w:color w:val="0000FF"/>
          <w:sz w:val="20"/>
          <w:u w:val="single"/>
        </w:rPr>
        <w:t xml:space="preserve">each Surety Bond of the Acquired Company </w:t>
      </w:r>
      <w:r>
        <w:rPr>
          <w:rFonts w:ascii="Times New Roman;Times;Serif" w:hAnsi="Times New Roman;Times;Serif"/>
          <w:b w:val="false"/>
          <w:i w:val="false"/>
          <w:caps w:val="false"/>
          <w:smallCaps w:val="false"/>
          <w:color w:val="008000"/>
          <w:sz w:val="20"/>
          <w:u w:val="single"/>
        </w:rPr>
        <w:t xml:space="preserve">in effect on the </w:t>
      </w:r>
      <w:r>
        <w:rPr>
          <w:rFonts w:ascii="Times New Roman;Times;Serif" w:hAnsi="Times New Roman;Times;Serif"/>
          <w:b w:val="false"/>
          <w:i w:val="false"/>
          <w:caps w:val="false"/>
          <w:smallCaps w:val="false"/>
          <w:color w:val="0000FF"/>
          <w:sz w:val="20"/>
          <w:u w:val="single"/>
        </w:rPr>
        <w:t xml:space="preserve">Amendment No. 2 Effective </w:t>
      </w:r>
      <w:r>
        <w:rPr>
          <w:rFonts w:ascii="Times New Roman;Times;Serif" w:hAnsi="Times New Roman;Times;Serif"/>
          <w:b w:val="false"/>
          <w:i w:val="false"/>
          <w:caps w:val="false"/>
          <w:smallCaps w:val="false"/>
          <w:color w:val="008000"/>
          <w:sz w:val="20"/>
          <w:u w:val="single"/>
        </w:rPr>
        <w:t xml:space="preserve">Date, the Borrowers shall, within sixty (60) days after the </w:t>
      </w:r>
      <w:r>
        <w:rPr>
          <w:rFonts w:ascii="Times New Roman;Times;Serif" w:hAnsi="Times New Roman;Times;Serif"/>
          <w:b w:val="false"/>
          <w:i w:val="false"/>
          <w:caps w:val="false"/>
          <w:smallCaps w:val="false"/>
          <w:color w:val="0000FF"/>
          <w:sz w:val="20"/>
          <w:u w:val="single"/>
        </w:rPr>
        <w:t xml:space="preserve">Amendment No. 2 Effective </w:t>
      </w:r>
      <w:r>
        <w:rPr>
          <w:rFonts w:ascii="Times New Roman;Times;Serif" w:hAnsi="Times New Roman;Times;Serif"/>
          <w:b w:val="false"/>
          <w:i w:val="false"/>
          <w:caps w:val="false"/>
          <w:smallCaps w:val="false"/>
          <w:color w:val="008000"/>
          <w:sz w:val="20"/>
          <w:u w:val="single"/>
        </w:rPr>
        <w:t xml:space="preserve">Date (or such longer period as may be acceptable to the Administrative Agent in its sole discretion), </w:t>
      </w:r>
      <w:r>
        <w:rPr>
          <w:rFonts w:ascii="Times New Roman;Times;Serif" w:hAnsi="Times New Roman;Times;Serif"/>
          <w:b w:val="false"/>
          <w:i w:val="false"/>
          <w:caps w:val="false"/>
          <w:smallCaps w:val="false"/>
          <w:color w:val="0000FF"/>
          <w:sz w:val="20"/>
          <w:u w:val="single"/>
        </w:rPr>
        <w:t xml:space="preserve">deliver a Surety Intercreditor </w:t>
      </w:r>
      <w:r>
        <w:rPr>
          <w:rFonts w:ascii="Times New Roman;Times;Serif" w:hAnsi="Times New Roman;Times;Serif"/>
          <w:b w:val="false"/>
          <w:i w:val="false"/>
          <w:caps w:val="false"/>
          <w:smallCaps w:val="false"/>
          <w:color w:val="008000"/>
          <w:sz w:val="20"/>
          <w:u w:val="single"/>
        </w:rPr>
        <w:t>in form and substance reasonably satisfactory to the Administrative Agent</w:t>
      </w:r>
      <w:r>
        <w:rPr>
          <w:rFonts w:ascii="Times New Roman;Times;Serif" w:hAnsi="Times New Roman;Times;Serif"/>
          <w:b w:val="false"/>
          <w:i w:val="false"/>
          <w:caps w:val="false"/>
          <w:smallCaps w:val="false"/>
          <w:color w:val="0000FF"/>
          <w:sz w:val="20"/>
          <w:u w:val="single"/>
        </w:rPr>
        <w:t xml:space="preserve">. </w:t>
      </w:r>
    </w:p>
    <w:p>
      <w:pPr>
        <w:pStyle w:val="TextBody"/>
        <w:bidi w:val="0"/>
        <w:spacing w:before="0" w:after="0"/>
        <w:ind w:left="0" w:right="0" w:firstLine="720"/>
        <w:jc w:val="both"/>
        <w:rPr>
          <w:caps w:val="false"/>
          <w:smallCaps w:val="false"/>
          <w:color w:val="0000FF"/>
        </w:rPr>
      </w:pPr>
      <w:r>
        <w:rPr>
          <w:caps w:val="false"/>
          <w:smallCaps w:val="false"/>
          <w:color w:val="0000FF"/>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(c) </w:t>
      </w:r>
      <w:r>
        <w:rPr>
          <w:rFonts w:ascii="Times New Roman;Times;Serif" w:hAnsi="Times New Roman;Times;Serif"/>
          <w:b w:val="false"/>
          <w:i w:val="false"/>
          <w:caps w:val="false"/>
          <w:smallCaps w:val="false"/>
          <w:strike/>
          <w:color w:val="FF0000"/>
          <w:sz w:val="20"/>
        </w:rPr>
        <w:t xml:space="preserve">(d) </w:t>
      </w:r>
      <w:r>
        <w:rPr>
          <w:rFonts w:ascii="Times New Roman;Times;Serif" w:hAnsi="Times New Roman;Times;Serif"/>
          <w:b w:val="false"/>
          <w:i w:val="false"/>
          <w:caps w:val="false"/>
          <w:smallCaps w:val="false"/>
          <w:sz w:val="20"/>
        </w:rPr>
        <w:t xml:space="preserve">The Borrowers shall, within </w:t>
      </w:r>
      <w:r>
        <w:rPr>
          <w:rFonts w:ascii="Times New Roman;Times;Serif" w:hAnsi="Times New Roman;Times;Serif"/>
          <w:b w:val="false"/>
          <w:i w:val="false"/>
          <w:caps w:val="false"/>
          <w:smallCaps w:val="false"/>
          <w:strike/>
          <w:color w:val="FF0000"/>
          <w:sz w:val="20"/>
        </w:rPr>
        <w:t>sixty</w:t>
      </w:r>
      <w:r>
        <w:rPr>
          <w:rFonts w:ascii="Times New Roman;Times;Serif" w:hAnsi="Times New Roman;Times;Serif"/>
          <w:b w:val="false"/>
          <w:i w:val="false"/>
          <w:caps w:val="false"/>
          <w:smallCaps w:val="false"/>
          <w:color w:val="0000FF"/>
          <w:sz w:val="20"/>
          <w:u w:val="single"/>
        </w:rPr>
        <w:t>thirty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60</w:t>
      </w:r>
      <w:r>
        <w:rPr>
          <w:rFonts w:ascii="Times New Roman;Times;Serif" w:hAnsi="Times New Roman;Times;Serif"/>
          <w:b w:val="false"/>
          <w:i w:val="false"/>
          <w:caps w:val="false"/>
          <w:smallCaps w:val="false"/>
          <w:color w:val="0000FF"/>
          <w:sz w:val="20"/>
          <w:u w:val="single"/>
        </w:rPr>
        <w:t>30</w:t>
      </w:r>
      <w:r>
        <w:rPr>
          <w:rFonts w:ascii="Times New Roman;Times;Serif" w:hAnsi="Times New Roman;Times;Serif"/>
          <w:b w:val="false"/>
          <w:i w:val="false"/>
          <w:caps w:val="false"/>
          <w:smallCaps w:val="false"/>
          <w:sz w:val="20"/>
        </w:rPr>
        <w:t xml:space="preserve">) days after the </w:t>
      </w:r>
      <w:r>
        <w:rPr>
          <w:rFonts w:ascii="Times New Roman;Times;Serif" w:hAnsi="Times New Roman;Times;Serif"/>
          <w:b w:val="false"/>
          <w:i w:val="false"/>
          <w:caps w:val="false"/>
          <w:smallCaps w:val="false"/>
          <w:strike/>
          <w:color w:val="FF0000"/>
          <w:sz w:val="20"/>
        </w:rPr>
        <w:t>Closing</w:t>
      </w:r>
      <w:r>
        <w:rPr>
          <w:rFonts w:ascii="Times New Roman;Times;Serif" w:hAnsi="Times New Roman;Times;Serif"/>
          <w:b w:val="false"/>
          <w:i w:val="false"/>
          <w:caps w:val="false"/>
          <w:smallCaps w:val="false"/>
          <w:color w:val="0000FF"/>
          <w:sz w:val="20"/>
          <w:u w:val="single"/>
        </w:rPr>
        <w:t>Amendment No. 2 Effective</w:t>
      </w:r>
      <w:r>
        <w:rPr>
          <w:rFonts w:ascii="Times New Roman;Times;Serif" w:hAnsi="Times New Roman;Times;Serif"/>
          <w:b w:val="false"/>
          <w:i w:val="false"/>
          <w:caps w:val="false"/>
          <w:smallCaps w:val="false"/>
          <w:sz w:val="20"/>
        </w:rPr>
        <w:t xml:space="preserve"> Date (or such longer period as may be acceptable to the Administrative Agent in its sole discretion), deliver to the Administrative Agent original stock certificates or other certificates evidencing the certificated Equity Interests </w:t>
      </w:r>
      <w:r>
        <w:rPr>
          <w:rFonts w:ascii="Times New Roman;Times;Serif" w:hAnsi="Times New Roman;Times;Serif"/>
          <w:b w:val="false"/>
          <w:i w:val="false"/>
          <w:caps w:val="false"/>
          <w:smallCaps w:val="false"/>
          <w:strike/>
          <w:color w:val="FF0000"/>
          <w:sz w:val="20"/>
        </w:rPr>
        <w:t>of Greiner Industries, Inc., IES Subsidiary Holdings, Inc., Magnetech Industrial Services, Inc., Technibus, Inc., and Thomas Popp &amp; Company</w:t>
      </w:r>
      <w:r>
        <w:rPr>
          <w:rFonts w:ascii="Times New Roman;Times;Serif" w:hAnsi="Times New Roman;Times;Serif"/>
          <w:b w:val="false"/>
          <w:i w:val="false"/>
          <w:caps w:val="false"/>
          <w:smallCaps w:val="false"/>
          <w:color w:val="0000FF"/>
          <w:sz w:val="20"/>
          <w:u w:val="single"/>
        </w:rPr>
        <w:t>or issuer control agreements, as applicable, for each Person that became a Credit Party on the Amendment No. 2 Effective Date that has certificated Equity Interests</w:t>
      </w:r>
      <w:r>
        <w:rPr>
          <w:rFonts w:ascii="Times New Roman;Times;Serif" w:hAnsi="Times New Roman;Times;Serif"/>
          <w:b w:val="false"/>
          <w:i w:val="false"/>
          <w:caps w:val="false"/>
          <w:smallCaps w:val="false"/>
          <w:sz w:val="20"/>
        </w:rPr>
        <w:t>, together with undated stock powers for each such certificate duly executed in blank by the registered owner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 xml:space="preserve">(d) The </w:t>
      </w:r>
      <w:r>
        <w:rPr>
          <w:rFonts w:ascii="Times New Roman;Times;Serif" w:hAnsi="Times New Roman;Times;Serif"/>
          <w:b w:val="false"/>
          <w:i w:val="false"/>
          <w:caps w:val="false"/>
          <w:smallCaps w:val="false"/>
          <w:color w:val="008000"/>
          <w:sz w:val="20"/>
          <w:u w:val="single"/>
        </w:rPr>
        <w:t xml:space="preserve">Borrowers shall, within </w:t>
      </w:r>
      <w:r>
        <w:rPr>
          <w:rFonts w:ascii="Times New Roman;Times;Serif" w:hAnsi="Times New Roman;Times;Serif"/>
          <w:b w:val="false"/>
          <w:i w:val="false"/>
          <w:caps w:val="false"/>
          <w:smallCaps w:val="false"/>
          <w:color w:val="0000FF"/>
          <w:sz w:val="20"/>
          <w:u w:val="single"/>
        </w:rPr>
        <w:t>forty-five (45</w:t>
      </w:r>
      <w:r>
        <w:rPr>
          <w:rFonts w:ascii="Times New Roman;Times;Serif" w:hAnsi="Times New Roman;Times;Serif"/>
          <w:b w:val="false"/>
          <w:i w:val="false"/>
          <w:caps w:val="false"/>
          <w:smallCaps w:val="false"/>
          <w:color w:val="008000"/>
          <w:sz w:val="20"/>
          <w:u w:val="single"/>
        </w:rPr>
        <w:t xml:space="preserve">) days after the </w:t>
      </w:r>
      <w:r>
        <w:rPr>
          <w:rFonts w:ascii="Times New Roman;Times;Serif" w:hAnsi="Times New Roman;Times;Serif"/>
          <w:b w:val="false"/>
          <w:i w:val="false"/>
          <w:caps w:val="false"/>
          <w:smallCaps w:val="false"/>
          <w:color w:val="0000FF"/>
          <w:sz w:val="20"/>
          <w:u w:val="single"/>
        </w:rPr>
        <w:t xml:space="preserve">Amendment No. 2 Effective </w:t>
      </w:r>
      <w:r>
        <w:rPr>
          <w:rFonts w:ascii="Times New Roman;Times;Serif" w:hAnsi="Times New Roman;Times;Serif"/>
          <w:b w:val="false"/>
          <w:i w:val="false"/>
          <w:caps w:val="false"/>
          <w:smallCaps w:val="false"/>
          <w:color w:val="008000"/>
          <w:sz w:val="20"/>
          <w:u w:val="single"/>
        </w:rPr>
        <w:t xml:space="preserve">Date (or such longer period as may be acceptable to the Administrative Agent in its sole discretion), deliver to the Administrative Agent </w:t>
      </w:r>
      <w:r>
        <w:rPr>
          <w:rFonts w:ascii="Times New Roman;Times;Serif" w:hAnsi="Times New Roman;Times;Serif"/>
          <w:b w:val="false"/>
          <w:i w:val="false"/>
          <w:caps w:val="false"/>
          <w:smallCaps w:val="false"/>
          <w:color w:val="0000FF"/>
          <w:sz w:val="20"/>
          <w:u w:val="single"/>
        </w:rPr>
        <w:t>an Account Control Agreement for the deposit accounts of DBM Global Inc. ending in x5959 and x0319 with UMB Bank, N.A., as required by Section 6.13 of the Collateral Agreement.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Negative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of the Obligations (other than contingent, indemnification obligations not then due) have been paid and satisfied in full in cash, all Letters of Credit have been terminated or expired and the Commitments terminated, the Credit Parties will not, and will not permit any of their respective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Create, incur, assume or suffer to exist any Indebtedness other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in respect of the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as of the Closing Date set forth on </w:t>
      </w:r>
      <w:r>
        <w:rPr>
          <w:rFonts w:ascii="Times New Roman;Times;Serif" w:hAnsi="Times New Roman;Times;Serif"/>
          <w:b w:val="false"/>
          <w:i w:val="false"/>
          <w:caps w:val="false"/>
          <w:smallCaps w:val="false"/>
          <w:sz w:val="20"/>
          <w:u w:val="single"/>
        </w:rPr>
        <w:t>Schedule 8.1</w:t>
      </w:r>
      <w:r>
        <w:rPr>
          <w:rFonts w:ascii="Times New Roman;Times;Serif" w:hAnsi="Times New Roman;Times;Serif"/>
          <w:b w:val="false"/>
          <w:i w:val="false"/>
          <w:caps w:val="false"/>
          <w:smallCaps w:val="false"/>
          <w:sz w:val="20"/>
        </w:rPr>
        <w:t xml:space="preserve"> to this Agreement and any Refinancing Indebtedness in respect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Permitted Purchase Money Indebtedness and Refinancing Indebtedness in respect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Indebtedness arising in connection with the endorsement of instruments or other payment items for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 Guarantees with respect to Indebtedness of any Credit Party or one of its Subsidiaries and, solely with respect to this clause (iii), to the extent that the Person that is obligated under such guaranty could have incurred such underlying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in the form of reimbursement obligations for Surety Bonds procured in ordinary course of business consistent with past practices, provided such Surety Bonds are issued pursuant to a bonding program reasonably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under Hedge Agreements that is incurred for the bona fide purpose of hedging the interest rate, commodity, or foreign currency risks associated with such Credit Party’s or such Subsidiary’s operations and not for speculative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arising in the ordinary course of business under Cash Management Agreements,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unsecured Indebtedness of any Credit Party owing to employees, former employees, former officers, directors, or former directors (or any spouses, ex-spouses, or estates of any of the foregoing) incurred in connection with the repurchase or redemption by such Credit Party of the Equity Interests of Holdings that has been issued to such Persons, so long as (i) no Default or Event of Default has occurred and is continuing or would result from the incurrence of such Indebtedness, (ii) the aggregate amount of all such Indebtedness outstanding at any one time does not exceed $1,000,000, and (iii) such Indebtedness is subordinated in right of payment to the Secured Obligations on terms and conditions reasonably acceptable to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contingent liabilities in respect of any indemnification obligation, adjustment of purchase price, non-compete, or similar obligation of any Credit Party incurred in connection with the consummation of one or more Permitted Acquisitions including Permitted Holdback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comprising Permitted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unsecured Indebtedness of any Credit Party or its Subsidiaries in respect of Earn-outs owing to sellers of assets or Equity Interests to such Credit Party or its Subsidiaries that is incurred in connection with the consummation of one or more Permitted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accrual of interest, accretion or amortization of original issue discount, or the payment of interest in kind, in each case, on Indebtedness that otherwise constitutes Permitted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Indebtedness consisting of Permitted Insurance Premium Financing Indebtedness and Indebtedness owed to any Person providing property, casualty, liability, or other insurance to any Credit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Attributable Indebtedness with respect to Synthetic Leases in an aggregate outstanding amount at any time not to exceed $50,000,000,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any other unsecured or secured Indebtedness incurred or assumed by any Credit Party or any of its Subsidiaries in an aggregate outstanding amount at any time not to exceed the greater of (i) $30,000,000 and (ii) 2.5% of Consolidated Total Assets calculated as of such date of incurrence or assumption; provided, that any Liens on such Indebtedness shall be subject to the limitations in </w:t>
      </w:r>
      <w:r>
        <w:rPr>
          <w:rFonts w:ascii="Times New Roman;Times;Serif" w:hAnsi="Times New Roman;Times;Serif"/>
          <w:b w:val="false"/>
          <w:i w:val="false"/>
          <w:caps w:val="false"/>
          <w:smallCaps w:val="false"/>
          <w:sz w:val="20"/>
          <w:u w:val="single"/>
        </w:rPr>
        <w:t>Section 8.2(q),</w:t>
      </w:r>
      <w:r>
        <w:rPr>
          <w:rFonts w:ascii="Times New Roman;Times;Serif" w:hAnsi="Times New Roman;Times;Serif"/>
          <w:b w:val="false"/>
          <w:i w:val="false"/>
          <w:caps w:val="false"/>
          <w:smallCaps w:val="false"/>
          <w:sz w:val="20"/>
        </w:rPr>
        <w:t xml:space="preserv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any other unsecured or secured Indebtedness incurred or assumed by any Credit Party or any of its Subsidiaries so long as Consolidated Total Leverage Ratio calculated on a Pro Forma Basis (based on the Reference Period ending immediately prior to such incurrence or assumption) is less than 2.50 to 1.00; provided, that any Liens on such Indebtedness shall be subject to the limitations in </w:t>
      </w:r>
      <w:r>
        <w:rPr>
          <w:rFonts w:ascii="Times New Roman;Times;Serif" w:hAnsi="Times New Roman;Times;Serif"/>
          <w:b w:val="false"/>
          <w:i w:val="false"/>
          <w:caps w:val="false"/>
          <w:smallCaps w:val="false"/>
          <w:sz w:val="20"/>
          <w:u w:val="single"/>
        </w:rPr>
        <w:t>Section 8.2(q).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Create, incur, assume or suffer to exist, any Lien on or with respect to any of its Property, whether now owned or hereafter acquired, other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granted to, or for the benefit of, Administrative Agent to secure the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for unpaid taxes, assessments, or other governmental charges or levies that either (i) are not yet delinquent, or (ii) are the subject of Permitted Protests,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judgment Liens arising solely as a result of the existence of judgments, orders, or awards that do not constitute an Event of Default under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set forth on </w:t>
      </w:r>
      <w:r>
        <w:rPr>
          <w:rFonts w:ascii="Times New Roman;Times;Serif" w:hAnsi="Times New Roman;Times;Serif"/>
          <w:b w:val="false"/>
          <w:i w:val="false"/>
          <w:caps w:val="false"/>
          <w:smallCaps w:val="false"/>
          <w:sz w:val="20"/>
          <w:u w:val="single"/>
        </w:rPr>
        <w:t>Schedule8.2</w:t>
      </w:r>
      <w:r>
        <w:rPr>
          <w:rFonts w:ascii="Times New Roman;Times;Serif" w:hAnsi="Times New Roman;Times;Serif"/>
          <w:b w:val="false"/>
          <w:i w:val="false"/>
          <w:caps w:val="false"/>
          <w:smallCaps w:val="false"/>
          <w:sz w:val="20"/>
        </w:rPr>
        <w:t xml:space="preserve">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qualify as a Permitted Lien, any such Lien described on </w:t>
      </w:r>
      <w:r>
        <w:rPr>
          <w:rFonts w:ascii="Times New Roman;Times;Serif" w:hAnsi="Times New Roman;Times;Serif"/>
          <w:b w:val="false"/>
          <w:i w:val="false"/>
          <w:caps w:val="false"/>
          <w:smallCaps w:val="false"/>
          <w:sz w:val="20"/>
          <w:u w:val="single"/>
        </w:rPr>
        <w:t>Schedule 8.2</w:t>
      </w:r>
      <w:r>
        <w:rPr>
          <w:rFonts w:ascii="Times New Roman;Times;Serif" w:hAnsi="Times New Roman;Times;Serif"/>
          <w:b w:val="false"/>
          <w:i w:val="false"/>
          <w:caps w:val="false"/>
          <w:smallCaps w:val="false"/>
          <w:sz w:val="20"/>
        </w:rPr>
        <w:t xml:space="preserve"> to this Agreement shall only secure the Indebtedness that it secures on the Closing Date and any Refinancing Indebtedness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interests of lessors under operating leases and non-exclusive licensors under license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purchase money Liens on fixed assets or the interests of lessors holding Capital Lease Obligations to the extent that such Liens or interests secure Permitted Purchase Money Indebtedness and so long as (i) such Lien attaches only to the fixed asset purchased or acquired and the proceeds thereof, and (ii) such Lien only secures the Indebtedness that was incurred to acquire the fixed asset purchased or acquired or any Refinancing Indebtedness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arising by operation of law in favor of warehousemen, landlords, carriers, mechanics, materialmen, laborers, or suppliers, incurred in the ordinary course of business and not in connection with the borrowing of money, and which Liens either (i) are for sums not yet delinquent, or (ii) are the subject of Permitted Protests,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on amounts deposited to secure any Borrower’s and its Subsidiaries’ obligations in connection with worker’s compensation or other unemployment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amounts deposited to secure any Borrower’s and its Subsidiaries’ obligations in connection with the making or entering into of bids, tenders, or leases in the ordinary course of business and not in connection with the borrowing of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granted to an Insurance Premium Lender as security for Permitted Insurance Premium Financing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any real property, easements, rights of way, restrictions, covenants or other agreements of record, zoning restrictions, and other similar charges or encumbrances that do not materially interfere with or impair the use or operation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non-exclusive licenses of patents, trademarks, copyrights, and other intellectual property rights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rights of setoff or bankers’ liens upon deposits of funds in favor of banks or other depository institutions, solely to the extent incurred in connection with the maintenance of such deposit accounts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in favor of customs and revenue authorities arising as a matter of law to secure payment of customs duties in connection with the importation of goods,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incurred or deposits made in the ordinary course of business to secure the performance of tenders, bids, leases, contracts (other than for the repayment of borrowed Indebtedness), statutory obligations and other similar obligations or arising as a result of progress payments under government contracts, provided that, to the extent any such Liens attach to any of the Collateral, such Liens are at all times subordinate and junior to the Liens upon the Collateral in favor of the Administrative Agent,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solely on any cash earnest money deposits made by a Credit Party or any of its Subsidiaries in connection with any letter of intent or purchase agreement with respect to a Permitted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Liens securing Indebtedness permitted under </w:t>
      </w:r>
      <w:r>
        <w:rPr>
          <w:rFonts w:ascii="Times New Roman;Times;Serif" w:hAnsi="Times New Roman;Times;Serif"/>
          <w:b w:val="false"/>
          <w:i w:val="false"/>
          <w:caps w:val="false"/>
          <w:smallCaps w:val="false"/>
          <w:sz w:val="20"/>
          <w:u w:val="single"/>
        </w:rPr>
        <w:t>Section 8.1(p)</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so long as, all Indebtedness secured by such Liens permitted under this clause (q) does not exceed $2,500,000 in aggregate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Liens in favor of Sureties in the Surety Collateral securing reimbursement obligations for Surety Bonds procured by a Credit Party in the ordinary course of business consistent with past practices pursuant to a bonding program reasonably acceptable to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r>
        <w:rPr>
          <w:rFonts w:ascii="Times New Roman;Times;Serif" w:hAnsi="Times New Roman;Times;Serif"/>
          <w:b w:val="false"/>
          <w:i w:val="false"/>
          <w:caps w:val="false"/>
          <w:smallCaps w:val="false"/>
          <w:color w:val="0000FF"/>
          <w:sz w:val="20"/>
          <w:u w:val="single"/>
        </w:rPr>
        <w:t>, subject to Section 7.20,</w:t>
      </w:r>
      <w:r>
        <w:rPr>
          <w:rFonts w:ascii="Times New Roman;Times;Serif" w:hAnsi="Times New Roman;Times;Serif"/>
          <w:b w:val="false"/>
          <w:i w:val="false"/>
          <w:caps w:val="false"/>
          <w:smallCaps w:val="false"/>
          <w:sz w:val="20"/>
        </w:rPr>
        <w:t xml:space="preserve"> such Surety has entered into a Surety Intercreditor or, pursuant to documentation reasonably satisfactory to Administrative Agent: (i) agreed not to require segregation of funds as to its Bonded Collateral without the prior written consent of Administrative Agent except that if such Surety has entered into an intercreditor agreement with Administrative Agent in form and substance satisfactory to Agent and notice to Administrative Agent has been provided, then such Surety shall be permitted to such segregation upon a default under the Bonded Contract and notice to Administrative Agent, and (ii) (A) acknowledged and agreed that pursuant to the Credit Parties' cash management system, proceeds of the Surety Collateral, including Accounts arising from the Bonded Contracts (collectively, “</w:t>
      </w:r>
      <w:r>
        <w:rPr>
          <w:rFonts w:ascii="Times New Roman;Times;Serif" w:hAnsi="Times New Roman;Times;Serif"/>
          <w:b w:val="false"/>
          <w:i w:val="false"/>
          <w:caps w:val="false"/>
          <w:smallCaps w:val="false"/>
          <w:sz w:val="20"/>
          <w:u w:val="single"/>
        </w:rPr>
        <w:t>Bonded Contract Proceeds</w:t>
      </w:r>
      <w:r>
        <w:rPr>
          <w:rFonts w:ascii="Times New Roman;Times;Serif" w:hAnsi="Times New Roman;Times;Serif"/>
          <w:b w:val="false"/>
          <w:i w:val="false"/>
          <w:caps w:val="false"/>
          <w:smallCaps w:val="false"/>
          <w:sz w:val="20"/>
        </w:rPr>
        <w:t>”) may be commingled with proceeds of other Accounts and other Property of Credit Parties in such deposit accounts in which Administrative Agent has, or in the future may have, security interests, Liens or other rights, (B) consented to such commingling and to security interests, Liens or other rights in such other deposit accounts, and (C) released and waived any and all security interests and other legal and equitable rights and interests that it may then or thereafter have (as secured party, subrogee, trust fund beneficiary, or otherwise) in or to (y) such other deposit accounts and (z) Bonded Account Proceeds that from time to time are in such deposit accounts which are in the possession of Administrative Agent, that have been applied to the Secured Obligations owing to any Secured Party by any Credit Party, or have otherwise been removed from, set off against or applied from such deposit accounts,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only until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Amendment No. 1 Effective Date (as such time period may be extended by the Administrative Agent in its sole discretion), Liens in favor of (i) Markel, solely to the extent securing reimbursement obligations under the Surety Bonds described in the GIFI Markel Indemnity and encumbering only the assets of the GIFI Entities that are subject to such liens pursuant to the GIFI Markel Indemnity as of the Amendment No. 1 Effective Date and (ii) Travelers, solely to the extent securing reimbursement obligations under the Surety Bonds described in the GIFI Travelers Indemnity and encumbering only the assets of the GIFI Entities that are subject to such liens pursuant to the GIFI Travelers Indemnity as of the Amendment No. 1 Effective Date</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Make, hold or otherwise permit to exist any Investment, other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in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negotiable instruments deposited or to be deposited for collection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advances made in connection with sales of goods or services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received in settlement of amounts due to any Credit Party or any of its Subsidiaries effected in the ordinary course of business or owing to any Credit Party or any of its Subsidiaries as a result of bankruptcy proceedings involving an account debtor or upon the foreclosure or enforcement of any Lien in favor of a Credit Party or its Subsidiaries,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Investments owned by any Credit Party or any of its Subsidiaries on the Amendment No. 1 Effective Date and set forth on </w:t>
      </w:r>
      <w:r>
        <w:rPr>
          <w:rFonts w:ascii="Times New Roman;Times;Serif" w:hAnsi="Times New Roman;Times;Serif"/>
          <w:b w:val="false"/>
          <w:i w:val="false"/>
          <w:caps w:val="false"/>
          <w:smallCaps w:val="false"/>
          <w:sz w:val="20"/>
          <w:u w:val="single"/>
        </w:rPr>
        <w:t>Schedule 8.3</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Guarantees permitted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Permitted Intercompany Advances,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Equity Interests or other securities acquired in connection with the satisfaction or enforcement of Indebtedness or claims due or owing to a Credit Party or its Subsidiaries (in bankruptcy of customers or suppliers or otherwise outside the ordinary course of business) or as security for any such Indebtedness or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deposits of cash made in the ordinary course of business to secure performance of operating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 non-cash loans and advances to employees, officers, and directors of a Credit Party or any of its Subsidiaries for the purpose of purchasing Equity Interests in Holdings so long as the proceeds of such loans are used in their entirety to purchase such Equity Interests in Holdings, and (ii) loans and advances to employees and officers of a Credit Party or any of its Subsidiaries in the ordinary course of business for any other business purpose and in an aggregate outstanding amount not to exceed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Investments in the form of capital contributions or the acquisition of Equity Interests made by any Credit Party with respect to any other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Investments resulting from entering into (i) Cash Management Agreements, or (ii) agreements relative to obligations permitted under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equity Investments by any Credit Party in any Subsidiary of such Credit Party which is required by law to maintain a minimum net capital requirement or as may be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Investments held by a Person acquired in a Permitted Acquisition to the extent that such Investments were not made in contemplation of or in connection with such Permitted Acquisition and were in existence on the date of such Permitted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Investments permitted by </w:t>
      </w:r>
      <w:r>
        <w:rPr>
          <w:rFonts w:ascii="Times New Roman;Times;Serif" w:hAnsi="Times New Roman;Times;Serif"/>
          <w:b w:val="false"/>
          <w:i w:val="false"/>
          <w:caps w:val="false"/>
          <w:smallCaps w:val="false"/>
          <w:sz w:val="20"/>
          <w:u w:val="single"/>
        </w:rPr>
        <w:t>Section 8.7(c)(vii)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of this Agreement by any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 Acquisitions that qualify as Permitted Acquisitions other than under clause (i) of the definition of “Permitted Acquisition”, (ii) Real Property Acquisitions and (iii) other Investments that are not Acquisitions and that are not otherwise permitted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the aggregate amount of Permitted Acquisition Consideration, purchase price for Real Property Acquisitions, and Investments permitted under this clause (p) shall not exceed the greater of (A) $30,000,000 and (B) 2.5% of Consolidated Total Assets calculated as of the consummation of such Acquisition or the making of such Investment; and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Notwithstanding any limitations set forth in Section 8.3(p) above, (i) Acquisitions that qualify as Permitted Acquisitions other than under clause (i) of the definition of “Permitted Acquisition”, (ii) Real Property Acquisitions, and (iii) other Investments that are not Acquisitions, in any event under the preceding clause (i), (ii) or (iii), so long as Consolidated Total Leverage Ratio calculated on a Pro Forma Basis (based on the Reference Period ending immediately prior to the consummation of such Acquisition or the making of such Investment) is less than 2.75 to 1.00 and, as to any Permitted Acquisition, Holdings has delivered to the Administrative Agent a Compliance Certificate demonstrating, in form and substance reasonably satisfactory to the Administrative Agent, compliance with such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the amount of any Investment outstanding for purposes of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such amount shall be deemed to be the amount of such Investment when made, purchased or acquired (without adjustment for subsequent increases or decreases in the value of such Investment)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any amount realized in respect of such Investment upon the sale, collection or return of capital (not to exceed the original amount invested).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Fundamental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 consolidate, amalgamate or enter into any similar combination with (including by division), or enter into any Asset Disposition of all or substantially all of its assets (whether in a single transaction or a series of transactions) with, any other Person or liquidate, wind-up or dissolve itself (or suffer any liquidation or dissolution)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merger between Credit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Borrower must be the surviving entity of any such merger to which it is a party, (ii) any merger between a Credit Party and a Subsidiary of such Credit Party that is not a Credit Party so long as such Credit Party is the surviving entity of any such merger, (iii) any merger between Subsidiaries of any Credit Party that are not Credit Parties, (iv) any Permitted Acquisition structured as a merger, consolidation, reorganization, or recapitalization, (v) the liquidation or dissolution of non-operating Subsidiaries of any Credit Party with nominal assets and nominal liabilities, (vi) the liquidation or dissolution of a Credit Party (other than any Borrower) or any of its Wholly-Owned Subsidiaries, so long as all of the assets (including any interest in any Equity Interests) of such liquidating or dissolving Credit Party or Subsidiary are transferred to a Credit Party that is not liquidating or dissolving, or (vii) the liquidation or dissolution of a Subsidiary of any Credit Party that is not a Credit Party (other than any such Subsidiary the Equity Interests of which (or any portion thereof) are subject to a Lien in favor of Administrative Agent) so long as all of the assets of such liquidating or dissolving Subsidiary are transferred to a Subsidiary of a Credit Party that is not liquidating or dissolving;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suspend or cease operating a substantial portion of its or their business, except as permitted pursuant to clause (a) above or in connection with a transaction permitted under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change its classification/status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Asset Dispositions</w:t>
      </w:r>
      <w:r>
        <w:rPr>
          <w:rFonts w:ascii="Times New Roman;Times;Serif" w:hAnsi="Times New Roman;Times;Serif"/>
          <w:b w:val="false"/>
          <w:i w:val="false"/>
          <w:caps w:val="false"/>
          <w:smallCaps w:val="false"/>
          <w:sz w:val="20"/>
        </w:rPr>
        <w:t>. Make any Asset Disposition other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abandonment, or other dispositions of equipment that is substantially worn, damaged, or obsolete or no longer used or useful in the ordinary course of business and leases or subleases of real property not useful in the conduct of the business of the Credit Parties and their Subsidiaries, sales of inventory to buyers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sales of inventory to buyers in the ordinary course of business, the licensing, on a non-exclusive basis, of patents, trademarks, copyrights, and other intellectual property rights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use or transfer of money or Cash Equivalents in a manner that is not prohibited by the terms of this Agreement or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licensing, on a non-exclusive basis, of patents, trademarks, copyrights, and other intellectual property rights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granting of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sale or discount, in each case without recourse, of accounts receivable arising in the ordinary course of business, but only in connection with the compromise or collection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involuntary loss, damage or destruction of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involuntary condemnation, seizure or taking, by exercise of the power of eminent domain or otherwise, or confiscation or requisition of use of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leasing or subleasing of assets of any Credit Party or its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sale or issuance of Equity Interests (other than Disqualified Equity Interests) of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the lapse of registered patents, trademarks, copyrights and other intellectual property of any Credit Party or any of its Subsidiaries to the extent not economically desirable in the conduct of its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making of Restricted Payments that are expressly permitted to be made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making of Permitted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so long as no Default or Event of Default has occurred and is continuing or would immediately result therefrom, transfers of assets (i) from any Credit Party to any other Credit Party, and (ii) from any Subsidiary of any Credit Party that is not a Credit Party to any other Subsidiary of any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sales or dispositions of assets not otherwise permitted in clauses (a) through (n) above so long as made at fair market value and the aggregate fair market value of all assets disposed of under this clause (o) shall not exceed, in the aggregate, $30,000,000;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any sale or disposition of Permitted Investments made under </w:t>
      </w:r>
      <w:r>
        <w:rPr>
          <w:rFonts w:ascii="Times New Roman;Times;Serif" w:hAnsi="Times New Roman;Times;Serif"/>
          <w:b w:val="false"/>
          <w:i w:val="false"/>
          <w:caps w:val="false"/>
          <w:smallCaps w:val="false"/>
          <w:sz w:val="20"/>
          <w:u w:val="single"/>
        </w:rPr>
        <w:t>Section 8.3(p)</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so long as (i) such sale or disposition is made at fair market value and (ii) if the Consolidated Total Leverage Ratio (calculated on a Pro Forma Basis and based on the Reference Period ending immediately prior to the consummation of sale or disposition) is equal to or greater than 2.75 to 1.00, then at the time of such consummation, the Borrowers first prepay outstanding Loans and then prepay other outstanding Indebtedness of the Credit Parties in an aggregate amount equal to the lesser of (A) 100% of proceeds of such sale or disposition and (B) an amount necessary to cause such Consolidated Total Leverage Ratio to be less than 2.75 to 1.00;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sale-leaseback transactions as permitted by and subject to the terms of </w:t>
      </w:r>
      <w:r>
        <w:rPr>
          <w:rFonts w:ascii="Times New Roman;Times;Serif" w:hAnsi="Times New Roman;Times;Serif"/>
          <w:b w:val="false"/>
          <w:i w:val="false"/>
          <w:caps w:val="false"/>
          <w:smallCaps w:val="false"/>
          <w:sz w:val="20"/>
          <w:u w:val="single"/>
        </w:rPr>
        <w:t>Section 8.1</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xml:space="preserve">. Declare or make any Restricted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it is permitted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so long as a Borrower is a “pass-through” tax entity for United States federal income tax purposes and no Default or Event of Default under </w:t>
      </w:r>
      <w:r>
        <w:rPr>
          <w:rFonts w:ascii="Times New Roman;Times;Serif" w:hAnsi="Times New Roman;Times;Serif"/>
          <w:b w:val="false"/>
          <w:i w:val="false"/>
          <w:caps w:val="false"/>
          <w:smallCaps w:val="false"/>
          <w:sz w:val="20"/>
          <w:u w:val="single"/>
        </w:rPr>
        <w:t>Section 9.1(a), (i) or (j)</w:t>
      </w:r>
      <w:r>
        <w:rPr>
          <w:rFonts w:ascii="Times New Roman;Times;Serif" w:hAnsi="Times New Roman;Times;Serif"/>
          <w:b w:val="false"/>
          <w:i w:val="false"/>
          <w:caps w:val="false"/>
          <w:smallCaps w:val="false"/>
          <w:sz w:val="20"/>
        </w:rPr>
        <w:t xml:space="preserve"> has occurred and is continuing or would result therefrom, and after first providing such supporting documentation as Administrative Agent may request (including the state and federal tax returns (and all related schedules) of each owner of Equity Interests in such Borrower, such Borrower may declare and pay Pass-Through Tax Liabilities, net of any prior year loss carry-forwards,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no Default or Event of Default has occurred and is continuing or would result therefrom, Holdings or any of its Subsidiaries may pay dividends in shares of its own Qualified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Subsidiary of a Borrower may make Restricted Payments to such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no Default or Event of Default has occurred and is continuing or would result therefrom, Holdings may (i) repurchase its Equity Interests solely to satisfy federal income tax withholding obligations of employees with respect to stock-based compensation issued to them in accordance with applicable compensation plans so long as such repurchases are made in the ordinary course of business and in an aggregate amount not to exceed $10,000,000 in any Fiscal Year, and (ii) repurchase its Equity Interests from employees with respect to stock-based compensation issued to them in accordance with applicable compensation plans so long as such repurchases are made in the ordinary course of business and in an aggregate amount not to exceed $40,000,000 in any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so long as no Default or Event of Default has occurred and is continuing or would result therefrom, any Non-Wholly-Owned Subsidiary of a Credit Party acquired pursuant to a Permitted Acquisition may make distributions of excess cash to the direct or indirect holders of Equity Interests issued by such Subsidiary in an amount proportionate to such holders’ ownership interest in the Equity Interests issued by such Subsidiary, and (ii) any Non-Wholly-Owned Subsidiary of a Credit Party acquired pursuant to a Permitted Acquisition may make distributions to certain equity owners thereof with respect to an exercise of any such equity owner’s put rights or Non-Wholly-Owned Subsidiary’s call rights pursuant to such Subsidiaries operating agreement delivered to Administrative Agent as in effect on the closing date of the applicable Permitted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any Non-Guarantor Subsidiary that is a Domestic Subsidiary may make Restricted Payments to any other Non-Guarantor Subsidiary that is a Domestic Subsidiary (and, if applicable, to other holders of its outstanding Equity Interests on a ratable basis) and (ii) any Non-Guarantor Subsidiary that is a Foreign Subsidiary may make Restricted Payments to any other Non-Guarantor Subsidiary (and, if applicable, to other holders of its outstanding Equity Interests on a ratable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so long as no Default or Event of Default has occurred and is continuing or would result therefrom, any transaction permitted by </w:t>
      </w:r>
      <w:r>
        <w:rPr>
          <w:rFonts w:ascii="Times New Roman;Times;Serif" w:hAnsi="Times New Roman;Times;Serif"/>
          <w:b w:val="false"/>
          <w:i w:val="false"/>
          <w:caps w:val="false"/>
          <w:smallCaps w:val="false"/>
          <w:sz w:val="20"/>
          <w:u w:val="single"/>
        </w:rPr>
        <w:t>Section 8.7(viii)</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Restricted Payment not otherwise permitted under this </w:t>
      </w:r>
      <w:r>
        <w:rPr>
          <w:rFonts w:ascii="Times New Roman;Times;Serif" w:hAnsi="Times New Roman;Times;Serif"/>
          <w:b w:val="false"/>
          <w:i w:val="false"/>
          <w:caps w:val="false"/>
          <w:smallCaps w:val="false"/>
          <w:sz w:val="20"/>
          <w:u w:val="single"/>
        </w:rPr>
        <w:t>Section 8.6</w:t>
      </w:r>
      <w:r>
        <w:rPr>
          <w:rFonts w:ascii="Times New Roman;Times;Serif" w:hAnsi="Times New Roman;Times;Serif"/>
          <w:b w:val="false"/>
          <w:i w:val="false"/>
          <w:caps w:val="false"/>
          <w:smallCaps w:val="false"/>
          <w:sz w:val="20"/>
        </w:rPr>
        <w:t xml:space="preserve"> so long as (i) Consolidated Total Leverage Ratio calculated on a Pro Forma Basis (based on the Reference Period ending immediately prior to the making of such Restricted Payment) is less than 2.75 to 1.00 and Holdings has delivered to the Administrative Agent a Compliance Certificate demonstrating, in form and substance reasonably satisfactory to the Administrative Agent, compliance with such ratio, and (ii) no Default or Event of Default shall have occurred and be continuing or would result therefrom.</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8.7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Directly or indirectly enter into any transaction, including any purchase, sale, lease or exchange of Property, the rendering of any service or the payment of any management, advisory or similar fees, with (a) any officer, director, holder of any Equity Interests in, or other Affiliate of, Holdings, any Borrower or any of Holdings or such Borrower’s Subsidiaries, (b) any Affiliate of any such officer, director or holder or (c) the Permitted Holder or any officer, director, holder of any Equity Interests in, or other Affiliate of, the Permitted Holder, other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transactions existing on the Closing Date and described on </w:t>
      </w:r>
      <w:r>
        <w:rPr>
          <w:rFonts w:ascii="Times New Roman;Times;Serif" w:hAnsi="Times New Roman;Times;Serif"/>
          <w:b w:val="false"/>
          <w:i w:val="false"/>
          <w:caps w:val="false"/>
          <w:smallCaps w:val="false"/>
          <w:sz w:val="20"/>
          <w:u w:val="single"/>
        </w:rPr>
        <w:t>Schedule 8.7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transactions among Credit Parties not prohibited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other transactions in the ordinary course of business on terms at least as favorable to the Credit Parties and their respective Subsidiaries as would be obtained by it on a comparable arm’s-length transaction with an independent, unrelated third party as determined in good faith by the board of directors (or equivalent governing body) of Holdings;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employment, severance and other similar compensation arrangements (including equity incentive plans and employee benefit plans and arrangements) with their respective officers and employees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payment of customary fees and reasonable out of pocket costs to, and indemnities for the benefit of, directors, officers and employees of Holdings, the Borrowers and their Subsidiaries in the ordinary course of business to the extent attributable to the ownership or operation of the Borrowers and their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agreements for the non-exclusive licensing of intellectual property, or distribution of products, in each case, among the Credit Parties and their Subsidiaries for the purpose of the counterparty thereof operating its business, and agreements for the assignment of intellectual property from any Credit Party or any of its Subsidiaries to any Credit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 long as no Default or Event of Default has occurred and is continuing or would result therefrom, additional capital contributions by any Credit Party (other than those described in clause (viii) below) to NEXT, Edmonson, and any other Non-Wholly-Owned Subsidiary of any Credit Party acquired pursuant to a Permitted Acquisition in an aggregate not to exceed $750,000 to any single Subsidiary,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Credit Party may purchase, in cash, Equity Interests of NEXT, Edmonson, and any other Non-Wholly-Owned Subsidiary of any Credit Party acquired pursuant to a Permitted Acquisition, so long as, in each case, after giving effect to such purchase, (i) no Default or Event of Default has occurred or is continuing or would result therefrom, and (ii) such transaction is otherwise permitted under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8.8 </w:t>
      </w:r>
      <w:r>
        <w:rPr>
          <w:rFonts w:ascii="Times New Roman;Times;Serif" w:hAnsi="Times New Roman;Times;Serif"/>
          <w:b w:val="false"/>
          <w:i w:val="false"/>
          <w:caps w:val="false"/>
          <w:smallCaps w:val="false"/>
          <w:sz w:val="20"/>
          <w:u w:val="single"/>
        </w:rPr>
        <w:t>Accounting Changes; Organizational Documents</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 DBM Acquisition Agreement</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its Fiscal Year end or make (without the consent of the Administrative Agent) any material change in its accounting treatment and reporting practices except as required by GAAP.</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Amend, modify or change its Organizational Documents </w:t>
      </w:r>
      <w:r>
        <w:rPr>
          <w:rFonts w:ascii="Times New Roman;Times;Serif" w:hAnsi="Times New Roman;Times;Serif"/>
          <w:b w:val="false"/>
          <w:i w:val="false"/>
          <w:caps w:val="false"/>
          <w:smallCaps w:val="false"/>
          <w:color w:val="0000FF"/>
          <w:sz w:val="20"/>
          <w:u w:val="single"/>
        </w:rPr>
        <w:t xml:space="preserve">or the terms or provisions of the DBM Acquisition Agreement </w:t>
      </w:r>
      <w:r>
        <w:rPr>
          <w:rFonts w:ascii="Times New Roman;Times;Serif" w:hAnsi="Times New Roman;Times;Serif"/>
          <w:b w:val="false"/>
          <w:i w:val="false"/>
          <w:caps w:val="false"/>
          <w:smallCaps w:val="false"/>
          <w:sz w:val="20"/>
        </w:rPr>
        <w:t>in any manner materially adverse to the rights or interests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8.9 </w:t>
      </w:r>
      <w:r>
        <w:rPr>
          <w:rFonts w:ascii="Times New Roman;Times;Serif" w:hAnsi="Times New Roman;Times;Serif"/>
          <w:b w:val="false"/>
          <w:i w:val="false"/>
          <w:caps w:val="false"/>
          <w:smallCaps w:val="false"/>
          <w:sz w:val="20"/>
          <w:u w:val="single"/>
        </w:rPr>
        <w:t>Payments and Modifications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Optionally prepay, redeem, defease, purchase, or otherwise acquire any Indebtedness of any Credit Party or its Subsidiaries, other than (i) the Obligations in accordance with this Agreement, (ii) other Secured Obligations in accordance with the documents governing such obligations, (iii) Permitted Intercompany Advances, (iv) in connection with Refinancing Indebtedness permitted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(v) other Indebtedness in an aggregate amount not to exceed $1,000,000 in any one Fiscal Year, or (vi) other Indebtedness so long as (A) Consolidated Total Leverage Ratio calculated on a Pro Forma Basis (based on the Reference Period ending immediately prior to such prepayment, redemption, defeasance, purchase or acquisitions of such Indebtedness) is less than 2.75 to 1.00, and (B) no Default or Event of Default shall have occurred and be continuing or would result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Make any payment on account of Indebtedness that has been contractually subordinated in right of payment to any of the Secured Obligations if such payment is not permitted at such time under the subordination terms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Directly or indirectly, amend, modify, or change any of the terms or provisions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agreement, instrument, document, indenture, or other writing evidencing or concerning Permitted Indebtedness other than (A) the Obligations in accordance with this Agreement and the other Loan Documents, (B) other Secured Obligations in accordance with the documents governing such obligations, (C) Permitted Intercompany Advances, and (D) Indebtedness permitted under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Organizational Documents of any Credit Party or any of its Subsidiaries if the effect thereof, either individually or in the aggregate, could reasonably be expected to be materially adverse to the interests of the Secured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val="false"/>
          <w:i w:val="false"/>
          <w:caps w:val="false"/>
          <w:smallCaps w:val="false"/>
          <w:sz w:val="20"/>
          <w:u w:val="single"/>
        </w:rPr>
        <w:t>No Further Negative Pledges; Restrictive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Enter into, assume or be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(i) pursuant to this Agreement and the other Loan Documents, (ii) pursuant to any document or instrument governing Indebtedness incurred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restriction contained therein relates only to the asset or assets financed thereby), (iii) customary restrictions contained in the organizational documents of any Non-Guarantor Subsidiary as of the Closing Date and (iv) customary restrictions in connection with any Permitted Lien or any document or instrument governing any Permitted Lien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restriction contained therein relates only to the asset or assets subject to such Permitted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or (iii) make loans or advances to any Credit Party, except in each case for such encumbrances or restrictions existing under or by reason of (A) this Agreement and the other Loan Documents and (B) Applicable Law.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Create or otherwise cause or suffer to exist or become effective any consensual encumbrance or restriction on the ability of any Credit Party or any Subsidiary thereof to (i) sell, lease or transfer any of its properties or assets to any Credit Party or (ii) act as a Credit Party pursuant to the Loan Documents or any renewals, refinancings, exchanges, refundings or extension thereof, except in each case for such encumbrances or restrictions existing under or by reason of (A) this Agreement and the other Loan Documents, (B) Applicable Law, (C) any document or instrument governing Indebtedness incurred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restriction contained therein relates only to the asset or assets acquired in connection therewith), (D) any Permitted Lien or any document or instrument governing any Permitted Lien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restriction contained therein relates only to the asset or assets subject to such Permitted Lien), (E) obligations that are binding on a Subsidiary at the time such Subsidiary first becomes a Subsidiary of Holdings, so long as such obligations are not entered into in contemplation of such Person becoming a Subsidiary, (F) customary restrictions contained in an agreement related to the sale of Property (to the extent such sale is permitted pursuant to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that limit the transfer of such Property pending the consummation of such sale, (G) customary restrictions in leases, subleases, licenses and sublicenses or asset sale agreements otherwise permitted by this Agreement so long as such restrictions relate only to the assets subject thereto and (H) customary provisions restricting assignment of any agreement entered into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8.11 </w:t>
      </w:r>
      <w:r>
        <w:rPr>
          <w:rFonts w:ascii="Times New Roman;Times;Serif" w:hAnsi="Times New Roman;Times;Serif"/>
          <w:b w:val="false"/>
          <w:i w:val="false"/>
          <w:caps w:val="false"/>
          <w:smallCaps w:val="false"/>
          <w:sz w:val="20"/>
          <w:u w:val="single"/>
        </w:rPr>
        <w:t>Nature of Business</w:t>
      </w:r>
      <w:r>
        <w:rPr>
          <w:rFonts w:ascii="Times New Roman;Times;Serif" w:hAnsi="Times New Roman;Times;Serif"/>
          <w:b w:val="false"/>
          <w:i w:val="false"/>
          <w:caps w:val="false"/>
          <w:smallCaps w:val="false"/>
          <w:sz w:val="20"/>
        </w:rPr>
        <w:t>. Engage in any business other than the businesses conducted by the Borrowers and their Subsidiaries as of the Closing Date and businesses and business activities reasonably related or ancillary thereto or that are reasonable extensions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8.12 </w:t>
      </w:r>
      <w:r>
        <w:rPr>
          <w:rFonts w:ascii="Times New Roman;Times;Serif" w:hAnsi="Times New Roman;Times;Serif"/>
          <w:b w:val="false"/>
          <w:i w:val="false"/>
          <w:caps w:val="false"/>
          <w:smallCaps w:val="false"/>
          <w:sz w:val="20"/>
          <w:u w:val="single"/>
        </w:rPr>
        <w:t>Sale Leasebacks</w:t>
      </w:r>
      <w:r>
        <w:rPr>
          <w:rFonts w:ascii="Times New Roman;Times;Serif" w:hAnsi="Times New Roman;Times;Serif"/>
          <w:b w:val="false"/>
          <w:i w:val="false"/>
          <w:caps w:val="false"/>
          <w:smallCaps w:val="false"/>
          <w:sz w:val="20"/>
        </w:rPr>
        <w:t xml:space="preserve">. Other than as permitted under </w:t>
      </w:r>
      <w:r>
        <w:rPr>
          <w:rFonts w:ascii="Times New Roman;Times;Serif" w:hAnsi="Times New Roman;Times;Serif"/>
          <w:b w:val="false"/>
          <w:i w:val="false"/>
          <w:caps w:val="false"/>
          <w:smallCaps w:val="false"/>
          <w:sz w:val="20"/>
          <w:u w:val="single"/>
        </w:rPr>
        <w:t>Section 8.1(p) and (q)</w:t>
      </w:r>
      <w:r>
        <w:rPr>
          <w:rFonts w:ascii="Times New Roman;Times;Serif" w:hAnsi="Times New Roman;Times;Serif"/>
          <w:b w:val="false"/>
          <w:i w:val="false"/>
          <w:caps w:val="false"/>
          <w:smallCaps w:val="false"/>
          <w:sz w:val="20"/>
        </w:rPr>
        <w:t>, directly or indirectly become or remain liable as lessee or as guarantor or other surety with respect to any lease, whether an operating lease, a finance lease or a capital lease, of any Property (whether real, personal or mixed), whether now owned or hereafter acquired, (a) which any Credit Party or any Subsidiary thereof has sold or transferred or is to sell or transfer to a Person which is not another Credit Party or Subsidiary of a Credit Party or (b) which any Credit Party or any Subsidiary of a Credit Party intends to use for substantially the same purpose as any other Property that has been sold or is to be sold or transferred by such Credit Party or such Subsidiary to another Person which is not another Credit Party or Subsidiary of a Credit Party in connection with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8.13 </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xml:space="preserve">. Make any Capital Expenditure not accounted for in the annual budget provided to the Lenders under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if any Event of Default has occurred and is continuing or would result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8.14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Consolidated Total Leverage Ratio</w:t>
      </w:r>
      <w:r>
        <w:rPr>
          <w:rFonts w:ascii="Times New Roman;Times;Serif" w:hAnsi="Times New Roman;Times;Serif"/>
          <w:b w:val="false"/>
          <w:i w:val="false"/>
          <w:caps w:val="false"/>
          <w:smallCaps w:val="false"/>
          <w:sz w:val="20"/>
        </w:rPr>
        <w:t>. As of the last day of any fiscal quarter ending after the Closing Date, and for the four fiscal quarter period then ended, permit the Consolidated Total Leverage Ratio to be greater than 3.00 to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Consolidated Interest Coverage Ratio</w:t>
      </w:r>
      <w:r>
        <w:rPr>
          <w:rFonts w:ascii="Times New Roman;Times;Serif" w:hAnsi="Times New Roman;Times;Serif"/>
          <w:b w:val="false"/>
          <w:i w:val="false"/>
          <w:caps w:val="false"/>
          <w:smallCaps w:val="false"/>
          <w:sz w:val="20"/>
        </w:rPr>
        <w:t>. As of the last day of any fiscal quarter ending after the Closing Date, and for the four fiscal quarter period then ended, permit the Consolidated Interest Coverage Ratio to be less than 3.00 to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8.15 </w:t>
      </w:r>
      <w:r>
        <w:rPr>
          <w:rFonts w:ascii="Times New Roman;Times;Serif" w:hAnsi="Times New Roman;Times;Serif"/>
          <w:b w:val="false"/>
          <w:i w:val="false"/>
          <w:caps w:val="false"/>
          <w:smallCaps w:val="false"/>
          <w:sz w:val="20"/>
          <w:u w:val="single"/>
        </w:rPr>
        <w:t>Deposit Accounts; Commodity Accounts; Securities Accounts</w:t>
      </w:r>
      <w:r>
        <w:rPr>
          <w:rFonts w:ascii="Times New Roman;Times;Serif" w:hAnsi="Times New Roman;Times;Serif"/>
          <w:b w:val="false"/>
          <w:i w:val="false"/>
          <w:caps w:val="false"/>
          <w:smallCaps w:val="false"/>
          <w:sz w:val="20"/>
        </w:rPr>
        <w:t>. (a) Establish or maintain any deposit account, commodity account or securities account except (i) Excluded Accounts and (i) such accounts that are subject to Account Control Agreements, or (b) revoke or attempt to revoke any instructions or directions given by the Administrative Agent under any Account Control Agreement or otherwise altering or attempting to alter the rights of the Administrative Agent thereunder without the Administrative Agent’s prior written consent.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8.16 </w:t>
      </w:r>
      <w:r>
        <w:rPr>
          <w:rFonts w:ascii="Times New Roman;Times;Serif" w:hAnsi="Times New Roman;Times;Serif"/>
          <w:b w:val="false"/>
          <w:i w:val="false"/>
          <w:caps w:val="false"/>
          <w:smallCaps w:val="false"/>
          <w:sz w:val="20"/>
          <w:u w:val="single"/>
        </w:rPr>
        <w:t>Thomas Popp &amp; Company</w:t>
      </w:r>
      <w:r>
        <w:rPr>
          <w:rFonts w:ascii="Times New Roman;Times;Serif" w:hAnsi="Times New Roman;Times;Serif"/>
          <w:b w:val="false"/>
          <w:i w:val="false"/>
          <w:caps w:val="false"/>
          <w:smallCaps w:val="false"/>
          <w:sz w:val="20"/>
        </w:rPr>
        <w:t xml:space="preserve">. Permit Thomas Popp &amp; Company to (a) own any assets (other than assets of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nature), (b) have any liabilities (other than intercompany liabilities which eliminate in the consolidation of Holdings’ financial statements, liabilities of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nature or those subject to Permitted Protest), or (c) engage in any business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8.17 </w:t>
      </w:r>
      <w:r>
        <w:rPr>
          <w:rFonts w:ascii="Times New Roman;Times;Serif" w:hAnsi="Times New Roman;Times;Serif"/>
          <w:b w:val="false"/>
          <w:i w:val="false"/>
          <w:caps w:val="false"/>
          <w:smallCaps w:val="false"/>
          <w:sz w:val="20"/>
          <w:u w:val="single"/>
        </w:rPr>
        <w:t>IES Investments</w:t>
      </w:r>
      <w:r>
        <w:rPr>
          <w:rFonts w:ascii="Times New Roman;Times;Serif" w:hAnsi="Times New Roman;Times;Serif"/>
          <w:b w:val="false"/>
          <w:i w:val="false"/>
          <w:caps w:val="false"/>
          <w:smallCaps w:val="false"/>
          <w:sz w:val="20"/>
        </w:rPr>
        <w:t xml:space="preserve">. Permit IES Investments to (a) create, incur, assume or suffer to exist any Indebtedness which would otherwise be permitted under clause (e), (f), (g), (o), (p) or (q)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(b) create, incur, assume or suffer to exist, any Permitted Lien on or with respect to any Exempt Non-Standard Minority Investment that IES Investment holds other than Permitted Liens described in clause (a) or (b)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8.18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Credit Party were a United States Person or (iii) any other activity that would cause the Administrative Agent or any other Lender to be in violation of the Outbound Investment Rules or cause the Administrative Agent or any other Lender to be legally prohibited by the Outbound Investment Rules from performing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Default and 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shall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Default in Payment of Principal of Loans and Reimbursement Obligations</w:t>
      </w:r>
      <w:r>
        <w:rPr>
          <w:rFonts w:ascii="Times New Roman;Times;Serif" w:hAnsi="Times New Roman;Times;Serif"/>
          <w:b w:val="false"/>
          <w:i w:val="false"/>
          <w:caps w:val="false"/>
          <w:smallCaps w:val="false"/>
          <w:sz w:val="20"/>
        </w:rPr>
        <w:t xml:space="preserve">. The Borrowers or any other Credit Party shall default in any payment of principal of any Loan or Reimbursement Obligation when and as due (whether at maturity, by reason of acceleration or otherwise) or fail to provide Cash Collateral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4.15(a)(v)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Payment Default</w:t>
      </w:r>
      <w:r>
        <w:rPr>
          <w:rFonts w:ascii="Times New Roman;Times;Serif" w:hAnsi="Times New Roman;Times;Serif"/>
          <w:b w:val="false"/>
          <w:i w:val="false"/>
          <w:caps w:val="false"/>
          <w:smallCaps w:val="false"/>
          <w:sz w:val="20"/>
        </w:rPr>
        <w:t>. The Borrowers or any other Credit Party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Misrepresentation</w:t>
      </w:r>
      <w:r>
        <w:rPr>
          <w:rFonts w:ascii="Times New Roman;Times;Serif" w:hAnsi="Times New Roman;Times;Serif"/>
          <w:b w:val="false"/>
          <w:i w:val="false"/>
          <w:caps w:val="false"/>
          <w:smallCaps w:val="false"/>
          <w:sz w:val="20"/>
        </w:rPr>
        <w:t>. Any representation, warranty, certification or statement of fact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in any other Loan Document, or in any document delivered in connection herewith or therewith that is not subject to materiality or Material Adverse Effect qualifications, shall be incorrect or misleading in any material respect when made or deemed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Default in Performance of Certain Covenants</w:t>
      </w:r>
      <w:r>
        <w:rPr>
          <w:rFonts w:ascii="Times New Roman;Times;Serif" w:hAnsi="Times New Roman;Times;Serif"/>
          <w:b w:val="false"/>
          <w:i w:val="false"/>
          <w:caps w:val="false"/>
          <w:smallCaps w:val="false"/>
          <w:sz w:val="20"/>
        </w:rPr>
        <w:t xml:space="preserve">. Any Credit Party or any Subsidiary thereof shall default in the performance or observance of any covenant or agreement contained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(a) or (b), </w:t>
      </w:r>
      <w:r>
        <w:rPr>
          <w:rFonts w:ascii="Times New Roman;Times;Serif" w:hAnsi="Times New Roman;Times;Serif"/>
          <w:b w:val="false"/>
          <w:i w:val="false"/>
          <w:caps w:val="false"/>
          <w:smallCaps w:val="false"/>
          <w:sz w:val="20"/>
          <w:u w:val="single"/>
        </w:rPr>
        <w:t>7.3</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7.4 (</w:t>
      </w:r>
      <w:r>
        <w:rPr>
          <w:rFonts w:ascii="Times New Roman;Times;Serif" w:hAnsi="Times New Roman;Times;Serif"/>
          <w:b w:val="false"/>
          <w:i w:val="false"/>
          <w:caps w:val="false"/>
          <w:smallCaps w:val="false"/>
          <w:sz w:val="20"/>
        </w:rPr>
        <w:t xml:space="preserve">solely if any Credit Party is not in good standing in its jurisdiction of organization), </w:t>
      </w:r>
      <w:r>
        <w:rPr>
          <w:rFonts w:ascii="Times New Roman;Times;Serif" w:hAnsi="Times New Roman;Times;Serif"/>
          <w:b w:val="false"/>
          <w:i w:val="false"/>
          <w:caps w:val="false"/>
          <w:smallCaps w:val="false"/>
          <w:sz w:val="20"/>
          <w:u w:val="single"/>
        </w:rPr>
        <w:t>7.13</w:t>
      </w:r>
      <w:r>
        <w:rPr>
          <w:rFonts w:ascii="Times New Roman;Times;Serif" w:hAnsi="Times New Roman;Times;Serif"/>
          <w:b w:val="false"/>
          <w:i w:val="false"/>
          <w:caps w:val="false"/>
          <w:smallCaps w:val="false"/>
          <w:sz w:val="20"/>
        </w:rPr>
        <w:t xml:space="preserve"> (solely if any Credit Party refuses to allow Administrative Agent or its representatives or agents to visit any Credit Party’s properties, inspect its assets or books or records, examine and make copies of its books and records, or discuss such Credit Party’s affairs, finances and accounts with officers and employees of any Credit Party), </w:t>
      </w:r>
      <w:r>
        <w:rPr>
          <w:rFonts w:ascii="Times New Roman;Times;Serif" w:hAnsi="Times New Roman;Times;Serif"/>
          <w:b w:val="false"/>
          <w:i w:val="false"/>
          <w:caps w:val="false"/>
          <w:smallCaps w:val="false"/>
          <w:sz w:val="20"/>
          <w:u w:val="single"/>
        </w:rPr>
        <w:t>7.14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7.17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Default in Performance of Other Covenants and Conditions</w:t>
      </w:r>
      <w:r>
        <w:rPr>
          <w:rFonts w:ascii="Times New Roman;Times;Serif" w:hAnsi="Times New Roman;Times;Serif"/>
          <w:b w:val="false"/>
          <w:i w:val="false"/>
          <w:caps w:val="false"/>
          <w:smallCaps w:val="false"/>
          <w:sz w:val="20"/>
        </w:rPr>
        <w:t xml:space="preserve">. Any Credit Party or any Subsidiary thereof shall default in the performance or observance of any term, covenant, condition or agreement contained in this Agreement (other than as specifically provided for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or any other Loan Document and such default shall continue for a period of thirty (30) days after the earlier of (i) the Administrative Agent’s delivery of written notice thereof to the Administrative Borrower and (ii) a Responsible Officer of any Credit Party having obtained knowledge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Indebtedness Cross-Default</w:t>
      </w:r>
      <w:r>
        <w:rPr>
          <w:rFonts w:ascii="Times New Roman;Times;Serif" w:hAnsi="Times New Roman;Times;Serif"/>
          <w:b w:val="false"/>
          <w:i w:val="false"/>
          <w:caps w:val="false"/>
          <w:smallCaps w:val="false"/>
          <w:sz w:val="20"/>
        </w:rPr>
        <w:t>. Any Credit Party or any Subsidiary thereof shall (i) default in the payment of any Indebtedness (other than the Loans or any Reimbursement Obligation but including, without limitation, reimbursement obligations under Surety Bonds) the aggregate principal amount (including undrawn committed or available amounts),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but including, without limitation, reimbursement obligations under Surety Bonds) the aggregate principal amount (including undrawn committed or available amounts),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(A) become due, or to be repurchased, prepaid, defeased or redeemed (automatically or otherwise), or an offer to repurchase, prepay, defease or redeem such Indebtedness to be made, prior to its stated maturity (any applicable grace period having expired) or (B) be cash collateralized.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Any Change in Control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Voluntary Bankruptcy Proceeding</w:t>
      </w:r>
      <w:r>
        <w:rPr>
          <w:rFonts w:ascii="Times New Roman;Times;Serif" w:hAnsi="Times New Roman;Times;Serif"/>
          <w:b w:val="false"/>
          <w:i w:val="false"/>
          <w:caps w:val="false"/>
          <w:smallCaps w:val="false"/>
          <w:sz w:val="20"/>
        </w:rPr>
        <w:t>. Any Credit Party or any Subsidiary thereof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Involuntary Bankruptcy Proceeding</w:t>
      </w:r>
      <w:r>
        <w:rPr>
          <w:rFonts w:ascii="Times New Roman;Times;Serif" w:hAnsi="Times New Roman;Times;Serif"/>
          <w:b w:val="false"/>
          <w:i w:val="false"/>
          <w:caps w:val="false"/>
          <w:smallCaps w:val="false"/>
          <w:sz w:val="20"/>
        </w:rPr>
        <w:t>. A case or other proceeding shall be commenced against any Credit Party or any Subsidiary thereof in any court of competent jurisdiction seeking (i) relief under any Debtor Relief Laws, or (ii) the appointment of a trustee, receiver, custodian, liquidator or the like for any Credit Party or any Subsidiary thereof or for all or any substantial part of its assets, domestic or foreign, and such case or proceeding shall continue without dismissal or stay for a period of sixty (60) consecutive days, or an order granting the relief requested in such case or proceeding under such Debtor Relief Laws shall be entered.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Failure of Agreements</w:t>
      </w:r>
      <w:r>
        <w:rPr>
          <w:rFonts w:ascii="Times New Roman;Times;Serif" w:hAnsi="Times New Roman;Times;Serif"/>
          <w:b w:val="false"/>
          <w:i w:val="false"/>
          <w:caps w:val="false"/>
          <w:smallCaps w:val="false"/>
          <w:sz w:val="20"/>
        </w:rPr>
        <w:t>. Any provision of this Agreement or any provision of any other Loan Document shall for any reason cease to be valid and binding on any Credit Party or any Subsidiary thereof party thereto or any such Person shall so state in writing, or any Loan Document shall for any reason cease to create a valid and perfected first priority Lien (subject to Permitted Liens) on, or security interest in, any of the Collateral purported to be covered thereby, in each case other than in accordance with the express terms hereof or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ERISA Events</w:t>
      </w:r>
      <w:r>
        <w:rPr>
          <w:rFonts w:ascii="Times New Roman;Times;Serif" w:hAnsi="Times New Roman;Times;Serif"/>
          <w:b w:val="false"/>
          <w:i w:val="false"/>
          <w:caps w:val="false"/>
          <w:smallCaps w:val="false"/>
          <w:sz w:val="20"/>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and such unpaid amounts are in excess of the Threshold Amount, (ii) a Termination Event or (iii) any Credit Party or any ERISA Affiliate makes a complete or partial withdrawal from any Multiemployer Plan and the Multiemployer Plan notifies such Credit Party or ERISA Affiliate that such entity has incurred a withdrawal liability requiring payments in an amount exceeding $50,000,000.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Judgment</w:t>
      </w:r>
      <w:r>
        <w:rPr>
          <w:rFonts w:ascii="Times New Roman;Times;Serif" w:hAnsi="Times New Roman;Times;Serif"/>
          <w:b w:val="false"/>
          <w:i w:val="false"/>
          <w:caps w:val="false"/>
          <w:smallCaps w:val="false"/>
          <w:sz w:val="20"/>
        </w:rPr>
        <w:t>. One or more judgments, orders or decrees shall be entered against any Credit Party or any Subsidiary thereof by any court and continues without having been discharged, vacated or stayed for a period of thirty (30) consecutive days after the entry thereof and such judgments, orders or decrees (i) in the case of the payment of money, are individually or in the aggregate (to the extent not paid or covered by insurance as to which the relevant insurance company has acknowledged the claim and has not disputed coverage), in excess of the Threshold Amount or (ii) in the case of injunctive or other non-monetary relief, could reasonably be expected, individually or in the aggregate,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Subordination Terms</w:t>
      </w:r>
      <w:r>
        <w:rPr>
          <w:rFonts w:ascii="Times New Roman;Times;Serif" w:hAnsi="Times New Roman;Times;Serif"/>
          <w:b w:val="false"/>
          <w:i w:val="false"/>
          <w:caps w:val="false"/>
          <w:smallCaps w:val="false"/>
          <w:sz w:val="20"/>
        </w:rPr>
        <w:t>. (i) Any of the Secured Obligations for any reason shall cease to be “senior debt,” “senior indebtedness,” “designated senior debt” or “senior secured financing” (or any comparable term) under, and as defined in, the documentation governing any Subordinated Indebtedness that is subordinated (in terms of payment or lien priority) to the Secured Obligations, (ii) the subordination provisions set forth in the documentation for any Subordinated Indebtedness that is subordinated (in terms of payment or lien priority) to the Secured Obligations shall, in whole or in part, cease to be effective or cease to be legally valid, binding and enforceable against the holders of any Subordinated Indebtedness, if applicable, or (iii) any Credit Party or any Subsidiary of any Credit Party, shall assert any of the foregoing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Surety Bonds</w:t>
      </w:r>
      <w:r>
        <w:rPr>
          <w:rFonts w:ascii="Times New Roman;Times;Serif" w:hAnsi="Times New Roman;Times;Serif"/>
          <w:b w:val="false"/>
          <w:i w:val="false"/>
          <w:caps w:val="false"/>
          <w:smallCaps w:val="false"/>
          <w:sz w:val="20"/>
        </w:rPr>
        <w:t>. If there shall occur any default or event of default under any of the agreements or documentation among any Surety and any Credit Parties relating to such Surety's bonding program with such Credit Parties, and, as a result thereof, such Surety has ceased issuing Surety Bonds on behalf of any Credit Party (other than a temporary cessation not arising from a violation or termination of the applicable Surety Bond documentation; provided that other Sureties are then issuing requested Surety Bonds on behalf of such Credit Party) and such Surety has not been replaced within sixty (60) days, or has made demand on any Credit Party for performance thereunder or has otherwise commenced exercising any remedies thereunder (including, without limitation, attempting to segregate funds as to its Surety Collateral).</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Upon the occurrence and during the continuance of an Event of Default, with the consent of the Required Lenders, the Administrative Agent may, or upon the request of the Required Lenders, the Administrative Agent shall, by notice to the Administrative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Acceleration; Termination of Credit Facility</w:t>
      </w:r>
      <w:r>
        <w:rPr>
          <w:rFonts w:ascii="Times New Roman;Times;Serif" w:hAnsi="Times New Roman;Times;Serif"/>
          <w:b w:val="false"/>
          <w:i w:val="false"/>
          <w:caps w:val="false"/>
          <w:smallCaps w:val="false"/>
          <w:sz w:val="20"/>
        </w:rPr>
        <w:t xml:space="preserve">. Terminate the Commitments and declare the principal of and interest on the Loans and the Reimbursement Obligations at the time outstanding, and all other amounts owed to the Lenders and to the Administrative Agent under this Agreement or any of the other Loan Documents (including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Borrowers to request borrowings or Letters of Credit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of an Event of Default specified in </w:t>
      </w:r>
      <w:r>
        <w:rPr>
          <w:rFonts w:ascii="Times New Roman;Times;Serif" w:hAnsi="Times New Roman;Times;Serif"/>
          <w:b w:val="false"/>
          <w:i w:val="false"/>
          <w:caps w:val="false"/>
          <w:smallCaps w:val="false"/>
          <w:sz w:val="20"/>
          <w:u w:val="single"/>
        </w:rPr>
        <w:t>Section 9.1(i)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the Credit Facility shall be automatically terminated and all Obligations shall automatically become due and payable without presentment, demand, protest or other notice of any kind, all of which are expressly waived by each Credit Party, anything in this Agreement or in any other Loan Document to the contrary notwithstanding.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With respect to all Letters of Credit with respect to which presentment for honor shall not have occurred at the time of an acceleration pursuant to the preceding paragraph, demand that the Borrowers shall at such time deposit in a Cash Collateral account opened by the Administrative Agent an amount equal to the Minimum Collateral Amount of the aggregate then undrawn and unexpired amount of such Letter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General Remedies</w:t>
      </w:r>
      <w:r>
        <w:rPr>
          <w:rFonts w:ascii="Times New Roman;Times;Serif" w:hAnsi="Times New Roman;Times;Serif"/>
          <w:b w:val="false"/>
          <w:i w:val="false"/>
          <w:caps w:val="false"/>
          <w:smallCaps w:val="false"/>
          <w:sz w:val="20"/>
        </w:rPr>
        <w:t>. Exercise on behalf of the Secured Parties all of its other rights and remedies under this Agreement, the other Loan Documents and Applicable Law, in order to satisfy all of the Secured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Rights and Remedies Cumulative; Non-Waiver;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Borrowers, the Administrative Agent and the Lenders or their respective agents or employees shall be effective to change, modify or discharge any provision of this Agreement or any of the other Loan Documents or to constitute a waiver of any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for the benefit of all the Lenders and the Issuing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any Issuing Lender or the Swingline Lender from exercising the rights and remedies that inure to its benefit (solely in its capacity as an Issuing Lender or Swingline Lender, as the case may be) hereunder and under the other Loan Documents, (iii) any Lender from exercising setoff rights in accordance with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(iv) any Lender from filing proofs of claim or appearing and filing pleadings on its own behalf during the pendency of a proceeding relative to any Credit Party under any Debtor Relief Law;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at any time there is no Person acting as Administrative Agent hereunder and under the other Loan Documents, then (A) the Required Lenders shall have the rights otherwise ascribed to the Administrative Agent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and (B) in addition to the matters set forth in clauses (ii), (iii) and (iv) of the preceding proviso and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any Lender may, with the consent of the Required Lenders, enforce any rights and remedies available to it and as authorized by the Required Lenders.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Crediting of Payments and Proceeds</w:t>
      </w:r>
      <w:r>
        <w:rPr>
          <w:rFonts w:ascii="Times New Roman;Times;Serif" w:hAnsi="Times New Roman;Times;Serif"/>
          <w:b w:val="false"/>
          <w:i w:val="false"/>
          <w:caps w:val="false"/>
          <w:smallCaps w:val="false"/>
          <w:sz w:val="20"/>
        </w:rPr>
        <w:t xml:space="preserve">. In the event that the Obligations have been accelerated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subject to the provisions of </w:t>
      </w:r>
      <w:r>
        <w:rPr>
          <w:rFonts w:ascii="Times New Roman;Times;Serif" w:hAnsi="Times New Roman;Times;Serif"/>
          <w:b w:val="false"/>
          <w:i w:val="false"/>
          <w:caps w:val="false"/>
          <w:smallCaps w:val="false"/>
          <w:sz w:val="20"/>
          <w:u w:val="single"/>
        </w:rPr>
        <w:t>Sections 4.14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4.15</w:t>
      </w:r>
      <w:r>
        <w:rPr>
          <w:rFonts w:ascii="Times New Roman;Times;Serif" w:hAnsi="Times New Roman;Times;Serif"/>
          <w:b w:val="false"/>
          <w:i w:val="false"/>
          <w:caps w:val="false"/>
          <w:smallCaps w:val="false"/>
          <w:sz w:val="20"/>
        </w:rPr>
        <w:t>, be applied by the Administrative Agent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payment of that portion of the Secured Obligations constituting fees, indemnities, expenses and other amounts, including attorney fees, payable to the Administrative Agent in its capacity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payment of that portion of the Secured Obligations constituting fees (other than Commitment Fees and Letter of Credit fees payable to the Revolving Credit Lenders), indemnities and other amounts (other than principal and interest) payable to the Lenders, the Issuing Lenders and the Swingline Lender under the Loan Documents, including attorney fees, ratably among the Lenders, the Issuing Lenders and the Swingline Lender in proportion to the respective amounts described in this clause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payable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payment of that portion of the Secured Obligations constituting accrued and unpaid Commitment Fees, Letter of Credit fees payable to the Revolving Credit Lenders and interest on the Loans and Reimbursement Obligations, ratably among the Lenders, the Issuing Lenders and the Swingline Lender in proportion to the respective amounts described in this clause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payable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payment of that portion of the Secured Obligations constituting unpaid principal of the Loans and Reimbursement Obligations and Secured Hedge Obligations and Secured Cash Management Obligations then owing and to Cash Collateralize any L/C Obligations then outstanding, ratably among the holders of such obligations in proportion to the respective amounts described in this clause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payable to them;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Last</w:t>
      </w:r>
      <w:r>
        <w:rPr>
          <w:rFonts w:ascii="Times New Roman;Times;Serif" w:hAnsi="Times New Roman;Times;Serif"/>
          <w:b w:val="false"/>
          <w:i w:val="false"/>
          <w:caps w:val="false"/>
          <w:smallCaps w:val="false"/>
          <w:sz w:val="20"/>
        </w:rPr>
        <w:t>, the balance, if any, after all of the Secured Obligations have been paid in full, to the Borrowers or as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Secured Cash Management Obligations and Secured Hedge Obligations shall be excluded from the application described above if the Administrative Agent has not received written notice thereof, together with such supporting documentation as the Administrative Agent may request, from the applicable holders thereof following such acceleration or exercise of remedies and at least three (3) Business Days prior to the application of the proceeds thereof. Each holder of Secured Cash Management Obligations or Secured Hedge Obligations that, in either case, is not a party to this Agreement that has given the notice contemplated by the preceding sentence shall, by such notice, be deemed to have acknowledged and accepted the appointment of the Administrative Agent pursuant to the terms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for itself and its Affiliates as if a “Lender” party hereto.</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Administrative Agent May File Proofs of Claim</w:t>
      </w:r>
      <w:r>
        <w:rPr>
          <w:rFonts w:ascii="Times New Roman;Times;Serif" w:hAnsi="Times New Roman;Times;Serif"/>
          <w:b w:val="false"/>
          <w:i w:val="false"/>
          <w:caps w:val="false"/>
          <w:smallCaps w:val="false"/>
          <w:sz w:val="20"/>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Credit Party) shall be entitled and empowered (but not obligated)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Times;Serif" w:hAnsi="Times New Roman;Times;Serif"/>
          <w:b w:val="false"/>
          <w:i w:val="false"/>
          <w:caps w:val="false"/>
          <w:smallCaps w:val="false"/>
          <w:sz w:val="20"/>
          <w:u w:val="single"/>
        </w:rPr>
        <w:t>Sections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b w:val="false"/>
          <w:i w:val="false"/>
          <w:caps w:val="false"/>
          <w:smallCaps w:val="false"/>
          <w:sz w:val="20"/>
          <w:u w:val="single"/>
        </w:rPr>
        <w:t>Sections 3.3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Credit Bidding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on behalf of itself and the Secured Parties, shall have the right, exercisable at the direction of the Required Lenders, to credit bid and purchase for the benefit of the Administrative Agent and the Secured Parties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of the Loan Documents, or exercise any right that it might otherwise have under Applicable Law to credit bid at foreclosure sales, UCC sales or other similar dispositions of Collateral.</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The Administrative Agent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Appointment and Authority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Lenders and each Issuing Lender hereby irrevocably appoints, designates and authorizes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Arrangers, the Lenders, the Issuing Lenders and their respective Related Parties, and neither Holdings nor any Subsidiary thereof shall have rights as a third-party beneficiary of any of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also act as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xml:space="preserve">” under the Loan Documents, and each of the Lenders (including each holder of Secured Hedge Obligations and Secured Cash Management Obligations)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and </w:t>
      </w:r>
      <w:r>
        <w:rPr>
          <w:rFonts w:ascii="Times New Roman;Times;Serif" w:hAnsi="Times New Roman;Times;Serif"/>
          <w:b w:val="false"/>
          <w:i w:val="false"/>
          <w:caps w:val="false"/>
          <w:smallCaps w:val="false"/>
          <w:sz w:val="20"/>
          <w:u w:val="single"/>
        </w:rPr>
        <w:t xml:space="preserve">Article XI </w:t>
      </w:r>
      <w:r>
        <w:rPr>
          <w:rFonts w:ascii="Times New Roman;Times;Serif" w:hAnsi="Times New Roman;Times;Serif"/>
          <w:b w:val="false"/>
          <w:i w:val="false"/>
          <w:caps w:val="false"/>
          <w:smallCaps w:val="false"/>
          <w:sz w:val="20"/>
        </w:rPr>
        <w:t xml:space="preserve">(including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as though such co-agents, sub-agents and attorneys-in-fact were the “collateral agent” under the Loan Documents) as if set forth in full herein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Rights as a Lender</w:t>
      </w:r>
      <w:r>
        <w:rPr>
          <w:rFonts w:ascii="Times New Roman;Times;Serif" w:hAnsi="Times New Roman;Times;Serif"/>
          <w:b w:val="false"/>
          <w:i w:val="false"/>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capital markets or other business with the Borrowers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the Arrangers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Arrangers and their respective 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not be subject to any agency, trust, fiduciary or other implied duties, regardless of whether a Default or Event of Default has occurred and is continuing;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not, have any duty to disclose, and shall not be liable for the failure to disclose to any Lender, any Issuing Lender or any other Person, any credit or other information relating concerning the business, prospects, operations, properties, assets, financial or other condition or creditworthiness of Holdings, any other Borrower or any of their respective Subsidiaries or Affiliates that is communicated to, obtained by or otherwise in the possession of the Person serving as the Administrative Agent, the Arrangers or their respective Related Parties in any capacity, except for notices, reports and other documents that are required to be furnished by the Administrative Agent to the Lenders pursuant to the express provisions of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shall not be required to account to any Lender or any Issuing Lender for any sum or profit received by the Administrative Agent for its own account.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the Arrangers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Holdings, any other Borrower, a Lender or an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the Arrangers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the satisfaction of any condition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the Administrative Agent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(vii</w:t>
      </w:r>
      <w:r>
        <w:rPr>
          <w:rFonts w:ascii="Times New Roman;Times;Serif" w:hAnsi="Times New Roman;Times;Serif"/>
          <w:b w:val="false"/>
          <w:i w:val="false"/>
          <w:caps w:val="false"/>
          <w:smallCaps w:val="false"/>
          <w:color w:val="0000FF"/>
          <w:sz w:val="20"/>
          <w:u w:val="single"/>
        </w:rPr>
        <w:t>) the validity, sufficiency, enforceability or effectiveness of any Loan Document or other agreement, instrument, document or other Communication executed or transmitted in accordance with Section 7.2 or 11.16 or (viii</w:t>
      </w:r>
      <w:r>
        <w:rPr>
          <w:rFonts w:ascii="Times New Roman;Times;Serif" w:hAnsi="Times New Roman;Times;Serif"/>
          <w:b w:val="false"/>
          <w:i w:val="false"/>
          <w:caps w:val="false"/>
          <w:smallCaps w:val="false"/>
          <w:sz w:val="20"/>
        </w:rPr>
        <w:t>) the utilization of any Issuing Lender’s L/C Commitment (it being understood and agreed that each Issuing Lender shall monitor compliance with its own L/C Commitment without any further action by the Administrative Agent.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Reliance by the Administrative Agent</w:t>
      </w:r>
      <w:r>
        <w:rPr>
          <w:rFonts w:ascii="Times New Roman;Times;Serif" w:hAnsi="Times New Roman;Times;Serif"/>
          <w:b w:val="false"/>
          <w:i w:val="false"/>
          <w:caps w:val="false"/>
          <w:smallCaps w:val="false"/>
          <w:sz w:val="20"/>
        </w:rPr>
        <w:t xml:space="preserve">. The Administrative Agent shall be entitled to rely upon, shall be fully protected in relying and shall not incur any liability for relying </w:t>
      </w:r>
      <w:r>
        <w:rPr>
          <w:rFonts w:ascii="Times New Roman;Times;Serif" w:hAnsi="Times New Roman;Times;Serif"/>
          <w:b w:val="false"/>
          <w:i w:val="false"/>
          <w:caps w:val="false"/>
          <w:smallCaps w:val="false"/>
          <w:color w:val="0000FF"/>
          <w:sz w:val="20"/>
          <w:u w:val="single"/>
        </w:rPr>
        <w:t xml:space="preserve">or acting </w:t>
      </w:r>
      <w:r>
        <w:rPr>
          <w:rFonts w:ascii="Times New Roman;Times;Serif" w:hAnsi="Times New Roman;Times;Serif"/>
          <w:b w:val="false"/>
          <w:i w:val="false"/>
          <w:caps w:val="false"/>
          <w:smallCaps w:val="false"/>
          <w:sz w:val="20"/>
        </w:rPr>
        <w:t xml:space="preserve">upon, any notice, request, certificate, consent, </w:t>
      </w:r>
      <w:r>
        <w:rPr>
          <w:rFonts w:ascii="Times New Roman;Times;Serif" w:hAnsi="Times New Roman;Times;Serif"/>
          <w:b/>
          <w:i w:val="false"/>
          <w:caps w:val="false"/>
          <w:smallCaps w:val="false"/>
          <w:strike/>
          <w:color w:val="FF0000"/>
          <w:sz w:val="20"/>
        </w:rPr>
        <w:t>communication</w:t>
      </w:r>
      <w:r>
        <w:rPr>
          <w:rFonts w:ascii="Times New Roman;Times;Serif" w:hAnsi="Times New Roman;Times;Serif"/>
          <w:b w:val="false"/>
          <w:i w:val="false"/>
          <w:caps w:val="false"/>
          <w:smallCaps w:val="false"/>
          <w:color w:val="0000FF"/>
          <w:sz w:val="20"/>
          <w:u w:val="single"/>
        </w:rPr>
        <w:t>Communication</w:t>
      </w:r>
      <w:r>
        <w:rPr>
          <w:rFonts w:ascii="Times New Roman;Times;Serif" w:hAnsi="Times New Roman;Times;Serif"/>
          <w:b w:val="false"/>
          <w:i w:val="false"/>
          <w:caps w:val="false"/>
          <w:smallCaps w:val="false"/>
          <w:sz w:val="20"/>
        </w:rPr>
        <w:t xml:space="preserve">, statement, instrument, document or other writing (including any electronic message, Internet or intranet website posting or other distribution) believed by it to be genuine and to have been signed, sent or otherwise authenticated by the proper Person, including any certification pursuant to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execution or transmission pursuant to Sections 7.2 or 11.16</w:t>
      </w:r>
      <w:r>
        <w:rPr>
          <w:rFonts w:ascii="Times New Roman;Times;Serif" w:hAnsi="Times New Roman;Times;Serif"/>
          <w:b w:val="false"/>
          <w:i w:val="false"/>
          <w:caps w:val="false"/>
          <w:smallCaps w:val="false"/>
          <w:sz w:val="20"/>
        </w:rPr>
        <w:t xml:space="preserve">. The Administrative Agent also may rely upon any statement made to it orally or by telephone and believed by it to have been made by the proper Person, and shall be fully protected in relying </w:t>
      </w:r>
      <w:r>
        <w:rPr>
          <w:rFonts w:ascii="Times New Roman;Times;Serif" w:hAnsi="Times New Roman;Times;Serif"/>
          <w:b w:val="false"/>
          <w:i w:val="false"/>
          <w:caps w:val="false"/>
          <w:smallCaps w:val="false"/>
          <w:color w:val="0000FF"/>
          <w:sz w:val="20"/>
          <w:u w:val="single"/>
        </w:rPr>
        <w:t xml:space="preserve">or acting upon such statement or Communication </w:t>
      </w:r>
      <w:r>
        <w:rPr>
          <w:rFonts w:ascii="Times New Roman;Times;Serif" w:hAnsi="Times New Roman;Times;Serif"/>
          <w:b w:val="false"/>
          <w:i w:val="false"/>
          <w:caps w:val="false"/>
          <w:smallCaps w:val="false"/>
          <w:sz w:val="20"/>
        </w:rPr>
        <w:t xml:space="preserve">and shall not incur any liability for relying </w:t>
      </w:r>
      <w:r>
        <w:rPr>
          <w:rFonts w:ascii="Times New Roman;Times;Serif" w:hAnsi="Times New Roman;Times;Serif"/>
          <w:b w:val="false"/>
          <w:i w:val="false"/>
          <w:caps w:val="false"/>
          <w:smallCaps w:val="false"/>
          <w:color w:val="0000FF"/>
          <w:sz w:val="20"/>
          <w:u w:val="single"/>
        </w:rPr>
        <w:t xml:space="preserve">or acting </w:t>
      </w:r>
      <w:r>
        <w:rPr>
          <w:rFonts w:ascii="Times New Roman;Times;Serif" w:hAnsi="Times New Roman;Times;Serif"/>
          <w:b w:val="false"/>
          <w:i w:val="false"/>
          <w:caps w:val="false"/>
          <w:smallCaps w:val="false"/>
          <w:sz w:val="20"/>
        </w:rPr>
        <w:t xml:space="preserve">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Each Lender or Issuing Lender that has signed this Agreement or a signature page to an Assignment and Assumption or any other Loan Document pursuant to which it is to become a Lender or Issuing Lender hereunder shall be deemed to have consented to, approved and accepted and shall </w:t>
      </w:r>
      <w:r>
        <w:rPr>
          <w:rFonts w:ascii="Times New Roman;Times;Serif" w:hAnsi="Times New Roman;Times;Serif"/>
          <w:b w:val="false"/>
          <w:i w:val="false"/>
          <w:caps w:val="false"/>
          <w:smallCaps w:val="false"/>
          <w:color w:val="0000FF"/>
          <w:sz w:val="20"/>
          <w:u w:val="single"/>
        </w:rPr>
        <w:t xml:space="preserve">be </w:t>
      </w:r>
      <w:r>
        <w:rPr>
          <w:rFonts w:ascii="Times New Roman;Times;Serif" w:hAnsi="Times New Roman;Times;Serif"/>
          <w:b w:val="false"/>
          <w:i w:val="false"/>
          <w:caps w:val="false"/>
          <w:smallCaps w:val="false"/>
          <w:sz w:val="20"/>
        </w:rPr>
        <w:t>deemed satisfied with each document or other matter required thereunder to be consented to, approved or accepted by such Lender or Issuing Lender or that is to be acceptable or satisfactory to such Lender or Issuing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Resignation of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at any time give notice of its resignation to the Lenders, the Issuing Lenders and the Administrative Borrower. Upon receipt of any such notice of resignation, the Required Lenders shall have the right, in consultation with the Administrative Borrower to appoint a successor, which shall be a bank or financial institution reasonably experienced in serving as administrative agent on syndicated bank facilities with an office in the United States, or an Affiliate of any such bank or financial institution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then the retiring Administrative Agent may (but shall not be obligated to), on behalf of the Lenders and the Issuing Lenders, appoint a successor Administrative Agent meeting the qualifications set forth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Person serving as Administrative Agent is a Defaulting Lender pursuant to clause (d) of the definition thereof, the Required Lenders may, to the extent permitted by Applicable Law, by notice in writing to the Administrative Borrower and such Person, remove such Person as Administrative Agent and, in consultation with the Administrative Borrower,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 following its retirement or removal, including, without limitation, any actions taken with respect to acting as collateral agent or otherwise holding any Collateral on behalf of any of the Secured Parties or in respect of any actions taken in connection with the transfer of agency to a replacement or successor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by, or removal of, Wells Fargo as Administrative Agent pursuant to this Section shall also constitute its resignation as an Issuing Lender and Swingline Lender. Upon the acceptance of a successor’s appointment as Administrative Agent hereunder, (i) such successor shall succeed to and become vested with all of the rights, powers, privileges and duties of the retiring Issuing Lender, if in its sole discretion it elects to, and Swingline Lender, (ii) the retiring Issuing Lender and Swingline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Non-Reliance on Administrative Agent and Other Lenders</w:t>
      </w:r>
      <w:r>
        <w:rPr>
          <w:rFonts w:ascii="Times New Roman;Times;Serif" w:hAnsi="Times New Roman;Times;Serif"/>
          <w:b w:val="false"/>
          <w:i w:val="false"/>
          <w:caps w:val="false"/>
          <w:smallCaps w:val="false"/>
          <w:sz w:val="20"/>
        </w:rPr>
        <w:t xml:space="preserve">. Each Lender and each Issuing Lender expressly acknowledges that none of the Administrative Agent, the Arrangers or any of their respective Related Parties has made any representations or warranties to it and that no act taken or failure to act by the Administrative Agent, the Arrangers or any of their respective Related Parties, including any consent to, and acceptance of any assignment or review of the affairs of Holdings, any other Borrower and their Subsidiaries or Affiliates shall be deemed to constitute a representation or warranty of the Administrative Agent, the Arrangers or any of their respective Related Parties to any Lender, any Issuing Lender or any other Secured Party as to any matter, including whether the Administrative Agent, the Arrangers or any of their respective Related Parties have disclosed material information in their (or their respective Related Parties’) possession. Each Lender and each Issuing Lender expressly acknowledges, represents and warrants to the Administrative Agent and the Arrangers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w:t>
      </w:r>
      <w:r>
        <w:rPr>
          <w:rFonts w:ascii="Times New Roman;Times;Serif" w:hAnsi="Times New Roman;Times;Serif"/>
          <w:b w:val="false"/>
          <w:i w:val="false"/>
          <w:caps w:val="false"/>
          <w:smallCaps w:val="false"/>
          <w:color w:val="0000FF"/>
          <w:sz w:val="20"/>
          <w:u w:val="single"/>
        </w:rPr>
        <w:t xml:space="preserve">investing in general performance or operations of any Credit Party or its Subsidiaries or Affiliates or for the purpose of </w:t>
      </w:r>
      <w:r>
        <w:rPr>
          <w:rFonts w:ascii="Times New Roman;Times;Serif" w:hAnsi="Times New Roman;Times;Serif"/>
          <w:b w:val="false"/>
          <w:i w:val="false"/>
          <w:caps w:val="false"/>
          <w:smallCaps w:val="false"/>
          <w:sz w:val="20"/>
        </w:rPr>
        <w:t xml:space="preserve">making, acquiring, purchasing or holding any other type of financial instrument </w:t>
      </w:r>
      <w:r>
        <w:rPr>
          <w:rFonts w:ascii="Times New Roman;Times;Serif" w:hAnsi="Times New Roman;Times;Serif"/>
          <w:b w:val="false"/>
          <w:i w:val="false"/>
          <w:caps w:val="false"/>
          <w:smallCaps w:val="false"/>
          <w:color w:val="0000FF"/>
          <w:sz w:val="20"/>
          <w:u w:val="single"/>
        </w:rPr>
        <w:t>such as a security</w:t>
      </w:r>
      <w:r>
        <w:rPr>
          <w:rFonts w:ascii="Times New Roman;Times;Serif" w:hAnsi="Times New Roman;Times;Serif"/>
          <w:b w:val="false"/>
          <w:i w:val="false"/>
          <w:caps w:val="false"/>
          <w:smallCaps w:val="false"/>
          <w:sz w:val="20"/>
        </w:rPr>
        <w:t xml:space="preserve">, (c) it is sophisticated with respect to decisions to make, acquire, purchase or hold the commercial loans applicable to it and </w:t>
      </w:r>
      <w:r>
        <w:rPr>
          <w:rFonts w:ascii="Times New Roman;Times;Serif" w:hAnsi="Times New Roman;Times;Serif"/>
          <w:b w:val="false"/>
          <w:i w:val="false"/>
          <w:caps w:val="false"/>
          <w:smallCaps w:val="false"/>
          <w:color w:val="0000FF"/>
          <w:sz w:val="20"/>
          <w:u w:val="single"/>
        </w:rPr>
        <w:t xml:space="preserve">to provide the other facilities applicable to it as set forth herein and </w:t>
      </w:r>
      <w:r>
        <w:rPr>
          <w:rFonts w:ascii="Times New Roman;Times;Serif" w:hAnsi="Times New Roman;Times;Serif"/>
          <w:b w:val="false"/>
          <w:i w:val="false"/>
          <w:caps w:val="false"/>
          <w:smallCaps w:val="false"/>
          <w:sz w:val="20"/>
        </w:rPr>
        <w:t xml:space="preserve">either it or the Person exercising discretion in making its decisions to make, acquire, purchase or hold such commercial loans </w:t>
      </w:r>
      <w:r>
        <w:rPr>
          <w:rFonts w:ascii="Times New Roman;Times;Serif" w:hAnsi="Times New Roman;Times;Serif"/>
          <w:b/>
          <w:i w:val="false"/>
          <w:caps w:val="false"/>
          <w:smallCaps w:val="false"/>
          <w:strike/>
          <w:color w:val="FF0000"/>
          <w:sz w:val="20"/>
        </w:rPr>
        <w:t xml:space="preserve">is </w:t>
      </w:r>
      <w:r>
        <w:rPr>
          <w:rFonts w:ascii="Times New Roman;Times;Serif" w:hAnsi="Times New Roman;Times;Serif"/>
          <w:b w:val="false"/>
          <w:i w:val="false"/>
          <w:caps w:val="false"/>
          <w:smallCaps w:val="false"/>
          <w:color w:val="0000FF"/>
          <w:sz w:val="20"/>
          <w:u w:val="single"/>
        </w:rPr>
        <w:t>or to provide such other facilities is</w:t>
      </w:r>
      <w:r>
        <w:rPr>
          <w:rFonts w:ascii="Times New Roman;Times;Serif" w:hAnsi="Times New Roman;Times;Serif"/>
          <w:b w:val="false"/>
          <w:i w:val="false"/>
          <w:caps w:val="false"/>
          <w:smallCaps w:val="false"/>
          <w:color w:val="008000"/>
          <w:sz w:val="20"/>
          <w:u w:val="single"/>
        </w:rPr>
        <w:t xml:space="preserve">, in each case, </w:t>
      </w:r>
      <w:r>
        <w:rPr>
          <w:rFonts w:ascii="Times New Roman;Times;Serif" w:hAnsi="Times New Roman;Times;Serif"/>
          <w:b w:val="false"/>
          <w:i w:val="false"/>
          <w:caps w:val="false"/>
          <w:smallCaps w:val="false"/>
          <w:sz w:val="20"/>
        </w:rPr>
        <w:t xml:space="preserve">experienced in making, acquiring, purchasing or holding commercial loans </w:t>
      </w:r>
      <w:r>
        <w:rPr>
          <w:rFonts w:ascii="Times New Roman;Times;Serif" w:hAnsi="Times New Roman;Times;Serif"/>
          <w:b w:val="false"/>
          <w:i w:val="false"/>
          <w:caps w:val="false"/>
          <w:smallCaps w:val="false"/>
          <w:color w:val="0000FF"/>
          <w:sz w:val="20"/>
          <w:u w:val="single"/>
        </w:rPr>
        <w:t>or providing such other facilities</w:t>
      </w:r>
      <w:r>
        <w:rPr>
          <w:rFonts w:ascii="Times New Roman;Times;Serif" w:hAnsi="Times New Roman;Times;Serif"/>
          <w:b w:val="false"/>
          <w:i w:val="false"/>
          <w:caps w:val="false"/>
          <w:smallCaps w:val="false"/>
          <w:sz w:val="20"/>
        </w:rPr>
        <w:t xml:space="preserve">, (d) it has, independently and without reliance upon the Administrative Agent, the Arrangers,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Holdings, any other Borrower and their Subsidiaries, all applicable bank or other regulatory Applicable Laws relating to the Transactions and the transactions contemplated by this Agreement and the other Loan Documents </w:t>
      </w:r>
      <w:r>
        <w:rPr>
          <w:rFonts w:ascii="Times New Roman;Times;Serif" w:hAnsi="Times New Roman;Times;Serif"/>
          <w:b/>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(e) it has made its own independent decision to enter into this Agreement and the other Loan Documents to which it is a party and to extend credit hereunder and thereunder </w:t>
      </w:r>
      <w:r>
        <w:rPr>
          <w:rFonts w:ascii="Times New Roman;Times;Serif" w:hAnsi="Times New Roman;Times;Serif"/>
          <w:b w:val="false"/>
          <w:i w:val="false"/>
          <w:caps w:val="false"/>
          <w:smallCaps w:val="false"/>
          <w:color w:val="0000FF"/>
          <w:sz w:val="20"/>
          <w:u w:val="single"/>
        </w:rPr>
        <w:t>and (f) it has all 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w:t>
      </w:r>
      <w:r>
        <w:rPr>
          <w:rFonts w:ascii="Times New Roman;Times;Serif" w:hAnsi="Times New Roman;Times;Serif"/>
          <w:b w:val="false"/>
          <w:i w:val="false"/>
          <w:caps w:val="false"/>
          <w:smallCaps w:val="false"/>
          <w:sz w:val="20"/>
        </w:rPr>
        <w:t xml:space="preserve">. Each Lender and each Issuing Lender also acknowledges </w:t>
      </w:r>
      <w:r>
        <w:rPr>
          <w:rFonts w:ascii="Times New Roman;Times;Serif" w:hAnsi="Times New Roman;Times;Serif"/>
          <w:b w:val="false"/>
          <w:i w:val="false"/>
          <w:caps w:val="false"/>
          <w:smallCaps w:val="false"/>
          <w:color w:val="0000FF"/>
          <w:sz w:val="20"/>
          <w:u w:val="single"/>
        </w:rPr>
        <w:t xml:space="preserve">and agrees </w:t>
      </w:r>
      <w:r>
        <w:rPr>
          <w:rFonts w:ascii="Times New Roman;Times;Serif" w:hAnsi="Times New Roman;Times;Serif"/>
          <w:b w:val="false"/>
          <w:i w:val="false"/>
          <w:caps w:val="false"/>
          <w:smallCaps w:val="false"/>
          <w:sz w:val="20"/>
        </w:rPr>
        <w:t xml:space="preserve">that (i) it will, independently and without reliance upon the Administrative Agent, the Arrangers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Holdings, any other Borrower and their Subsidiaries and (ii) it will not assert any claim </w:t>
      </w:r>
      <w:r>
        <w:rPr>
          <w:rFonts w:ascii="Times New Roman;Times;Serif" w:hAnsi="Times New Roman;Times;Serif"/>
          <w:b w:val="false"/>
          <w:i w:val="false"/>
          <w:caps w:val="false"/>
          <w:smallCaps w:val="false"/>
          <w:color w:val="0000FF"/>
          <w:sz w:val="20"/>
          <w:u w:val="single"/>
        </w:rPr>
        <w:t xml:space="preserve">under any federal or state securities law or otherwise </w:t>
      </w:r>
      <w:r>
        <w:rPr>
          <w:rFonts w:ascii="Times New Roman;Times;Serif" w:hAnsi="Times New Roman;Times;Serif"/>
          <w:b w:val="false"/>
          <w:i w:val="false"/>
          <w:caps w:val="false"/>
          <w:smallCaps w:val="false"/>
          <w:sz w:val="20"/>
        </w:rPr>
        <w:t xml:space="preserve">in contravention of this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No Other Duties, Etc.</w:t>
      </w:r>
      <w:r>
        <w:rPr>
          <w:rFonts w:ascii="Times New Roman;Times;Serif" w:hAnsi="Times New Roman;Times;Serif"/>
          <w:b w:val="false"/>
          <w:i w:val="false"/>
          <w:caps w:val="false"/>
          <w:smallCaps w:val="false"/>
          <w:sz w:val="20"/>
        </w:rPr>
        <w:t xml:space="preserve">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Collateral and Guaranty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Lenders (including in its or any of its Affiliate’s capacities as a holder of Secured Hedge Obligations and Secured Cash Management Obligations) irrevocably authorize the Administrative Agent, at its option and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release any Lien on any Collateral granted to or held by the Administrative Agent, for the ratable benefit of the Secured Parties, under any Loan Document (A) upon the termination of the Revolving Credit Commitment and payment in full of all Secured Obligations (other than (1) contingent indemnification obligations and (2) Secured Cash Management Obligations or Secured Hedge Obligations) and the expiration or termination of all Letters of Credit (other than Letters of Credit which have been Cash Collateralized or as to which other arrangements satisfactory to the Administrative Agent and the applicable Issuing Lender shall have been made), (B) that is sold or otherwise disposed of or to be sold or otherwise disposed of as part of or in connection with any sale or other disposition to a Person other than a Credit Party permitted under the Loan Documents, as certified by the Administrative Borrower, or (C) if approved, authorized or ratified in writing by the Required Lenders in accordance with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release of all or substantially of the Collateral shall be subject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subordinate any Lien on any Collateral granted to or held by the Administrative Agent under any Loan Document to the holder of any Permitted Lien;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subordination of all or substantially all of the Collateral shall be subject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(k);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release any Subsidiary Guarantor from its obligations under any Loan Documents if such Person ceases to be a Subsidiary as a result of a transaction permitted under the Loan Documents, as certified by the Administrative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release of Subsidiary Guarantors comprising substantially all of the credit support for the Secured Obligations shall be subject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Guaranty Agreement pursuant to this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 xml:space="preserve">. In each case as specified in this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 xml:space="preserve">, the Administrative Agent will,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the Guaranty Agreement, in each case in accordance with the terms of the Loan Documents and this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 xml:space="preserve"> as certified by the Administrative Borrower. In the case of any such sale, transfer or disposal of any property constituting Collateral in a transaction constituting an Asset Disposition permitted pursuant to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to a Person other than a Credit Party, the Liens created by any of the Security Documents on such property shall be automatically released without need for further action by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transaction is entered into for a bona fide business purpose (as determined in good faith by the Administrative Borrower) and, for the avoidance of doubt, not for the primary purpose of causing such release and (ii) such assets were not transferred to an Affiliate of any Borrower (other than for purposes of a bona fide joint venture arrangement on terms that are not less favorable than arm’s-length terms).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Secured Hedge Obligations and Secured Cash Management Obligations</w:t>
      </w:r>
      <w:r>
        <w:rPr>
          <w:rFonts w:ascii="Times New Roman;Times;Serif" w:hAnsi="Times New Roman;Times;Serif"/>
          <w:b w:val="false"/>
          <w:i w:val="false"/>
          <w:caps w:val="false"/>
          <w:smallCaps w:val="false"/>
          <w:sz w:val="20"/>
        </w:rPr>
        <w:t xml:space="preserve">. No holder of any Secured Hedge Obligations or Secured Cash Management Obligations that obtains the benefits of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Guarantee or any Security Document, other than in its capacity as a Lender and, in such case, only to the extent expressly provided in the Loan Documents. The Administrative Agent shall not be required to verify the payment of, or that other satisfactory arrangements have been made with respect to, Secured Hedge Obligations and Secured Cash Management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any Borrower or any other Credit Party, that at least one of the following is and will be true: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Letters of Credit or the Commitments or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any Borrower or any other Credit Party, that none of the Administrative Agent, the Arrangers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each Issuing Lender, each other Secured Party and any other party hereto hereby severally agrees that if (i) the Administrative Agent notifies (which such notice shall be conclusive absent manifest error) such Lender or Issuing Lender or any other Secured Party (or the Affiliate of a Secured Party) or any other Person that has received funds from the Administrative Agent or any of its Affiliates, either for its own account or on behalf of a Lender, Issuing Lender or other Secured Party (each such recipient,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Times;Serif" w:hAnsi="Times New Roman;Times;Serif"/>
          <w:b w:val="false"/>
          <w:i w:val="false"/>
          <w:caps w:val="false"/>
          <w:smallCaps w:val="false"/>
          <w:sz w:val="20"/>
          <w:u w:val="single"/>
        </w:rPr>
        <w:t>Section 10.12(a),</w:t>
      </w:r>
      <w:r>
        <w:rPr>
          <w:rFonts w:ascii="Times New Roman;Times;Serif" w:hAnsi="Times New Roman;Times;Serif"/>
          <w:b w:val="false"/>
          <w:i w:val="false"/>
          <w:caps w:val="false"/>
          <w:smallCaps w:val="false"/>
          <w:sz w:val="20"/>
        </w:rPr>
        <w:t xml:space="preserve">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then, in each case, such Payment Recipient is deemed to have knowledge of such error at the time of its receipt of such Erroneous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immediately preceding clause (a), each Payment Recipient agrees that, in the case of clause (a)(ii) above, it shall promptly notify the Administrative Agent in writing of such occurrence.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xml:space="preserve"> and (3) the Administrative Agent may reflect such assignments in the Register without further consent or action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Credit Party, except, in each case, to the extent such Erroneous Payment is, and solely with respect to the amount of such Erroneous Payment that is, comprised of funds received by the Administrative Agent from the Borrowers or any other Credit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party’s obligations under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in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xml:space="preserve"> will constitute a waiver or release of any claim of the Administrative Agent hereunder arising from any Payment Recipient’s receipt of an Erroneous Payment.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 Generally</w:t>
      </w:r>
      <w:r>
        <w:rPr>
          <w:rFonts w:ascii="Times New Roman;Times;Serif" w:hAnsi="Times New Roman;Times;Serif"/>
          <w:b w:val="false"/>
          <w:i w:val="false"/>
          <w:caps w:val="false"/>
          <w:smallCaps w:val="false"/>
          <w:sz w:val="20"/>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Borrowers (including the Administrative Borrower):</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IES Holdings, Inc.</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13131 Dairy Ashford Road Suite 500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Texas 77478</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Tracy McLauchlin and Mary Newman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tracy.mclauchlin@ies-co.com</w:t>
        <w:br/>
        <w:t>mary.newman@ies-co.com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courtesy copies to (which shall not constitute</w:t>
        <w:br/>
        <w:t xml:space="preserve">Notice for purposes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Dinsmore &amp; Shohl LLP</w:t>
        <w:br/>
        <w:t>255 East Fifth Street, Suite 1900</w:t>
        <w:br/>
        <w:t>Cincinnati, Ohio 45202</w:t>
        <w:br/>
        <w:t>Attn: Michael Dailey, Esq.</w:t>
        <w:br/>
        <w:t>Fax No.: (513) 977-8141</w:t>
        <w:br/>
        <w:t>Email: michael.dailey@dinsmore.com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Wells Fargo, as Administrative Agent: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 D1109-019</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 West W.T. Harris Blvd.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28262</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of: Syndication Agency Services</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(704) 590-2706</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No.: (844) 879-5899</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Agencyservices.requests@wellsfargo.com</w:t>
      </w:r>
    </w:p>
    <w:p>
      <w:pPr>
        <w:pStyle w:val="TextBody"/>
        <w:bidi w:val="0"/>
        <w:spacing w:before="0" w:after="0"/>
        <w:ind w:left="288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Wells Fargo Bank, National </w:t>
      </w:r>
      <w:r>
        <w:rPr>
          <w:rFonts w:ascii="Times New Roman;Times;Serif" w:hAnsi="Times New Roman;Times;Serif"/>
          <w:b w:val="false"/>
          <w:i w:val="false"/>
          <w:caps w:val="false"/>
          <w:smallCaps w:val="false"/>
          <w:strike/>
          <w:color w:val="FF0000"/>
          <w:sz w:val="20"/>
        </w:rPr>
        <w:t>Associatoin</w:t>
      </w:r>
      <w:r>
        <w:rPr>
          <w:rFonts w:ascii="Times New Roman;Times;Serif" w:hAnsi="Times New Roman;Times;Serif"/>
          <w:b w:val="false"/>
          <w:i w:val="false"/>
          <w:caps w:val="false"/>
          <w:smallCaps w:val="false"/>
          <w:color w:val="0000FF"/>
          <w:sz w:val="20"/>
          <w:u w:val="single"/>
        </w:rPr>
        <w:t>Association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 T0318-060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Waterway Ave.,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Woodlands, TX 77380</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of: Benita V. Reyes</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(713) 319-1332</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Benita.V.Reyes@wellsfargo.com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any Lender:</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of such Lender set forth on the Register with respect to deliveries of notices and other documentation that may contain material non-public information.</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Electronic Communications</w:t>
      </w:r>
      <w:r>
        <w:rPr>
          <w:rFonts w:ascii="Times New Roman;Times;Serif" w:hAnsi="Times New Roman;Times;Serif"/>
          <w:b w:val="false"/>
          <w:i w:val="false"/>
          <w:caps w:val="false"/>
          <w:smallCaps w:val="false"/>
          <w:sz w:val="20"/>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to any Lender or any Issuing Lender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if such Lender or such Issuing Lender, as applicable, has notified the Administrative Agent that is incapable of receiving notices under such Article by electronic communication. The Administrative Agent or the Borrowers may, in its or their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Administrative Agent’s Office</w:t>
      </w:r>
      <w:r>
        <w:rPr>
          <w:rFonts w:ascii="Times New Roman;Times;Serif" w:hAnsi="Times New Roman;Times;Serif"/>
          <w:b w:val="false"/>
          <w:i w:val="false"/>
          <w:caps w:val="false"/>
          <w:smallCaps w:val="false"/>
          <w:sz w:val="20"/>
        </w:rPr>
        <w:t>. The Administrative Agent hereby designates its office located at the address set forth above, or any subsequent office which shall have been specified for such purpose by written notice to the Administrative Borrower and Lenders, as the Administrative Agent’s Office referred to herein, to which payments due are to be made and at which Loans will be disbursed and Letters of Credit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Change of Address, Etc.</w:t>
      </w:r>
      <w:r>
        <w:rPr>
          <w:rFonts w:ascii="Times New Roman;Times;Serif" w:hAnsi="Times New Roman;Times;Serif"/>
          <w:b w:val="false"/>
          <w:i w:val="false"/>
          <w:caps w:val="false"/>
          <w:smallCaps w:val="false"/>
          <w:sz w:val="20"/>
        </w:rPr>
        <w:t xml:space="preserve"> Each of the Borrowers, the Administrative Agent, any Issuing Lender or the Swingline Lender may change its address or other contact information for notices and other communications hereunder by notice to the other parties hereto. Any Lender may change its address or facsimile number for notices and other communications hereunder by notice to the Administrative Borrower, the Administrative Agent, each Issuing Lender and the Swingline Lender.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Credit Party, each Lender and each Issuing Lender agrees that the Administrative Agent may, but shall not be obligated to, make the Borrower Materials available to the Issuing Lenders and the other Lenders by posting the Borrower Materials on the Platform.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Although the Platform is secured pursuant to generally-applicable security procedures and policies implemented or modified by the Administrative Agent and its Related Parties, each of the Lenders, the Issuing Lenders and the Borrowers acknowledges and agrees that distribution of information through an electronic means is not necessarily secure in all respects, the Administrative Agent, the Arrangers and their respective Related Parties (collectively, the “</w:t>
      </w:r>
      <w:r>
        <w:rPr>
          <w:rFonts w:ascii="Times New Roman;Times;Serif" w:hAnsi="Times New Roman;Times;Serif"/>
          <w:b w:val="false"/>
          <w:i w:val="false"/>
          <w:caps w:val="false"/>
          <w:smallCaps w:val="false"/>
          <w:sz w:val="20"/>
          <w:u w:val="single"/>
        </w:rPr>
        <w:t>Agent Parties</w:t>
      </w:r>
      <w:r>
        <w:rPr>
          <w:rFonts w:ascii="Times New Roman;Times;Serif" w:hAnsi="Times New Roman;Times;Serif"/>
          <w:b w:val="false"/>
          <w:i w:val="false"/>
          <w:caps w:val="false"/>
          <w:smallCaps w:val="false"/>
          <w:sz w:val="20"/>
        </w:rPr>
        <w:t xml:space="preserve">”) are not responsible for approving or vetting the representatives, designees or contacts of any Lender or Issuing Lender that are provided access to the Platform and that there may be confidentiality and other risks associated with such form of distribution. Each of the Borrowers, each Lender and each Issuing Lender party hereto understands and accepts such risks. In no event shall the Agent Parties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Agent Party have any liability to any Credit Party, any Lender, any Issuing Lender or any other Person for indirect, special, incidental, consequential or punitive damages, losses or expenses (as opposed to actual damages, losses or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Private Side Designation</w:t>
      </w:r>
      <w:r>
        <w:rPr>
          <w:rFonts w:ascii="Times New Roman;Times;Serif" w:hAnsi="Times New Roman;Times;Serif"/>
          <w:b w:val="false"/>
          <w:i w:val="false"/>
          <w:caps w:val="false"/>
          <w:smallCaps w:val="false"/>
          <w:sz w:val="20"/>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Amendments, Waivers and Consents</w:t>
      </w:r>
      <w:r>
        <w:rPr>
          <w:rFonts w:ascii="Times New Roman;Times;Serif" w:hAnsi="Times New Roman;Times;Serif"/>
          <w:b w:val="false"/>
          <w:i w:val="false"/>
          <w:caps w:val="false"/>
          <w:smallCaps w:val="false"/>
          <w:sz w:val="20"/>
        </w:rPr>
        <w:t xml:space="preserve">. Except as set forth below or as specifically provided in any Loan Document (including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 xml:space="preserve">), any term, covenant, agreement or condition of this Agreement or any of the other Loan Documents may be amended or waived by the Lenders, and any consent given by the Lenders, if, but only if, such amendment, waiver or consent is in writing and approved by the Required Lenders (or by the Administrative Agent with the consent of the Required Lenders) and delivered to the Administrative Agent and, in the case of an amendment, signed by the Borrowers;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amendment, waiver or consent shall:</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amend, modify or waive (i)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any other provision of this Agreement if the effect of such amendment, modification or waiver is to require the Revolving Credit Lenders (pursuant to, in the case of any such amendment to a provision hereof other than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any substantially concurrent request by the Borrowers for a borrowing of Revolving Credit Loans or issuance of Letters of Credit) to make Revolving Credit Loans when such Revolving Credit Lenders would not otherwise be required to do so, (ii) the amount of the Swingline Commitment or (iii) the amount of the L/C Sublimit, in each case without the written consent of the Required Revolving Credit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subordinate any of the Obligations in right of payment or otherwise adversely affect the priority of payment of any of such Obligations or (ii) subordinate any of the Liens securing the Obligations, in each case without the consent of each of the Lenders directly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increase or extend the Commitment of any Lender (or reinstate any Commitment terminated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or increase the amount of Loans of any Lender, in any case, without the written consent of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waive, extend or postpone any date fixed by this Agreement or any other Loan Document for any payment </w:t>
      </w:r>
      <w:r>
        <w:rPr>
          <w:rFonts w:ascii="Times New Roman;Times;Serif" w:hAnsi="Times New Roman;Times;Serif"/>
          <w:b w:val="false"/>
          <w:i w:val="false"/>
          <w:caps w:val="false"/>
          <w:smallCaps w:val="false"/>
          <w:color w:val="0000FF"/>
          <w:sz w:val="20"/>
          <w:u w:val="single"/>
        </w:rPr>
        <w:t xml:space="preserve">or mandatory prepayment </w:t>
      </w:r>
      <w:r>
        <w:rPr>
          <w:rFonts w:ascii="Times New Roman;Times;Serif" w:hAnsi="Times New Roman;Times;Serif"/>
          <w:b w:val="false"/>
          <w:i w:val="false"/>
          <w:caps w:val="false"/>
          <w:smallCaps w:val="false"/>
          <w:sz w:val="20"/>
        </w:rPr>
        <w:t>of principal, interest, fees or other amounts due to the Lenders (or any of them) hereunder or under any other Loan Document without the written consent of each Lender directly and adversely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reduce the principal of, or the rate of interest specified herein on, any Loan or Reimbursement Obligation, or (subject to clauses (iv) and (viii) of the proviso set forth in the paragraph below) any fees or other amounts payable hereunder or under any other Loan Document without the written consent of each Lender directly and adversely affected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only the consent of the Required Lenders shall be necessary to waive any obligation of the Borrowers to pay interest at the rate set forth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during the continuance of an Event of Default and (ii) only the consent of the Required Lenders shall be necessary to amend any financial covenant hereunder (or any defined term used therein) even if the effect of such amendment would be to reduce the rate of interest on any Loan or L/C Obligation or to reduce any fee payable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change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(or amend any other term of the Loan Documents that would have the effect of changing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in a manner that would alter the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sharing of payments or order of application required thereby without the written consent of each Lender directly and adversely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otherwise permitted by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change any provision of this Section or reduce the percentages specified in the definitions of “Required Lenders,” “Required Revolving Credit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consent to the assignment or transfer by any Credit Party of such Credit Party’s rights and obligations under any Loan Document to which it is a party (except as permitted pursuant to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in each case, without the written consent of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any greater restriction on the ability of any Lender under any Class to assign any of its rights or obligations hereunder without the written consent of the Required Lenders under such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release (i) Holdings, (ii) all of the Subsidiary Guarantors or Subsidiary Borrowers or (iii) Subsidiary Guarantors or Subsidiary Borrowers comprising all or substantially all of the credit support for the Secured Obligations, in any case, from any Guaranty Agreement or any of their respective obligations hereunder, without the written consent of each Secured Party party hereto; </w:t>
      </w:r>
      <w:r>
        <w:rPr>
          <w:rFonts w:ascii="Times New Roman;Times;Serif" w:hAnsi="Times New Roman;Times;Serif"/>
          <w:b w:val="false"/>
          <w:i w:val="false"/>
          <w:caps w:val="false"/>
          <w:smallCaps w:val="false"/>
          <w:strike/>
          <w:color w:val="FF0000"/>
          <w:sz w:val="20"/>
        </w:rPr>
        <w:t>or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release or subordinate all or substantially all of the Collateral or release or subordinate any Security Document (or any Lien created thereby) which would have the effect of releasing all or substantially all of the Collateral without the written consent of each Lender; </w:t>
      </w:r>
      <w:r>
        <w:rPr>
          <w:rFonts w:ascii="Times New Roman;Times;Serif" w:hAnsi="Times New Roman;Times;Serif"/>
          <w:b w:val="false"/>
          <w:i w:val="false"/>
          <w:caps w:val="false"/>
          <w:smallCaps w:val="false"/>
          <w:color w:val="0000FF"/>
          <w:sz w:val="20"/>
          <w:u w:val="single"/>
        </w:rPr>
        <w: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(l) change Section 2.10(b)(iv) (or amend any other term of the Loan Documents that would have the effect of changing Section 2.10(b)(iv)) in a manner that would alter the order of application of amounts prepaid pursuant thereto without the written consent of each Lender directly and adversely affected thereby;</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 no amendment, waiver or consent shall, unless in writing and signed by each affected Issuing Lender in addition to the Lenders required above, affect the rights or duties of such Issuing Lender under this Agreement or any Letter of Credit Documents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or modify </w:t>
      </w:r>
      <w:r>
        <w:rPr>
          <w:rFonts w:ascii="Times New Roman;Times;Serif" w:hAnsi="Times New Roman;Times;Serif"/>
          <w:b w:val="false"/>
          <w:i w:val="false"/>
          <w:caps w:val="false"/>
          <w:smallCaps w:val="false"/>
          <w:sz w:val="20"/>
          <w:u w:val="single"/>
        </w:rPr>
        <w:t>Section 11.1(e)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11.20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hereof; (iv) each Fee Letter may be amended, or rights or privileges thereunder waived, in a writing executed only by the parties thereto, (v) each Letter of Credit Document may be amended, or rights or privileges thereunder waived, in a writing executed only by the parties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copy of such amended Letter of Credit Document shall be promptly delivered to the Administrative Agent upon such amendment or waiver, (vi)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and the requisite percentage in interest of the affected Class of Lenders that would be required to consent thereto under this Section if such Class of Lenders were the only Class of Lenders hereunder at the time, (vii) the Administrative Agent and the Borrowers shall be permitted to amend any provision of the Loan Documents (and such amendment shall become effective without any further action or consent of any other party to any Loan Document) if the Administrative Agent and the Borrowers shall have jointly identified an obvious error or any error, ambiguity, defect or inconsistency or omission of a technical or immaterial nature in any such provision and (viii) the Administrative Agent (and, if applicable, the Borrowers)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 xml:space="preserve"> in accordance with the terms of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each Lender hereby irrevocably authorizes the Administrative Agent on its behalf, and without further consent of any Lender (but with the consent of the Borrowers and the Administrative Agent), to (x) amend and restate this Agreement and the other Loan Documents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(y) enter into amendments or modifications to this Agreement (including amendments to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or any of the other Loan Documents or to enter into additional Loan Documents as the Administrative Agent reasonably deems appropriate in order to effectuate the terms of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(including as applicable, (1) to permit the Incremental Increases to share ratably in the benefits of this Agreement and the other Loan Documents, (2) to include an Incremental Increase, as applicable, in any determination of (i) Required Lenders or Required Revolving Credit Lenders, as applicable or (ii) similar required lender terms applicable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amendment or modification shall result in any increase in the amount of any Lender’s Commitment or any increase in any Lender’s Commitment Percentage, in each case, without the written consent of such affected Lender</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 (3) to make amendments to any outstanding tranche of Term Loans to permit any Incremental Term Commitments and Incremental Term Loans to be “fungible” (including for purposes of the Code) with such tranche of Term Loans, including increases in the Applicable Margin or any fees payable to such outstanding tranche of Term Loans or providing such outstanding tranche of Term Loans with the benefit of any call protection or covenants that are applicable to the proposed Incremental Term Commitments or Incremental Term Loans; provided that any such amendments or modifications to such outstanding tranche of Term Loans shall not directly adversely affect the Lenders holding such tranche of Term Loans without their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Expenses; Indemnity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The Borrowers and any other Credit Party, jointly and severally, shall pay (i) all reasonable out of pocket expenses incurred by the Administrative Agent and its Affiliates (including the reasonable fees, charges and disbursements of counsel for the Administrative Agent),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any Issuing Lender in connection with the issuance, amendment, renewal or extension of any Letter of Credit or any demand for payment thereunder and (iii) all out of pocket expenses incurred by the Administrative Agent, any Lender or any Issuing Lender (including the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the Borrowers</w:t>
      </w:r>
      <w:r>
        <w:rPr>
          <w:rFonts w:ascii="Times New Roman;Times;Serif" w:hAnsi="Times New Roman;Times;Serif"/>
          <w:b w:val="false"/>
          <w:i w:val="false"/>
          <w:caps w:val="false"/>
          <w:smallCaps w:val="false"/>
          <w:sz w:val="20"/>
        </w:rPr>
        <w:t>. Each Borrower, jointly and severally, does hereby, and shall, indemnify the Administrative Agent (and any sub-agent thereof), each Arranger, each Lender and each Issuing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and hold each Indemnitee harmless from, and shall pay or reimburse any such Indemnitee for, any and all losses, claims (including any Environmental Claims), penalties, damages, liabilities and related expenses (including the fees, charges and disbursements of any counsel for any Indemnitee), incurred by any Indemnitee or asserted against any Indemnitee by any Person (including any Borrower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reasonable attorneys and consultant’s fees,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w:t>
      </w:r>
      <w:r>
        <w:rPr>
          <w:rFonts w:ascii="Times New Roman;Times;Serif" w:hAnsi="Times New Roman;Times;Serif"/>
          <w:b w:val="false"/>
          <w:i w:val="false"/>
          <w:caps w:val="false"/>
          <w:smallCaps w:val="false"/>
          <w:sz w:val="20"/>
          <w:u w:val="single"/>
        </w:rPr>
        <w:t>Section 11.3(b)</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etc. arising from any non-Tax claim.</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Reimbursement by Lenders</w:t>
      </w:r>
      <w:r>
        <w:rPr>
          <w:rFonts w:ascii="Times New Roman;Times;Serif" w:hAnsi="Times New Roman;Times;Serif"/>
          <w:b w:val="false"/>
          <w:i w:val="false"/>
          <w:caps w:val="false"/>
          <w:smallCaps w:val="false"/>
          <w:sz w:val="20"/>
        </w:rPr>
        <w:t xml:space="preserve">. To the extent that the Borrowers for any reason fail to indefeasibly pay any amount required under clause (a) or (b) of this Section to be paid by it to the Administrative Agent (or any sub-agent thereof), any Arranger, any Issuing Lender, the Swingline Lender or any Related Party of any of the foregoing, each Lender severally agrees to pay to the Administrative Agent (or any such sub-agent), such Arranger, such Issuing Lender, the Swingline Lender or such Related Party, as the case may be, such Lender’s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(or any such sub-agent), such Arranger, such Issuing Lender or the Swingline Lender in its capacity as such, or against any Related Party of any of the foregoing acting for the Administrative Agent (or any such sub-agent), such Arranger, such Issuing Lender or the Swingline Lender in connection with such capacity. The obligations of the Lenders under this clause (c) are subject to the provisions of </w:t>
      </w:r>
      <w:r>
        <w:rPr>
          <w:rFonts w:ascii="Times New Roman;Times;Serif" w:hAnsi="Times New Roman;Times;Serif"/>
          <w:b w:val="false"/>
          <w:i w:val="false"/>
          <w:caps w:val="false"/>
          <w:smallCaps w:val="false"/>
          <w:sz w:val="20"/>
          <w:u w:val="single"/>
        </w:rPr>
        <w:t>Section 4.7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Waiver of Consequential Damages, Etc.</w:t>
      </w:r>
      <w:r>
        <w:rPr>
          <w:rFonts w:ascii="Times New Roman;Times;Serif" w:hAnsi="Times New Roman;Times;Serif"/>
          <w:b w:val="false"/>
          <w:i w:val="false"/>
          <w:caps w:val="false"/>
          <w:smallCaps w:val="false"/>
          <w:sz w:val="20"/>
        </w:rPr>
        <w:t xml:space="preserve"> To the fullest extent permitted by Applicable Law, no Borrower and no other Credit Party shall assert, and each Borrower and each other Credit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All amounts due under this Section shall be payable promptly after demand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Each party’s obligations under this Section shall survive the termination of the Loan Documents and payment of the obligations hereunder.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each Issuing Lender, the Swingline Lender and each of 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the Borrowers or any other Credit Party against any and all of the obligations of the Borrowers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Borrowers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or any Affiliate thereof shall exercise any such right of setoff, (x) all amounts so setoff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and, pending such payment, shall be segregated by such Defaulting Lender or Affiliate of a Defaulting Lender from its other funds and deemed held in trust for the benefit of the Administrative Agent, the Issuing Lenders, the Swingline Lender and the Lenders, and (y) the Defaulting Lender or its Affiliate shall provide promptly to the Administrative Agent a statement describing in reasonable detail the Secured Obligations owing to such Defaulting Lender or any of its Affiliates as to which such right of setoff was exercised.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Administrative Borrower and the Administrative Agent promptly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Governing Law; Jurisdiction,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Each Borrower and each other Credit Party irrevocably and unconditionally agree that it will not commence any action, litigation or proceeding of any kind or description, whether in law or equity, whether in contract or in tort or otherwise, against the Administrative Agent, any Arranger,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any Borrower or any other Credit Party or their properties in the courts of any jurisdiction.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Waiver of Venue</w:t>
      </w:r>
      <w:r>
        <w:rPr>
          <w:rFonts w:ascii="Times New Roman;Times;Serif" w:hAnsi="Times New Roman;Times;Serif"/>
          <w:b w:val="false"/>
          <w:i w:val="false"/>
          <w:caps w:val="false"/>
          <w:smallCaps w:val="false"/>
          <w:sz w:val="20"/>
        </w:rPr>
        <w:t>. Each Borrower and each other Credit Party irrevocably and unconditionally waives to the fullest extent permitted by Applicable Law, any objection that they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xml:space="preserve">. Each party hereto irrevocably consents to service of process in the manner provided for notices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w:t>
      </w:r>
      <w:r>
        <w:rPr>
          <w:rFonts w:ascii="Times New Roman;Times;Serif" w:hAnsi="Times New Roman;Times;Serif"/>
          <w:b w:val="false"/>
          <w:i w:val="false"/>
          <w:caps w:val="false"/>
          <w:smallCaps w:val="false"/>
          <w:sz w:val="20"/>
          <w:u w:val="single"/>
        </w:rPr>
        <w:t>Reversal of Payments</w:t>
      </w:r>
      <w:r>
        <w:rPr>
          <w:rFonts w:ascii="Times New Roman;Times;Serif" w:hAnsi="Times New Roman;Times;Serif"/>
          <w:b w:val="false"/>
          <w:i w:val="false"/>
          <w:caps w:val="false"/>
          <w:smallCaps w:val="false"/>
          <w:sz w:val="20"/>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(or its applicable Affiliate’s) applicable ratable share (without duplication) of any amount so recovered from or repaid by the Administrative Agent plus interest thereon at a per annum rate equal to the Overnight Rate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11.8 </w:t>
      </w:r>
      <w:r>
        <w:rPr>
          <w:rFonts w:ascii="Times New Roman;Times;Serif" w:hAnsi="Times New Roman;Times;Serif"/>
          <w:b w:val="false"/>
          <w:i w:val="false"/>
          <w:caps w:val="false"/>
          <w:smallCaps w:val="false"/>
          <w:sz w:val="20"/>
          <w:u w:val="single"/>
        </w:rPr>
        <w:t>Injunctive Relief</w:t>
      </w:r>
      <w:r>
        <w:rPr>
          <w:rFonts w:ascii="Times New Roman;Times;Serif" w:hAnsi="Times New Roman;Times;Serif"/>
          <w:b w:val="false"/>
          <w:i w:val="false"/>
          <w:caps w:val="false"/>
          <w:smallCaps w:val="false"/>
          <w:sz w:val="20"/>
        </w:rPr>
        <w:t>. Each Borrower recognizes that, in the event any Borrower fails to perform, observe or discharge any of its obligations or liabilities under this Agreement, any remedy of law may prove to be inadequate relief to the Lenders. Therefore, each Borrower agrees that the Lenders, at the Lenders’ option, shall be entitled to temporary and permanent injunctive relief in any such case without the necessity of proving actual damages.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11.9 </w:t>
      </w:r>
      <w:r>
        <w:rPr>
          <w:rFonts w:ascii="Times New Roman;Times;Serif" w:hAnsi="Times New Roman;Times;Serif"/>
          <w:b w:val="false"/>
          <w:i w:val="false"/>
          <w:caps w:val="false"/>
          <w:smallCaps w:val="false"/>
          <w:sz w:val="20"/>
          <w:u w:val="single"/>
        </w:rPr>
        <w:t>Successors and Assigns; Participations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Successors and Assigns Generally</w:t>
      </w:r>
      <w:r>
        <w:rPr>
          <w:rFonts w:ascii="Times New Roman;Times;Serif" w:hAnsi="Times New Roman;Times;Serif"/>
          <w:b w:val="false"/>
          <w:i w:val="false"/>
          <w:caps w:val="false"/>
          <w:smallCaps w:val="false"/>
          <w:sz w:val="20"/>
        </w:rPr>
        <w:t>. The provisions of this Agreement shall be binding upon and inure to the benefit of the parties hereto and their respective successors and assigns permitted hereby, except that no Borrower and no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Arrangers, the Related Parties of each of the Administrative Agent, the Arrangers and the Lenders) any legal or equitable right, remedy or claim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Assignments by Lenders</w:t>
      </w:r>
      <w:r>
        <w:rPr>
          <w:rFonts w:ascii="Times New Roman;Times;Serif" w:hAnsi="Times New Roman;Times;Serif"/>
          <w:b w:val="false"/>
          <w:i w:val="false"/>
          <w:caps w:val="false"/>
          <w:smallCaps w:val="false"/>
          <w:sz w:val="20"/>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with respect to any Credit Facility, any such assignment shall be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Minimum Amounts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assignment of the entire remaining amount of the assigning Lender’s Commitment and/or the Loans at the time owing to it (in each case with respect to any Credit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w:t>
      </w:r>
      <w:r>
        <w:rPr>
          <w:rFonts w:ascii="Times New Roman;Times;Serif" w:hAnsi="Times New Roman;Times;Serif"/>
          <w:b w:val="false"/>
          <w:i w:val="false"/>
          <w:caps w:val="false"/>
          <w:smallCaps w:val="false"/>
          <w:color w:val="0000FF"/>
          <w:sz w:val="20"/>
          <w:u w:val="single"/>
        </w:rPr>
        <w:t xml:space="preserve">or $1,000,000, in the case of any assignment in respect of the Term Loan Facility, </w:t>
      </w:r>
      <w:r>
        <w:rPr>
          <w:rFonts w:ascii="Times New Roman;Times;Serif" w:hAnsi="Times New Roman;Times;Serif"/>
          <w:b w:val="false"/>
          <w:i w:val="false"/>
          <w:caps w:val="false"/>
          <w:smallCaps w:val="false"/>
          <w:sz w:val="20"/>
        </w:rPr>
        <w:t xml:space="preserve">unless each of the Administrative Agent and, so long as no Event of Default has occurred and is continuing, the Administrative Borrower otherwise consents (such consent not to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Borrower shall be deemed to have given its consent five (5) Business Days after the date written notice thereof has been delivered by the assigning Lender (through the Administrative Agent) unless such consent is expressly refused by the Administrative Borrower prior to such fifth (5th) Business Day;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Proportionate Amounts</w:t>
      </w:r>
      <w:r>
        <w:rPr>
          <w:rFonts w:ascii="Times New Roman;Times;Serif" w:hAnsi="Times New Roman;Times;Serif"/>
          <w:b w:val="false"/>
          <w:i w:val="false"/>
          <w:caps w:val="false"/>
          <w:smallCaps w:val="false"/>
          <w:sz w:val="20"/>
        </w:rPr>
        <w:t>. Each partial assignment shall be made as an assignment of a proportionate part of all the assigning Lender’s rights and obligations under this Agreement with respect to the Loan or the Commitment assigned;</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 No consent shall be required for any assignment except to the extent required by paragraph (b)(i)(B) of this Section and, in addition: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consent of the Administrative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Administrative Borrower shall be deemed to have consented to any such assignment unless it shall object thereto by written notice to the Administrative Agent within 5 Business Days after having received notice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consent of the Administrative Agent (such consent not to be unreasonably withheld or delayed) shall be required for assignments in respect of </w:t>
      </w:r>
      <w:r>
        <w:rPr>
          <w:rFonts w:ascii="Times New Roman;Times;Serif" w:hAnsi="Times New Roman;Times;Serif"/>
          <w:b w:val="false"/>
          <w:i w:val="false"/>
          <w:caps w:val="false"/>
          <w:smallCaps w:val="false"/>
          <w:color w:val="0000FF"/>
          <w:sz w:val="20"/>
          <w:u w:val="single"/>
        </w:rPr>
        <w:t xml:space="preserve">(i) </w:t>
      </w:r>
      <w:r>
        <w:rPr>
          <w:rFonts w:ascii="Times New Roman;Times;Serif" w:hAnsi="Times New Roman;Times;Serif"/>
          <w:b w:val="false"/>
          <w:i w:val="false"/>
          <w:caps w:val="false"/>
          <w:smallCaps w:val="false"/>
          <w:sz w:val="20"/>
        </w:rPr>
        <w:t xml:space="preserve">the Revolving Credit Facility if such assignment is to a Person that is not a Lender with a Revolving Credit Commitment </w:t>
      </w:r>
      <w:r>
        <w:rPr>
          <w:rFonts w:ascii="Times New Roman;Times;Serif" w:hAnsi="Times New Roman;Times;Serif"/>
          <w:b w:val="false"/>
          <w:i w:val="false"/>
          <w:caps w:val="false"/>
          <w:smallCaps w:val="false"/>
          <w:color w:val="0000FF"/>
          <w:sz w:val="20"/>
          <w:u w:val="single"/>
        </w:rPr>
        <w:t>or (ii) the Term Loans to a Person who is not a Lender, an Affiliate of a Lender or an Approved Fund</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consents of the Issuing Lenders and the Swingline Lender (such consents not to be unreasonably withheld or delayed) shall be required for any assignment in respect of the Revolving Credit Facility.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The parties to each assignment shall execute and deliver to the Administrative Agent an Assignment and Assumption, together with a processing and recordation fee of $3,500 for each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Assignment to Certain Persons</w:t>
      </w:r>
      <w:r>
        <w:rPr>
          <w:rFonts w:ascii="Times New Roman;Times;Serif" w:hAnsi="Times New Roman;Times;Serif"/>
          <w:b w:val="false"/>
          <w:i w:val="false"/>
          <w:caps w:val="false"/>
          <w:smallCaps w:val="false"/>
          <w:sz w:val="20"/>
        </w:rPr>
        <w:t>. No such assignment shall be made to (A) any Borrower, any other Credit Party or any Subsidiary or Affiliate of any Credit Party, (B) a natural Person (or a holding company, investment vehicle or trust for, or owned and operated for the primary benefit of, a natural Person) or (C) any Defaulting Lender or any of its Subsidiaries, or any Person who, upon becoming a Lender hereunder, would constitute any of the foregoing Persons described in this clause (v).</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Certain Additional Payments</w:t>
      </w:r>
      <w:r>
        <w:rPr>
          <w:rFonts w:ascii="Times New Roman;Times;Serif" w:hAnsi="Times New Roman;Times;Serif"/>
          <w:b w:val="false"/>
          <w:i w:val="false"/>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Administrative Borrower and the Administrative Agent, the applicable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4.8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11.3</w:t>
      </w:r>
      <w:r>
        <w:rPr>
          <w:rFonts w:ascii="Times New Roman;Times;Serif" w:hAnsi="Times New Roman;Times;Serif"/>
          <w:b w:val="false"/>
          <w:i w:val="false"/>
          <w:caps w:val="false"/>
          <w:smallCaps w:val="false"/>
          <w:sz w:val="20"/>
        </w:rPr>
        <w:t xml:space="preserve"> with respect to facts and circumstances occurring prior to the effective date of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a Borrower or any Borrower’s Subsidiary or Affiliate, which shall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Administrative Agent, acting solely for this purpose as a non-fiduciary agent of the Borrowers, shall maintain at one of its offices in Charlotte, North Carolina, a register for the recordation of the names and addresses of the Lenders, and the Commitments of, and principal amounts of (and stated interest on) the Loans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(but only to the extent of entries in the Register that are applicable to such Lender), at any reasonable time and from time to time upon reasonable prior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Any Lender may at any time, without the consent of, or notice to, the Borrowers, the Administrative Agent, any Issuing Lender or the Swingline Lender, sell participations to any Person (other than a natural Person, (or a holding company, investment vehicle or trust for, or owned and operated for the primary benefit of, a natural Person, a Borrower or any Subsidiary or Affiliate of a Borrower) (each,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Borrowers, the Administrative Agent, each Issuing Lender, the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Times;Serif" w:hAnsi="Times New Roman;Times;Serif"/>
          <w:b w:val="false"/>
          <w:i w:val="false"/>
          <w:caps w:val="false"/>
          <w:smallCaps w:val="false"/>
          <w:sz w:val="20"/>
          <w:u w:val="single"/>
        </w:rPr>
        <w:t>Section 11.3(c)</w:t>
      </w:r>
      <w:r>
        <w:rPr>
          <w:rFonts w:ascii="Times New Roman;Times;Serif" w:hAnsi="Times New Roman;Times;Serif"/>
          <w:b w:val="false"/>
          <w:i w:val="false"/>
          <w:caps w:val="false"/>
          <w:smallCaps w:val="false"/>
          <w:sz w:val="20"/>
        </w:rPr>
        <w:t xml:space="preserve"> with respect to any payments made by such Lender to its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that directly and adversely affects such Participant. The Borrowers agree that each Participant shall be entitled to the benefits of </w:t>
      </w:r>
      <w:r>
        <w:rPr>
          <w:rFonts w:ascii="Times New Roman;Times;Serif" w:hAnsi="Times New Roman;Times;Serif"/>
          <w:b w:val="false"/>
          <w:i w:val="false"/>
          <w:caps w:val="false"/>
          <w:smallCaps w:val="false"/>
          <w:sz w:val="20"/>
          <w:u w:val="single"/>
        </w:rPr>
        <w:t>Sections 4.9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4.11(g)</w:t>
      </w:r>
      <w:r>
        <w:rPr>
          <w:rFonts w:ascii="Times New Roman;Times;Serif" w:hAnsi="Times New Roman;Times;Serif"/>
          <w:b w:val="false"/>
          <w:i w:val="false"/>
          <w:caps w:val="false"/>
          <w:smallCaps w:val="false"/>
          <w:sz w:val="20"/>
        </w:rPr>
        <w:t xml:space="preserve"> (it being understood that the documentation required under </w:t>
      </w:r>
      <w:r>
        <w:rPr>
          <w:rFonts w:ascii="Times New Roman;Times;Serif" w:hAnsi="Times New Roman;Times;Serif"/>
          <w:b w:val="false"/>
          <w:i w:val="false"/>
          <w:caps w:val="false"/>
          <w:smallCaps w:val="false"/>
          <w:sz w:val="20"/>
          <w:u w:val="single"/>
        </w:rPr>
        <w:t>Section 4.11(g)</w:t>
      </w:r>
      <w:r>
        <w:rPr>
          <w:rFonts w:ascii="Times New Roman;Times;Serif" w:hAnsi="Times New Roman;Times;Serif"/>
          <w:b w:val="false"/>
          <w:i w:val="false"/>
          <w:caps w:val="false"/>
          <w:smallCaps w:val="false"/>
          <w:sz w:val="20"/>
        </w:rPr>
        <w:t xml:space="preserve"> shall be delivered to the participating Lender)) to the same extent as if it were a Lender and had acquired its interest by assignment pursuant to paragraph (b)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as if it were an assignee under paragraph (b) of this Section; and (B) shall not be entitled to receive any greater payment under </w:t>
      </w:r>
      <w:r>
        <w:rPr>
          <w:rFonts w:ascii="Times New Roman;Times;Serif" w:hAnsi="Times New Roman;Times;Serif"/>
          <w:b w:val="false"/>
          <w:i w:val="false"/>
          <w:caps w:val="false"/>
          <w:smallCaps w:val="false"/>
          <w:sz w:val="20"/>
          <w:u w:val="single"/>
        </w:rPr>
        <w:t>Sections 4.10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4.11</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xml:space="preserve">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agrees to be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xml:space="preserve"> as though it were a Lender.</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Cashless Settlement</w:t>
      </w:r>
      <w:r>
        <w:rPr>
          <w:rFonts w:ascii="Times New Roman;Times;Serif" w:hAnsi="Times New Roman;Times;Serif"/>
          <w:b w:val="false"/>
          <w:i w:val="false"/>
          <w:caps w:val="false"/>
          <w:smallCaps w:val="false"/>
          <w:sz w:val="20"/>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11.10 </w:t>
      </w:r>
      <w:r>
        <w:rPr>
          <w:rFonts w:ascii="Times New Roman;Times;Serif" w:hAnsi="Times New Roman;Times;Serif"/>
          <w:b w:val="false"/>
          <w:i w:val="false"/>
          <w:caps w:val="false"/>
          <w:smallCaps w:val="false"/>
          <w:sz w:val="20"/>
          <w:u w:val="single"/>
        </w:rPr>
        <w:t>Treatment of Certain Information; Confidentiality</w:t>
      </w:r>
      <w:r>
        <w:rPr>
          <w:rFonts w:ascii="Times New Roman;Times;Serif" w:hAnsi="Times New Roman;Times;Serif"/>
          <w:b w:val="false"/>
          <w:i w:val="false"/>
          <w:caps w:val="false"/>
          <w:smallCaps w:val="false"/>
          <w:sz w:val="20"/>
        </w:rPr>
        <w:t xml:space="preserve">. Each of the Administrative Agent, the Lenders and each Issuing Lender agrees to maintain the confidentiality of the Information (as defined below), except that Information may be disclosed (a) to its Affiliates and to its and its Affiliates’ respective Related Parties in connection with the Credit Facility, this Agreement, the transactions contemplated hereby or in connection with marketing of services by such Affiliate or Related Party to Holdings or any of its Subsidiaries (it being understood that (i) the Persons to whom such disclosure is made will be informed of the confidential nature of such Information and instructed to keep such Information confidential, and (ii) as to any such Affiliate, such Affiliate shall have agreed to receive such information hereunder subject to the terms of this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or in accordance with the Administrative Agent’s, such Issuing Lender’s or any Lender’s regulatory compliance policy if the Administrative Agent, such Issuing Lender or such Lender, as applicable, deems such disclosure to be necessary for the mitigation of claims by those authorities against the Administrative Agent, such Issuing Lender or such Lender, as applicable, or any of its Related Parties (in which case, the Administrative Agent, such Issuing Lender or such Lender, as applicable, shall use commercially reasonable efforts to, except with respect to any audit or examination conducted by bank accountants or any governmental bank regulatory authority exercising examination or regulatory authority, promptly notify the Administrative Borrower, in advance, to the extent practicable and otherwise permitted by Applicable Law), (c) as to the extent required by Applicable Laws or regulations or in any legal, judicial, administrative proceeding or other compulsory process, (d) to any other party hereto, (e)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and, in each case, their respective financing sources, (ii) any actual or prospective party (or its Related Parties) to any swap, derivative or other transaction under which payments are to be made by reference to any Borrower and its obligations, this Agreement or payments hereunder, (iii) an investor or prospective investor in an Approved Fund that also agrees that Information shall be used solely for the purpose of evaluating an investment in such Approved Fund, (iv) a trustee, collateral manager, servicer, backup servicer, noteholder or secured party in an Approved Fund in connection with the administration, servicing and reporting on the assets serving as collateral for an Approved Fund, or (v) a nationally recognized rating agency that requires access to information regarding Holdings and its Subsidiaries, the Loans and the Loan Documents in connection with ratings issued with respect to an Approved Fund, (g) on a confidential basis to (i) any rating agency in connection with rating Holdings or its Subsidiaries or the Credit Facility or (ii) the CUSIP Service Bureau or any similar agency in connection with the issuance and monitoring of CUSIP numbers with respect to the Credit Facility, (h) with the consent of the Administrative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Borrowers, (k) to the extent that such information is independently developed by such Person, (l) to the extent required by an insurance company in connection with providing insurance coverage or providing reimbursement pursuant to this Agreement or (m) for purposes of establishing a “due diligence” defense. For purposes of this Section,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any governmental, regulatory or self-regulatory authority </w:t>
      </w:r>
      <w:r>
        <w:rPr>
          <w:rFonts w:ascii="Times New Roman;Times;Serif" w:hAnsi="Times New Roman;Times;Serif"/>
          <w:b w:val="false"/>
          <w:i w:val="false"/>
          <w:caps w:val="false"/>
          <w:smallCaps w:val="false"/>
          <w:color w:val="0000FF"/>
          <w:sz w:val="20"/>
          <w:u w:val="single"/>
        </w:rPr>
        <w:t>without any notification to any Person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11.11 </w:t>
      </w:r>
      <w:r>
        <w:rPr>
          <w:rFonts w:ascii="Times New Roman;Times;Serif" w:hAnsi="Times New Roman;Times;Serif"/>
          <w:b w:val="false"/>
          <w:i w:val="false"/>
          <w:caps w:val="false"/>
          <w:smallCaps w:val="false"/>
          <w:sz w:val="20"/>
          <w:u w:val="single"/>
        </w:rPr>
        <w:t>Performance of Duties</w:t>
      </w:r>
      <w:r>
        <w:rPr>
          <w:rFonts w:ascii="Times New Roman;Times;Serif" w:hAnsi="Times New Roman;Times;Serif"/>
          <w:b w:val="false"/>
          <w:i w:val="false"/>
          <w:caps w:val="false"/>
          <w:smallCaps w:val="false"/>
          <w:sz w:val="20"/>
        </w:rPr>
        <w:t>. Each of the Credit Party’s obligations under this Agreement and each of the other Loan Documents shall be performed by such Credit Party at its sole cost and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11.12 </w:t>
      </w:r>
      <w:r>
        <w:rPr>
          <w:rFonts w:ascii="Times New Roman;Times;Serif" w:hAnsi="Times New Roman;Times;Serif"/>
          <w:b w:val="false"/>
          <w:i w:val="false"/>
          <w:caps w:val="false"/>
          <w:smallCaps w:val="false"/>
          <w:sz w:val="20"/>
          <w:u w:val="single"/>
        </w:rPr>
        <w:t>All Powers Coupled with Interest</w:t>
      </w:r>
      <w:r>
        <w:rPr>
          <w:rFonts w:ascii="Times New Roman;Times;Serif" w:hAnsi="Times New Roman;Times;Serif"/>
          <w:b w:val="false"/>
          <w:i w:val="false"/>
          <w:caps w:val="false"/>
          <w:smallCaps w:val="false"/>
          <w:sz w:val="20"/>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(other than contingent indemnification obligations not then due), any of the Commitments remain in effect or the Credit Facility has not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representations and warranties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and all representations and warranties contained in any certificate,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termination of this Agreement, the indemnities to which the Administrative Agent and the Lenders are entitled under the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any other provision of this Agreement and the other Loan Documents shall continue in full force and effect and shall protect the Administrative Agent and the Lenders against events arising after such termination as well as before.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11.14 </w:t>
      </w:r>
      <w:r>
        <w:rPr>
          <w:rFonts w:ascii="Times New Roman;Times;Serif" w:hAnsi="Times New Roman;Times;Serif"/>
          <w:b w:val="false"/>
          <w:i w:val="false"/>
          <w:caps w:val="false"/>
          <w:smallCaps w:val="false"/>
          <w:sz w:val="20"/>
          <w:u w:val="single"/>
        </w:rPr>
        <w:t>Titles and Captions</w:t>
      </w:r>
      <w:r>
        <w:rPr>
          <w:rFonts w:ascii="Times New Roman;Times;Serif" w:hAnsi="Times New Roman;Times;Serif"/>
          <w:b w:val="false"/>
          <w:i w:val="false"/>
          <w:caps w:val="false"/>
          <w:smallCaps w:val="false"/>
          <w:sz w:val="20"/>
        </w:rPr>
        <w:t>. Titles and captions of Articles, Sections and subsections in, and the table of contents of, this Agreement are for convenience only, and neither limit nor amplify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11.15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and the Borrowers shall negotiate in good faith to amend such provision to preserve the original intent thereof in such jurisdiction (subject to the approval of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11.16 </w:t>
      </w:r>
      <w:r>
        <w:rPr>
          <w:rFonts w:ascii="Times New Roman;Times;Serif" w:hAnsi="Times New Roman;Times;Serif"/>
          <w:b w:val="false"/>
          <w:i w:val="false"/>
          <w:caps w:val="false"/>
          <w:smallCaps w:val="false"/>
          <w:sz w:val="20"/>
          <w:u w:val="single"/>
        </w:rPr>
        <w:t>Counterparts; Integration; Effectiveness; Electronic Execution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Counterparts; Integration; Effectiveness</w:t>
      </w:r>
      <w:r>
        <w:rPr>
          <w:rFonts w:ascii="Times New Roman;Times;Serif" w:hAnsi="Times New Roman;Times;Serif"/>
          <w:b w:val="false"/>
          <w:i w:val="false"/>
          <w:caps w:val="false"/>
          <w:smallCaps w:val="false"/>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any Issuing Lender, the Swingline Lender and/or any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Electronic Execution</w:t>
      </w:r>
      <w:r>
        <w:rPr>
          <w:rFonts w:ascii="Times New Roman;Times;Serif" w:hAnsi="Times New Roman;Times;Serif"/>
          <w:b w:val="false"/>
          <w:i w:val="false"/>
          <w:caps w:val="false"/>
          <w:smallCaps w:val="false"/>
          <w:sz w:val="20"/>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w:t>
      </w:r>
      <w:r>
        <w:rPr>
          <w:rFonts w:ascii="Times New Roman;Times;Serif" w:hAnsi="Times New Roman;Times;Serif"/>
          <w:b w:val="false"/>
          <w:i w:val="false"/>
          <w:caps w:val="false"/>
          <w:smallCaps w:val="false"/>
          <w:color w:val="0000FF"/>
          <w:sz w:val="20"/>
          <w:u w:val="single"/>
        </w:rPr>
        <w:t xml:space="preserve">Communication </w:t>
      </w:r>
      <w:r>
        <w:rPr>
          <w:rFonts w:ascii="Times New Roman;Times;Serif" w:hAnsi="Times New Roman;Times;Serif"/>
          <w:b w:val="false"/>
          <w:i w:val="false"/>
          <w:caps w:val="false"/>
          <w:smallCaps w:val="false"/>
          <w:sz w:val="20"/>
        </w:rPr>
        <w:t xml:space="preserve">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w:t>
      </w:r>
      <w:r>
        <w:rPr>
          <w:rFonts w:ascii="Times New Roman;Times;Serif" w:hAnsi="Times New Roman;Times;Serif"/>
          <w:b w:val="false"/>
          <w:i w:val="false"/>
          <w:caps w:val="false"/>
          <w:smallCaps w:val="false"/>
          <w:color w:val="0000FF"/>
          <w:sz w:val="20"/>
          <w:u w:val="single"/>
        </w:rPr>
        <w:t xml:space="preserve">The Administrative Agent and each of the Credit Parties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w:t>
      </w:r>
      <w:r>
        <w:rPr>
          <w:rFonts w:ascii="Times New Roman;Times;Serif" w:hAnsi="Times New Roman;Times;Serif"/>
          <w:b w:val="false"/>
          <w:i w:val="false"/>
          <w:caps w:val="false"/>
          <w:smallCaps w:val="false"/>
          <w:sz w:val="20"/>
        </w:rPr>
        <w:t xml:space="preserve">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w:t>
      </w:r>
      <w:r>
        <w:rPr>
          <w:rFonts w:ascii="Times New Roman;Times;Serif" w:hAnsi="Times New Roman;Times;Serif"/>
          <w:b w:val="false"/>
          <w:i w:val="false"/>
          <w:caps w:val="false"/>
          <w:smallCaps w:val="false"/>
          <w:color w:val="0000FF"/>
          <w:sz w:val="20"/>
          <w:u w:val="single"/>
        </w:rPr>
        <w:t xml:space="preserve">(1) </w:t>
      </w:r>
      <w:r>
        <w:rPr>
          <w:rFonts w:ascii="Times New Roman;Times;Serif" w:hAnsi="Times New Roman;Times;Serif"/>
          <w:b w:val="false"/>
          <w:i w:val="false"/>
          <w:caps w:val="false"/>
          <w:smallCaps w:val="false"/>
          <w:sz w:val="20"/>
        </w:rPr>
        <w:t>any argument, defense or right to contest the validity or enforceability of the Loan Documents based solely on the lack of paper original copies of any Loan Documents, including with respect to any signature pages thereto</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and (2) any claim against the Administrative Agent, any Lender or any of their Related Parties for liabilities arising solely from the Administrative Agent’s, any Lender’s or any of their Related Parties’ reliance on or use of Electronic Signatures, including any such liabilities arising as a result of the failure of the Credit Parties to use any available security measures in connection with the execution, delivery or transmission of any such Electronic Signature. Each party hereto acknowledges, represents and warrants to the other parties hereto that it has the corporate or other organizational capacity to execute and deliver this Agreement and any other Communication through electronic means as provided for herein and there are no restrictions or other limitations on doing so in such party’s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11.17 </w:t>
      </w:r>
      <w:r>
        <w:rPr>
          <w:rFonts w:ascii="Times New Roman;Times;Serif" w:hAnsi="Times New Roman;Times;Serif"/>
          <w:b w:val="false"/>
          <w:i w:val="false"/>
          <w:caps w:val="false"/>
          <w:smallCaps w:val="false"/>
          <w:sz w:val="20"/>
          <w:u w:val="single"/>
        </w:rPr>
        <w:t>Term of Agreement</w:t>
      </w:r>
      <w:r>
        <w:rPr>
          <w:rFonts w:ascii="Times New Roman;Times;Serif" w:hAnsi="Times New Roman;Times;Serif"/>
          <w:b w:val="false"/>
          <w:i w:val="false"/>
          <w:caps w:val="false"/>
          <w:smallCaps w:val="false"/>
          <w:sz w:val="20"/>
        </w:rPr>
        <w:t>. This Agreement shall remain in effect from the Closing Date through and including the date upon which all Obligations (other than contingent indemnification obligations not then due) arising hereunder or under any other Loan Document shall have been paid and satisfied in full in cash, all Letters of Credit have been terminated or expired and the Commitments have been terminated. No termination of this Agreement shall affect the rights and obligations of the parties hereto arising prior to such termination or in respect of any provision of this Agreement which survives such termination.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11.18 </w:t>
      </w:r>
      <w:r>
        <w:rPr>
          <w:rFonts w:ascii="Times New Roman;Times;Serif" w:hAnsi="Times New Roman;Times;Serif"/>
          <w:b w:val="false"/>
          <w:i w:val="false"/>
          <w:caps w:val="false"/>
          <w:smallCaps w:val="false"/>
          <w:sz w:val="20"/>
          <w:u w:val="single"/>
        </w:rPr>
        <w:t>USA PATRIOT Act; Anti-Money Laundering Laws</w:t>
      </w:r>
      <w:r>
        <w:rPr>
          <w:rFonts w:ascii="Times New Roman;Times;Serif" w:hAnsi="Times New Roman;Times;Serif"/>
          <w:b w:val="false"/>
          <w:i w:val="false"/>
          <w:caps w:val="false"/>
          <w:smallCaps w:val="false"/>
          <w:sz w:val="20"/>
        </w:rPr>
        <w:t>. The Administrative Agent and each Lender hereby notifies each Borrower that pursuant to the requirements of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PATRIOT Act or such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11.19 </w:t>
      </w:r>
      <w:r>
        <w:rPr>
          <w:rFonts w:ascii="Times New Roman;Times;Serif" w:hAnsi="Times New Roman;Times;Serif"/>
          <w:b w:val="false"/>
          <w:i w:val="false"/>
          <w:caps w:val="false"/>
          <w:smallCaps w:val="false"/>
          <w:sz w:val="20"/>
          <w:u w:val="single"/>
        </w:rPr>
        <w:t>Independent Effect of Covenants</w:t>
      </w:r>
      <w:r>
        <w:rPr>
          <w:rFonts w:ascii="Times New Roman;Times;Serif" w:hAnsi="Times New Roman;Times;Serif"/>
          <w:b w:val="false"/>
          <w:i w:val="false"/>
          <w:caps w:val="false"/>
          <w:smallCaps w:val="false"/>
          <w:sz w:val="20"/>
        </w:rPr>
        <w:t xml:space="preserve">. Each Borrower expressly acknowledges and agrees that each covenant contained in </w:t>
      </w:r>
      <w:r>
        <w:rPr>
          <w:rFonts w:ascii="Times New Roman;Times;Serif" w:hAnsi="Times New Roman;Times;Serif"/>
          <w:b w:val="false"/>
          <w:i w:val="false"/>
          <w:caps w:val="false"/>
          <w:smallCaps w:val="false"/>
          <w:sz w:val="20"/>
          <w:u w:val="single"/>
        </w:rPr>
        <w:t>Articles 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hereof shall be given independent effect. Accordingly, no Borrower shall engage in any transaction or other act otherwise permitted under any covenant contained in </w:t>
      </w:r>
      <w:r>
        <w:rPr>
          <w:rFonts w:ascii="Times New Roman;Times;Serif" w:hAnsi="Times New Roman;Times;Serif"/>
          <w:b w:val="false"/>
          <w:i w:val="false"/>
          <w:caps w:val="false"/>
          <w:smallCaps w:val="false"/>
          <w:sz w:val="20"/>
          <w:u w:val="single"/>
        </w:rPr>
        <w:t>Articles 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if before or after giving effect to such transaction or act, any Borrower shall or would be in breach of any other covenant contained in </w:t>
      </w:r>
      <w:r>
        <w:rPr>
          <w:rFonts w:ascii="Times New Roman;Times;Serif" w:hAnsi="Times New Roman;Times;Serif"/>
          <w:b w:val="false"/>
          <w:i w:val="false"/>
          <w:caps w:val="false"/>
          <w:smallCaps w:val="false"/>
          <w:sz w:val="20"/>
          <w:u w:val="single"/>
        </w:rPr>
        <w:t>Articles 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11.20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Affiliates, on the one hand, and the Administrative Agent, the Arrangers and the Lenders, on the other hand, and the Borrowers are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any Borrower or any Borrower’s Affiliates, stockholders, creditors or employees or any other Person, (iii) none of the Administrative Agent, the Arrangers or the Lenders has assumed or will assume an advisory, agency or fiduciary responsibility in favor of any Borrower with respect to any of the transactions contemplated hereby or the process leading thereto, including with respect to any amendment, waiver or other modification hereof or of any other Loan Document (irrespective of whether an Arranger or Lender has advised or is currently advising any Borrower or any Affiliate of any Borrower on other matters) and none of the Administrative Agent, the Arrangers or the Lenders has any obligation to any Borrower or any Affiliate of any Borrower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any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acknowledges and agrees that each Lender, each Arranger and any Affiliate thereof may lend money to, invest in, and generally engage in any kind of business with, any of the Borrowers, any Affiliate thereof or any other Person that may do business with or own securities of any of the foregoing, all as if such Lender, such Arranger or such Affiliate thereof were not a Lender or an Arranger or an Affiliate thereof (or an agent or any other person with any similar role under the Credit Facilities) and without any duty to account therefor to any other Lender, any Arranger, any Borrower or any Affiliate of the foregoing. Each Lender, each Arranger and any Affiliate thereof may accept fees and other consideration from any Borrower or any Affiliate thereof for services in connection with this Agreement, the Credit Facilities or otherwise without having to account for the same to any other Lender, any Arranger, any Borrower or any Affiliate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11.21 </w:t>
      </w:r>
      <w:r>
        <w:rPr>
          <w:rFonts w:ascii="Times New Roman;Times;Serif" w:hAnsi="Times New Roman;Times;Serif"/>
          <w:b w:val="false"/>
          <w:i w:val="false"/>
          <w:caps w:val="false"/>
          <w:smallCaps w:val="false"/>
          <w:sz w:val="20"/>
          <w:u w:val="single"/>
        </w:rPr>
        <w:t>Inconsistencies with Other Documents</w:t>
      </w:r>
      <w:r>
        <w:rPr>
          <w:rFonts w:ascii="Times New Roman;Times;Serif" w:hAnsi="Times New Roman;Times;Serif"/>
          <w:b w:val="false"/>
          <w:i w:val="false"/>
          <w:caps w:val="false"/>
          <w:smallCaps w:val="false"/>
          <w:sz w:val="20"/>
        </w:rPr>
        <w:t xml:space="preserve">. In the event there is a conflict or inconsistency between this Agreement and any other Loan Document, the terms of this Agreement shall control;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provision of the Loan Documents which imposes additional burdens on any Borrower or any Subsidiary or further restricts the rights of any Borrower or any Subsidiary or gives the Administrative Agent or Lenders additional rights shall not be deemed to be in conflict or inconsistent with this Agreement and shall be given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11.22 </w:t>
      </w:r>
      <w:r>
        <w:rPr>
          <w:rFonts w:ascii="Times New Roman;Times;Serif" w:hAnsi="Times New Roman;Times;Serif"/>
          <w:b w:val="false"/>
          <w:i w:val="false"/>
          <w:caps w:val="false"/>
          <w:smallCaps w:val="false"/>
          <w:sz w:val="20"/>
          <w:u w:val="single"/>
        </w:rPr>
        <w:t>Holdings as Agent for Borrowers</w:t>
      </w:r>
      <w:r>
        <w:rPr>
          <w:rFonts w:ascii="Times New Roman;Times;Serif" w:hAnsi="Times New Roman;Times;Serif"/>
          <w:b w:val="false"/>
          <w:i w:val="false"/>
          <w:caps w:val="false"/>
          <w:smallCaps w:val="false"/>
          <w:sz w:val="20"/>
        </w:rPr>
        <w:t>. Each Borrower hereby irrevocably appoints Holdings as the borrowing agent and attorney-in-fact for all Borrowers (the “</w:t>
      </w:r>
      <w:r>
        <w:rPr>
          <w:rFonts w:ascii="Times New Roman;Times;Serif" w:hAnsi="Times New Roman;Times;Serif"/>
          <w:b w:val="false"/>
          <w:i w:val="false"/>
          <w:caps w:val="false"/>
          <w:smallCaps w:val="false"/>
          <w:sz w:val="20"/>
          <w:u w:val="single"/>
        </w:rPr>
        <w:t>Administrative Borrower</w:t>
      </w:r>
      <w:r>
        <w:rPr>
          <w:rFonts w:ascii="Times New Roman;Times;Serif" w:hAnsi="Times New Roman;Times;Serif"/>
          <w:b w:val="false"/>
          <w:i w:val="false"/>
          <w:caps w:val="false"/>
          <w:smallCaps w:val="false"/>
          <w:sz w:val="20"/>
        </w:rPr>
        <w:t xml:space="preserve">”) which appointment shall remain in full force and effect unless and until Administrative Agent shall have received prior written notice signed by each Borrower that such appointment has been revoked and that another Borrower has been appointed Administrative Borrower. Each Borrower hereby irrevocably appoints and authorizes Administrative Borrower (a) to provide Administrative Agent with all notices with respect to Loans and Letters of Credit obtained for the benefit of any Borrower and all other notices, instructions, documents and other deliverables under this Agreement and the other Loan Documents (and each notice, instruction, document and deliverable provided by Administrative Borrower shall be deemed to be given by Borrowers hereunder and shall bind each Borrower), (b) to receive notices and instructions from Secured Parties (and any notice or instruction provided by any Secured Party to Administrative Borrower in accordance with the terms hereof shall be deemed to have been given to each Borrower), (c) to enter into Cash Management Agreements on behalf of Borrowers and their Subsidiaries, (d) to enter amendments, waivers, consents or other modifications of this Agreement, the other Loan Documents and Cash Management Agreements, (e) to take such action as Administrative Borrower deems appropriate on its behalf to obtain Loans and Letters of Credit and (f) to exercise such other powers as are reasonably incidental thereto to carry out the purposes of this Agreement. It is understood that the handling of the deposit accounts identified under Notices of Account Designation, from time to time, and Collateral in a combined fashion, as more fully set forth herein, is done solely as an accommodation to Borrowers in order to utilize the collective borrowing powers of Borrowers in the most efficient and economical manner and at their request, and that Secured Parties shall not incur liability to any Borrower as a result hereof. Each Borrower expects to derive benefit, directly or indirectly, from the handling of such deposit accounts and the Collateral in a combined fashion since the successful operation of each Borrower is dependent on the continued successful performance of the integrated group. To induce the Secured Parties to do so, and in consideration thereof, each Borrower hereby jointly and severally agrees to indemnify each Secured Party and hold each Secured Party harmless against any and all liability, expense, loss or claim of damage or injury, made against any Secured Party by any Borrower or by any third party whosoever, arising from or incurred by reason of (i) the handling of such deposit accounts and Collateral of Borrowers as herein provided, or (ii) the Secured Parties’ relying on any instructions of Administrative Borrower, except that Borrowers will have no liability to the relevant any Related Party of any Secured Party under this </w:t>
      </w:r>
      <w:r>
        <w:rPr>
          <w:rFonts w:ascii="Times New Roman;Times;Serif" w:hAnsi="Times New Roman;Times;Serif"/>
          <w:b w:val="false"/>
          <w:i w:val="false"/>
          <w:caps w:val="false"/>
          <w:smallCaps w:val="false"/>
          <w:sz w:val="20"/>
          <w:u w:val="single"/>
        </w:rPr>
        <w:t>Section 11.22</w:t>
      </w:r>
      <w:r>
        <w:rPr>
          <w:rFonts w:ascii="Times New Roman;Times;Serif" w:hAnsi="Times New Roman;Times;Serif"/>
          <w:b w:val="false"/>
          <w:i w:val="false"/>
          <w:caps w:val="false"/>
          <w:smallCaps w:val="false"/>
          <w:sz w:val="20"/>
        </w:rPr>
        <w:t xml:space="preserve"> with respect to any liability that has been finally determined by a court of competent jurisdiction to have resulted solely from the gross negligence or willful misconduct of such Related Party.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11.23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11.24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xml:space="preserve"> To the extent that the Loan Documents </w:t>
      </w:r>
      <w:r>
        <w:rPr>
          <w:rFonts w:ascii="Times New Roman;Times;Serif" w:hAnsi="Times New Roman;Times;Serif"/>
          <w:b w:val="false"/>
          <w:i w:val="false"/>
          <w:caps w:val="false"/>
          <w:smallCaps w:val="false"/>
          <w:sz w:val="20"/>
          <w:u w:val="single"/>
        </w:rPr>
        <w:t>provide</w:t>
      </w:r>
      <w:r>
        <w:rPr>
          <w:rFonts w:ascii="Times New Roman;Times;Serif" w:hAnsi="Times New Roman;Times;Serif"/>
          <w:b w:val="false"/>
          <w:i w:val="false"/>
          <w:caps w:val="false"/>
          <w:smallCaps w:val="false"/>
          <w:sz w:val="20"/>
        </w:rPr>
        <w:t xml:space="preserve"> support, through a guarantee or otherwise, for Hedge Agreements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used in this </w:t>
      </w:r>
      <w:r>
        <w:rPr>
          <w:rFonts w:ascii="Times New Roman;Times;Serif" w:hAnsi="Times New Roman;Times;Serif"/>
          <w:b w:val="false"/>
          <w:i w:val="false"/>
          <w:caps w:val="false"/>
          <w:smallCaps w:val="false"/>
          <w:sz w:val="20"/>
          <w:u w:val="single"/>
        </w:rPr>
        <w:t>Section 11.24</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11.25 </w:t>
      </w:r>
      <w:r>
        <w:rPr>
          <w:rFonts w:ascii="Times New Roman;Times;Serif" w:hAnsi="Times New Roman;Times;Serif"/>
          <w:b w:val="false"/>
          <w:i w:val="false"/>
          <w:caps w:val="false"/>
          <w:smallCaps w:val="false"/>
          <w:sz w:val="20"/>
          <w:u w:val="single"/>
        </w:rPr>
        <w:t>Amendment and Restatement; No Novation</w:t>
      </w:r>
      <w:r>
        <w:rPr>
          <w:rFonts w:ascii="Times New Roman;Times;Serif" w:hAnsi="Times New Roman;Times;Serif"/>
          <w:b w:val="false"/>
          <w:i w:val="false"/>
          <w:caps w:val="false"/>
          <w:smallCaps w:val="false"/>
          <w:sz w:val="20"/>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Revolving Credit Commitment of the Lenders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intentionally omitted]</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Schedules to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COMMITMENT PERCENTAGES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94"/>
        <w:gridCol w:w="60"/>
        <w:gridCol w:w="160"/>
        <w:gridCol w:w="1746"/>
        <w:gridCol w:w="60"/>
        <w:gridCol w:w="60"/>
        <w:gridCol w:w="73"/>
        <w:gridCol w:w="1866"/>
        <w:gridCol w:w="260"/>
        <w:gridCol w:w="60"/>
        <w:gridCol w:w="155"/>
        <w:gridCol w:w="1557"/>
        <w:gridCol w:w="60"/>
        <w:gridCol w:w="60"/>
        <w:gridCol w:w="70"/>
        <w:gridCol w:w="1784"/>
        <w:gridCol w:w="280"/>
      </w:tblGrid>
      <w:tr>
        <w:trPr/>
        <w:tc>
          <w:tcPr>
            <w:tcW w:w="1894" w:type="dxa"/>
            <w:tcBorders>
              <w:bottom w:val="single" w:sz="8" w:space="0" w:color="000000"/>
            </w:tcBorders>
            <w:vAlign w:val="center"/>
          </w:tcPr>
          <w:p>
            <w:pPr>
              <w:pStyle w:val="TableContents"/>
              <w:bidi w:val="0"/>
              <w:spacing w:before="0" w:after="283"/>
              <w:jc w:val="center"/>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1906" w:type="dxa"/>
            <w:gridSpan w:val="2"/>
            <w:tcBorders>
              <w:bottom w:val="single" w:sz="8" w:space="0" w:color="000000"/>
            </w:tcBorders>
            <w:vAlign w:val="center"/>
          </w:tcPr>
          <w:p>
            <w:pPr>
              <w:pStyle w:val="TableContents"/>
              <w:bidi w:val="0"/>
              <w:spacing w:before="0" w:after="283"/>
              <w:jc w:val="center"/>
              <w:rPr>
                <w:b/>
              </w:rPr>
            </w:pPr>
            <w:r>
              <w:rPr>
                <w:b/>
              </w:rPr>
              <w:t>Revolving Credit Commitment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Revolving Credit Commitment Percentage</w:t>
            </w:r>
            <w:r>
              <w:rPr>
                <w:rFonts w:ascii="Times New Roman;Times;Serif" w:hAnsi="Times New Roman;Times;Serif"/>
                <w:b/>
                <w:position w:val="7"/>
                <w:sz w:val="16"/>
                <w:sz w:val="20"/>
              </w:rPr>
              <w:t xml:space="preserve"> 1</w:t>
            </w:r>
          </w:p>
        </w:tc>
        <w:tc>
          <w:tcPr>
            <w:tcW w:w="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2" w:type="dxa"/>
            <w:gridSpan w:val="2"/>
            <w:tcBorders>
              <w:bottom w:val="single" w:sz="8" w:space="0" w:color="000000"/>
            </w:tcBorders>
            <w:vAlign w:val="center"/>
          </w:tcPr>
          <w:p>
            <w:pPr>
              <w:pStyle w:val="TableContents"/>
              <w:bidi w:val="0"/>
              <w:spacing w:before="0" w:after="283"/>
              <w:jc w:val="center"/>
              <w:rPr>
                <w:b/>
              </w:rPr>
            </w:pPr>
            <w:r>
              <w:rPr>
                <w:b/>
              </w:rPr>
              <w:t>Term Loan Commitment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 Loan Commitment Percentage</w:t>
            </w:r>
            <w:r>
              <w:rPr>
                <w:rFonts w:ascii="Times New Roman;Times;Serif" w:hAnsi="Times New Roman;Times;Serif"/>
                <w:b/>
                <w:position w:val="7"/>
                <w:sz w:val="16"/>
                <w:sz w:val="20"/>
              </w:rPr>
              <w:t> 2</w:t>
            </w:r>
          </w:p>
        </w:tc>
        <w:tc>
          <w:tcPr>
            <w:tcW w:w="280" w:type="dxa"/>
            <w:tcBorders/>
            <w:tcMar>
              <w:bottom w:w="0" w:type="dxa"/>
            </w:tcMar>
            <w:vAlign w:val="center"/>
          </w:tcPr>
          <w:p>
            <w:pPr>
              <w:pStyle w:val="TableContents"/>
              <w:bidi w:val="0"/>
              <w:spacing w:before="0" w:after="283"/>
              <w:jc w:val="left"/>
              <w:rPr/>
            </w:pPr>
            <w:r>
              <w:rPr/>
              <w:t> </w:t>
            </w:r>
          </w:p>
        </w:tc>
      </w:tr>
      <w:tr>
        <w:trPr/>
        <w:tc>
          <w:tcPr>
            <w:tcW w:w="1894" w:type="dxa"/>
            <w:tcBorders/>
            <w:shd w:fill="CCEEFF" w:val="clear"/>
            <w:tcMar>
              <w:bottom w:w="0" w:type="dxa"/>
            </w:tcMar>
            <w:vAlign w:val="center"/>
          </w:tcPr>
          <w:p>
            <w:pPr>
              <w:pStyle w:val="TableContents"/>
              <w:bidi w:val="0"/>
              <w:spacing w:before="0" w:after="283"/>
              <w:jc w:val="center"/>
              <w:rPr/>
            </w:pPr>
            <w:r>
              <w:rPr/>
              <w:t>Wells Fargo Bank, National Association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746" w:type="dxa"/>
            <w:tcBorders/>
            <w:shd w:fill="CCEEFF" w:val="clear"/>
            <w:tcMar>
              <w:bottom w:w="0" w:type="dxa"/>
            </w:tcMar>
            <w:vAlign w:val="center"/>
          </w:tcPr>
          <w:p>
            <w:pPr>
              <w:pStyle w:val="TableContents"/>
              <w:bidi w:val="0"/>
              <w:spacing w:before="0" w:after="283"/>
              <w:jc w:val="right"/>
              <w:rPr/>
            </w:pPr>
            <w:r>
              <w:rPr/>
              <w:t>114,285,714.28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283"/>
              <w:jc w:val="right"/>
              <w:rPr/>
            </w:pPr>
            <w:r>
              <w:rPr/>
              <w:t>22.857142856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7" w:type="dxa"/>
            <w:tcBorders/>
            <w:shd w:fill="CCEEFF" w:val="clear"/>
            <w:tcMar>
              <w:bottom w:w="0" w:type="dxa"/>
            </w:tcMar>
            <w:vAlign w:val="center"/>
          </w:tcPr>
          <w:p>
            <w:pPr>
              <w:pStyle w:val="TableContents"/>
              <w:bidi w:val="0"/>
              <w:spacing w:before="0" w:after="283"/>
              <w:jc w:val="right"/>
              <w:rPr/>
            </w:pPr>
            <w:r>
              <w:rPr/>
              <w:t>45,714,285.72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right"/>
              <w:rPr/>
            </w:pPr>
            <w:r>
              <w:rPr/>
              <w:t>22.857142860</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1894" w:type="dxa"/>
            <w:tcBorders/>
            <w:shd w:fill="FFFFFF" w:val="clear"/>
            <w:tcMar>
              <w:bottom w:w="0" w:type="dxa"/>
            </w:tcMar>
            <w:vAlign w:val="center"/>
          </w:tcPr>
          <w:p>
            <w:pPr>
              <w:pStyle w:val="TableContents"/>
              <w:bidi w:val="0"/>
              <w:spacing w:before="0" w:after="283"/>
              <w:jc w:val="center"/>
              <w:rPr/>
            </w:pPr>
            <w:r>
              <w:rPr/>
              <w:t>Fifth Third Bank, National Association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1746" w:type="dxa"/>
            <w:tcBorders/>
            <w:shd w:fill="FFFFFF" w:val="clear"/>
            <w:tcMar>
              <w:bottom w:w="0" w:type="dxa"/>
            </w:tcMar>
            <w:vAlign w:val="center"/>
          </w:tcPr>
          <w:p>
            <w:pPr>
              <w:pStyle w:val="TableContents"/>
              <w:bidi w:val="0"/>
              <w:spacing w:before="0" w:after="283"/>
              <w:jc w:val="right"/>
              <w:rPr/>
            </w:pPr>
            <w:r>
              <w:rPr/>
              <w:t>85,714,285.71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866" w:type="dxa"/>
            <w:tcBorders/>
            <w:shd w:fill="FFFFFF" w:val="clear"/>
            <w:tcMar>
              <w:bottom w:w="0" w:type="dxa"/>
            </w:tcMar>
            <w:vAlign w:val="center"/>
          </w:tcPr>
          <w:p>
            <w:pPr>
              <w:pStyle w:val="TableContents"/>
              <w:bidi w:val="0"/>
              <w:spacing w:before="0" w:after="283"/>
              <w:jc w:val="right"/>
              <w:rPr/>
            </w:pPr>
            <w:r>
              <w:rPr/>
              <w:t>17.142857142</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1557" w:type="dxa"/>
            <w:tcBorders/>
            <w:shd w:fill="FFFFFF" w:val="clear"/>
            <w:tcMar>
              <w:bottom w:w="0" w:type="dxa"/>
            </w:tcMar>
            <w:vAlign w:val="center"/>
          </w:tcPr>
          <w:p>
            <w:pPr>
              <w:pStyle w:val="TableContents"/>
              <w:bidi w:val="0"/>
              <w:spacing w:before="0" w:after="283"/>
              <w:jc w:val="right"/>
              <w:rPr/>
            </w:pPr>
            <w:r>
              <w:rPr/>
              <w:t>34,285,714.29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17.142857145</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1894" w:type="dxa"/>
            <w:tcBorders/>
            <w:shd w:fill="CCEEFF" w:val="clear"/>
            <w:tcMar>
              <w:bottom w:w="0" w:type="dxa"/>
            </w:tcMar>
            <w:vAlign w:val="center"/>
          </w:tcPr>
          <w:p>
            <w:pPr>
              <w:pStyle w:val="TableContents"/>
              <w:bidi w:val="0"/>
              <w:spacing w:before="0" w:after="283"/>
              <w:jc w:val="center"/>
              <w:rPr/>
            </w:pPr>
            <w:r>
              <w:rPr/>
              <w:t>PNC Bank, National Association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746" w:type="dxa"/>
            <w:tcBorders/>
            <w:shd w:fill="CCEEFF" w:val="clear"/>
            <w:tcMar>
              <w:bottom w:w="0" w:type="dxa"/>
            </w:tcMar>
            <w:vAlign w:val="center"/>
          </w:tcPr>
          <w:p>
            <w:pPr>
              <w:pStyle w:val="TableContents"/>
              <w:bidi w:val="0"/>
              <w:spacing w:before="0" w:after="283"/>
              <w:jc w:val="right"/>
              <w:rPr/>
            </w:pPr>
            <w:r>
              <w:rPr/>
              <w:t>71,428,571.43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283"/>
              <w:jc w:val="right"/>
              <w:rPr/>
            </w:pPr>
            <w:r>
              <w:rPr/>
              <w:t>14.285714286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7" w:type="dxa"/>
            <w:tcBorders/>
            <w:shd w:fill="CCEEFF" w:val="clear"/>
            <w:tcMar>
              <w:bottom w:w="0" w:type="dxa"/>
            </w:tcMar>
            <w:vAlign w:val="center"/>
          </w:tcPr>
          <w:p>
            <w:pPr>
              <w:pStyle w:val="TableContents"/>
              <w:bidi w:val="0"/>
              <w:spacing w:before="0" w:after="283"/>
              <w:jc w:val="right"/>
              <w:rPr/>
            </w:pPr>
            <w:r>
              <w:rPr/>
              <w:t>28,571,428.57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right"/>
              <w:rPr/>
            </w:pPr>
            <w:r>
              <w:rPr/>
              <w:t>14.285714285</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1894" w:type="dxa"/>
            <w:tcBorders/>
            <w:shd w:fill="FFFFFF" w:val="clear"/>
            <w:tcMar>
              <w:bottom w:w="0" w:type="dxa"/>
            </w:tcMar>
            <w:vAlign w:val="center"/>
          </w:tcPr>
          <w:p>
            <w:pPr>
              <w:pStyle w:val="TableContents"/>
              <w:bidi w:val="0"/>
              <w:spacing w:before="0" w:after="283"/>
              <w:jc w:val="center"/>
              <w:rPr/>
            </w:pPr>
            <w:r>
              <w:rPr/>
              <w:t>The Huntington National Bank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1746" w:type="dxa"/>
            <w:tcBorders/>
            <w:shd w:fill="FFFFFF" w:val="clear"/>
            <w:tcMar>
              <w:bottom w:w="0" w:type="dxa"/>
            </w:tcMar>
            <w:vAlign w:val="center"/>
          </w:tcPr>
          <w:p>
            <w:pPr>
              <w:pStyle w:val="TableContents"/>
              <w:bidi w:val="0"/>
              <w:spacing w:before="0" w:after="283"/>
              <w:jc w:val="right"/>
              <w:rPr/>
            </w:pPr>
            <w:r>
              <w:rPr/>
              <w:t>71,428,571.43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866" w:type="dxa"/>
            <w:tcBorders/>
            <w:shd w:fill="FFFFFF" w:val="clear"/>
            <w:tcMar>
              <w:bottom w:w="0" w:type="dxa"/>
            </w:tcMar>
            <w:vAlign w:val="center"/>
          </w:tcPr>
          <w:p>
            <w:pPr>
              <w:pStyle w:val="TableContents"/>
              <w:bidi w:val="0"/>
              <w:spacing w:before="0" w:after="283"/>
              <w:jc w:val="right"/>
              <w:rPr/>
            </w:pPr>
            <w:r>
              <w:rPr/>
              <w:t>14.285714286</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1557" w:type="dxa"/>
            <w:tcBorders/>
            <w:shd w:fill="FFFFFF" w:val="clear"/>
            <w:tcMar>
              <w:bottom w:w="0" w:type="dxa"/>
            </w:tcMar>
            <w:vAlign w:val="center"/>
          </w:tcPr>
          <w:p>
            <w:pPr>
              <w:pStyle w:val="TableContents"/>
              <w:bidi w:val="0"/>
              <w:spacing w:before="0" w:after="283"/>
              <w:jc w:val="right"/>
              <w:rPr/>
            </w:pPr>
            <w:r>
              <w:rPr/>
              <w:t>28,571,428.57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14.285714285</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1894" w:type="dxa"/>
            <w:tcBorders/>
            <w:shd w:fill="CCEEFF" w:val="clear"/>
            <w:tcMar>
              <w:bottom w:w="0" w:type="dxa"/>
            </w:tcMar>
            <w:vAlign w:val="center"/>
          </w:tcPr>
          <w:p>
            <w:pPr>
              <w:pStyle w:val="TableContents"/>
              <w:bidi w:val="0"/>
              <w:spacing w:before="0" w:after="283"/>
              <w:jc w:val="center"/>
              <w:rPr/>
            </w:pPr>
            <w:r>
              <w:rPr/>
              <w:t>BOKF, NA, dba Bank of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746" w:type="dxa"/>
            <w:tcBorders/>
            <w:shd w:fill="CCEEFF" w:val="clear"/>
            <w:tcMar>
              <w:bottom w:w="0" w:type="dxa"/>
            </w:tcMar>
            <w:vAlign w:val="center"/>
          </w:tcPr>
          <w:p>
            <w:pPr>
              <w:pStyle w:val="TableContents"/>
              <w:bidi w:val="0"/>
              <w:spacing w:before="0" w:after="283"/>
              <w:jc w:val="right"/>
              <w:rPr/>
            </w:pPr>
            <w:r>
              <w:rPr/>
              <w:t>42,857,142.86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283"/>
              <w:jc w:val="right"/>
              <w:rPr/>
            </w:pPr>
            <w:r>
              <w:rPr/>
              <w:t>8.571428572</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7" w:type="dxa"/>
            <w:tcBorders/>
            <w:shd w:fill="CCEEFF" w:val="clear"/>
            <w:tcMar>
              <w:bottom w:w="0" w:type="dxa"/>
            </w:tcMar>
            <w:vAlign w:val="center"/>
          </w:tcPr>
          <w:p>
            <w:pPr>
              <w:pStyle w:val="TableContents"/>
              <w:bidi w:val="0"/>
              <w:spacing w:before="0" w:after="283"/>
              <w:jc w:val="right"/>
              <w:rPr/>
            </w:pPr>
            <w:r>
              <w:rPr/>
              <w:t>17,142,857.14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right"/>
              <w:rPr/>
            </w:pPr>
            <w:r>
              <w:rPr/>
              <w:t>8.571428570</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1894" w:type="dxa"/>
            <w:tcBorders/>
            <w:shd w:fill="FFFFFF" w:val="clear"/>
            <w:tcMar>
              <w:bottom w:w="0" w:type="dxa"/>
            </w:tcMar>
            <w:vAlign w:val="center"/>
          </w:tcPr>
          <w:p>
            <w:pPr>
              <w:pStyle w:val="TableContents"/>
              <w:bidi w:val="0"/>
              <w:spacing w:before="0" w:after="283"/>
              <w:jc w:val="center"/>
              <w:rPr/>
            </w:pPr>
            <w:r>
              <w:rPr/>
              <w:t>Zions Bancorporation dba Amegy Bank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1746" w:type="dxa"/>
            <w:tcBorders/>
            <w:shd w:fill="FFFFFF" w:val="clear"/>
            <w:tcMar>
              <w:bottom w:w="0" w:type="dxa"/>
            </w:tcMar>
            <w:vAlign w:val="center"/>
          </w:tcPr>
          <w:p>
            <w:pPr>
              <w:pStyle w:val="TableContents"/>
              <w:bidi w:val="0"/>
              <w:spacing w:before="0" w:after="283"/>
              <w:jc w:val="right"/>
              <w:rPr/>
            </w:pPr>
            <w:r>
              <w:rPr/>
              <w:t>42,857,142.86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866" w:type="dxa"/>
            <w:tcBorders/>
            <w:shd w:fill="FFFFFF" w:val="clear"/>
            <w:tcMar>
              <w:bottom w:w="0" w:type="dxa"/>
            </w:tcMar>
            <w:vAlign w:val="center"/>
          </w:tcPr>
          <w:p>
            <w:pPr>
              <w:pStyle w:val="TableContents"/>
              <w:bidi w:val="0"/>
              <w:spacing w:before="0" w:after="283"/>
              <w:jc w:val="right"/>
              <w:rPr/>
            </w:pPr>
            <w:r>
              <w:rPr/>
              <w:t>8.571428572</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1557" w:type="dxa"/>
            <w:tcBorders/>
            <w:shd w:fill="FFFFFF" w:val="clear"/>
            <w:tcMar>
              <w:bottom w:w="0" w:type="dxa"/>
            </w:tcMar>
            <w:vAlign w:val="center"/>
          </w:tcPr>
          <w:p>
            <w:pPr>
              <w:pStyle w:val="TableContents"/>
              <w:bidi w:val="0"/>
              <w:spacing w:before="0" w:after="283"/>
              <w:jc w:val="right"/>
              <w:rPr/>
            </w:pPr>
            <w:r>
              <w:rPr/>
              <w:t>17,142,857.14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8.571428570</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1894" w:type="dxa"/>
            <w:tcBorders/>
            <w:shd w:fill="CCEEFF" w:val="clear"/>
            <w:tcMar>
              <w:bottom w:w="0" w:type="dxa"/>
            </w:tcMar>
            <w:vAlign w:val="center"/>
          </w:tcPr>
          <w:p>
            <w:pPr>
              <w:pStyle w:val="TableContents"/>
              <w:bidi w:val="0"/>
              <w:spacing w:before="0" w:after="283"/>
              <w:jc w:val="center"/>
              <w:rPr/>
            </w:pPr>
            <w:r>
              <w:rPr/>
              <w:t>Texas Capital 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746" w:type="dxa"/>
            <w:tcBorders/>
            <w:shd w:fill="CCEEFF" w:val="clear"/>
            <w:tcMar>
              <w:bottom w:w="0" w:type="dxa"/>
            </w:tcMar>
            <w:vAlign w:val="center"/>
          </w:tcPr>
          <w:p>
            <w:pPr>
              <w:pStyle w:val="TableContents"/>
              <w:bidi w:val="0"/>
              <w:spacing w:before="0" w:after="283"/>
              <w:jc w:val="right"/>
              <w:rPr/>
            </w:pPr>
            <w:r>
              <w:rPr/>
              <w:t>42,857,142.86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283"/>
              <w:jc w:val="right"/>
              <w:rPr/>
            </w:pPr>
            <w:r>
              <w:rPr/>
              <w:t>8.571428572</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7" w:type="dxa"/>
            <w:tcBorders/>
            <w:shd w:fill="CCEEFF" w:val="clear"/>
            <w:tcMar>
              <w:bottom w:w="0" w:type="dxa"/>
            </w:tcMar>
            <w:vAlign w:val="center"/>
          </w:tcPr>
          <w:p>
            <w:pPr>
              <w:pStyle w:val="TableContents"/>
              <w:bidi w:val="0"/>
              <w:spacing w:before="0" w:after="283"/>
              <w:jc w:val="right"/>
              <w:rPr/>
            </w:pPr>
            <w:r>
              <w:rPr/>
              <w:t>17,142,857.14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right"/>
              <w:rPr/>
            </w:pPr>
            <w:r>
              <w:rPr/>
              <w:t>8.571428570</w:t>
            </w:r>
          </w:p>
        </w:tc>
        <w:tc>
          <w:tcPr>
            <w:tcW w:w="280" w:type="dxa"/>
            <w:tcBorders/>
            <w:shd w:fill="CCEEFF" w:val="clear"/>
            <w:tcMar>
              <w:bottom w:w="0" w:type="dxa"/>
            </w:tcMar>
            <w:vAlign w:val="center"/>
          </w:tcPr>
          <w:p>
            <w:pPr>
              <w:pStyle w:val="TableContents"/>
              <w:bidi w:val="0"/>
              <w:spacing w:before="0" w:after="283"/>
              <w:jc w:val="left"/>
              <w:rPr/>
            </w:pPr>
            <w:r>
              <w:rPr/>
              <w:t>%</w:t>
            </w:r>
          </w:p>
        </w:tc>
      </w:tr>
      <w:tr>
        <w:trPr/>
        <w:tc>
          <w:tcPr>
            <w:tcW w:w="1894" w:type="dxa"/>
            <w:tcBorders/>
            <w:shd w:fill="FFFFFF" w:val="clear"/>
            <w:tcMar>
              <w:bottom w:w="0" w:type="dxa"/>
            </w:tcMar>
            <w:vAlign w:val="center"/>
          </w:tcPr>
          <w:p>
            <w:pPr>
              <w:pStyle w:val="TableContents"/>
              <w:bidi w:val="0"/>
              <w:spacing w:before="0" w:after="283"/>
              <w:jc w:val="center"/>
              <w:rPr/>
            </w:pPr>
            <w:r>
              <w:rPr/>
              <w:t>UMB Bank, 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w:t>
            </w:r>
          </w:p>
        </w:tc>
        <w:tc>
          <w:tcPr>
            <w:tcW w:w="1746" w:type="dxa"/>
            <w:tcBorders/>
            <w:shd w:fill="FFFFFF" w:val="clear"/>
            <w:tcMar>
              <w:bottom w:w="0" w:type="dxa"/>
            </w:tcMar>
            <w:vAlign w:val="center"/>
          </w:tcPr>
          <w:p>
            <w:pPr>
              <w:pStyle w:val="TableContents"/>
              <w:bidi w:val="0"/>
              <w:spacing w:before="0" w:after="283"/>
              <w:jc w:val="right"/>
              <w:rPr/>
            </w:pPr>
            <w:r>
              <w:rPr/>
              <w:t>28,571,428.57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866" w:type="dxa"/>
            <w:tcBorders/>
            <w:shd w:fill="FFFFFF" w:val="clear"/>
            <w:tcMar>
              <w:bottom w:w="0" w:type="dxa"/>
            </w:tcMar>
            <w:vAlign w:val="center"/>
          </w:tcPr>
          <w:p>
            <w:pPr>
              <w:pStyle w:val="TableContents"/>
              <w:bidi w:val="0"/>
              <w:spacing w:before="0" w:after="283"/>
              <w:jc w:val="right"/>
              <w:rPr/>
            </w:pPr>
            <w:r>
              <w:rPr/>
              <w:t>5.714285714</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1557" w:type="dxa"/>
            <w:tcBorders/>
            <w:shd w:fill="FFFFFF" w:val="clear"/>
            <w:tcMar>
              <w:bottom w:w="0" w:type="dxa"/>
            </w:tcMar>
            <w:vAlign w:val="center"/>
          </w:tcPr>
          <w:p>
            <w:pPr>
              <w:pStyle w:val="TableContents"/>
              <w:bidi w:val="0"/>
              <w:spacing w:before="0" w:after="283"/>
              <w:jc w:val="right"/>
              <w:rPr/>
            </w:pPr>
            <w:r>
              <w:rPr/>
              <w:t>11,428,571.43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5.714285715</w:t>
            </w:r>
          </w:p>
        </w:tc>
        <w:tc>
          <w:tcPr>
            <w:tcW w:w="280" w:type="dxa"/>
            <w:tcBorders/>
            <w:shd w:fill="FFFFFF" w:val="clear"/>
            <w:tcMar>
              <w:bottom w:w="0" w:type="dxa"/>
            </w:tcMar>
            <w:vAlign w:val="center"/>
          </w:tcPr>
          <w:p>
            <w:pPr>
              <w:pStyle w:val="TableContents"/>
              <w:bidi w:val="0"/>
              <w:spacing w:before="0" w:after="283"/>
              <w:jc w:val="left"/>
              <w:rPr/>
            </w:pPr>
            <w:r>
              <w:rPr/>
              <w:t>%</w:t>
            </w:r>
          </w:p>
        </w:tc>
      </w:tr>
      <w:tr>
        <w:trPr/>
        <w:tc>
          <w:tcPr>
            <w:tcW w:w="1894" w:type="dxa"/>
            <w:tcBorders/>
            <w:shd w:fill="CCEEFF" w:val="clear"/>
            <w:tcMar>
              <w:bottom w:w="0" w:type="dxa"/>
            </w:tcMar>
            <w:vAlign w:val="center"/>
          </w:tcPr>
          <w:p>
            <w:pPr>
              <w:pStyle w:val="TableContents"/>
              <w:bidi w:val="0"/>
              <w:spacing w:before="0" w:after="283"/>
              <w:jc w:val="righ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b/>
              </w:rPr>
            </w:pPr>
            <w:r>
              <w:rPr>
                <w:b/>
              </w:rPr>
              <w:t>$</w:t>
            </w:r>
          </w:p>
        </w:tc>
        <w:tc>
          <w:tcPr>
            <w:tcW w:w="1746" w:type="dxa"/>
            <w:tcBorders/>
            <w:shd w:fill="CCEEFF" w:val="clear"/>
            <w:tcMar>
              <w:bottom w:w="0" w:type="dxa"/>
            </w:tcMar>
            <w:vAlign w:val="center"/>
          </w:tcPr>
          <w:p>
            <w:pPr>
              <w:pStyle w:val="TableContents"/>
              <w:bidi w:val="0"/>
              <w:spacing w:before="0" w:after="283"/>
              <w:jc w:val="right"/>
              <w:rPr>
                <w:b/>
              </w:rPr>
            </w:pPr>
            <w:r>
              <w:rPr>
                <w:b/>
              </w:rPr>
              <w:t>500,000,000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866" w:type="dxa"/>
            <w:tcBorders/>
            <w:shd w:fill="CCEEFF" w:val="clear"/>
            <w:tcMar>
              <w:bottom w:w="0" w:type="dxa"/>
            </w:tcMar>
            <w:vAlign w:val="center"/>
          </w:tcPr>
          <w:p>
            <w:pPr>
              <w:pStyle w:val="TableContents"/>
              <w:bidi w:val="0"/>
              <w:spacing w:before="0" w:after="283"/>
              <w:jc w:val="right"/>
              <w:rPr>
                <w:b/>
              </w:rPr>
            </w:pPr>
            <w:r>
              <w:rPr>
                <w:b/>
              </w:rPr>
              <w:t>100.000000000</w:t>
            </w:r>
          </w:p>
        </w:tc>
        <w:tc>
          <w:tcPr>
            <w:tcW w:w="260"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b/>
              </w:rPr>
            </w:pPr>
            <w:r>
              <w:rPr>
                <w:b/>
              </w:rPr>
              <w:t>$</w:t>
            </w:r>
          </w:p>
        </w:tc>
        <w:tc>
          <w:tcPr>
            <w:tcW w:w="1557" w:type="dxa"/>
            <w:tcBorders/>
            <w:shd w:fill="CCEEFF" w:val="clear"/>
            <w:tcMar>
              <w:bottom w:w="0" w:type="dxa"/>
            </w:tcMar>
            <w:vAlign w:val="center"/>
          </w:tcPr>
          <w:p>
            <w:pPr>
              <w:pStyle w:val="TableContents"/>
              <w:bidi w:val="0"/>
              <w:spacing w:before="0" w:after="283"/>
              <w:jc w:val="right"/>
              <w:rPr>
                <w:b/>
              </w:rPr>
            </w:pPr>
            <w:r>
              <w:rPr>
                <w:b/>
              </w:rPr>
              <w:t>200,000,000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right"/>
              <w:rPr>
                <w:b/>
              </w:rPr>
            </w:pPr>
            <w:r>
              <w:rPr>
                <w:b/>
              </w:rPr>
              <w:t>100.000000000</w:t>
            </w:r>
          </w:p>
        </w:tc>
        <w:tc>
          <w:tcPr>
            <w:tcW w:w="280"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Revolving Credit Commitment Percentage may be rounded for ease of reference and actual percentages may differ slightly from this schedule due to such rounding.</w:t>
      </w:r>
    </w:p>
    <w:p>
      <w:pPr>
        <w:pStyle w:val="TextBody"/>
        <w:bidi w:val="0"/>
        <w:spacing w:before="0" w:after="283"/>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Term Loan Commitment Percentage may be rounded for ease of reference and actual percentages may differ slightly from this schedule due to such rounding.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D-3 (Form of Term Loan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TERM LOAN NOTE</w:t>
      </w:r>
    </w:p>
    <w:p>
      <w:pPr>
        <w:pStyle w:val="TextBody"/>
        <w:bidi w:val="0"/>
        <w:spacing w:before="0" w:after="0"/>
        <w:ind w:left="720" w:right="0" w:hanging="0"/>
        <w:jc w:val="center"/>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2315"/>
        <w:gridCol w:w="23"/>
        <w:gridCol w:w="2135"/>
      </w:tblGrid>
      <w:tr>
        <w:trPr/>
        <w:tc>
          <w:tcPr>
            <w:tcW w:w="2315" w:type="dxa"/>
            <w:tcBorders/>
            <w:vAlign w:val="center"/>
          </w:tcPr>
          <w:p>
            <w:pPr>
              <w:pStyle w:val="TableContents"/>
              <w:bidi w:val="0"/>
              <w:spacing w:before="0" w:after="283"/>
              <w:jc w:val="left"/>
              <w:rPr/>
            </w:pPr>
            <w:r>
              <w:rPr/>
              <w:t>$__________________</w:t>
            </w:r>
          </w:p>
        </w:tc>
        <w:tc>
          <w:tcPr>
            <w:tcW w:w="23"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pPr>
            <w:r>
              <w:rPr/>
              <w:t>________ ____, 20__</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IES HOLDINGS, INC., a Delaware corporation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and the undersigned subsidiaries of Holdings (together with Holdings,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hereby, JOINTLY AND SEVERALLY, promise to pay to (“</w:t>
      </w:r>
      <w:r>
        <w:rPr>
          <w:rFonts w:ascii="Times New Roman;Times;Serif" w:hAnsi="Times New Roman;Times;Serif"/>
          <w:b w:val="false"/>
          <w:i w:val="false"/>
          <w:caps w:val="false"/>
          <w:smallCaps w:val="false"/>
          <w:sz w:val="20"/>
          <w:u w:val="single"/>
        </w:rPr>
        <w:t>Payee</w:t>
      </w:r>
      <w:r>
        <w:rPr>
          <w:rFonts w:ascii="Times New Roman;Times;Serif" w:hAnsi="Times New Roman;Times;Serif"/>
          <w:b w:val="false"/>
          <w:i w:val="false"/>
          <w:caps w:val="false"/>
          <w:smallCaps w:val="false"/>
          <w:sz w:val="20"/>
        </w:rPr>
        <w:t>”) the principal amount of _________________________ AND NO/100 DOLLARS ($_________________) or, if less, the aggregate outstanding principal amount of the Term Loans (as defined in the Credit Agreement) made by the Payee to the Borrowers, together with interest on the unpaid principal amount of the Term Loans from the date of such Term Loans until such principal amount is paid in full in cash, at such interest rates, and at such times, as are specified in the Credit Agreement. The Borrowers may make prepayments on this Term Loan Note in accordance with the terms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Term Loan Note is one of the Term Loan Notes referred to in, and is entitled to the benefits of, and is subject to the terms of, that certain Fourth Amended and Restated Credit Agreement dated as of January 21, 2025 (as amended, restated,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the Borrowers,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Wells Fargo Bank, National Association, as administrative agent for such Lenders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swingline lender, and as issuing lender. Capitalized terms used in this Term Loan Note that are defined in the Credit Agreement and not otherwise defined in this Term Loan Note have the meanings assigned to such terms in the Credit Agreement. The Credit Agreement, among other things, contains provisions for acceleration of the maturity of this Term Loan Note upon the happening of certain events of default stated in the Credit Agreement and for optional and mandatory prepayments of principal prior to the maturity of this Term Loan Note upon the terms and conditions specified in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principal and interest are payable in lawful money of the United States of America to the Administrative Agent at the location or address specified in writing by the Administrative Agent to the Borrowers in same day funds. The Payee shall record payments of principal made under this Term Loan Note, but no failure of the Payee to make such recordings shall affect the Borrowers’ repayment obligations under this Term Loan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Term Loan Note is secured by the Security Documents and guaranteed pursuant to the terms of the Security Documents. This Tern Loan Note is made expressly subject to the terms of Section 4.1(d)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Borrower hereby waives presentment, demand, protest, notice of intent to accelerate, notice of acceleration, and any other notice of any kind. No failure to exercise, and no delay in exercising, any rights hereunder on the part of the holder of this Term Loan Note shall operate as a waiver of such rights. In the event of any explicit or implicit conflict between any provision of this Term Loan Note and any provision of the Credit Agreement, the terms of the Credit Agreement shall be controlling.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sz w:val="20"/>
        </w:rPr>
      </w:pPr>
      <w:r>
        <w:rPr>
          <w:rFonts w:ascii="Times New Roman;Times;Serif" w:hAnsi="Times New Roman;Times;Serif"/>
          <w:b/>
          <w:i w:val="false"/>
          <w:caps/>
          <w:sz w:val="20"/>
        </w:rPr>
        <w:t>This TERM LOAN NOTE and any claim, controversy, dispute, or cause of action (whether in contract or tort or otherwise) based upon, arising out of, or relating to this Revolving credit NOTE and the transactions contemplated hereby shall be governed by, and construed in accordance with, the law of the State of New York.</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i w:val="false"/>
          <w:caps/>
          <w:sz w:val="20"/>
        </w:rPr>
      </w:pPr>
      <w:r>
        <w:rPr>
          <w:rFonts w:ascii="Times New Roman;Times;Serif" w:hAnsi="Times New Roman;Times;Serif"/>
          <w:b/>
          <w:i w:val="false"/>
          <w:caps/>
          <w:sz w:val="20"/>
        </w:rPr>
        <w:t xml:space="preserve">THIS TERM LOAN NOTE AND THE OTHER LOAN DOCUMENTS, AS DEFINED IN THE CREDIT AGREEMENT, REPRESENT THE FINAL AGREEMENT AMONG THE PARTIES AND MAY NOT BE CONTRADICTED BY EVIDENCE OF PRIOR, CONTEMPORANEOUS, OR SUBSEQUENT ORAL AGREEMENTS OF THE PARTIES. </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i w:val="false"/>
          <w:caps/>
          <w:sz w:val="20"/>
        </w:rPr>
      </w:pPr>
      <w:r>
        <w:rPr>
          <w:rFonts w:ascii="Times New Roman;Times;Serif" w:hAnsi="Times New Roman;Times;Serif"/>
          <w:b/>
          <w:i w:val="false"/>
          <w:caps/>
          <w:sz w:val="20"/>
        </w:rPr>
        <w:t>THERE ARE NO UNWRITTEN ORAL AGREEMENTS AMONG THE PARTIES.</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1175" w:type="dxa"/>
        <w:jc w:val="left"/>
        <w:tblInd w:w="0" w:type="dxa"/>
        <w:tblLayout w:type="fixed"/>
        <w:tblCellMar>
          <w:top w:w="0" w:type="dxa"/>
          <w:left w:w="0" w:type="dxa"/>
          <w:bottom w:w="0" w:type="dxa"/>
          <w:right w:w="0" w:type="dxa"/>
        </w:tblCellMar>
      </w:tblPr>
      <w:tblGrid>
        <w:gridCol w:w="1175"/>
      </w:tblGrid>
      <w:tr>
        <w:trPr/>
        <w:tc>
          <w:tcPr>
            <w:tcW w:w="1175" w:type="dxa"/>
            <w:tcBorders/>
            <w:vAlign w:val="center"/>
          </w:tcPr>
          <w:p>
            <w:pPr>
              <w:pStyle w:val="TableContents"/>
              <w:bidi w:val="0"/>
              <w:spacing w:before="0" w:after="283"/>
              <w:jc w:val="center"/>
              <w:rPr/>
            </w:pPr>
            <w:r>
              <w:rPr/>
              <w:t>Exhibit D-3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Borrower has caused this Term Loan Note to be executed and delivered by its duly authorized officer as of the day and year set forth above.</w:t>
      </w:r>
    </w:p>
    <w:p>
      <w:pPr>
        <w:pStyle w:val="TextBody"/>
        <w:bidi w:val="0"/>
        <w:spacing w:before="0" w:after="0"/>
        <w:ind w:left="0" w:right="0" w:firstLine="720"/>
        <w:jc w:val="both"/>
        <w:rPr>
          <w:caps w:val="false"/>
          <w:smallCaps w:val="false"/>
        </w:rPr>
      </w:pPr>
      <w:r>
        <w:rPr>
          <w:caps w:val="false"/>
          <w:smallCaps w:val="false"/>
        </w:rPr>
        <w:t> </w:t>
      </w:r>
    </w:p>
    <w:tbl>
      <w:tblPr>
        <w:tblW w:w="5569" w:type="dxa"/>
        <w:jc w:val="left"/>
        <w:tblInd w:w="0" w:type="dxa"/>
        <w:tblLayout w:type="fixed"/>
        <w:tblCellMar>
          <w:top w:w="0" w:type="dxa"/>
          <w:left w:w="0" w:type="dxa"/>
          <w:bottom w:w="0" w:type="dxa"/>
          <w:right w:w="0" w:type="dxa"/>
        </w:tblCellMar>
      </w:tblPr>
      <w:tblGrid>
        <w:gridCol w:w="75"/>
        <w:gridCol w:w="357"/>
        <w:gridCol w:w="5137"/>
      </w:tblGrid>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BORROWERS:</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HOLDINGS,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IES OPCO HOL</w:t>
            </w:r>
            <w:r>
              <w:rPr>
                <w:rFonts w:ascii="Times New Roman;Times;Serif" w:hAnsi="Times New Roman;Times;Serif"/>
                <w:caps/>
              </w:rPr>
              <w:t>DINGS,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IES SHARED SERVICES,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FABRICATION HOLDINGS, LLC</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Vice President &amp; Chief Financial Officer</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IES Commercial,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TX RE, LLC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COMMUNICATIONS, LLC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NEXT ELECTRIC, LLC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FOUR POINT DYNAMICS, LLC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QYPSYS, LLC</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Aerial Lighting &amp; Electric,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arrow engine company</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Greiner Industries,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GULF ISLAND FABRICATION,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IES Residential,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IES Subsidiary Holdings,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k.e.p. electric,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Magnetech Industrial Services, Inc.</w:t>
            </w:r>
          </w:p>
        </w:tc>
      </w:tr>
      <w:tr>
        <w:trPr/>
        <w:tc>
          <w:tcPr>
            <w:tcW w:w="75"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Southern Industrial Sales and Services,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Technibus,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Wedlake Fabricating, Inc.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IES INFRASTRUCTURE SOLUTIONS, LLC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CALUMET ARMATURE AND ELECTRIC, L.L.C.</w:t>
            </w:r>
          </w:p>
        </w:tc>
      </w:tr>
      <w:tr>
        <w:trPr/>
        <w:tc>
          <w:tcPr>
            <w:tcW w:w="75" w:type="dxa"/>
            <w:tcBorders/>
            <w:vAlign w:val="center"/>
          </w:tcPr>
          <w:p>
            <w:pPr>
              <w:pStyle w:val="TableContents"/>
              <w:bidi w:val="0"/>
              <w:spacing w:before="0" w:after="283"/>
              <w:jc w:val="left"/>
              <w:rPr>
                <w:caps/>
              </w:rPr>
            </w:pPr>
            <w:r>
              <w:rPr>
                <w:caps/>
              </w:rPr>
              <w:t> </w:t>
            </w:r>
          </w:p>
        </w:tc>
        <w:tc>
          <w:tcPr>
            <w:tcW w:w="5494" w:type="dxa"/>
            <w:gridSpan w:val="2"/>
            <w:tcBorders/>
            <w:vAlign w:val="center"/>
          </w:tcPr>
          <w:p>
            <w:pPr>
              <w:pStyle w:val="TableContents"/>
              <w:bidi w:val="0"/>
              <w:spacing w:before="0" w:after="283"/>
              <w:jc w:val="left"/>
              <w:rPr/>
            </w:pPr>
            <w:r>
              <w:rPr>
                <w:rFonts w:ascii="Times New Roman;Times;Serif" w:hAnsi="Times New Roman;Times;Serif"/>
                <w:caps/>
                <w:sz w:val="20"/>
              </w:rPr>
              <w:t xml:space="preserve">BAYONET PLUMBING, HEATING &amp; AIR-CONDITIONING, </w:t>
            </w:r>
            <w:r>
              <w:rPr>
                <w:rFonts w:ascii="Times New Roman;Times;Serif" w:hAnsi="Times New Roman;Times;Serif"/>
                <w:caps/>
              </w:rPr>
              <w:t>LLC</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Tracy McLauchlin</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5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&amp; 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Term Loan Note]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49" w:type="dxa"/>
        <w:jc w:val="left"/>
        <w:tblInd w:w="0" w:type="dxa"/>
        <w:tblLayout w:type="fixed"/>
        <w:tblCellMar>
          <w:top w:w="0" w:type="dxa"/>
          <w:left w:w="0" w:type="dxa"/>
          <w:bottom w:w="0" w:type="dxa"/>
          <w:right w:w="0" w:type="dxa"/>
        </w:tblCellMar>
      </w:tblPr>
      <w:tblGrid>
        <w:gridCol w:w="75"/>
        <w:gridCol w:w="341"/>
        <w:gridCol w:w="4133"/>
      </w:tblGrid>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EDMONSON ELECTRIC,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FREEMAN ENCLOSURE SYSTEMS,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ENCLOSURE SOLUTIONS AND SERVICES,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 POWER AND CONTROL SYSTEMS,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WISCONSIN HEAVY FABRICATION,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ENGLOBAL AUTOMATION,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WORKS,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SERVICES,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GULF ISLAND SHIPYARDS, LLC</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&amp; Chief Financial Officer</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Integrated Electrical Finance, Inc.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INVESTMENTS,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FL RE,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OK RE,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PA RE,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SC RE, LLC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LA RE, LLC</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rPr>
            </w:pPr>
            <w:r>
              <w:rPr>
                <w:caps/>
              </w:rPr>
              <w:t> </w:t>
            </w:r>
          </w:p>
        </w:tc>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IES MANAGEMENT LP</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INTEGRATED ELECTRICAL FINANCE, INC.,</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Tracy McLauchlin</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4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Term Loan Note]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4" w:name="ex99-1.htm"/>
      <w:bookmarkStart w:id="25" w:name="ksex99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580390" cy="3060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580390" cy="30607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IES Holdings Completes Acquisition of DBM Global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Establishes New Structural Line of Business, Adding One of the Largest Independent Structural Steel Fabrication and Erection Platforms in the 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Oct. 05, 2026 (GLOBE NEWSWIRE) — IES Holdings, Inc. (“IES”) (NASDAQ: IESC) today announced the closing of its previously announced acquisition of DBM Global Inc. (“DBM Global”), a vertically integrated structural steel fabrication, erection and industrial construction and engineering services platform, for total consideration of approximately $691 million, consisting of cash and shares of IES common stock. IES acquired 100% of the common stock of DBM Global, including the approximately 91.2% interest held by INNOVATE Corp. (“INNOVATE”) (NYSE: VATE) and the remaining interests held by other DBM Global stockholders. Effective today, DBM Global will operate as IES’s new Structural line of business alongside IES’s existing Communications, Residential, Infrastructure Solutions, and Commercial &amp; Industrial segments. DBM Global generated revenue of approximately $1.5 billion for the twelve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Today we welcome DBM Global’s approximately 4,000 employees to IES,” said Matt Simmes, President and Chief Executive Officer of IES. “DBM Global brings scaled engineering, fabrication and erection capabilities and a long track record of successfully delivering complex structural projects. We are also excited to work with DBM Global to offer a broader range of products and services so that together we deliver innovative solutions to our combined customer base, particularly in data center, industrial and infrastructure markets. We look forward to investing in DBM Global’s people, facilities and equipment and to working together on our customers’ most complex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DBM Global is a premier business with an outstanding team and substantial long-term growth potential, and we believe it will be an excellent addition to IES’s portfolio of businesses,” said Jeff Gendell, Executive Chairman of IES. “As our largest acquisition to date, we were deliberate in how we financed the transaction, with a focus on maintaining our strong balance sheet by using a combination of cash, borrowings and IES equity. We expect substantial cash flow from both IES and DBM Global will allow us to rapidly repay acquisition-related borrowings while continuing to reinvest in our businesses and pursue additional opportunities.”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Rustin Roach, President and Chief Executive Officer of DBM Global, added, “Joining IES marks an exciting next chapter for our businesses and our people. IES’s long-term ownership approach and financial strength will allow us to accelerate investment in our operations while continuing to deliver for our customers, many of whom we have served for decades. We look forward to working alongside IES’s other operating segments to bring additional capabilities and capacity to our customers’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consideration of approximately $691 million consisted of approximately $545 million in cash and 430,974 shares of IES common stock (as adjusted for IES’s two-for-one stock split effected on August 21, 2026) valued at approximately $146 million based on the closing price of IES common stock on October 2, 2026, subject to customary net working capital and other post-closing adjustments. The cash consideration includes a $35 million payment to INNOVATE in respect of the estimated cost to INNOVATE of participating in a joint election under Section 338(h)(10) of the Internal Revenue Code. IES funded the cash consideration with cash on hand and borrowings under its amended and expanded credit facility arranged by Wells Fargo.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Phoenix, Arizona, DBM Global operates through a family of established brands, including Schuff Steel, Banker Steel, GrayWolf, DBM Vircon and Aitken, with more than 2 million square feet of fabrication and operating facilities across the United States. DBM Global provides structural steel fabrication, erection and industrial construction and engineering services across commercial, industrial, data center, stadium and infrastructure end markets and has supplied structural steel and erection services to many of the country’s most recognizable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IES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IES designs and installs integrated electrical and technology systems, provides infrastructure solutions and services, and delivers structural steel engineering, fabrication and erection to a variety of end markets, including data centers, residential housing, and commercial, industrial and infrastructure facilities. Our more than 16,000 employees serve clients primarily in the United States. For more information about IES, please visit </w:t>
      </w:r>
      <w:r>
        <w:rPr>
          <w:rFonts w:ascii="Times New Roman;Times;Serif" w:hAnsi="Times New Roman;Times;Serif"/>
          <w:b w:val="false"/>
          <w:i w:val="false"/>
          <w:caps w:val="false"/>
          <w:smallCaps w:val="false"/>
          <w:sz w:val="20"/>
          <w:u w:val="single"/>
        </w:rPr>
        <w:t>www.ies-co.com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McLauchlin, 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860-1500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Winters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IR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445-2870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IESC@alpha-ir.com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release may be deemed “forward-looking statements” within the meaning of Section 27A of the Securities Act of 1933 and Section 21E of the Securities Exchange Act of 1934, all of which are based upon various estimates and assumptions that IES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IES’s actual future outcomes to differ materially from those set forth in such statements. Such risks and uncertainties include, but are not limited to, a general reduction in the demand for our products or services; changes in general economic conditions, including supply chain constraints, high rates of inflation, changes in consumer sentiment, elevated interest rates, and market disruptions resulting from a number of factors, including geo-political events; competition in the industries in which we operate, which could result in the loss of one or more customers or lead to lower margins on new projects; the use of estimates in placing bids on fixed price contracts, variations from estimated contract costs and our ability to successfully manage and execute projects, the cost and availability of qualified labor and the ability to maintain positive labor relations, and our ability to pass along increases in the cost of commodities used in our business; our ability to enter into, and the terms of, future contracts; the existence of a small number of customers from whom we derive a meaningful portion of our revenues; reliance on third parties, including subcontractors and suppliers, to complete our projects; the inability to carry out plans and strategies as expected, including the inability to identify and complete acquisitions that meet our investment criteria, or the subsequent underperformance of those acquisitions; challenges integrating new businesses into IES or new types of work, products or processes into our segments; backlog that may not be realized or may not result in profits; failure to adequately recover on contract change orders or claims against customers; closures or sales of our facilities resulting in significant future charges or a significant disruption of our operations; the impact of future epidemics or pandemics on our business; an increased cost of surety bonds affecting margins on work and the potential for our surety providers to refuse bonding or require additional collateral at their discretion; the impact of seasonality, adverse weather conditions, and climate change; fluctuations in operating activity due to factors such as cyclicality, downturns in levels of construction or the housing market, and differing regional economic conditions; difficulties in managing our billings and collections; accidents resulting from the physical hazards associated with our work and the potential for accidents; the possibility that our current insurance coverage may not be adequate or that we may not be able to obtain policies at acceptable rates; the effect of litigation, claims and contingencies, including warranty losses, damages or other latent defect claims in excess of our existing reserves and accruals; costs and liabilities under existing or potential future laws and regulations, including those laws and regulations related to the environment and climate change, as well as the inability to transfer, renew and obtain electrical and other professional licenses; interruptions to our information systems and cyber security or data breaches; expenditures to conduct environmental remediation activities required by certain environmental laws and regulations; loss of key personnel, ineffective transition of new management, or general labor constraints; credit and capital market conditions, including changes in interest rates that affect the cost of construction financing and mortgages, and the inability of some of our customers to obtain sufficient financing at acceptable rates, which could lead to project delays or cancellations; limitations on our ability to access capital markets and generate cash from operations to fund our capital needs; the impact on our effective tax rate or cash paid for taxes from changes in tax positions we have taken or changes in tax laws; difficulty in fulfilling the covenant terms of our revolving credit facility, which could result in a default and acceleration of any indebtedness under such revolving credit facility; reliance on certain estimates and assumptions that may differ from actual results in the preparation of our financial statements and the impacts of new accounting, control and operating procedures resulting from new accounting pronouncements; uncertainties inherent in the use of percentage-of-completion accounting, which could result in the reduction or elimination of previously recorded revenues and profits; the recognition of potential goodwill, long-lived assets and other investment impairments; 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the relatively low trading volume of our common stock, which could increase the volatility of our stock price and could make it more difficult for shareholders to sell a substantial number of shares for the same price at which shareholders could sell a smaller number of shares; the possibility that we issue additional shares of common stock, preferred stock or convertible securities that will dilute the percentage ownership interest of existing stockholders and may dilute the value per share of our common stock; the potential for substantial sales of our common stock, which could adversely affect our stock price; the impact of increasing scrutiny and changing expectations from investors and customers, or new or changing regulations, with respect to climate change or environmental impacts of our operations; the cost or effort required for our shareholders to bring certain claims or actions against us, as a result of our designation of the Court of Chancery of the State of Delaware as the sole and exclusive forum for certain types of actions and proceedings; and the possibility that our internal controls over financial reporting and our disclosure controls and procedures may not prevent all possible errors that could occur, as well as other risk factors discussed in this document, in IES’s annual report on Form 10-K for the year ended September 30, 2025 and in IES’s other reports on file with the SEC. You should understand that such risk factors could cause future outcomes to differ materially from those experienced previously or those expressed in such forward-looking statements. IES undertakes no obligation to publicly update or revise any information or any forward-looking statements to reflect events or circumstances that may arise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are provided in this press release pursuant to the safe harbor established under the Private Securities Litigation Reform Act of 1995 and should be evaluated in the context of the estimates, assumptions, uncertainties, and risks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information about IES Holdings, Inc. can be found at http://www.ies-co.com under “Investor Relations.” IES’s annual report on Form 10-K, quarterly reports on Form 10-Q and current reports on Form 8-K, as well as any amendments to those reports, are available free of charge through IES’s website as soon as reasonably practicable after they are filed with, or furnished to, the SEC.</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48268/000149315226036976/ex2-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110614</Words>
  <Characters>592519</Characters>
  <CharactersWithSpaces>703192</CharactersWithSpaces>
  <Paragraphs>5026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