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UNITED STATES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1514" w:type="dxa"/>
        <w:jc w:val="center"/>
        <w:tblInd w:w="0" w:type="dxa"/>
        <w:tblLayout w:type="fixed"/>
        <w:tblCellMar>
          <w:top w:w="28" w:type="dxa"/>
          <w:left w:w="28" w:type="dxa"/>
          <w:bottom w:w="28" w:type="dxa"/>
          <w:right w:w="28" w:type="dxa"/>
        </w:tblCellMar>
      </w:tblPr>
      <w:tblGrid>
        <w:gridCol w:w="315"/>
        <w:gridCol w:w="277"/>
        <w:gridCol w:w="278"/>
        <w:gridCol w:w="188"/>
        <w:gridCol w:w="188"/>
        <w:gridCol w:w="268"/>
      </w:tblGrid>
      <w:tr>
        <w:trPr/>
        <w:tc>
          <w:tcPr>
            <w:tcW w:w="31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8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20" w:after="283"/>
              <w:jc w:val="right"/>
              <w:rPr>
                <w:rFonts w:ascii="Times New Roman;serif" w:hAnsi="Times New Roman;serif"/>
                <w:b/>
                <w:color w:val="000000"/>
                <w:sz w:val="22"/>
              </w:rPr>
            </w:pPr>
            <w:r>
              <w:rPr>
                <w:rFonts w:ascii="Times New Roman;serif" w:hAnsi="Times New Roman;serif"/>
                <w:b/>
                <w:color w:val="000000"/>
                <w:sz w:val="22"/>
              </w:rPr>
              <w:t xml:space="preserve">FORM </w:t>
            </w:r>
          </w:p>
        </w:tc>
        <w:tc>
          <w:tcPr>
            <w:tcW w:w="6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220" w:after="283"/>
              <w:jc w:val="left"/>
              <w:rPr>
                <w:rFonts w:ascii="Times New Roman;serif" w:hAnsi="Times New Roman;serif"/>
                <w:b/>
                <w:color w:val="000000"/>
                <w:sz w:val="22"/>
              </w:rPr>
            </w:pPr>
            <w:r>
              <w:rPr>
                <w:rFonts w:ascii="Times New Roman;serif" w:hAnsi="Times New Roman;serif"/>
                <w:b/>
                <w:color w:val="000000"/>
                <w:sz w:val="22"/>
              </w:rPr>
              <w:t>10-Q</w:t>
            </w:r>
          </w:p>
        </w:tc>
      </w:tr>
    </w:tbl>
    <w:tbl>
      <w:tblPr>
        <w:tblW w:w="10205" w:type="dxa"/>
        <w:jc w:val="center"/>
        <w:tblInd w:w="0" w:type="dxa"/>
        <w:tblLayout w:type="fixed"/>
        <w:tblCellMar>
          <w:top w:w="28" w:type="dxa"/>
          <w:left w:w="28" w:type="dxa"/>
          <w:bottom w:w="28" w:type="dxa"/>
          <w:right w:w="28" w:type="dxa"/>
        </w:tblCellMar>
      </w:tblPr>
      <w:tblGrid>
        <w:gridCol w:w="127"/>
        <w:gridCol w:w="112"/>
        <w:gridCol w:w="112"/>
        <w:gridCol w:w="1533"/>
        <w:gridCol w:w="1533"/>
        <w:gridCol w:w="1533"/>
        <w:gridCol w:w="1533"/>
        <w:gridCol w:w="1533"/>
        <w:gridCol w:w="2189"/>
      </w:tblGrid>
      <w:tr>
        <w:trPr/>
        <w:tc>
          <w:tcPr>
            <w:tcW w:w="12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(Mark One)</w:t>
            </w:r>
          </w:p>
        </w:tc>
      </w:tr>
      <w:tr>
        <w:trPr/>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r>
        <w:trPr/>
        <w:tc>
          <w:tcPr>
            <w:tcW w:w="4950"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For the quarterly period ended</w:t>
            </w:r>
          </w:p>
        </w:tc>
        <w:tc>
          <w:tcPr>
            <w:tcW w:w="5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March 31, 2026</w:t>
            </w:r>
          </w:p>
        </w:tc>
      </w:tr>
      <w:tr>
        <w:trPr/>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w:t>
            </w:r>
          </w:p>
        </w:tc>
      </w:tr>
      <w:tr>
        <w:trPr/>
        <w:tc>
          <w:tcPr>
            <w:tcW w:w="3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5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220" w:after="283"/>
              <w:jc w:val="center"/>
              <w:rPr/>
            </w:pPr>
            <w:r>
              <w:rPr>
                <w:rFonts w:ascii="Times New Roman;serif" w:hAnsi="Times New Roman;serif"/>
                <w:b/>
                <w:color w:val="000000"/>
                <w:sz w:val="18"/>
              </w:rPr>
              <w:t xml:space="preserve">For the transition period from </w:t>
            </w:r>
            <w:r>
              <w:rPr>
                <w:color w:val="000000"/>
                <w:u w:val="single"/>
              </w:rPr>
              <w:t>                    </w:t>
            </w:r>
            <w:r>
              <w:rPr>
                <w:color w:val="000000"/>
              </w:rPr>
              <w:t xml:space="preserve"> </w:t>
            </w:r>
            <w:r>
              <w:rPr>
                <w:rFonts w:ascii="Times New Roman;serif" w:hAnsi="Times New Roman;serif"/>
                <w:b/>
                <w:color w:val="000000"/>
                <w:sz w:val="18"/>
              </w:rPr>
              <w:t xml:space="preserve">to </w:t>
            </w:r>
            <w:r>
              <w:rPr>
                <w:color w:val="000000"/>
                <w:u w:val="single"/>
              </w:rPr>
              <w:t>                    </w:t>
            </w:r>
          </w:p>
        </w:tc>
      </w:tr>
    </w:tbl>
    <w:tbl>
      <w:tblPr>
        <w:tblW w:w="2984" w:type="dxa"/>
        <w:jc w:val="center"/>
        <w:tblInd w:w="0" w:type="dxa"/>
        <w:tblLayout w:type="fixed"/>
        <w:tblCellMar>
          <w:top w:w="28" w:type="dxa"/>
          <w:left w:w="28" w:type="dxa"/>
          <w:bottom w:w="28" w:type="dxa"/>
          <w:right w:w="28" w:type="dxa"/>
        </w:tblCellMar>
      </w:tblPr>
      <w:tblGrid>
        <w:gridCol w:w="743"/>
        <w:gridCol w:w="654"/>
        <w:gridCol w:w="658"/>
        <w:gridCol w:w="272"/>
        <w:gridCol w:w="272"/>
        <w:gridCol w:w="385"/>
      </w:tblGrid>
      <w:tr>
        <w:trPr/>
        <w:tc>
          <w:tcPr>
            <w:tcW w:w="74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20" w:after="283"/>
              <w:jc w:val="right"/>
              <w:rPr>
                <w:rFonts w:ascii="Times New Roman;serif" w:hAnsi="Times New Roman;serif"/>
                <w:b/>
                <w:color w:val="000000"/>
                <w:sz w:val="18"/>
              </w:rPr>
            </w:pPr>
            <w:r>
              <w:rPr>
                <w:rFonts w:ascii="Times New Roman;serif" w:hAnsi="Times New Roman;serif"/>
                <w:b/>
                <w:color w:val="000000"/>
                <w:sz w:val="18"/>
              </w:rPr>
              <w:t xml:space="preserve">Commission file number </w:t>
            </w:r>
          </w:p>
        </w:tc>
        <w:tc>
          <w:tcPr>
            <w:tcW w:w="9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220" w:after="283"/>
              <w:jc w:val="left"/>
              <w:rPr>
                <w:rFonts w:ascii="Times New Roman;serif" w:hAnsi="Times New Roman;serif"/>
                <w:b/>
                <w:color w:val="000000"/>
                <w:sz w:val="18"/>
              </w:rPr>
            </w:pPr>
            <w:r>
              <w:rPr>
                <w:rFonts w:ascii="Times New Roman;serif" w:hAnsi="Times New Roman;serif"/>
                <w:b/>
                <w:color w:val="000000"/>
                <w:sz w:val="18"/>
              </w:rPr>
              <w:t>001-13783</w:t>
            </w:r>
          </w:p>
        </w:tc>
      </w:tr>
    </w:tbl>
    <w:p>
      <w:pPr>
        <w:pStyle w:val="TextBody"/>
        <w:bidi w:val="0"/>
        <w:spacing w:before="60" w:after="283"/>
        <w:jc w:val="center"/>
        <w:rPr/>
      </w:pPr>
      <w:r>
        <w:rPr/>
        <w:drawing>
          <wp:inline distT="0" distB="0" distL="0" distR="0">
            <wp:extent cx="123825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8250" cy="6191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IES Holdings, Inc.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220" w:after="283"/>
              <w:jc w:val="center"/>
              <w:rPr/>
            </w:pPr>
            <w:r>
              <w:rPr/>
            </w:r>
          </w:p>
          <w:p>
            <w:pPr>
              <w:pStyle w:val="TableContents"/>
              <w:bidi w:val="0"/>
              <w:spacing w:before="220" w:after="283"/>
              <w:jc w:val="center"/>
              <w:rPr/>
            </w:pPr>
            <w:r>
              <w:rPr/>
            </w:r>
          </w:p>
          <w:p>
            <w:pPr>
              <w:pStyle w:val="TableContents"/>
              <w:bidi w:val="0"/>
              <w:spacing w:before="0" w:after="0"/>
              <w:jc w:val="center"/>
              <w:rPr/>
            </w:pPr>
            <w:r>
              <w:rPr/>
            </w:r>
          </w:p>
        </w:tc>
      </w:tr>
    </w:tbl>
    <w:tbl>
      <w:tblPr>
        <w:tblW w:w="3855" w:type="dxa"/>
        <w:jc w:val="center"/>
        <w:tblInd w:w="0" w:type="dxa"/>
        <w:tblLayout w:type="fixed"/>
        <w:tblCellMar>
          <w:top w:w="28" w:type="dxa"/>
          <w:left w:w="28" w:type="dxa"/>
          <w:bottom w:w="28" w:type="dxa"/>
          <w:right w:w="28" w:type="dxa"/>
        </w:tblCellMar>
      </w:tblPr>
      <w:tblGrid>
        <w:gridCol w:w="854"/>
        <w:gridCol w:w="754"/>
        <w:gridCol w:w="762"/>
        <w:gridCol w:w="434"/>
        <w:gridCol w:w="434"/>
        <w:gridCol w:w="617"/>
      </w:tblGrid>
      <w:tr>
        <w:trPr/>
        <w:tc>
          <w:tcPr>
            <w:tcW w:w="85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76-0542208</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13131 Dairy Ashford Rd., Suite 500, Sugar Land, Texas 77478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and zip code)</w:t>
      </w:r>
    </w:p>
    <w:p>
      <w:pPr>
        <w:pStyle w:val="TextBody"/>
        <w:bidi w:val="0"/>
        <w:spacing w:lineRule="auto" w:line="288" w:before="60" w:after="283"/>
        <w:jc w:val="center"/>
        <w:rPr/>
      </w:pPr>
      <w:r>
        <w:rPr>
          <w:rFonts w:ascii="Times New Roman;serif" w:hAnsi="Times New Roman;serif"/>
          <w:b/>
          <w:color w:val="000000"/>
          <w:sz w:val="18"/>
        </w:rPr>
        <w:t>Registrant’s telephone number, including area code:</w:t>
      </w:r>
      <w:r>
        <w:rPr>
          <w:color w:val="000000"/>
        </w:rPr>
        <w:t xml:space="preserve"> </w:t>
      </w:r>
      <w:r>
        <w:rPr>
          <w:rFonts w:ascii="Times New Roman;serif" w:hAnsi="Times New Roman;serif"/>
          <w:b/>
          <w:color w:val="000000"/>
          <w:sz w:val="18"/>
        </w:rPr>
        <w:t xml:space="preserve">(713) 860-1500 </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Securities registered pursuant to Section 12(b) of the Act:</w:t>
      </w:r>
    </w:p>
    <w:tbl>
      <w:tblPr>
        <w:tblW w:w="9141" w:type="dxa"/>
        <w:jc w:val="center"/>
        <w:tblInd w:w="0" w:type="dxa"/>
        <w:tblLayout w:type="fixed"/>
        <w:tblCellMar>
          <w:top w:w="28" w:type="dxa"/>
          <w:left w:w="28" w:type="dxa"/>
          <w:bottom w:w="28" w:type="dxa"/>
          <w:right w:w="28" w:type="dxa"/>
        </w:tblCellMar>
      </w:tblPr>
      <w:tblGrid>
        <w:gridCol w:w="1209"/>
        <w:gridCol w:w="1064"/>
        <w:gridCol w:w="1071"/>
        <w:gridCol w:w="109"/>
        <w:gridCol w:w="109"/>
        <w:gridCol w:w="109"/>
        <w:gridCol w:w="454"/>
        <w:gridCol w:w="454"/>
        <w:gridCol w:w="456"/>
        <w:gridCol w:w="109"/>
        <w:gridCol w:w="109"/>
        <w:gridCol w:w="109"/>
        <w:gridCol w:w="1107"/>
        <w:gridCol w:w="1107"/>
        <w:gridCol w:w="1565"/>
      </w:tblGrid>
      <w:tr>
        <w:trPr/>
        <w:tc>
          <w:tcPr>
            <w:tcW w:w="12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Name of each exchange on which registered</w:t>
            </w:r>
          </w:p>
        </w:tc>
      </w:tr>
      <w:tr>
        <w:trPr/>
        <w:tc>
          <w:tcPr>
            <w:tcW w:w="3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180"/>
              <w:jc w:val="center"/>
              <w:rPr>
                <w:rFonts w:ascii="Times New Roman;serif" w:hAnsi="Times New Roman;serif"/>
                <w:b/>
                <w:color w:val="000000"/>
                <w:sz w:val="18"/>
              </w:rPr>
            </w:pPr>
            <w:r>
              <w:rPr>
                <w:rFonts w:ascii="Times New Roman;serif" w:hAnsi="Times New Roman;serif"/>
                <w:b/>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IESC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NASDAQ Global Market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220" w:after="283"/>
              <w:jc w:val="center"/>
              <w:rPr/>
            </w:pPr>
            <w:r>
              <w:rPr/>
            </w:r>
          </w:p>
        </w:tc>
      </w:tr>
    </w:tbl>
    <w:p>
      <w:pPr>
        <w:pStyle w:val="TextBody"/>
        <w:bidi w:val="0"/>
        <w:spacing w:lineRule="auto" w:line="288" w:before="0" w:after="120"/>
        <w:jc w:val="both"/>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xml:space="preserve"> ☑ </w:t>
      </w:r>
      <w:r>
        <w:rPr>
          <w:rFonts w:ascii="Times New Roman;serif" w:hAnsi="Times New Roman;serif"/>
          <w:b w:val="false"/>
          <w:color w:val="000000"/>
          <w:sz w:val="18"/>
        </w:rPr>
        <w:t>No</w:t>
      </w:r>
      <w:r>
        <w:rPr>
          <w:color w:val="000000"/>
        </w:rPr>
        <w:t xml:space="preserve"> ☐</w:t>
      </w:r>
    </w:p>
    <w:p>
      <w:pPr>
        <w:pStyle w:val="TextBody"/>
        <w:bidi w:val="0"/>
        <w:spacing w:lineRule="auto" w:line="288" w:before="0" w:after="120"/>
        <w:jc w:val="both"/>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color w:val="000000"/>
        </w:rPr>
        <w:t xml:space="preserve"> ☑ </w:t>
      </w:r>
      <w:r>
        <w:rPr>
          <w:rFonts w:ascii="Times New Roman;serif" w:hAnsi="Times New Roman;serif"/>
          <w:b w:val="false"/>
          <w:color w:val="000000"/>
          <w:sz w:val="18"/>
        </w:rPr>
        <w:t>No</w:t>
      </w:r>
      <w:r>
        <w:rPr>
          <w:color w:val="000000"/>
        </w:rPr>
        <w:t xml:space="preserve"> ☐</w:t>
      </w:r>
    </w:p>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05"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674"/>
        <w:gridCol w:w="674"/>
        <w:gridCol w:w="677"/>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0" w:after="120"/>
        <w:jc w:val="both"/>
        <w:rPr/>
      </w:pPr>
      <w:r>
        <w:rPr>
          <w:rFonts w:ascii="Times New Roman;serif" w:hAnsi="Times New Roman;serif"/>
          <w:b w:val="false"/>
          <w:color w:val="000000"/>
          <w:sz w:val="18"/>
        </w:rPr>
        <w:t>Indicate by check mark whether the registrant is a shell company (as defined in Rule 12b-2 of the Exchange Act). Yes</w:t>
      </w:r>
      <w:r>
        <w:rPr>
          <w:color w:val="000000"/>
        </w:rPr>
        <w:t xml:space="preserve"> ☐ </w:t>
      </w:r>
      <w:r>
        <w:rPr>
          <w:rFonts w:ascii="Times New Roman;serif" w:hAnsi="Times New Roman;serif"/>
          <w:b w:val="false"/>
          <w:color w:val="000000"/>
          <w:sz w:val="18"/>
        </w:rPr>
        <w:t>No</w:t>
      </w:r>
      <w:r>
        <w:rPr>
          <w:color w:val="000000"/>
        </w:rPr>
        <w:t xml:space="preserve">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On April 27, 2026, there were 19,923,887 shares of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IES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337"/>
        <w:gridCol w:w="296"/>
        <w:gridCol w:w="296"/>
        <w:gridCol w:w="370"/>
        <w:gridCol w:w="333"/>
        <w:gridCol w:w="333"/>
        <w:gridCol w:w="2549"/>
        <w:gridCol w:w="2505"/>
        <w:gridCol w:w="2610"/>
        <w:gridCol w:w="167"/>
        <w:gridCol w:w="167"/>
        <w:gridCol w:w="242"/>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c>
          <w:tcPr>
            <w:tcW w:w="261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29" w:type="dxa"/>
            <w:gridSpan w:val="9"/>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304273b056145529f1f32e3377c005a_10">
              <w:r>
                <w:rPr>
                  <w:rStyle w:val="InternetLink"/>
                  <w:rFonts w:ascii="Times New Roman;serif" w:hAnsi="Times New Roman;serif"/>
                  <w:b w:val="false"/>
                  <w:color w:val="0000FF"/>
                  <w:sz w:val="20"/>
                  <w:u w:val="single"/>
                </w:rPr>
                <w:t>PART I. FINANCIAL INFORMATION</w:t>
              </w:r>
            </w:hyperlink>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304273b056145529f1f32e3377c005a_13">
              <w:r>
                <w:rPr>
                  <w:rStyle w:val="InternetLink"/>
                  <w:rFonts w:ascii="Times New Roman;serif" w:hAnsi="Times New Roman;serif"/>
                  <w:b w:val="false"/>
                  <w:color w:val="0000FF"/>
                  <w:sz w:val="20"/>
                  <w:u w:val="single"/>
                </w:rPr>
                <w:t>Item 1. Financial Statements</w:t>
              </w:r>
            </w:hyperlink>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04273b056145529f1f32e3377c005a_16">
              <w:r>
                <w:rPr>
                  <w:rStyle w:val="InternetLink"/>
                  <w:rFonts w:ascii="Times New Roman;serif" w:hAnsi="Times New Roman;serif"/>
                  <w:b w:val="false"/>
                  <w:color w:val="0000FF"/>
                  <w:sz w:val="20"/>
                  <w:u w:val="single"/>
                </w:rPr>
                <w:t>Condensed Consolidated Balance Sheets as of March 31, 2026 and September 30, 2025</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04273b056145529f1f32e3377c005a_16">
              <w:r>
                <w:rPr>
                  <w:rStyle w:val="InternetLink"/>
                  <w:rFonts w:ascii="Times New Roman;serif" w:hAnsi="Times New Roman;serif"/>
                  <w:b w:val="false"/>
                  <w:strike w:val="false"/>
                  <w:dstrike w:val="false"/>
                  <w:color w:val="0000FF"/>
                  <w:sz w:val="20"/>
                  <w:u w:val="none"/>
                  <w:effect w:val="none"/>
                </w:rPr>
                <w:t>6</w:t>
              </w:r>
            </w:hyperlink>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04273b056145529f1f32e3377c005a_19">
              <w:r>
                <w:rPr>
                  <w:rStyle w:val="InternetLink"/>
                  <w:rFonts w:ascii="Times New Roman;serif" w:hAnsi="Times New Roman;serif"/>
                  <w:b w:val="false"/>
                  <w:color w:val="0000FF"/>
                  <w:sz w:val="20"/>
                  <w:u w:val="single"/>
                </w:rPr>
                <w:t>Condensed Consolidated Statements of Comprehensive Income for the Three Months Ended March 31, 2026 and 2025</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04273b056145529f1f32e3377c005a_19">
              <w:r>
                <w:rPr>
                  <w:rStyle w:val="InternetLink"/>
                  <w:rFonts w:ascii="Times New Roman;serif" w:hAnsi="Times New Roman;serif"/>
                  <w:b w:val="false"/>
                  <w:strike w:val="false"/>
                  <w:dstrike w:val="false"/>
                  <w:color w:val="0000FF"/>
                  <w:sz w:val="20"/>
                  <w:u w:val="none"/>
                  <w:effect w:val="none"/>
                </w:rPr>
                <w:t>7</w:t>
              </w:r>
            </w:hyperlink>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04273b056145529f1f32e3377c005a_22">
              <w:r>
                <w:rPr>
                  <w:rStyle w:val="InternetLink"/>
                  <w:rFonts w:ascii="Times New Roman;serif" w:hAnsi="Times New Roman;serif"/>
                  <w:b w:val="false"/>
                  <w:color w:val="0000FF"/>
                  <w:sz w:val="20"/>
                  <w:u w:val="single"/>
                </w:rPr>
                <w:t>Condensed Consolidated Statements of Comprehensive Income for the Six Months Ended March 31, 2026 and 2025</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04273b056145529f1f32e3377c005a_22">
              <w:r>
                <w:rPr>
                  <w:rStyle w:val="InternetLink"/>
                  <w:rFonts w:ascii="Times New Roman;serif" w:hAnsi="Times New Roman;serif"/>
                  <w:b w:val="false"/>
                  <w:strike w:val="false"/>
                  <w:dstrike w:val="false"/>
                  <w:color w:val="0000FF"/>
                  <w:sz w:val="20"/>
                  <w:u w:val="none"/>
                  <w:effect w:val="none"/>
                </w:rPr>
                <w:t>8</w:t>
              </w:r>
            </w:hyperlink>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04273b056145529f1f32e3377c005a_25">
              <w:r>
                <w:rPr>
                  <w:rStyle w:val="InternetLink"/>
                  <w:rFonts w:ascii="Times New Roman;serif" w:hAnsi="Times New Roman;serif"/>
                  <w:b w:val="false"/>
                  <w:color w:val="000080"/>
                  <w:sz w:val="20"/>
                  <w:u w:val="single"/>
                </w:rPr>
                <w:t xml:space="preserve">Condensed Consolidated Statements of Stockholders’ Equity for the </w:t>
              </w:r>
            </w:hyperlink>
            <w:hyperlink w:anchor="i1304273b056145529f1f32e3377c005a_19">
              <w:r>
                <w:rPr>
                  <w:rStyle w:val="InternetLink"/>
                  <w:rFonts w:ascii="Times New Roman;serif" w:hAnsi="Times New Roman;serif"/>
                  <w:b w:val="false"/>
                  <w:color w:val="000080"/>
                  <w:sz w:val="20"/>
                  <w:u w:val="single"/>
                </w:rPr>
                <w:t>Three Months Ended March 31, 2026 and 2025</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04273b056145529f1f32e3377c005a_25">
              <w:r>
                <w:rPr>
                  <w:rStyle w:val="InternetLink"/>
                  <w:rFonts w:ascii="Times New Roman;serif" w:hAnsi="Times New Roman;serif"/>
                  <w:b w:val="false"/>
                  <w:strike w:val="false"/>
                  <w:dstrike w:val="false"/>
                  <w:color w:val="0000FF"/>
                  <w:sz w:val="20"/>
                  <w:u w:val="none"/>
                  <w:effect w:val="none"/>
                </w:rPr>
                <w:t>9</w:t>
              </w:r>
            </w:hyperlink>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04273b056145529f1f32e3377c005a_28">
              <w:r>
                <w:rPr>
                  <w:rStyle w:val="InternetLink"/>
                  <w:rFonts w:ascii="Times New Roman;serif" w:hAnsi="Times New Roman;serif"/>
                  <w:b w:val="false"/>
                  <w:color w:val="0000FF"/>
                  <w:sz w:val="20"/>
                  <w:u w:val="single"/>
                </w:rPr>
                <w:t>Condensed Consolidated Statements of Stockholders’ Equity for the Six Months Ended March 31, 2026 and 2025</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04273b056145529f1f32e3377c005a_25">
              <w:r>
                <w:rPr>
                  <w:rStyle w:val="InternetLink"/>
                  <w:rFonts w:ascii="Times New Roman;serif" w:hAnsi="Times New Roman;serif"/>
                  <w:b w:val="false"/>
                  <w:strike w:val="false"/>
                  <w:dstrike w:val="false"/>
                  <w:color w:val="0000FF"/>
                  <w:sz w:val="20"/>
                  <w:u w:val="none"/>
                  <w:effect w:val="none"/>
                </w:rPr>
                <w:t>9</w:t>
              </w:r>
            </w:hyperlink>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304273b056145529f1f32e3377c005a_31">
              <w:r>
                <w:rPr>
                  <w:rStyle w:val="InternetLink"/>
                  <w:rFonts w:ascii="Times New Roman;serif" w:hAnsi="Times New Roman;serif"/>
                  <w:b w:val="false"/>
                  <w:color w:val="0000FF"/>
                  <w:sz w:val="20"/>
                  <w:u w:val="single"/>
                </w:rPr>
                <w:t>Condensed Consolidated Statements of Cash Flows for the Six Months Ended March 31, 2026 and 2025</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04273b056145529f1f32e3377c005a_31">
              <w:r>
                <w:rPr>
                  <w:rStyle w:val="InternetLink"/>
                  <w:rFonts w:ascii="Times New Roman;serif" w:hAnsi="Times New Roman;serif"/>
                  <w:b w:val="false"/>
                  <w:strike w:val="false"/>
                  <w:dstrike w:val="false"/>
                  <w:color w:val="0000FF"/>
                  <w:sz w:val="20"/>
                  <w:u w:val="none"/>
                  <w:effect w:val="none"/>
                </w:rPr>
                <w:t>10</w:t>
              </w:r>
            </w:hyperlink>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04273b056145529f1f32e3377c005a_34">
              <w:r>
                <w:rPr>
                  <w:rStyle w:val="InternetLink"/>
                  <w:rFonts w:ascii="Times New Roman;serif" w:hAnsi="Times New Roman;serif"/>
                  <w:b w:val="false"/>
                  <w:color w:val="0000FF"/>
                  <w:sz w:val="20"/>
                  <w:u w:val="single"/>
                </w:rPr>
                <w:t>Notes to Condensed Consolidated Financial Statements</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04273b056145529f1f32e3377c005a_34">
              <w:r>
                <w:rPr>
                  <w:rStyle w:val="InternetLink"/>
                  <w:rFonts w:ascii="Times New Roman;serif" w:hAnsi="Times New Roman;serif"/>
                  <w:b w:val="false"/>
                  <w:strike w:val="false"/>
                  <w:dstrike w:val="false"/>
                  <w:color w:val="0000FF"/>
                  <w:sz w:val="20"/>
                  <w:u w:val="none"/>
                  <w:effect w:val="none"/>
                </w:rPr>
                <w:t>11</w:t>
              </w:r>
            </w:hyperlink>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304273b056145529f1f32e3377c005a_100">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04273b056145529f1f32e3377c005a_100">
              <w:r>
                <w:rPr>
                  <w:rStyle w:val="InternetLink"/>
                  <w:rFonts w:ascii="Times New Roman;serif" w:hAnsi="Times New Roman;serif"/>
                  <w:b w:val="false"/>
                  <w:strike w:val="false"/>
                  <w:dstrike w:val="false"/>
                  <w:color w:val="0000FF"/>
                  <w:sz w:val="20"/>
                  <w:u w:val="none"/>
                  <w:effect w:val="none"/>
                </w:rPr>
                <w:t>25</w:t>
              </w:r>
            </w:hyperlink>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304273b056145529f1f32e3377c005a_163">
              <w:r>
                <w:rPr>
                  <w:rStyle w:val="InternetLink"/>
                  <w:rFonts w:ascii="Times New Roman;serif" w:hAnsi="Times New Roman;serif"/>
                  <w:b w:val="false"/>
                  <w:color w:val="0000FF"/>
                  <w:sz w:val="20"/>
                  <w:u w:val="single"/>
                </w:rPr>
                <w:t>Item 3. Quantitative and Qualitative Disclosures About Market Risk</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04273b056145529f1f32e3377c005a_163">
              <w:r>
                <w:rPr>
                  <w:rStyle w:val="InternetLink"/>
                  <w:rFonts w:ascii="Times New Roman;serif" w:hAnsi="Times New Roman;serif"/>
                  <w:b w:val="false"/>
                  <w:strike w:val="false"/>
                  <w:dstrike w:val="false"/>
                  <w:color w:val="0000FF"/>
                  <w:sz w:val="20"/>
                  <w:u w:val="none"/>
                  <w:effect w:val="none"/>
                </w:rPr>
                <w:t>36</w:t>
              </w:r>
            </w:hyperlink>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304273b056145529f1f32e3377c005a_166">
              <w:r>
                <w:rPr>
                  <w:rStyle w:val="InternetLink"/>
                  <w:rFonts w:ascii="Times New Roman;serif" w:hAnsi="Times New Roman;serif"/>
                  <w:b w:val="false"/>
                  <w:color w:val="0000FF"/>
                  <w:sz w:val="20"/>
                  <w:u w:val="single"/>
                </w:rPr>
                <w:t>Item 4. Controls and Procedures</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04273b056145529f1f32e3377c005a_166">
              <w:r>
                <w:rPr>
                  <w:rStyle w:val="InternetLink"/>
                  <w:rFonts w:ascii="Times New Roman;serif" w:hAnsi="Times New Roman;serif"/>
                  <w:b w:val="false"/>
                  <w:strike w:val="false"/>
                  <w:dstrike w:val="false"/>
                  <w:color w:val="0000FF"/>
                  <w:sz w:val="20"/>
                  <w:u w:val="none"/>
                  <w:effect w:val="none"/>
                </w:rPr>
                <w:t>36</w:t>
              </w:r>
            </w:hyperlink>
          </w:p>
        </w:tc>
      </w:tr>
      <w:tr>
        <w:trPr/>
        <w:tc>
          <w:tcPr>
            <w:tcW w:w="9629" w:type="dxa"/>
            <w:gridSpan w:val="9"/>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304273b056145529f1f32e3377c005a_169">
              <w:r>
                <w:rPr>
                  <w:rStyle w:val="InternetLink"/>
                  <w:rFonts w:ascii="Times New Roman;serif" w:hAnsi="Times New Roman;serif"/>
                  <w:b w:val="false"/>
                  <w:color w:val="0000FF"/>
                  <w:sz w:val="20"/>
                  <w:u w:val="single"/>
                </w:rPr>
                <w:t>PART II. OTHER INFORMATION</w:t>
              </w:r>
            </w:hyperlink>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304273b056145529f1f32e3377c005a_172">
              <w:r>
                <w:rPr>
                  <w:rStyle w:val="InternetLink"/>
                  <w:rFonts w:ascii="Times New Roman;serif" w:hAnsi="Times New Roman;serif"/>
                  <w:b w:val="false"/>
                  <w:color w:val="0000FF"/>
                  <w:sz w:val="20"/>
                  <w:u w:val="single"/>
                </w:rPr>
                <w:t>Item 1. Legal Proceedings</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04273b056145529f1f32e3377c005a_172">
              <w:r>
                <w:rPr>
                  <w:rStyle w:val="InternetLink"/>
                  <w:rFonts w:ascii="Times New Roman;serif" w:hAnsi="Times New Roman;serif"/>
                  <w:b w:val="false"/>
                  <w:strike w:val="false"/>
                  <w:dstrike w:val="false"/>
                  <w:color w:val="0000FF"/>
                  <w:sz w:val="20"/>
                  <w:u w:val="none"/>
                  <w:effect w:val="none"/>
                </w:rPr>
                <w:t>38</w:t>
              </w:r>
            </w:hyperlink>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304273b056145529f1f32e3377c005a_175">
              <w:r>
                <w:rPr>
                  <w:rStyle w:val="InternetLink"/>
                  <w:rFonts w:ascii="Times New Roman;serif" w:hAnsi="Times New Roman;serif"/>
                  <w:b w:val="false"/>
                  <w:color w:val="0000FF"/>
                  <w:sz w:val="20"/>
                  <w:u w:val="single"/>
                </w:rPr>
                <w:t>Item 1A. Risk Factors</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04273b056145529f1f32e3377c005a_175">
              <w:r>
                <w:rPr>
                  <w:rStyle w:val="InternetLink"/>
                  <w:rFonts w:ascii="Times New Roman;serif" w:hAnsi="Times New Roman;serif"/>
                  <w:b w:val="false"/>
                  <w:strike w:val="false"/>
                  <w:dstrike w:val="false"/>
                  <w:color w:val="0000FF"/>
                  <w:sz w:val="20"/>
                  <w:u w:val="none"/>
                  <w:effect w:val="none"/>
                </w:rPr>
                <w:t>38</w:t>
              </w:r>
            </w:hyperlink>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304273b056145529f1f32e3377c005a_178">
              <w:r>
                <w:rPr>
                  <w:rStyle w:val="InternetLink"/>
                  <w:rFonts w:ascii="Times New Roman;serif" w:hAnsi="Times New Roman;serif"/>
                  <w:b w:val="false"/>
                  <w:color w:val="0000FF"/>
                  <w:sz w:val="20"/>
                  <w:u w:val="single"/>
                </w:rPr>
                <w:t>Item 2. Unregistered Sales of Equity Securities and Use of Proceeds</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04273b056145529f1f32e3377c005a_178">
              <w:r>
                <w:rPr>
                  <w:rStyle w:val="InternetLink"/>
                  <w:rFonts w:ascii="Times New Roman;serif" w:hAnsi="Times New Roman;serif"/>
                  <w:b w:val="false"/>
                  <w:strike w:val="false"/>
                  <w:dstrike w:val="false"/>
                  <w:color w:val="0000FF"/>
                  <w:sz w:val="20"/>
                  <w:u w:val="none"/>
                  <w:effect w:val="none"/>
                </w:rPr>
                <w:t>38</w:t>
              </w:r>
            </w:hyperlink>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304273b056145529f1f32e3377c005a_181">
              <w:r>
                <w:rPr>
                  <w:rStyle w:val="InternetLink"/>
                  <w:rFonts w:ascii="Times New Roman;serif" w:hAnsi="Times New Roman;serif"/>
                  <w:b w:val="false"/>
                  <w:color w:val="0000FF"/>
                  <w:sz w:val="20"/>
                  <w:u w:val="single"/>
                </w:rPr>
                <w:t>Item 3. Defaults Upon Senior Securities</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04273b056145529f1f32e3377c005a_181">
              <w:r>
                <w:rPr>
                  <w:rStyle w:val="InternetLink"/>
                  <w:rFonts w:ascii="Times New Roman;serif" w:hAnsi="Times New Roman;serif"/>
                  <w:b w:val="false"/>
                  <w:strike w:val="false"/>
                  <w:dstrike w:val="false"/>
                  <w:color w:val="0000FF"/>
                  <w:sz w:val="20"/>
                  <w:u w:val="none"/>
                  <w:effect w:val="none"/>
                </w:rPr>
                <w:t>38</w:t>
              </w:r>
            </w:hyperlink>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304273b056145529f1f32e3377c005a_184">
              <w:r>
                <w:rPr>
                  <w:rStyle w:val="InternetLink"/>
                  <w:rFonts w:ascii="Times New Roman;serif" w:hAnsi="Times New Roman;serif"/>
                  <w:b w:val="false"/>
                  <w:color w:val="0000FF"/>
                  <w:sz w:val="20"/>
                  <w:u w:val="single"/>
                </w:rPr>
                <w:t>Item 4. Mine Safety Disclosures</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04273b056145529f1f32e3377c005a_184">
              <w:r>
                <w:rPr>
                  <w:rStyle w:val="InternetLink"/>
                  <w:rFonts w:ascii="Times New Roman;serif" w:hAnsi="Times New Roman;serif"/>
                  <w:b w:val="false"/>
                  <w:strike w:val="false"/>
                  <w:dstrike w:val="false"/>
                  <w:color w:val="0000FF"/>
                  <w:sz w:val="20"/>
                  <w:u w:val="none"/>
                  <w:effect w:val="none"/>
                </w:rPr>
                <w:t>38</w:t>
              </w:r>
            </w:hyperlink>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304273b056145529f1f32e3377c005a_187">
              <w:r>
                <w:rPr>
                  <w:rStyle w:val="InternetLink"/>
                  <w:rFonts w:ascii="Times New Roman;serif" w:hAnsi="Times New Roman;serif"/>
                  <w:b w:val="false"/>
                  <w:color w:val="0000FF"/>
                  <w:sz w:val="20"/>
                  <w:u w:val="single"/>
                </w:rPr>
                <w:t>Item 5. Other Information</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04273b056145529f1f32e3377c005a_187">
              <w:r>
                <w:rPr>
                  <w:rStyle w:val="InternetLink"/>
                  <w:rFonts w:ascii="Times New Roman;serif" w:hAnsi="Times New Roman;serif"/>
                  <w:b w:val="false"/>
                  <w:strike w:val="false"/>
                  <w:dstrike w:val="false"/>
                  <w:color w:val="0000FF"/>
                  <w:sz w:val="20"/>
                  <w:u w:val="none"/>
                  <w:effect w:val="none"/>
                </w:rPr>
                <w:t>38</w:t>
              </w:r>
            </w:hyperlink>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304273b056145529f1f32e3377c005a_190">
              <w:r>
                <w:rPr>
                  <w:rStyle w:val="InternetLink"/>
                  <w:rFonts w:ascii="Times New Roman;serif" w:hAnsi="Times New Roman;serif"/>
                  <w:b w:val="false"/>
                  <w:color w:val="0000FF"/>
                  <w:sz w:val="20"/>
                  <w:u w:val="single"/>
                </w:rPr>
                <w:t>Item 6. Exhibits</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04273b056145529f1f32e3377c005a_190">
              <w:r>
                <w:rPr>
                  <w:rStyle w:val="InternetLink"/>
                  <w:rFonts w:ascii="Times New Roman;serif" w:hAnsi="Times New Roman;serif"/>
                  <w:b w:val="false"/>
                  <w:strike w:val="false"/>
                  <w:dstrike w:val="false"/>
                  <w:color w:val="0000FF"/>
                  <w:sz w:val="20"/>
                  <w:u w:val="none"/>
                  <w:effect w:val="none"/>
                </w:rPr>
                <w:t>39</w:t>
              </w:r>
            </w:hyperlink>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304273b056145529f1f32e3377c005a_193">
              <w:r>
                <w:rPr>
                  <w:rStyle w:val="InternetLink"/>
                  <w:rFonts w:ascii="Times New Roman;serif" w:hAnsi="Times New Roman;serif"/>
                  <w:b w:val="false"/>
                  <w:color w:val="0000FF"/>
                  <w:sz w:val="20"/>
                  <w:u w:val="single"/>
                </w:rPr>
                <w:t>Signatures</w:t>
              </w:r>
            </w:hyperlink>
          </w:p>
        </w:tc>
        <w:tc>
          <w:tcPr>
            <w:tcW w:w="57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304273b056145529f1f32e3377c005a_193">
              <w:r>
                <w:rPr>
                  <w:rStyle w:val="InternetLink"/>
                  <w:rFonts w:ascii="Times New Roman;serif" w:hAnsi="Times New Roman;serif"/>
                  <w:b w:val="false"/>
                  <w:strike w:val="false"/>
                  <w:dstrike w:val="false"/>
                  <w:color w:val="0000FF"/>
                  <w:sz w:val="20"/>
                  <w:u w:val="none"/>
                  <w:effect w:val="none"/>
                </w:rPr>
                <w:t>40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DEFINITIONS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this Quarterly Report on Form 10-Q, the words “IES”, the “Company”, the “Registrant”, “we”, “our”, “ours” and “us” refer to IES Holdings, Inc. and, except as otherwise specified herein, to our subsidiaries.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DISCLOSURE REGARDING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includes certain statements that may be deemed “forward-looking statements” within the meaning of Section 27A of the Securities Act of 1933, as amended, and Section 21E of the Securities Exchange Act of 1934, as amended, all of which are based upon various estimates and assumptions that the Company believes to be reasonable as of the date hereof. In some cases, you can identify forward-looking statements by terminology such as “may,” “will,” “could,” “should,” “expect,” “plan,” “project,” “intend,” “anticipate,” “believe,” “seek,” “estimate,” “predict,” “potential,” “pursue,” “target,” “continue,” the negative of such terms or other comparable terminology. These statements involve risks and uncertainties that could cause the Company’s actual future outcomes to differ materially from those set forth in such statements. Such risks and uncertainties include, but are not limited to:</w:t>
      </w:r>
    </w:p>
    <w:p>
      <w:pPr>
        <w:pStyle w:val="TextBody"/>
        <w:bidi w:val="0"/>
        <w:spacing w:before="0" w:after="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a general reduction in the demand for our products or services;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 xml:space="preserve">changes in general economic conditions, including supply chain constraints, high rates of inflation, changes in consumer sentiment, elevated interest rates, and market disruptions resulting from a number of factors, including deterioration of global trade relationships, geo-political conflicts or political unrest; </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competition in the industries in which we operate, both from third parties and former employees, which could result in the loss of one or more customers or lead to lower margins on new projects;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 xml:space="preserve">the use of estimates in placing bids on fixed price contracts, variations from estimated contract costs, our ability to successfully manage and execute projects, the cost and availability of qualified labor and the ability to maintain positive labor relations, and our ability to pass along increases in the cost of commodities used in our business, in particular, copper, aluminum, steel, fuel, electronic components and certain plastics; </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our ability to enter into, and the terms of, future contracts;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existence of a small number of customers from whom we derive a meaningful portion of our revenues;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reliance on third parties, including subcontractors and suppliers, to complete our projects;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inability to carry out plans and strategies as expected, including the inability to identify and complete acquisitions that meet our investment criteria in furtherance of our corporate strategy, or the subsequent underperformance of those acquisitions;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challenges integrating new businesses into the Company or new types of work, products or processes into our segments;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backlog that may not be realized or may not result in profits;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 xml:space="preserve">failure to adequately recover on contract change orders or claims against customers; </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closures or sales of our facilities resulting in significant future charges, including potential warranty losses or other unexpected liabilities, or a significant disruption of our operations;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impact of future epidemics or pandemics on our business, including the potential for new or continued job site closures or work stoppages, supply chain disruptions, delays in awarding new project bids, construction delays, reduced demand for our services, delays in our ability to collect from our customers, or illness of management or other employees;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an increased cost of surety bonds affecting margins on work and the potential for our surety providers to refuse bonding or require additional collateral at their discretion;</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impact of seasonality, adverse weather conditions, and climate change;</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fluctuations in operating activity due to factors such as cyclicality, downturns in levels of construction or the housing market, and differing regional economic conditions;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difficulties in managing our billings and collections;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accidents resulting from the physical hazards associated with our work and the potential for accidents;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possibility that our current insurance coverage may not be adequate or that we may not be able to obtain policies at acceptable rates;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effect of litigation, claims and contingencies, including warranty losses, damages or other latent defect claims in excess of our existing reserves and accruals;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costs and liabilities under existing or potential future laws and regulations, including those laws and regulations related to the environment and climate change, as well as the inability to transfer, renew and obtain electrical and other professional licenses;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interruptions to our information systems and cyber security or data breaches;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expenditures to conduct environmental remediation activities required by certain environmental laws and regulations;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loss of key personnel, ineffective transition of new management, or general labor constraints;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credit and capital market conditions, including changes in interest rates that affect the cost of construction financing and mortgages, and the inability of some of our customers to obtain sufficient financing at acceptable rates, which could lead to project delays or cancellations;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 xml:space="preserve">limitations on our ability to access capital markets and generate cash from operations to fund our working capital needs and capital expenditures, to complete acquisitions, and for debt service; </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impact on our effective tax rate or cash paid for taxes from changes in tax positions we have taken or changes in tax laws;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difficulty in fulfilling the covenant terms of our revolving credit facility, including liquidity and other financial requirements, which could result in a default and acceleration of any indebtedness under such revolving credit facility;</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reliance on certain estimates and assumptions that may differ from actual results in the preparation of our financial statements and the impacts of new accounting, control and operating procedures resulting from new accounting pronouncements;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uncertainties inherent in the use of percentage-of-completion accounting, which could result in the reduction or elimination of previously recorded revenues and profits;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recognition of potential goodwill, long-lived assets and other investment impairments;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existence of a controlling shareholder, who has the ability to take action not aligned with other shareholders or to dispose of all or a significant portion of the shares of our common stock it holds, which may trigger certain change of control provisions in a number of our material agreements, including our financing and surety arrangements and our executive severance plan;</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relatively low trading volume of our common stock, which could increase the volatility of our stock price and could make it more difficult for shareholders to sell a substantial number of shares for the same price at which shareholders could sell a smaller number of shares;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possibility that we issue additional shares of common stock, preferred stock or convertible securities that will dilute the percentage ownership interest of existing stockholders and may dilute the value per share of our common stock;</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potential for substantial sales of our common stock, which could adversely affect our stock price;</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impact of increasing scrutiny and changing expectations from investors and customers, or new or changing regulations, with respect to risks related to climate change or environmental impacts of our operations;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cost or effort required for our shareholders to bring certain claims or actions against us, as a result of our designation of the Court of Chancery of the State of Delaware as the sole and exclusive forum for certain types of actions and proceedings;</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the possibility that our internal controls over financial reporting and our disclosure controls and procedures may not prevent all possible errors that could occur; and</w:t>
      </w:r>
    </w:p>
    <w:p>
      <w:pPr>
        <w:pStyle w:val="TextBody"/>
        <w:bidi w:val="0"/>
        <w:spacing w:before="0" w:after="0"/>
        <w:ind w:left="0" w:right="0" w:hanging="180"/>
        <w:jc w:val="left"/>
        <w:rPr/>
      </w:pPr>
      <w:r>
        <w:rPr/>
      </w:r>
    </w:p>
    <w:p>
      <w:pPr>
        <w:pStyle w:val="TextBody"/>
        <w:bidi w:val="0"/>
        <w:spacing w:lineRule="auto" w:line="247" w:before="0" w:after="0"/>
        <w:ind w:left="0" w:right="0" w:hanging="540"/>
        <w:jc w:val="left"/>
        <w:rPr/>
      </w:pPr>
      <w:r>
        <w:rPr>
          <w:color w:val="000000"/>
        </w:rPr>
        <w:t>•</w:t>
      </w:r>
      <w:r>
        <w:rPr>
          <w:rFonts w:ascii="Times New Roman;serif" w:hAnsi="Times New Roman;serif"/>
          <w:b w:val="false"/>
          <w:color w:val="000000"/>
          <w:sz w:val="20"/>
        </w:rPr>
        <w:t>other factors discussed elsewhere in this Quarterly Report on Form 10-Q.</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understand that the foregoing, as well as other risk factors discussed in this document, including those listed in Part I, Item 1A of our Annual Report on Form 10-K for the fiscal year ended September 30, 2025, could cause future outcomes to differ materially from those experienced previously or those expressed in such forward-looking statements. We undertake no obligation to publicly update or revise any information, including information concerning our controlling shareholder, borrowing availability or cash position, or any forward-looking statements to reflect events or circumstances that may arise after the date of this report. Forward-looking statements are provided in this Quarterly Report on Form 10-Q pursuant to the safe harbor established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Private Securities Litigation Reform Act of 1995 and should be evaluated in the context of the estimates, assumptions, uncertainties and risks described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left"/>
        <w:rPr/>
      </w:pPr>
      <w:r>
        <w:rPr>
          <w:rFonts w:ascii="Times New Roman;serif" w:hAnsi="Times New Roman;serif"/>
          <w:b/>
          <w:color w:val="000000"/>
          <w:sz w:val="20"/>
        </w:rPr>
        <w:t xml:space="preserve">Item 1. </w:t>
      </w:r>
      <w:r>
        <w:rPr>
          <w:rFonts w:ascii="Times New Roman;serif" w:hAnsi="Times New Roman;serif"/>
          <w:b/>
          <w:i/>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IES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Information)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4"/>
        <w:gridCol w:w="143"/>
        <w:gridCol w:w="143"/>
        <w:gridCol w:w="143"/>
        <w:gridCol w:w="143"/>
        <w:gridCol w:w="143"/>
        <w:gridCol w:w="360"/>
        <w:gridCol w:w="360"/>
        <w:gridCol w:w="360"/>
        <w:gridCol w:w="1602"/>
        <w:gridCol w:w="1573"/>
        <w:gridCol w:w="1554"/>
        <w:gridCol w:w="109"/>
        <w:gridCol w:w="109"/>
        <w:gridCol w:w="109"/>
        <w:gridCol w:w="211"/>
        <w:gridCol w:w="976"/>
        <w:gridCol w:w="109"/>
        <w:gridCol w:w="109"/>
        <w:gridCol w:w="109"/>
        <w:gridCol w:w="109"/>
        <w:gridCol w:w="211"/>
        <w:gridCol w:w="976"/>
        <w:gridCol w:w="109"/>
        <w:gridCol w:w="109"/>
        <w:gridCol w:w="162"/>
      </w:tblGrid>
      <w:tr>
        <w:trPr/>
        <w:tc>
          <w:tcPr>
            <w:tcW w:w="16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net of allowance of $4,894 and $4,340,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Retainage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estimated earnings in excess of billings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668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1,294,791 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320,583 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right of 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 in excess of costs and estimated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long-term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707,699 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10,000,000 shares authorized, none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100,000,000 shares authorized; 22,049,529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issued and 19,923,887 and 19,854,463 outstanding,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2,125,642 and 2,195,066 shares,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688"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1,994,038 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1,595,661 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IES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Information)</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59"/>
        <w:gridCol w:w="659"/>
        <w:gridCol w:w="659"/>
        <w:gridCol w:w="759"/>
        <w:gridCol w:w="753"/>
        <w:gridCol w:w="750"/>
        <w:gridCol w:w="748"/>
        <w:gridCol w:w="748"/>
        <w:gridCol w:w="748"/>
        <w:gridCol w:w="109"/>
        <w:gridCol w:w="109"/>
        <w:gridCol w:w="109"/>
        <w:gridCol w:w="215"/>
        <w:gridCol w:w="844"/>
        <w:gridCol w:w="110"/>
        <w:gridCol w:w="110"/>
        <w:gridCol w:w="110"/>
        <w:gridCol w:w="110"/>
        <w:gridCol w:w="215"/>
        <w:gridCol w:w="844"/>
        <w:gridCol w:w="1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974,284 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833,960 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719,497 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625,091 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254,787 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208,869 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116,044 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77" w:type="dxa"/>
            <w:gridSpan w:val="3"/>
            <w:tcBorders/>
            <w:vAlign w:val="center"/>
          </w:tcPr>
          <w:p>
            <w:pPr>
              <w:pStyle w:val="TableContents"/>
              <w:bidi w:val="0"/>
              <w:spacing w:before="0" w:after="283"/>
              <w:jc w:val="left"/>
              <w:rPr>
                <w:sz w:val="4"/>
                <w:szCs w:val="4"/>
              </w:rPr>
            </w:pPr>
            <w:r>
              <w:rPr>
                <w:sz w:val="4"/>
                <w:szCs w:val="4"/>
              </w:rPr>
            </w:r>
          </w:p>
        </w:tc>
        <w:tc>
          <w:tcPr>
            <w:tcW w:w="2262" w:type="dxa"/>
            <w:gridSpan w:val="3"/>
            <w:tcBorders/>
            <w:vAlign w:val="center"/>
          </w:tcPr>
          <w:p>
            <w:pPr>
              <w:pStyle w:val="TableContents"/>
              <w:bidi w:val="0"/>
              <w:spacing w:before="0" w:after="283"/>
              <w:jc w:val="left"/>
              <w:rPr>
                <w:sz w:val="4"/>
                <w:szCs w:val="4"/>
              </w:rPr>
            </w:pPr>
            <w:r>
              <w:rPr>
                <w:sz w:val="4"/>
                <w:szCs w:val="4"/>
              </w:rPr>
            </w:r>
          </w:p>
        </w:tc>
        <w:tc>
          <w:tcPr>
            <w:tcW w:w="2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1557" w:type="dxa"/>
            <w:gridSpan w:val="6"/>
            <w:tcBorders/>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112,255 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92,695 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before income taxes and equity method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148,631 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98,682 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110,312 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72,592 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IES Holdings,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109,909 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70,652 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3"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attributable to common stockholders of IES Holdings,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0"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the computation of earnings per share:</w:t>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19,926,397</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19,969,618</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20,186,385</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20,213,442</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IES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Information)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475"/>
        <w:gridCol w:w="473"/>
        <w:gridCol w:w="473"/>
        <w:gridCol w:w="581"/>
        <w:gridCol w:w="540"/>
        <w:gridCol w:w="526"/>
        <w:gridCol w:w="513"/>
        <w:gridCol w:w="513"/>
        <w:gridCol w:w="513"/>
        <w:gridCol w:w="109"/>
        <w:gridCol w:w="109"/>
        <w:gridCol w:w="109"/>
        <w:gridCol w:w="211"/>
        <w:gridCol w:w="976"/>
        <w:gridCol w:w="109"/>
        <w:gridCol w:w="109"/>
        <w:gridCol w:w="109"/>
        <w:gridCol w:w="109"/>
        <w:gridCol w:w="211"/>
        <w:gridCol w:w="976"/>
        <w:gridCol w:w="109"/>
        <w:gridCol w:w="109"/>
        <w:gridCol w:w="109"/>
        <w:gridCol w:w="109"/>
        <w:gridCol w:w="109"/>
        <w:gridCol w:w="109"/>
        <w:gridCol w:w="109"/>
        <w:gridCol w:w="109"/>
        <w:gridCol w:w="109"/>
        <w:gridCol w:w="109"/>
        <w:gridCol w:w="109"/>
        <w:gridCol w:w="109"/>
        <w:gridCol w:w="109"/>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1"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sale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before income taxes and equity method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IES Holdings,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attributable to common stockholders of IES Holdings,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the computation of earnings per share: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19,906,511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19,979,896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20,179,707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20,229,877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Condensed Consolidated Financial Statements. </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IES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Information)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2146" w:type="dxa"/>
        <w:jc w:val="center"/>
        <w:tblInd w:w="0" w:type="dxa"/>
        <w:tblLayout w:type="fixed"/>
        <w:tblCellMar>
          <w:top w:w="28" w:type="dxa"/>
          <w:left w:w="28" w:type="dxa"/>
          <w:bottom w:w="28" w:type="dxa"/>
          <w:right w:w="28" w:type="dxa"/>
        </w:tblCellMar>
      </w:tblPr>
      <w:tblGrid>
        <w:gridCol w:w="175"/>
        <w:gridCol w:w="154"/>
        <w:gridCol w:w="154"/>
        <w:gridCol w:w="460"/>
        <w:gridCol w:w="385"/>
        <w:gridCol w:w="296"/>
        <w:gridCol w:w="480"/>
        <w:gridCol w:w="481"/>
        <w:gridCol w:w="186"/>
        <w:gridCol w:w="109"/>
        <w:gridCol w:w="109"/>
        <w:gridCol w:w="109"/>
        <w:gridCol w:w="112"/>
        <w:gridCol w:w="112"/>
        <w:gridCol w:w="112"/>
        <w:gridCol w:w="210"/>
        <w:gridCol w:w="211"/>
        <w:gridCol w:w="116"/>
        <w:gridCol w:w="109"/>
        <w:gridCol w:w="109"/>
        <w:gridCol w:w="109"/>
        <w:gridCol w:w="443"/>
        <w:gridCol w:w="443"/>
        <w:gridCol w:w="186"/>
        <w:gridCol w:w="109"/>
        <w:gridCol w:w="109"/>
        <w:gridCol w:w="109"/>
        <w:gridCol w:w="112"/>
        <w:gridCol w:w="112"/>
        <w:gridCol w:w="112"/>
        <w:gridCol w:w="375"/>
        <w:gridCol w:w="376"/>
        <w:gridCol w:w="116"/>
        <w:gridCol w:w="109"/>
        <w:gridCol w:w="109"/>
        <w:gridCol w:w="109"/>
        <w:gridCol w:w="140"/>
        <w:gridCol w:w="140"/>
        <w:gridCol w:w="140"/>
        <w:gridCol w:w="368"/>
        <w:gridCol w:w="368"/>
        <w:gridCol w:w="141"/>
        <w:gridCol w:w="109"/>
        <w:gridCol w:w="109"/>
        <w:gridCol w:w="109"/>
        <w:gridCol w:w="120"/>
        <w:gridCol w:w="120"/>
        <w:gridCol w:w="120"/>
        <w:gridCol w:w="435"/>
        <w:gridCol w:w="436"/>
        <w:gridCol w:w="121"/>
        <w:gridCol w:w="109"/>
        <w:gridCol w:w="109"/>
        <w:gridCol w:w="109"/>
        <w:gridCol w:w="168"/>
        <w:gridCol w:w="168"/>
        <w:gridCol w:w="168"/>
        <w:gridCol w:w="435"/>
        <w:gridCol w:w="436"/>
        <w:gridCol w:w="241"/>
      </w:tblGrid>
      <w:tr>
        <w:trPr/>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2" w:type="dxa"/>
            <w:gridSpan w:val="5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March 31, 2026</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6"/>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6"/>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6"/>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Stockholders' Equity</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6"/>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6"/>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6"/>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6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December 31,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22,049,529 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(2,122,036)</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(138,399)</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207,412 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891,844 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961,077 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Issuances under compensation plans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506 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treasury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in noncontrolling interest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IES Holdings, Inc.</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109,909 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109,909 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March 31, 2026</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22,049,529 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(2,125,642)</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(139,933)</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210,776 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1,001,615 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1,072,678 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876" w:type="dxa"/>
        <w:jc w:val="center"/>
        <w:tblInd w:w="0" w:type="dxa"/>
        <w:tblLayout w:type="fixed"/>
        <w:tblCellMar>
          <w:top w:w="28" w:type="dxa"/>
          <w:left w:w="28" w:type="dxa"/>
          <w:bottom w:w="28" w:type="dxa"/>
          <w:right w:w="28" w:type="dxa"/>
        </w:tblCellMar>
      </w:tblPr>
      <w:tblGrid>
        <w:gridCol w:w="175"/>
        <w:gridCol w:w="154"/>
        <w:gridCol w:w="154"/>
        <w:gridCol w:w="625"/>
        <w:gridCol w:w="361"/>
        <w:gridCol w:w="155"/>
        <w:gridCol w:w="480"/>
        <w:gridCol w:w="481"/>
        <w:gridCol w:w="186"/>
        <w:gridCol w:w="109"/>
        <w:gridCol w:w="109"/>
        <w:gridCol w:w="109"/>
        <w:gridCol w:w="112"/>
        <w:gridCol w:w="112"/>
        <w:gridCol w:w="112"/>
        <w:gridCol w:w="210"/>
        <w:gridCol w:w="211"/>
        <w:gridCol w:w="116"/>
        <w:gridCol w:w="109"/>
        <w:gridCol w:w="109"/>
        <w:gridCol w:w="109"/>
        <w:gridCol w:w="443"/>
        <w:gridCol w:w="443"/>
        <w:gridCol w:w="186"/>
        <w:gridCol w:w="109"/>
        <w:gridCol w:w="109"/>
        <w:gridCol w:w="109"/>
        <w:gridCol w:w="112"/>
        <w:gridCol w:w="112"/>
        <w:gridCol w:w="112"/>
        <w:gridCol w:w="375"/>
        <w:gridCol w:w="376"/>
        <w:gridCol w:w="116"/>
        <w:gridCol w:w="109"/>
        <w:gridCol w:w="109"/>
        <w:gridCol w:w="109"/>
        <w:gridCol w:w="140"/>
        <w:gridCol w:w="140"/>
        <w:gridCol w:w="140"/>
        <w:gridCol w:w="368"/>
        <w:gridCol w:w="368"/>
        <w:gridCol w:w="141"/>
        <w:gridCol w:w="109"/>
        <w:gridCol w:w="109"/>
        <w:gridCol w:w="109"/>
        <w:gridCol w:w="120"/>
        <w:gridCol w:w="120"/>
        <w:gridCol w:w="120"/>
        <w:gridCol w:w="368"/>
        <w:gridCol w:w="368"/>
        <w:gridCol w:w="121"/>
        <w:gridCol w:w="109"/>
        <w:gridCol w:w="109"/>
        <w:gridCol w:w="109"/>
        <w:gridCol w:w="168"/>
        <w:gridCol w:w="168"/>
        <w:gridCol w:w="168"/>
        <w:gridCol w:w="368"/>
        <w:gridCol w:w="368"/>
        <w:gridCol w:w="241"/>
      </w:tblGrid>
      <w:tr>
        <w:trPr/>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2" w:type="dxa"/>
            <w:gridSpan w:val="5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March 31, 2025</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6"/>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6"/>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6"/>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Stockholders' Equity</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6"/>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6"/>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6"/>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6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December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22,049,529 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(2,042,899)</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(101,838)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201,138 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552,919 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652,439 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treasury stock</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(118,314)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(20,534)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(20,534)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compensation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Decrease in noncontrolling interest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IES Holdings, Inc.</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70,652 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March 31, 2025</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22,049,529 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(2,161,213)</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(122,372)</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204,278 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623,657 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705,783 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2146" w:type="dxa"/>
        <w:jc w:val="center"/>
        <w:tblInd w:w="0" w:type="dxa"/>
        <w:tblLayout w:type="fixed"/>
        <w:tblCellMar>
          <w:top w:w="28" w:type="dxa"/>
          <w:left w:w="28" w:type="dxa"/>
          <w:bottom w:w="28" w:type="dxa"/>
          <w:right w:w="28" w:type="dxa"/>
        </w:tblCellMar>
      </w:tblPr>
      <w:tblGrid>
        <w:gridCol w:w="175"/>
        <w:gridCol w:w="154"/>
        <w:gridCol w:w="154"/>
        <w:gridCol w:w="465"/>
        <w:gridCol w:w="390"/>
        <w:gridCol w:w="286"/>
        <w:gridCol w:w="480"/>
        <w:gridCol w:w="481"/>
        <w:gridCol w:w="186"/>
        <w:gridCol w:w="109"/>
        <w:gridCol w:w="109"/>
        <w:gridCol w:w="109"/>
        <w:gridCol w:w="112"/>
        <w:gridCol w:w="112"/>
        <w:gridCol w:w="112"/>
        <w:gridCol w:w="210"/>
        <w:gridCol w:w="211"/>
        <w:gridCol w:w="116"/>
        <w:gridCol w:w="109"/>
        <w:gridCol w:w="109"/>
        <w:gridCol w:w="109"/>
        <w:gridCol w:w="443"/>
        <w:gridCol w:w="443"/>
        <w:gridCol w:w="186"/>
        <w:gridCol w:w="109"/>
        <w:gridCol w:w="109"/>
        <w:gridCol w:w="109"/>
        <w:gridCol w:w="112"/>
        <w:gridCol w:w="112"/>
        <w:gridCol w:w="112"/>
        <w:gridCol w:w="375"/>
        <w:gridCol w:w="376"/>
        <w:gridCol w:w="116"/>
        <w:gridCol w:w="109"/>
        <w:gridCol w:w="109"/>
        <w:gridCol w:w="109"/>
        <w:gridCol w:w="140"/>
        <w:gridCol w:w="140"/>
        <w:gridCol w:w="140"/>
        <w:gridCol w:w="368"/>
        <w:gridCol w:w="368"/>
        <w:gridCol w:w="141"/>
        <w:gridCol w:w="109"/>
        <w:gridCol w:w="109"/>
        <w:gridCol w:w="109"/>
        <w:gridCol w:w="120"/>
        <w:gridCol w:w="120"/>
        <w:gridCol w:w="120"/>
        <w:gridCol w:w="435"/>
        <w:gridCol w:w="436"/>
        <w:gridCol w:w="121"/>
        <w:gridCol w:w="109"/>
        <w:gridCol w:w="109"/>
        <w:gridCol w:w="109"/>
        <w:gridCol w:w="168"/>
        <w:gridCol w:w="168"/>
        <w:gridCol w:w="168"/>
        <w:gridCol w:w="435"/>
        <w:gridCol w:w="436"/>
        <w:gridCol w:w="241"/>
      </w:tblGrid>
      <w:tr>
        <w:trPr/>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2" w:type="dxa"/>
            <w:gridSpan w:val="5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 March 31, 2026</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6"/>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6"/>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6"/>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Stockholders' Equity</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6"/>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6"/>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6"/>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6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September 30, 2025</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22,049,529 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(2,195,066)</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(127,751)</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210,668 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800,818 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883,955 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Issuances under compensation plans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121,139 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treasury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(51,715)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(19,390)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(19,390)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in noncontrolling interest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IES Holdings, Inc.</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201,348 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201,348 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March 31, 2026</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22,049,529 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(2,125,642)</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(139,933)</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210,776 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1,001,615 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1,072,678 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876" w:type="dxa"/>
        <w:jc w:val="center"/>
        <w:tblInd w:w="0" w:type="dxa"/>
        <w:tblLayout w:type="fixed"/>
        <w:tblCellMar>
          <w:top w:w="28" w:type="dxa"/>
          <w:left w:w="28" w:type="dxa"/>
          <w:bottom w:w="28" w:type="dxa"/>
          <w:right w:w="28" w:type="dxa"/>
        </w:tblCellMar>
      </w:tblPr>
      <w:tblGrid>
        <w:gridCol w:w="175"/>
        <w:gridCol w:w="154"/>
        <w:gridCol w:w="154"/>
        <w:gridCol w:w="465"/>
        <w:gridCol w:w="390"/>
        <w:gridCol w:w="286"/>
        <w:gridCol w:w="480"/>
        <w:gridCol w:w="481"/>
        <w:gridCol w:w="186"/>
        <w:gridCol w:w="109"/>
        <w:gridCol w:w="109"/>
        <w:gridCol w:w="109"/>
        <w:gridCol w:w="112"/>
        <w:gridCol w:w="112"/>
        <w:gridCol w:w="112"/>
        <w:gridCol w:w="210"/>
        <w:gridCol w:w="211"/>
        <w:gridCol w:w="116"/>
        <w:gridCol w:w="109"/>
        <w:gridCol w:w="109"/>
        <w:gridCol w:w="109"/>
        <w:gridCol w:w="443"/>
        <w:gridCol w:w="443"/>
        <w:gridCol w:w="186"/>
        <w:gridCol w:w="109"/>
        <w:gridCol w:w="109"/>
        <w:gridCol w:w="109"/>
        <w:gridCol w:w="112"/>
        <w:gridCol w:w="112"/>
        <w:gridCol w:w="112"/>
        <w:gridCol w:w="374"/>
        <w:gridCol w:w="377"/>
        <w:gridCol w:w="116"/>
        <w:gridCol w:w="109"/>
        <w:gridCol w:w="109"/>
        <w:gridCol w:w="109"/>
        <w:gridCol w:w="140"/>
        <w:gridCol w:w="140"/>
        <w:gridCol w:w="140"/>
        <w:gridCol w:w="368"/>
        <w:gridCol w:w="368"/>
        <w:gridCol w:w="141"/>
        <w:gridCol w:w="109"/>
        <w:gridCol w:w="109"/>
        <w:gridCol w:w="109"/>
        <w:gridCol w:w="120"/>
        <w:gridCol w:w="120"/>
        <w:gridCol w:w="120"/>
        <w:gridCol w:w="368"/>
        <w:gridCol w:w="368"/>
        <w:gridCol w:w="121"/>
        <w:gridCol w:w="109"/>
        <w:gridCol w:w="109"/>
        <w:gridCol w:w="109"/>
        <w:gridCol w:w="168"/>
        <w:gridCol w:w="168"/>
        <w:gridCol w:w="168"/>
        <w:gridCol w:w="368"/>
        <w:gridCol w:w="368"/>
        <w:gridCol w:w="241"/>
      </w:tblGrid>
      <w:tr>
        <w:trPr/>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2" w:type="dxa"/>
            <w:gridSpan w:val="5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Six Months Ended March 31, 2025</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7"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6"/>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6"/>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6"/>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Total Stockholders' Equity</w:t>
            </w:r>
          </w:p>
        </w:tc>
      </w:tr>
      <w:tr>
        <w:trPr/>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6"/>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6"/>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6"/>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6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September 30,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22,049,529 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(2,077,859)</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(90,325)</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203,458 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497,760 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611,113 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Issuances under compensation plans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94,752 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treasury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(178,106)</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(36,265)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(36,265)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Non-cash compensation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in noncontrolling interest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IES Holdings, Inc.</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126,955 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126,955 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March 31, 2025</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22,049,529 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(2,161,213)</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(122,372)</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204,278 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623,657 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705,783 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r>
        <w:trPr/>
        <w:tc>
          <w:tcPr>
            <w:tcW w:w="483"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8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IES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311"/>
        <w:gridCol w:w="273"/>
        <w:gridCol w:w="273"/>
        <w:gridCol w:w="743"/>
        <w:gridCol w:w="564"/>
        <w:gridCol w:w="559"/>
        <w:gridCol w:w="1563"/>
        <w:gridCol w:w="1043"/>
        <w:gridCol w:w="1074"/>
        <w:gridCol w:w="109"/>
        <w:gridCol w:w="109"/>
        <w:gridCol w:w="109"/>
        <w:gridCol w:w="133"/>
        <w:gridCol w:w="133"/>
        <w:gridCol w:w="133"/>
        <w:gridCol w:w="432"/>
        <w:gridCol w:w="434"/>
        <w:gridCol w:w="133"/>
        <w:gridCol w:w="133"/>
        <w:gridCol w:w="133"/>
        <w:gridCol w:w="133"/>
        <w:gridCol w:w="133"/>
        <w:gridCol w:w="133"/>
        <w:gridCol w:w="133"/>
        <w:gridCol w:w="432"/>
        <w:gridCol w:w="434"/>
        <w:gridCol w:w="133"/>
        <w:gridCol w:w="109"/>
        <w:gridCol w:w="171"/>
      </w:tblGrid>
      <w:tr>
        <w:trPr/>
        <w:tc>
          <w:tcPr>
            <w:tcW w:w="31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640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202,080 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130,273 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sale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3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3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expense and other non-cash tax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Gain on remeasurement of previously held investment upon acquisition (Note </w:t>
            </w:r>
            <w:r>
              <w:rPr>
                <w:rFonts w:ascii="Times New Roman;serif" w:hAnsi="Times New Roman;serif"/>
                <w:b/>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method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(78,748)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(23,016)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(82,340)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estimated earnings in excess of billings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(22,386)</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3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35,547 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 in excess of costs and estimated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108,753 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640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130,987 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62,104 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64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(78,407)</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in conjunction with business combinations,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(143,108)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3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equity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640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(221,129)</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(97,104)</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64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976,400 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(55,000)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(976,400)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3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tcPr>
          <w:p>
            <w:pPr>
              <w:pStyle w:val="TableContents"/>
              <w:bidi w:val="0"/>
              <w:spacing w:before="0" w:after="283"/>
              <w:jc w:val="left"/>
              <w:rPr>
                <w:sz w:val="4"/>
                <w:szCs w:val="4"/>
              </w:rPr>
            </w:pPr>
            <w:r>
              <w:rPr>
                <w:sz w:val="4"/>
                <w:szCs w:val="4"/>
              </w:rPr>
            </w:r>
          </w:p>
        </w:tc>
      </w:tr>
      <w:tr>
        <w:trPr/>
        <w:tc>
          <w:tcPr>
            <w:tcW w:w="857"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3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3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tcPr>
          <w:p>
            <w:pPr>
              <w:pStyle w:val="TableContents"/>
              <w:bidi w:val="0"/>
              <w:spacing w:before="0" w:after="283"/>
              <w:jc w:val="left"/>
              <w:rPr>
                <w:sz w:val="4"/>
                <w:szCs w:val="4"/>
              </w:rPr>
            </w:pPr>
            <w:r>
              <w:rPr>
                <w:sz w:val="4"/>
                <w:szCs w:val="4"/>
              </w:rPr>
            </w:r>
          </w:p>
        </w:tc>
      </w:tr>
      <w:tr>
        <w:trPr/>
        <w:tc>
          <w:tcPr>
            <w:tcW w:w="64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(43,405)</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640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(77,641)</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(78,405)</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640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127,171 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100,832 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640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49,530 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22,427 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3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280" w:type="dxa"/>
            <w:gridSpan w:val="2"/>
            <w:tcBorders/>
          </w:tcPr>
          <w:p>
            <w:pPr>
              <w:pStyle w:val="TableContents"/>
              <w:bidi w:val="0"/>
              <w:spacing w:before="0" w:after="283"/>
              <w:jc w:val="left"/>
              <w:rPr>
                <w:sz w:val="4"/>
                <w:szCs w:val="4"/>
              </w:rPr>
            </w:pPr>
            <w:r>
              <w:rPr>
                <w:sz w:val="4"/>
                <w:szCs w:val="4"/>
              </w:rPr>
            </w:r>
          </w:p>
        </w:tc>
      </w:tr>
      <w:tr>
        <w:trPr/>
        <w:tc>
          <w:tcPr>
            <w:tcW w:w="857"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3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280" w:type="dxa"/>
            <w:gridSpan w:val="2"/>
            <w:tcBorders/>
          </w:tcPr>
          <w:p>
            <w:pPr>
              <w:pStyle w:val="TableContents"/>
              <w:bidi w:val="0"/>
              <w:spacing w:before="0" w:after="283"/>
              <w:jc w:val="left"/>
              <w:rPr>
                <w:sz w:val="4"/>
                <w:szCs w:val="4"/>
              </w:rPr>
            </w:pPr>
            <w:r>
              <w:rPr>
                <w:sz w:val="4"/>
                <w:szCs w:val="4"/>
              </w:rPr>
            </w:r>
          </w:p>
        </w:tc>
      </w:tr>
      <w:tr>
        <w:trPr/>
        <w:tc>
          <w:tcPr>
            <w:tcW w:w="857"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3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tcPr>
          <w:p>
            <w:pPr>
              <w:pStyle w:val="TableContents"/>
              <w:bidi w:val="0"/>
              <w:spacing w:before="0" w:after="283"/>
              <w:jc w:val="left"/>
              <w:rPr>
                <w:sz w:val="4"/>
                <w:szCs w:val="4"/>
              </w:rPr>
            </w:pPr>
            <w:r>
              <w:rPr>
                <w:sz w:val="4"/>
                <w:szCs w:val="4"/>
              </w:rPr>
            </w:r>
          </w:p>
        </w:tc>
      </w:tr>
      <w:tr>
        <w:trPr/>
        <w:tc>
          <w:tcPr>
            <w:tcW w:w="857"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3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tcPr>
          <w:p>
            <w:pPr>
              <w:pStyle w:val="TableContents"/>
              <w:bidi w:val="0"/>
              <w:spacing w:before="0" w:after="283"/>
              <w:jc w:val="left"/>
              <w:rPr>
                <w:sz w:val="4"/>
                <w:szCs w:val="4"/>
              </w:rPr>
            </w:pPr>
            <w:r>
              <w:rPr>
                <w:sz w:val="4"/>
                <w:szCs w:val="4"/>
              </w:rPr>
            </w:r>
          </w:p>
        </w:tc>
      </w:tr>
      <w:tr>
        <w:trPr/>
        <w:tc>
          <w:tcPr>
            <w:tcW w:w="857"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3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3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280" w:type="dxa"/>
            <w:gridSpan w:val="2"/>
            <w:tcBorders/>
          </w:tcPr>
          <w:p>
            <w:pPr>
              <w:pStyle w:val="TableContents"/>
              <w:bidi w:val="0"/>
              <w:spacing w:before="0" w:after="283"/>
              <w:jc w:val="left"/>
              <w:rPr>
                <w:sz w:val="4"/>
                <w:szCs w:val="4"/>
              </w:rPr>
            </w:pPr>
            <w:r>
              <w:rPr>
                <w:sz w:val="4"/>
                <w:szCs w:val="4"/>
              </w:rPr>
            </w:r>
          </w:p>
        </w:tc>
      </w:tr>
      <w:tr>
        <w:trPr/>
        <w:tc>
          <w:tcPr>
            <w:tcW w:w="857"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3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tcPr>
          <w:p>
            <w:pPr>
              <w:pStyle w:val="TableContents"/>
              <w:bidi w:val="0"/>
              <w:spacing w:before="0" w:after="283"/>
              <w:jc w:val="left"/>
              <w:rPr>
                <w:sz w:val="4"/>
                <w:szCs w:val="4"/>
              </w:rPr>
            </w:pPr>
            <w:r>
              <w:rPr>
                <w:sz w:val="4"/>
                <w:szCs w:val="4"/>
              </w:rPr>
            </w:r>
          </w:p>
        </w:tc>
      </w:tr>
      <w:tr>
        <w:trPr/>
        <w:tc>
          <w:tcPr>
            <w:tcW w:w="857" w:type="dxa"/>
            <w:gridSpan w:val="3"/>
            <w:tcBorders/>
            <w:vAlign w:val="center"/>
          </w:tcPr>
          <w:p>
            <w:pPr>
              <w:pStyle w:val="TableContents"/>
              <w:bidi w:val="0"/>
              <w:spacing w:before="0" w:after="283"/>
              <w:jc w:val="left"/>
              <w:rPr>
                <w:sz w:val="4"/>
                <w:szCs w:val="4"/>
              </w:rPr>
            </w:pPr>
            <w:r>
              <w:rPr>
                <w:sz w:val="4"/>
                <w:szCs w:val="4"/>
              </w:rPr>
            </w:r>
          </w:p>
        </w:tc>
        <w:tc>
          <w:tcPr>
            <w:tcW w:w="1866" w:type="dxa"/>
            <w:gridSpan w:val="3"/>
            <w:tcBorders/>
            <w:vAlign w:val="center"/>
          </w:tcPr>
          <w:p>
            <w:pPr>
              <w:pStyle w:val="TableContents"/>
              <w:bidi w:val="0"/>
              <w:spacing w:before="0" w:after="283"/>
              <w:jc w:val="left"/>
              <w:rPr>
                <w:sz w:val="4"/>
                <w:szCs w:val="4"/>
              </w:rPr>
            </w:pPr>
            <w:r>
              <w:rPr>
                <w:sz w:val="4"/>
                <w:szCs w:val="4"/>
              </w:rPr>
            </w:r>
          </w:p>
        </w:tc>
        <w:tc>
          <w:tcPr>
            <w:tcW w:w="36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 w:type="dxa"/>
            <w:tcBorders/>
          </w:tcPr>
          <w:p>
            <w:pPr>
              <w:pStyle w:val="TableContents"/>
              <w:bidi w:val="0"/>
              <w:spacing w:before="0" w:after="283"/>
              <w:jc w:val="left"/>
              <w:rPr>
                <w:sz w:val="4"/>
                <w:szCs w:val="4"/>
              </w:rPr>
            </w:pPr>
            <w:r>
              <w:rPr>
                <w:sz w:val="4"/>
                <w:szCs w:val="4"/>
              </w:rPr>
            </w:r>
          </w:p>
        </w:tc>
      </w:tr>
    </w:tbl>
    <w:p>
      <w:pPr>
        <w:pStyle w:val="TextBody"/>
        <w:bidi w:val="0"/>
        <w:spacing w:before="0" w:after="6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IES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Amounts in Thousands Except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 BUSINESS AND ACCOUNTING POLICIES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Description of the Business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IES Holdings, Inc. designs and installs integrated electrical and technology systems and provides infrastructure products and services to a variety of end markets, including data centers, residential housing and commercial and industrial facilities. Our operations are organized into four business segments, based upon the nature of our services: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u w:val="single"/>
        </w:rPr>
        <w:t>Communications</w:t>
      </w:r>
      <w:r>
        <w:rPr>
          <w:color w:val="000000"/>
        </w:rPr>
        <w:t xml:space="preserve"> – </w:t>
      </w:r>
      <w:r>
        <w:rPr>
          <w:rFonts w:ascii="Times New Roman;serif" w:hAnsi="Times New Roman;serif"/>
          <w:b w:val="false"/>
          <w:color w:val="000000"/>
          <w:sz w:val="20"/>
        </w:rPr>
        <w:t>Nationwide provider of technology infrastructure services, including the design, build, and maintenance of the communications infrastructure within data centers for co-location and managed hosting customers, for both large corporations and independent businesses.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u w:val="single"/>
        </w:rPr>
        <w:t>Residential</w:t>
      </w:r>
      <w:r>
        <w:rPr>
          <w:color w:val="000000"/>
        </w:rPr>
        <w:t xml:space="preserve"> – </w:t>
      </w:r>
      <w:r>
        <w:rPr>
          <w:rFonts w:ascii="Times New Roman;serif" w:hAnsi="Times New Roman;serif"/>
          <w:b w:val="false"/>
          <w:color w:val="000000"/>
          <w:sz w:val="20"/>
        </w:rPr>
        <w:t xml:space="preserve">Regional provider of electrical installation services for single-family housing and multi-family apartment complexes, as well as heating, ventilation and air conditioning (HVAC) and plumbing installation services in certain markets.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u w:val="single"/>
        </w:rPr>
        <w:t>Infrastructure Solutions</w:t>
      </w:r>
      <w:r>
        <w:rPr>
          <w:color w:val="000000"/>
        </w:rPr>
        <w:t xml:space="preserve"> – </w:t>
      </w:r>
      <w:r>
        <w:rPr>
          <w:rFonts w:ascii="Times New Roman;serif" w:hAnsi="Times New Roman;serif"/>
          <w:b w:val="false"/>
          <w:color w:val="000000"/>
          <w:sz w:val="20"/>
        </w:rPr>
        <w:t xml:space="preserve">Provider of electro-mechanical solutions for industrial operations, including apparatus repair and custom-engineered products such as generator enclosures used in data centers and other industrial applications.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u w:val="single"/>
        </w:rPr>
        <w:t>Commercial &amp; Industrial</w:t>
      </w:r>
      <w:r>
        <w:rPr>
          <w:color w:val="000000"/>
        </w:rPr>
        <w:t xml:space="preserve"> – </w:t>
      </w:r>
      <w:r>
        <w:rPr>
          <w:rFonts w:ascii="Times New Roman;serif" w:hAnsi="Times New Roman;serif"/>
          <w:b w:val="false"/>
          <w:color w:val="000000"/>
          <w:sz w:val="20"/>
        </w:rPr>
        <w:t>Provider of electrical and mechanical design, construction, and maintenance services to the commercial and industrial markets in various regional markets and nationwide in certain areas of expertise, such as the power infrastructure market and data centers.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words “IES”, the “Company”, “we”, “our”, and “us” refer to IES Holdings, Inc. and, except as otherwise specified herein, to our consolidated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Seasonality and Quarterly Fluctuations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Results of operations from our Residential segment can be seasonal, depending on weather trends, with typically higher revenues generated during spring and summer and lower revenues generated during fall and winter. The Commercial &amp; Industrial, Communications and Infrastructure Solutions segments of our business are less subject to seasonal trends, as work in these segments generally is performed inside structures protected from the weather, although weather can still impact these businesses, especially in the early stages of projects. From quarter to quarter, results for our Communications, Residential, and Commercial &amp; Industrial segments may be materially affected by the timing of new construction projects, and our volume of business may be adversely affected by declines in construction projects resulting from adverse regional or national economic conditions. Quarterly results for our Infrastructure Solutions segment may be affected by the timing of outages or capital projects at our customers’ facilities. Accordingly, operating results for any fiscal period are not necessarily indicative of results that may be achieved for any subsequent fiscal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Basis of Financial Statement Preparation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include the accounts of IES, our wholly-owned subsidiaries, and entities that we control due to ownership of a majority of voting interest and have been prepared in accordance with the instructions to interim financial reporting as prescribed by the United States Securities and Exchange Commission (the “SEC”). The results for the interim periods are not necessarily indicative of results for the entire year. These interim financial statements do not include all disclosures required by U.S. generally accepted accounting principles (“GAAP”) and should be read in conjunction with the consolidated financial statements and notes thereto filed with the SEC in our Annual Report on Form 10-K for the fiscal year ended September 30, 2025. In the opinion of management, the unaudited Condensed Consolidated Financial Statements contained in this report include all known accruals and adjustments necessary for a fair presentation of the financial position, results of operations, and cash flows for the periods reported herein. Any such adjustments are of a normal recurring nature.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Equity Method Investments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account for investments using the equity method of accounting if the investment gives us the ability to exercise significant influence over an investee but does not grant us control. Significant influence generally exists when an investor owns 20% or more of the voting stock of an incorporated investee or a more than 3% to 5% interest in an unincorporated investee. Under the equity method of accounting, the carrying amount of an investment is initially recorded at cost basis and is subsequently adjusted for our proportionate share of earnings or losses, additional investments in the entity, and distributions. Our proportionate share of earnings or losses is recorded in Equity method investment income on our Condensed Consolidated Statements of Comprehensive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Noncontrolling Interest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our acquisition of Edmonson Electric LLC ("Edmonson") in fiscal 2021 and NEXT Electric, LLC ("NEXT") in fiscal 2017, we acquired an 80 percent interest in each of the entities, with the remaining 20 percent interest retained by the respective third-party sellers. The interests retained by those third-party sellers are identified on our Condensed Consolidated Balance Sheets as “Noncontrolling interest,” classified outside of permanent equity.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terms of our operating agreement with NEXT, we may elect to purchase, or the third-party seller may require us to purchase, part or all of the remaining 20 percent interest in NEXT. The purchase price is variable, based on a multiple of earnings as defined in the operating agreement. Therefore, the noncontrolling interest is carried at the greater of the balance determined under Accounting Standards Codification (“ASC”) 810 and the redemption amount at the balance sheet date. The redemption amount of the noncontrolling interest in NEXT at March 31, 2026 was $4,572.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operating agreement with Edmonson contained a similar provision relating to the purchase of the remaining 20 percent interest in Edmonson. On July 1, 2025, we purchased the remaining 20 percent noncontrolling interest in Edmonson for $40,000. As we retained our controlling interest in Edmonson, the change in ownership interest was accounted for as an equity transaction. The difference between the balance of the noncontrolling interest at the date of redemption of the remaining interest and the consideration paid was recognized in Additional Paid-In Capital in the accompanying Condensed Consolidated Balance Sheets and was not reflected in earnings.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activity in redeemable noncontrolling interest for the six months ended March 31, 2026 and 2025 is summarized in the table below. </w:t>
      </w:r>
    </w:p>
    <w:tbl>
      <w:tblPr>
        <w:tblW w:w="8095" w:type="dxa"/>
        <w:jc w:val="center"/>
        <w:tblInd w:w="0" w:type="dxa"/>
        <w:tblLayout w:type="fixed"/>
        <w:tblCellMar>
          <w:top w:w="28" w:type="dxa"/>
          <w:left w:w="28" w:type="dxa"/>
          <w:bottom w:w="28" w:type="dxa"/>
          <w:right w:w="28" w:type="dxa"/>
        </w:tblCellMar>
      </w:tblPr>
      <w:tblGrid>
        <w:gridCol w:w="2016"/>
        <w:gridCol w:w="1771"/>
        <w:gridCol w:w="1777"/>
        <w:gridCol w:w="227"/>
        <w:gridCol w:w="665"/>
        <w:gridCol w:w="117"/>
        <w:gridCol w:w="117"/>
        <w:gridCol w:w="117"/>
        <w:gridCol w:w="117"/>
        <w:gridCol w:w="227"/>
        <w:gridCol w:w="778"/>
        <w:gridCol w:w="166"/>
      </w:tblGrid>
      <w:tr>
        <w:trPr/>
        <w:tc>
          <w:tcPr>
            <w:tcW w:w="201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March 31,</w:t>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40,996 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record noncontrolling interests at redemption value</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4,572 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40,748 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the use of estimates and assumptions by management in determining the reported amounts of assets and liabilities, disclosures of contingent liabilities at the date of the financial statements and the reported amounts of revenues and expenses during the reporting period. Actual results could differ from those estimates. Estimates are primarily used in our revenue recognition of construction in progress, fair value assumptions in accounting for business combinations, stock-based compensation, reserves for legal matters, and realizability of deferred tax assets and unrecognized tax benefits.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Recent Accounting Pronouncements and Disclosure Rules Not Yet Adopted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Accounting Standard Update No. 2023-09, Income Taxes (Topic 740): Improvements to Income Tax Disclosures (“ASU 2023-09”). This standard requires more detailed disclosure within the tax rate reconciliation table, as well as additional information about cash taxes paid. This update is effective for fiscal years beginning after December 15, 2024. Early adoption is permitted. We are evaluating the impact this update will have on our annual disclosures; however, it will not impact our financial condition, results of operations, or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Accounting Standard Update No. 2024-03, Income Statement—Reporting Comprehensive Income—Expense Disaggregation Disclosures (Subtopic 220-40): Disaggregation of Income Statement Expenses (“ASU 2024-03”). This standard requires additional disclosures of certain expenses, including purchases of inventory, employee compensation, depreciation, intangible asset amortization, and other specific expense categories. This standard also requires disclosure of the total amount of selling expenses and the Company's definition of selling expenses. This update is effective for fiscal years beginning after December 15, 2026, and interim periods within fiscal years beginning after December 15, 2027. Early adoption is permitted. We are evaluating the impact this update will have on our annual disclosures; however, it will not impact our financial condition, results of operations, or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2025, the FASB issued Accounting Standard Update No. 2025-06, Intangibles—Goodwill and Other—Internal-Use Software (Subtopic 350-40): Targeted Improvements to the Accounting for Internal-Use Software (“ASU 2025-06”). This standard amends the existing standard for capitalizing costs to develop or obtain software for internal use. This update removes the requirement for costs associated with internal-use software projects to be capitalized only at certain stages of development, instead only requiring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that management has authorized and committed to funding a software project and that it is probable that the project will be completed and the software will be used for the function intended in order for these costs to be capitalized. This update is effective for fiscal years beginning after December 15, 2027, and interim periods within fiscal years beginning after December 15, 2028. Early adoption is permitted. This update may be applied on a prospective or retrospective basis, or a modified prospective basis for in-process projects. We are evaluating the impact this update will have on our financial condition, results of operations, and cash flows.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CONTROLLING STOCKHOLDER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Tontine Associates, L.L.C. (“Tontine Associates”), together with its affiliates (collectively, “Tontine”), is the Company’s controlling stockholder, owning approximately 53 percent of the Company’s outstanding common stock based on a Form 4 filed by Tontine with the SEC on February 17, 2026 and the Company's shares outstanding as of April 27, 2026. Accordingly, Tontine has the ability to exercise significant control over our affairs, including the election of directors and most actions requiring the approval of stockholders.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While Tontine is subject to certain restrictions under federal securities laws on sales of its shares as an affiliate, the Company has filed a resale shelf registration statement to register for resale a majority of the shares of IES common stock owned by Tontine. As long as the resale shelf registration statement remains effective and the Company remains eligible to use it, Tontine has the ability to resell any or all of its registered shares from time to time in one or more offerings, as described in the resale shelf registration statement and in any prospectus supplement filed in connection with an offering pursuant to the resale shelf registration statement.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Should Tontine, or its underlying individual owners, sell or otherwise dispose of all or a significant portion of its position in IES, a change in control of IES could occur. A change of control would trigger the change of control provisions in a number of our material agreements, including our credit agreement, bonding agreements with our sureties and our executive severance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Jeffrey L. Gendell was appointed Executive Chairman of the Company effective July 1, 2025 after serving as Chief Executive Officer of the Company from October 1, 2020 to June 30, 2025, and as the Company's Interim Chief Executive Officer from July 31, 2020 to September 30, 2020. Mr. Gendell has also served as a director and as Chairman of the Board of Directors since November 2016. He is the managing member and founder of Tontine, and the brother of David B. Gendell, who has served as a member of our Board of Directors since February 2012, and who previously served as Interim Director of Operations from November 2017 to January 2019, as Vice Chairman of the Board from November 2016 to November 2017 and as Chairman of the Board from January 2015 to November 2016. David B. Gendell was an employee of Tontine from 2004 until January 2018.</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is a party to a sublease agreement with Tontine Associates for corporate office space in Greenwich, Connecticut. On August 1, 2024, the Company entered into an amendment of the sublease agreement to extend the term of the agreement through September 30, 2025, effective September 1, 2024, while maintaining monthly payments due in the amount of approximately $9. On August 1, 2025, the Company entered into an amendment of the sublease agreement to extend the term of the agreement through September 30, 2026. Payments by the Company are at a rate consistent with that paid by Tontine Associates to its landlord.</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December 6, 2018, the Company entered into a Board Observer Letter Agreement (the "Observer Agreement") with Tontine Associates in order to assist Tontine in managing its investment in the Company. Subject to the terms and conditions set forth in the Observer Agreement, the Company granted Tontine the right, at any time that Tontine holds at least 20% of the outstanding common stock of the Company, to appoint a representative to serve as an observer to the Board (the “Board Observer”). The Board Observer, who must be reasonably acceptable to those members of the Board who are not affiliates of Tontine, shall have no voting rights or other decision making authority. Subject to the terms and conditions set forth in the Observer Agreement, so long as Tontine has the right to appoint a Board Observer, the Board Observer will have the right to attend and participate in meetings of the Board and the committees thereof, subject to confidentiality requirements, and to receive reimbursement for reasonable out-of-pocket expenses incurred in his or her capacity as a Board Observer and such rights to coverage under the Company’s directors’ and officers’ liability insurance policy as are available to the Company’s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REVENUE RECOGNITION</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Contracts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revenue is derived from contracts with customers, and we determine the appropriate accounting treatment for each contract at its inception. Our contracts primarily relate to electrical and mechanical contracting services, technology infrastructure products and services, and electro-mechanical solutions for industrial operations. Revenue is earned based upon an agreed fixed price or actual costs incurred plus an agreed upon percentage.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account for a contract when: (i) it has approval and commitment from both parties, (ii) the rights of the parties are identified, (iii) payment terms are identified, (iv) the contract has commercial substance, and (v) collectability of consideration is probable. We consider the start of a project to be when the above criteria have been met and we have written authorization from the customer to proceed.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Performance Obligations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performance obligation is a promise in a contract to transfer a distinct good or service to the customer. A contract’s transaction price is allocated to each distinct performance obligation and recognized as revenue when, or as, the performance obligation is satisfied.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recognize revenue over time for the majority of the services we perform as (i) control continuously transfers to the customer as work progresses at a project location controlled by the customer and (ii) we have the right to bill the customer as costs are incurred. Within our Infrastructure Solutions Custom Engineered Solutions business, we often perform work inside our own facilities, where control does not continuously transfer to the customer as work progresses. In such cases, we evaluate whether the work performed creates an asset with alternative use to the Company and whether we have the right to bill the customer as costs are incurred. Such assessment involves an evaluation of contractual termination clauses. Where we are creating an asset with no alternative use and we have a contractual right to payment for work performed to date, we recognize revenue over time. If we do not have such a right, we recognize revenue upon completion of the contract, when control of the work transfers to the customer.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arrangements where we recognize revenue over time, we generally use the percentage of completion method of accounting under which revenue recognized is measured principally by the costs incurred and accrued to date for each contract as a percentage of the estimated total cost for each contract at completion. Contract costs include all direct material, labor and indirect costs related to contract performance. Changes in job performance, job conditions, estimated contract costs and profitability and final contract settlements may result in revisions to costs and income, and the effects of these revisions are recognized in the period in which the revisions are determined. Provisions for estimated losses on uncompleted contracts are made in the period in which such losses are determined. This process requires updates to the estimate of total costs to complete the contract, and these updates may include subjective assessments and judgments. Revenue for arrangements whose durations are short in nature is recognized when the project is complete and billable to the customer under the right to invoice practical expedient.</w:t>
      </w:r>
    </w:p>
    <w:p>
      <w:pPr>
        <w:pStyle w:val="TextBody"/>
        <w:bidi w:val="0"/>
        <w:spacing w:lineRule="auto" w:line="288" w:before="0" w:after="0"/>
        <w:ind w:left="0" w:right="0" w:firstLine="720"/>
        <w:jc w:val="left"/>
        <w:rPr>
          <w:color w:val="FF0000"/>
        </w:rPr>
      </w:pPr>
      <w:r>
        <w:rPr>
          <w:color w:val="FF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Variable Consideration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transaction price for our contracts may include variable consideration, which includes changes to transaction price for unapproved change orders, claims and incentives. Change orders, claims and incentives are generally not distinct from the existing contract due to the significant integration service provided in the context of the contract and are accounted for as a modification of the existing contract. We estimate variable consideration at either the expected probability weighted value or the most likely amount in a range of possible consideration amounts, utilizing estimation methods that best predict the amount of consideration to which we will be entitled (or will be incurred in the case of liquidated damages, if any). We include variable consideration in the estimated transaction price to the extent it is probable that a significant reversal of cumulative revenue recognized will not occur or when the uncertainty associated with the variable consideration is resolved. Our estimates of variable consideration and determination of whether to include estimated amounts in transaction price are based largely on an assessment of our anticipated performance and all information (historical, current and forecasted) that is reasonably available to us. The effect of variable consideration on the transaction price of a performance obligation is recognized as an adjustment to revenue on a cumulative catch-up basis. To the extent unapproved change orders and claims reflected in transaction price (or accounted for as a reduction of the transaction price in the case of liquidated damages) are not resolved in our favor, or to the extent incentives reflected in transaction price are not earned, there could be reductions in, or reversals of, previously recognized revenue.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Disaggregation of Revenue</w:t>
      </w:r>
    </w:p>
    <w:p>
      <w:pPr>
        <w:pStyle w:val="TextBody"/>
        <w:bidi w:val="0"/>
        <w:spacing w:before="0" w:after="0"/>
        <w:jc w:val="left"/>
        <w:rPr/>
      </w:pPr>
      <w:r>
        <w:rPr/>
      </w:r>
    </w:p>
    <w:p>
      <w:pPr>
        <w:pStyle w:val="TextBody"/>
        <w:bidi w:val="0"/>
        <w:spacing w:lineRule="auto" w:line="268" w:before="0" w:after="180"/>
        <w:jc w:val="left"/>
        <w:rPr>
          <w:rFonts w:ascii="Times New Roman;serif" w:hAnsi="Times New Roman;serif"/>
          <w:b w:val="false"/>
          <w:color w:val="000000"/>
          <w:sz w:val="20"/>
        </w:rPr>
      </w:pPr>
      <w:r>
        <w:rPr>
          <w:rFonts w:ascii="Times New Roman;serif" w:hAnsi="Times New Roman;serif"/>
          <w:b w:val="false"/>
          <w:color w:val="000000"/>
          <w:sz w:val="20"/>
        </w:rPr>
        <w:t>We disaggregate our revenue from contracts with customers by activity and contract type, as these categories reflect how the nature, amount, timing and uncertainty of our revenue and cash flows are affected by economic factors. Our consolidated revenue for the three and six months ended March 31, 2026 and 2025 was derived from the following activities. Certain prior period amounts have been reclassified to conform with the current period presentation, where applicable. See details in the following tables:</w:t>
      </w:r>
    </w:p>
    <w:tbl>
      <w:tblPr>
        <w:tblW w:w="10205" w:type="dxa"/>
        <w:jc w:val="center"/>
        <w:tblInd w:w="0" w:type="dxa"/>
        <w:tblLayout w:type="fixed"/>
        <w:tblCellMar>
          <w:top w:w="28" w:type="dxa"/>
          <w:left w:w="28" w:type="dxa"/>
          <w:bottom w:w="28" w:type="dxa"/>
          <w:right w:w="28" w:type="dxa"/>
        </w:tblCellMar>
      </w:tblPr>
      <w:tblGrid>
        <w:gridCol w:w="963"/>
        <w:gridCol w:w="848"/>
        <w:gridCol w:w="849"/>
        <w:gridCol w:w="109"/>
        <w:gridCol w:w="109"/>
        <w:gridCol w:w="109"/>
        <w:gridCol w:w="215"/>
        <w:gridCol w:w="844"/>
        <w:gridCol w:w="110"/>
        <w:gridCol w:w="110"/>
        <w:gridCol w:w="110"/>
        <w:gridCol w:w="110"/>
        <w:gridCol w:w="215"/>
        <w:gridCol w:w="844"/>
        <w:gridCol w:w="110"/>
        <w:gridCol w:w="109"/>
        <w:gridCol w:w="109"/>
        <w:gridCol w:w="109"/>
        <w:gridCol w:w="109"/>
        <w:gridCol w:w="109"/>
        <w:gridCol w:w="186"/>
        <w:gridCol w:w="186"/>
        <w:gridCol w:w="360"/>
        <w:gridCol w:w="1411"/>
        <w:gridCol w:w="186"/>
        <w:gridCol w:w="109"/>
        <w:gridCol w:w="109"/>
        <w:gridCol w:w="109"/>
        <w:gridCol w:w="211"/>
        <w:gridCol w:w="976"/>
        <w:gridCol w:w="162"/>
      </w:tblGrid>
      <w:tr>
        <w:trPr/>
        <w:tc>
          <w:tcPr>
            <w:tcW w:w="96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March 31,</w:t>
            </w:r>
          </w:p>
        </w:tc>
        <w:tc>
          <w:tcPr>
            <w:tcW w:w="1676" w:type="dxa"/>
            <w:gridSpan w:val="6"/>
            <w:tcBorders/>
          </w:tcPr>
          <w:p>
            <w:pPr>
              <w:pStyle w:val="TableContents"/>
              <w:bidi w:val="0"/>
              <w:spacing w:before="0" w:after="283"/>
              <w:jc w:val="left"/>
              <w:rPr>
                <w:sz w:val="4"/>
                <w:szCs w:val="4"/>
              </w:rPr>
            </w:pPr>
            <w:r>
              <w:rPr>
                <w:sz w:val="4"/>
                <w:szCs w:val="4"/>
              </w:rPr>
            </w:r>
          </w:p>
        </w:tc>
      </w:tr>
      <w:tr>
        <w:trPr/>
        <w:tc>
          <w:tcPr>
            <w:tcW w:w="2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367,696 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273,016 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719,616 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505,976 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Single-family Electrical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271,181 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329,282 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Single-family Plumbing &amp; HVAC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90,059 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172,919 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153,351 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Multi-family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127,560 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155,304 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Residential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287,616 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317,966 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571,660 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637,937 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29,178 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47,846 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 Engineered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88,442 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177,899 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Infrastructure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192,448 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117,620 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225,745 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125,358 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9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213,849 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974,284 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833,960 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9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1,583,507 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587"/>
        <w:gridCol w:w="515"/>
        <w:gridCol w:w="519"/>
        <w:gridCol w:w="109"/>
        <w:gridCol w:w="109"/>
        <w:gridCol w:w="109"/>
        <w:gridCol w:w="276"/>
        <w:gridCol w:w="1081"/>
        <w:gridCol w:w="144"/>
        <w:gridCol w:w="109"/>
        <w:gridCol w:w="109"/>
        <w:gridCol w:w="109"/>
        <w:gridCol w:w="211"/>
        <w:gridCol w:w="826"/>
        <w:gridCol w:w="109"/>
        <w:gridCol w:w="109"/>
        <w:gridCol w:w="109"/>
        <w:gridCol w:w="109"/>
        <w:gridCol w:w="283"/>
        <w:gridCol w:w="1112"/>
        <w:gridCol w:w="148"/>
        <w:gridCol w:w="109"/>
        <w:gridCol w:w="109"/>
        <w:gridCol w:w="109"/>
        <w:gridCol w:w="288"/>
        <w:gridCol w:w="1129"/>
        <w:gridCol w:w="148"/>
        <w:gridCol w:w="109"/>
        <w:gridCol w:w="109"/>
        <w:gridCol w:w="109"/>
        <w:gridCol w:w="211"/>
        <w:gridCol w:w="826"/>
        <w:gridCol w:w="157"/>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4"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 2026</w:t>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219,657 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163,624 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112,454 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783,351 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Time-and-material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148,039 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190,933 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367,696 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192,448 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126,524 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974,284 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4"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 2025</w:t>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202,412 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106,477 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107,516 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734,371 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Time-and-material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17,842 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273,016 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117,620 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125,358 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833,960 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7" w:type="dxa"/>
            <w:gridSpan w:val="27"/>
            <w:tcBorders/>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7" w:type="dxa"/>
            <w:gridSpan w:val="27"/>
            <w:tcBorders/>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center"/>
        <w:rPr/>
      </w:pPr>
      <w:r>
        <w:rPr/>
      </w:r>
    </w:p>
    <w:tbl>
      <w:tblPr>
        <w:tblW w:w="10205" w:type="dxa"/>
        <w:jc w:val="center"/>
        <w:tblInd w:w="0" w:type="dxa"/>
        <w:tblLayout w:type="fixed"/>
        <w:tblCellMar>
          <w:top w:w="28" w:type="dxa"/>
          <w:left w:w="28" w:type="dxa"/>
          <w:bottom w:w="28" w:type="dxa"/>
          <w:right w:w="28" w:type="dxa"/>
        </w:tblCellMar>
      </w:tblPr>
      <w:tblGrid>
        <w:gridCol w:w="587"/>
        <w:gridCol w:w="515"/>
        <w:gridCol w:w="519"/>
        <w:gridCol w:w="109"/>
        <w:gridCol w:w="109"/>
        <w:gridCol w:w="109"/>
        <w:gridCol w:w="276"/>
        <w:gridCol w:w="1081"/>
        <w:gridCol w:w="144"/>
        <w:gridCol w:w="109"/>
        <w:gridCol w:w="109"/>
        <w:gridCol w:w="109"/>
        <w:gridCol w:w="211"/>
        <w:gridCol w:w="826"/>
        <w:gridCol w:w="109"/>
        <w:gridCol w:w="109"/>
        <w:gridCol w:w="109"/>
        <w:gridCol w:w="109"/>
        <w:gridCol w:w="270"/>
        <w:gridCol w:w="1062"/>
        <w:gridCol w:w="141"/>
        <w:gridCol w:w="109"/>
        <w:gridCol w:w="109"/>
        <w:gridCol w:w="109"/>
        <w:gridCol w:w="273"/>
        <w:gridCol w:w="1071"/>
        <w:gridCol w:w="141"/>
        <w:gridCol w:w="109"/>
        <w:gridCol w:w="109"/>
        <w:gridCol w:w="109"/>
        <w:gridCol w:w="211"/>
        <w:gridCol w:w="976"/>
        <w:gridCol w:w="157"/>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7" w:type="dxa"/>
            <w:gridSpan w:val="27"/>
            <w:tcBorders/>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7" w:type="dxa"/>
            <w:gridSpan w:val="27"/>
            <w:tcBorders/>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4"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March 31, 2026</w:t>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443,351 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295,134 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196,045 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1,506,190 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Time-and-material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276,265 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37,489 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25,298 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719,616 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332,623 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221,343 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1,845,242 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4" w:type="dxa"/>
            <w:gridSpan w:val="30"/>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March 31, 2025</w:t>
            </w:r>
          </w:p>
        </w:tc>
      </w:tr>
      <w:tr>
        <w:trPr/>
        <w:tc>
          <w:tcPr>
            <w:tcW w:w="1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368,745 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206,677 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183,706 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1,397,065 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Time-and-material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137,231 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19,068 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186,442 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505,976 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225,745 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213,849 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1,583,507 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Accounts Receivable</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Accounts receivable include amounts that we have billed or have an unconditional right to bill our customers. As of March 31, 2026, accounts receivable included $22,344 of unbilled receivables for which we have an unconditional right to bill.</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Contract Assets and Liabilities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Project contracts typically provide for a schedule of billings on percentage of completion of specific tasks inherent in the fulfillment of our performance obligation(s). The schedules for such billings usually do not precisely match the schedule on which costs are incurred. As a result, contract revenue recognized in the statement of operations can and usually does differ from amounts that can be billed to the customer at any point during the contract. Amounts by which cumulative contract revenue recognized on a contract as of a given date exceeds cumulative billings and unbilled receivables to the customer under the contract are reflected as a current asset in our Condensed Consolidated Balance Sheets under the caption “Costs and estimated earnings in excess of billings”. Amounts by which cumulative billings to the customer under a contract as of a given date exceed cumulative contract revenue recognized are reflected as a current liability in our Condensed Consolidated Balance Sheets under the caption “Billings in excess of costs and estimated earnings”.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March 31, 2026 and 2025, we recognized revenue of $154,185 and $140,390 related to our contract liabilities at September 30, 2025 and 2024, respectively.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i/>
          <w:color w:val="000000"/>
          <w:sz w:val="20"/>
        </w:rPr>
        <w:t>Remaining Performance Obligations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Remaining performance obligations represent the unrecognized revenue value of our contract commitments. Our new performance obligations vary significantly each reporting period based on the timing of our major new contract commitments. At March 31, 2026, we had remaining performance obligations of $2,347,101. The Company expects to recognize revenue on approximately $1,839,240 of the remaining performance obligations over the next 12 months, with the remainder recognized thereafter.</w:t>
      </w:r>
    </w:p>
    <w:p>
      <w:pPr>
        <w:pStyle w:val="TextBody"/>
        <w:bidi w:val="0"/>
        <w:spacing w:lineRule="auto" w:line="288" w:before="0" w:after="0"/>
        <w:jc w:val="left"/>
        <w:rPr>
          <w:color w:val="000000"/>
        </w:rPr>
      </w:pPr>
      <w:r>
        <w:rPr>
          <w:color w:val="000000"/>
        </w:rPr>
        <w: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March 31, 2026, revenue recognized from our performance obligations satisfied in previous periods was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4. DEBT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are a party to the Fourth Amended and Restated Credit Agreement (the “Amended Credit Agreement”), which provides for a revolving line of credit of $300,000, with a maturity date of January 21, 2030.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Under the Amended Credit Agreement, the Company is subject to certain financial covenants including a maximum Consolidated Total Leverage Ratio (as defined in the Amended Credit Agreement) of 3.00 to 1.00 and a minimum Consolidated Interest Coverage Ratio (as defined in the Amended Credit Agreement) of 3.00 to 1.00. As of March 31, 2026, the Company was in compliance with the financial covenants under the Amended Credit Agreement.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At March 31, 2026 and September 30, 2025, we had outstanding borrowings under our revolving credit facility of $35,000 and zero, respectively. At March 31, 2026, we had $11,335 in outstanding letters of credit and $253,665 of availability under our revolving credit facility.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Amounts outstanding bear interest at a rate equal to either (1) the Base Rate (which is the greater of the Federal Funds Rate (as defined in the Amended Credit Agreement) and the Prime Rate (as defined in the Amended Credit Agreement)), (2) the Daily Simple SOFR (as defined in the Amended Credit Agreement) or (3) Term SOFR (as defined in the Amended Credit Agreement), plus, in each case, an interest rate margin, which is determined quarterly based on our Consolidated Total Leverage Ratio, in accordance with the following thresholds:</w:t>
      </w:r>
    </w:p>
    <w:tbl>
      <w:tblPr>
        <w:tblW w:w="10205" w:type="dxa"/>
        <w:jc w:val="center"/>
        <w:tblInd w:w="0" w:type="dxa"/>
        <w:tblLayout w:type="fixed"/>
        <w:tblCellMar>
          <w:top w:w="28" w:type="dxa"/>
          <w:left w:w="28" w:type="dxa"/>
          <w:bottom w:w="28" w:type="dxa"/>
          <w:right w:w="28" w:type="dxa"/>
        </w:tblCellMar>
      </w:tblPr>
      <w:tblGrid>
        <w:gridCol w:w="344"/>
        <w:gridCol w:w="303"/>
        <w:gridCol w:w="305"/>
        <w:gridCol w:w="109"/>
        <w:gridCol w:w="109"/>
        <w:gridCol w:w="109"/>
        <w:gridCol w:w="1040"/>
        <w:gridCol w:w="1040"/>
        <w:gridCol w:w="1042"/>
        <w:gridCol w:w="109"/>
        <w:gridCol w:w="109"/>
        <w:gridCol w:w="109"/>
        <w:gridCol w:w="1004"/>
        <w:gridCol w:w="988"/>
        <w:gridCol w:w="991"/>
        <w:gridCol w:w="109"/>
        <w:gridCol w:w="109"/>
        <w:gridCol w:w="109"/>
        <w:gridCol w:w="643"/>
        <w:gridCol w:w="627"/>
        <w:gridCol w:w="897"/>
      </w:tblGrid>
      <w:tr>
        <w:trPr/>
        <w:tc>
          <w:tcPr>
            <w:tcW w:w="34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Pricing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Consolidated Total Leverage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Margin applicable to Daily Simple SOFR/Term SOFR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Margin applicable to Base Rate</w:t>
            </w:r>
          </w:p>
        </w:tc>
      </w:tr>
      <w:tr>
        <w:trPr/>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Greater than or equal to 2.50 to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2.25 percentage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1.25 percentage points</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Greater than or equal to 1.75 to 1.00, but less than 2.50 to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2.00 percentage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1.00 percentage points</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Greater than or equal to 1.00 to 1.00, but less than 1.75 to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1.75 percentage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0.75 percentage points</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Less than 1.00 to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1.50 percentage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0.50 percentage points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we are charged monthly in arrears an unused commitment fee of 0.25% to 0.35% per annum on any unused portion of the revolving credit facility based on the Company's Consolidated Total Leverage Ratio.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Amended Credit Agreement restricts certain types of transactions when the Company’s Consolidated Total Leverage Ratio, after giving pro forma effect thereto, exceeds 2.75 to 1.00. The Amended Credit Agreement contains other customary affirmative and negative covenants as well as events of default.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5. PER SHARE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the components of basic and diluted earnings per share for the three and six months ended March 31, 2026 and 2025:</w:t>
      </w:r>
    </w:p>
    <w:tbl>
      <w:tblPr>
        <w:tblW w:w="10205" w:type="dxa"/>
        <w:jc w:val="center"/>
        <w:tblInd w:w="0" w:type="dxa"/>
        <w:tblLayout w:type="fixed"/>
        <w:tblCellMar>
          <w:top w:w="28" w:type="dxa"/>
          <w:left w:w="28" w:type="dxa"/>
          <w:bottom w:w="28" w:type="dxa"/>
          <w:right w:w="28" w:type="dxa"/>
        </w:tblCellMar>
      </w:tblPr>
      <w:tblGrid>
        <w:gridCol w:w="1558"/>
        <w:gridCol w:w="1245"/>
        <w:gridCol w:w="1257"/>
        <w:gridCol w:w="109"/>
        <w:gridCol w:w="109"/>
        <w:gridCol w:w="109"/>
        <w:gridCol w:w="225"/>
        <w:gridCol w:w="868"/>
        <w:gridCol w:w="112"/>
        <w:gridCol w:w="112"/>
        <w:gridCol w:w="112"/>
        <w:gridCol w:w="112"/>
        <w:gridCol w:w="244"/>
        <w:gridCol w:w="837"/>
        <w:gridCol w:w="112"/>
        <w:gridCol w:w="109"/>
        <w:gridCol w:w="109"/>
        <w:gridCol w:w="109"/>
        <w:gridCol w:w="219"/>
        <w:gridCol w:w="862"/>
        <w:gridCol w:w="109"/>
        <w:gridCol w:w="109"/>
        <w:gridCol w:w="109"/>
        <w:gridCol w:w="109"/>
        <w:gridCol w:w="219"/>
        <w:gridCol w:w="862"/>
        <w:gridCol w:w="159"/>
      </w:tblGrid>
      <w:tr>
        <w:trPr/>
        <w:tc>
          <w:tcPr>
            <w:tcW w:w="15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March 31,</w:t>
            </w:r>
          </w:p>
        </w:tc>
      </w:tr>
      <w:tr>
        <w:trPr/>
        <w:tc>
          <w:tcPr>
            <w:tcW w:w="4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IES Holdings,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109,909 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126,955 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 of IES Holdings,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109,771 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70,738 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200,797 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125,897 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19,926,397 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19,969,618 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19,906,511 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19,979,896 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Effect of dilutive non-vested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259,988 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243,824 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249,981 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common and common equivalent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20,186,385 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20,213,442 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20,179,707 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20,229,877 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attributable to common stockholders of IES Holdings, Inc.:</w:t>
            </w:r>
          </w:p>
        </w:tc>
      </w:tr>
      <w:tr>
        <w:trPr/>
        <w:tc>
          <w:tcPr>
            <w:tcW w:w="4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Potentially dilutive securities excluded from the computation of diluted earnings per share as the effect of their inclusion would have been anti-dilutive:</w:t>
            </w:r>
          </w:p>
        </w:tc>
      </w:tr>
      <w:tr>
        <w:trPr/>
        <w:tc>
          <w:tcPr>
            <w:tcW w:w="4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phantom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33,179 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567" w:type="dxa"/>
            <w:gridSpan w:val="6"/>
            <w:tcBorders/>
          </w:tcPr>
          <w:p>
            <w:pPr>
              <w:pStyle w:val="TableContents"/>
              <w:bidi w:val="0"/>
              <w:spacing w:before="0" w:after="283"/>
              <w:jc w:val="left"/>
              <w:rPr>
                <w:sz w:val="4"/>
                <w:szCs w:val="4"/>
              </w:rPr>
            </w:pPr>
            <w:r>
              <w:rPr>
                <w:sz w:val="4"/>
                <w:szCs w:val="4"/>
              </w:rPr>
            </w:r>
          </w:p>
        </w:tc>
      </w:tr>
      <w:tr>
        <w:trPr/>
        <w:tc>
          <w:tcPr>
            <w:tcW w:w="4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6. OPERATING SEGMENTS</w: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manage and measure performance of our business in four distinct operating segments: Communications, Residential, Infrastructure Solutions, and Commercial &amp; Industrial. These segments are reflective of how the Company's chief operating decision maker (“CODM”) reviews operating results for the purpose of allocating resources and assessing performance. The CODM primarily uses “Operating income (loss)” for each operating segment to assess performance and decide how to allocate resources. Investment gains and losses and certain other corporate income and expense items are not considered in assessing the financial performance of operating businesses. In evaluating performance of the operating businesses, the CODM may compare actual income from operations for a segment to its forecast or prior year results. The Company’s CODM is its Chief Executive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Transactions between segments, if any, are eliminated in consolidation. Our corporate office provides general and administrative services, as well as support services, to each of our four operating segments. Management allocates certain shared costs among segments for selling, general and administrative expenses and depreciation expense.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Segment information for the three and six months ended March 31, 2026 and 2025 is as follows:</w:t>
      </w:r>
    </w:p>
    <w:tbl>
      <w:tblPr>
        <w:tblW w:w="10205" w:type="dxa"/>
        <w:jc w:val="center"/>
        <w:tblInd w:w="0" w:type="dxa"/>
        <w:tblLayout w:type="fixed"/>
        <w:tblCellMar>
          <w:top w:w="28" w:type="dxa"/>
          <w:left w:w="28" w:type="dxa"/>
          <w:bottom w:w="28" w:type="dxa"/>
          <w:right w:w="28" w:type="dxa"/>
        </w:tblCellMar>
      </w:tblPr>
      <w:tblGrid>
        <w:gridCol w:w="245"/>
        <w:gridCol w:w="215"/>
        <w:gridCol w:w="215"/>
        <w:gridCol w:w="441"/>
        <w:gridCol w:w="441"/>
        <w:gridCol w:w="215"/>
        <w:gridCol w:w="245"/>
        <w:gridCol w:w="923"/>
        <w:gridCol w:w="138"/>
        <w:gridCol w:w="109"/>
        <w:gridCol w:w="109"/>
        <w:gridCol w:w="109"/>
        <w:gridCol w:w="196"/>
        <w:gridCol w:w="736"/>
        <w:gridCol w:w="109"/>
        <w:gridCol w:w="109"/>
        <w:gridCol w:w="109"/>
        <w:gridCol w:w="109"/>
        <w:gridCol w:w="206"/>
        <w:gridCol w:w="778"/>
        <w:gridCol w:w="116"/>
        <w:gridCol w:w="109"/>
        <w:gridCol w:w="109"/>
        <w:gridCol w:w="109"/>
        <w:gridCol w:w="203"/>
        <w:gridCol w:w="765"/>
        <w:gridCol w:w="113"/>
        <w:gridCol w:w="109"/>
        <w:gridCol w:w="109"/>
        <w:gridCol w:w="109"/>
        <w:gridCol w:w="196"/>
        <w:gridCol w:w="736"/>
        <w:gridCol w:w="109"/>
        <w:gridCol w:w="109"/>
        <w:gridCol w:w="109"/>
        <w:gridCol w:w="109"/>
        <w:gridCol w:w="196"/>
        <w:gridCol w:w="871"/>
        <w:gridCol w:w="162"/>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March 31, 2026</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Commercial &amp; 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7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367,696 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287,616 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192,448 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126,524 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974,284 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273,970 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90,379 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719,497 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93,726 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63,120 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36,145 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254,787 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32,567 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21,050 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142,442 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tcPr>
          <w:p>
            <w:pPr>
              <w:pStyle w:val="TableContents"/>
              <w:bidi w:val="0"/>
              <w:spacing w:before="0" w:after="283"/>
              <w:jc w:val="left"/>
              <w:rPr>
                <w:sz w:val="4"/>
                <w:szCs w:val="4"/>
              </w:rPr>
            </w:pPr>
            <w:r>
              <w:rPr>
                <w:sz w:val="4"/>
                <w:szCs w:val="4"/>
              </w:rPr>
            </w:r>
          </w:p>
        </w:tc>
      </w:tr>
      <w:tr>
        <w:trPr/>
        <w:tc>
          <w:tcPr>
            <w:tcW w:w="17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assets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61,160 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41,943 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21,427 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112,255 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Other data:</w:t>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16,091 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22,296 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31,833 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472,610 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582,557 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220,919 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1,994,038 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45"/>
        <w:gridCol w:w="215"/>
        <w:gridCol w:w="215"/>
        <w:gridCol w:w="441"/>
        <w:gridCol w:w="441"/>
        <w:gridCol w:w="215"/>
        <w:gridCol w:w="245"/>
        <w:gridCol w:w="923"/>
        <w:gridCol w:w="138"/>
        <w:gridCol w:w="109"/>
        <w:gridCol w:w="109"/>
        <w:gridCol w:w="109"/>
        <w:gridCol w:w="196"/>
        <w:gridCol w:w="736"/>
        <w:gridCol w:w="109"/>
        <w:gridCol w:w="109"/>
        <w:gridCol w:w="109"/>
        <w:gridCol w:w="109"/>
        <w:gridCol w:w="206"/>
        <w:gridCol w:w="778"/>
        <w:gridCol w:w="116"/>
        <w:gridCol w:w="109"/>
        <w:gridCol w:w="109"/>
        <w:gridCol w:w="109"/>
        <w:gridCol w:w="203"/>
        <w:gridCol w:w="765"/>
        <w:gridCol w:w="113"/>
        <w:gridCol w:w="109"/>
        <w:gridCol w:w="109"/>
        <w:gridCol w:w="109"/>
        <w:gridCol w:w="196"/>
        <w:gridCol w:w="736"/>
        <w:gridCol w:w="109"/>
        <w:gridCol w:w="109"/>
        <w:gridCol w:w="109"/>
        <w:gridCol w:w="109"/>
        <w:gridCol w:w="196"/>
        <w:gridCol w:w="871"/>
        <w:gridCol w:w="162"/>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March 31, 2025</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Commercial &amp; 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7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273,016 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117,620 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125,358 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833,960 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209,973 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625,091 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63,043 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39,301 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208,869 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23,441 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12,487 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116,044 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assets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39,623 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26,484 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15,852 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92,695 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data:</w:t>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343,356 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328,027 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1,364,559 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tbl>
      <w:tblPr>
        <w:tblW w:w="10205" w:type="dxa"/>
        <w:jc w:val="center"/>
        <w:tblInd w:w="0" w:type="dxa"/>
        <w:tblLayout w:type="fixed"/>
        <w:tblCellMar>
          <w:top w:w="28" w:type="dxa"/>
          <w:left w:w="28" w:type="dxa"/>
          <w:bottom w:w="28" w:type="dxa"/>
          <w:right w:w="28" w:type="dxa"/>
        </w:tblCellMar>
      </w:tblPr>
      <w:tblGrid>
        <w:gridCol w:w="238"/>
        <w:gridCol w:w="210"/>
        <w:gridCol w:w="210"/>
        <w:gridCol w:w="427"/>
        <w:gridCol w:w="427"/>
        <w:gridCol w:w="194"/>
        <w:gridCol w:w="245"/>
        <w:gridCol w:w="923"/>
        <w:gridCol w:w="138"/>
        <w:gridCol w:w="109"/>
        <w:gridCol w:w="109"/>
        <w:gridCol w:w="109"/>
        <w:gridCol w:w="196"/>
        <w:gridCol w:w="736"/>
        <w:gridCol w:w="109"/>
        <w:gridCol w:w="109"/>
        <w:gridCol w:w="109"/>
        <w:gridCol w:w="109"/>
        <w:gridCol w:w="203"/>
        <w:gridCol w:w="765"/>
        <w:gridCol w:w="114"/>
        <w:gridCol w:w="109"/>
        <w:gridCol w:w="109"/>
        <w:gridCol w:w="109"/>
        <w:gridCol w:w="199"/>
        <w:gridCol w:w="749"/>
        <w:gridCol w:w="111"/>
        <w:gridCol w:w="109"/>
        <w:gridCol w:w="109"/>
        <w:gridCol w:w="109"/>
        <w:gridCol w:w="196"/>
        <w:gridCol w:w="736"/>
        <w:gridCol w:w="109"/>
        <w:gridCol w:w="109"/>
        <w:gridCol w:w="109"/>
        <w:gridCol w:w="109"/>
        <w:gridCol w:w="196"/>
        <w:gridCol w:w="871"/>
        <w:gridCol w:w="109"/>
        <w:gridCol w:w="159"/>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March 31, 2026</w:t>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Commercial &amp; 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70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719,616 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571,660 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332,623 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221,343 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1,845,242 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0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539,500 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0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180,116 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113,661 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56,296 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0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61,007 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35,957 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25,268 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70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0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sale of assets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0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118,597 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77,543 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31,130 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70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data:</w:t>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44,834 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472,610 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582,557 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220,919 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1,994,038 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45"/>
        <w:gridCol w:w="215"/>
        <w:gridCol w:w="215"/>
        <w:gridCol w:w="441"/>
        <w:gridCol w:w="441"/>
        <w:gridCol w:w="215"/>
        <w:gridCol w:w="245"/>
        <w:gridCol w:w="923"/>
        <w:gridCol w:w="138"/>
        <w:gridCol w:w="109"/>
        <w:gridCol w:w="109"/>
        <w:gridCol w:w="109"/>
        <w:gridCol w:w="196"/>
        <w:gridCol w:w="736"/>
        <w:gridCol w:w="109"/>
        <w:gridCol w:w="109"/>
        <w:gridCol w:w="109"/>
        <w:gridCol w:w="109"/>
        <w:gridCol w:w="206"/>
        <w:gridCol w:w="778"/>
        <w:gridCol w:w="116"/>
        <w:gridCol w:w="109"/>
        <w:gridCol w:w="109"/>
        <w:gridCol w:w="109"/>
        <w:gridCol w:w="203"/>
        <w:gridCol w:w="765"/>
        <w:gridCol w:w="113"/>
        <w:gridCol w:w="109"/>
        <w:gridCol w:w="109"/>
        <w:gridCol w:w="109"/>
        <w:gridCol w:w="196"/>
        <w:gridCol w:w="736"/>
        <w:gridCol w:w="109"/>
        <w:gridCol w:w="109"/>
        <w:gridCol w:w="109"/>
        <w:gridCol w:w="109"/>
        <w:gridCol w:w="196"/>
        <w:gridCol w:w="871"/>
        <w:gridCol w:w="162"/>
      </w:tblGrid>
      <w:tr>
        <w:trPr/>
        <w:tc>
          <w:tcPr>
            <w:tcW w:w="2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March 31, 2025</w:t>
            </w:r>
          </w:p>
        </w:tc>
      </w:tr>
      <w:tr>
        <w:trPr/>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Communications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Residential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Infrastructure Solutions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Commercial &amp; Industrial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7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505,976 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637,937 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225,745 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213,849 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1,583,507 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services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394,122 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151,472 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171,880 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1,196,611 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111,854 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74,273 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41,969 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386,896 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1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43,679 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23,755 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219,083 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sale of assets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68,234 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49,770 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22,908 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167,314 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data:</w:t>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23,035 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30,122 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343,356 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328,027 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1,364,559 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STOCKHOLDERS’ EQUITY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Equity Incentive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2006 Equity Incentive Plan, as amended and restated (the “Equity Incentive Plan”), provides for grants of phantom stock units, performance awards and stock options as well as grants of stock, including restricted stock. The Equity Incentive Plan was amended and restated effective February 20, 2025 following approval by stockholders at the Company's 2025 Annual Meeting of Stockholders to, among other things, authorize the issuance of an additional 750,000 shares under the Equity Incentive Plan and extend its term to February 19, 2035. As of March 31, 2026, approximately 1,299,355 shares were authorized and available for issuance.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Stock Repurchase Program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31, 2024, our Board authorized a stock repurchase program for the purchase from time to time of up to $200,000 of the Company’s common stock after the previous stock repurchase program was fully utilized.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predetermined terms at times when the Company might otherwise be prevented from purchasing under insider trading laws or because of self-imposed blackout periods. The program does not require the Company to purchase any specific number of shares and may be modified, suspended, reinstated, or terminated at any time at the Company’s discretion and without notice. We repurchased 4,112 shares of common stock during both the three and six months ended March 31, 2026 in open market transactions at an average price of $418.31. We repurchased 118,314 and 139,362 shares of our common stock during the three and six months ended March 31, 2025 in open market transactions at an average price of $172.80 and $178.40 per share,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Treasury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March 31, 2026, we issued 121,139 shares of common stock from treasury stock to employees and repurchased 47,603 shares of common stock from our employees to satisfy statutory tax withholding requirements upon the vesting of certain phantom stock units under the Equity Incentive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March 31, 2025, we issued 94,752 shares of common stock from treasury stock to employees and repurchased 38,744 shares of common stock from our employees to satisfy statutory tax withholding requirements upon the vesting of certain phantom stock units under the Equity Incentive Plan.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Director Stock Compensation</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Members of our Board of Directors receive a portion of their overall compensation as either grants of common stock or as Director phantom stock units (“Director PSUs”). The Director PSUs are contractual rights to receive one share of the Company's common stock and are paid via unrestricted stock grants to each director upon their departure from the Board of Directors, or upon a change in control. We record compensation expense for the full value of the grant on the date of grant.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Employee Phantom Stock Units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An employee phantom stock unit (an “Employee PSU”) is a contractual right to receive one share of the Company’s common stock. Depending on the terms of each grant, Employee PSUs may vest upon the achievement of certain specified performance objectives and continued performance of services, or may vest based on continued performance of services through the vesting date. </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summary of Employee PSU activity for the six months ended March 31, 2026 is provided in the table below:</w:t>
      </w:r>
    </w:p>
    <w:tbl>
      <w:tblPr>
        <w:tblW w:w="3799" w:type="dxa"/>
        <w:jc w:val="center"/>
        <w:tblInd w:w="0" w:type="dxa"/>
        <w:tblLayout w:type="fixed"/>
        <w:tblCellMar>
          <w:top w:w="28" w:type="dxa"/>
          <w:left w:w="28" w:type="dxa"/>
          <w:bottom w:w="28" w:type="dxa"/>
          <w:right w:w="28" w:type="dxa"/>
        </w:tblCellMar>
      </w:tblPr>
      <w:tblGrid>
        <w:gridCol w:w="993"/>
        <w:gridCol w:w="875"/>
        <w:gridCol w:w="877"/>
        <w:gridCol w:w="449"/>
        <w:gridCol w:w="451"/>
        <w:gridCol w:w="154"/>
      </w:tblGrid>
      <w:tr>
        <w:trPr/>
        <w:tc>
          <w:tcPr>
            <w:tcW w:w="99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September 30, 2025</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March 31, 2026</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198,859 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 summary of the compensation expense related to our stock awards recognized during the three and six months ended March 31, 2026 and 2025 is provided in the table below:</w:t>
      </w:r>
    </w:p>
    <w:tbl>
      <w:tblPr>
        <w:tblW w:w="8093" w:type="dxa"/>
        <w:jc w:val="center"/>
        <w:tblInd w:w="0" w:type="dxa"/>
        <w:tblLayout w:type="fixed"/>
        <w:tblCellMar>
          <w:top w:w="28" w:type="dxa"/>
          <w:left w:w="28" w:type="dxa"/>
          <w:bottom w:w="28" w:type="dxa"/>
          <w:right w:w="28" w:type="dxa"/>
        </w:tblCellMar>
      </w:tblPr>
      <w:tblGrid>
        <w:gridCol w:w="924"/>
        <w:gridCol w:w="810"/>
        <w:gridCol w:w="815"/>
        <w:gridCol w:w="257"/>
        <w:gridCol w:w="752"/>
        <w:gridCol w:w="133"/>
        <w:gridCol w:w="133"/>
        <w:gridCol w:w="133"/>
        <w:gridCol w:w="133"/>
        <w:gridCol w:w="257"/>
        <w:gridCol w:w="752"/>
        <w:gridCol w:w="133"/>
        <w:gridCol w:w="109"/>
        <w:gridCol w:w="109"/>
        <w:gridCol w:w="109"/>
        <w:gridCol w:w="238"/>
        <w:gridCol w:w="696"/>
        <w:gridCol w:w="123"/>
        <w:gridCol w:w="123"/>
        <w:gridCol w:w="123"/>
        <w:gridCol w:w="123"/>
        <w:gridCol w:w="238"/>
        <w:gridCol w:w="696"/>
        <w:gridCol w:w="174"/>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March 31,</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254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PSUs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PSUs</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 common stock grants</w:t>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8.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Investments in Marketable Securities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Investments in marketable equity and debt securities classified as trading securities, which were included in “Marketable securities” in our Condensed Consolidated Balance Sheets, are measured at fair value on a recurring basis and classified within Level 1 of the fair value hierarchy, because we use quoted prices of identical assets in active markets. For more information, refer to Note 9, “Fair Value Measurements.” The balance of our marketable securities was as follows:</w:t>
      </w:r>
    </w:p>
    <w:tbl>
      <w:tblPr>
        <w:tblW w:w="5921" w:type="dxa"/>
        <w:jc w:val="center"/>
        <w:tblInd w:w="0" w:type="dxa"/>
        <w:tblLayout w:type="fixed"/>
        <w:tblCellMar>
          <w:top w:w="28" w:type="dxa"/>
          <w:left w:w="28" w:type="dxa"/>
          <w:bottom w:w="28" w:type="dxa"/>
          <w:right w:w="28" w:type="dxa"/>
        </w:tblCellMar>
      </w:tblPr>
      <w:tblGrid>
        <w:gridCol w:w="881"/>
        <w:gridCol w:w="772"/>
        <w:gridCol w:w="777"/>
        <w:gridCol w:w="257"/>
        <w:gridCol w:w="1006"/>
        <w:gridCol w:w="132"/>
        <w:gridCol w:w="109"/>
        <w:gridCol w:w="109"/>
        <w:gridCol w:w="109"/>
        <w:gridCol w:w="313"/>
        <w:gridCol w:w="1228"/>
        <w:gridCol w:w="228"/>
      </w:tblGrid>
      <w:tr>
        <w:trPr/>
        <w:tc>
          <w:tcPr>
            <w:tcW w:w="88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equity securities</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213,983 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104,587 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2430"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Gains and losses to measure our investments in marketable equity and debt securities at fair value were included in “Gain on marketable securities” on our Condensed Consolidated Statements of Comprehensive Income. Our unrealized net gains (losses), which are calculated as total net gains (losses) recognized during the period less net gains (losses) recognized on securities sold during the period, were as follows:</w:t>
      </w:r>
    </w:p>
    <w:tbl>
      <w:tblPr>
        <w:tblW w:w="9531" w:type="dxa"/>
        <w:jc w:val="center"/>
        <w:tblInd w:w="0" w:type="dxa"/>
        <w:tblLayout w:type="fixed"/>
        <w:tblCellMar>
          <w:top w:w="28" w:type="dxa"/>
          <w:left w:w="28" w:type="dxa"/>
          <w:bottom w:w="28" w:type="dxa"/>
          <w:right w:w="28" w:type="dxa"/>
        </w:tblCellMar>
      </w:tblPr>
      <w:tblGrid>
        <w:gridCol w:w="1446"/>
        <w:gridCol w:w="1270"/>
        <w:gridCol w:w="1274"/>
        <w:gridCol w:w="245"/>
        <w:gridCol w:w="840"/>
        <w:gridCol w:w="127"/>
        <w:gridCol w:w="127"/>
        <w:gridCol w:w="127"/>
        <w:gridCol w:w="127"/>
        <w:gridCol w:w="245"/>
        <w:gridCol w:w="718"/>
        <w:gridCol w:w="127"/>
        <w:gridCol w:w="109"/>
        <w:gridCol w:w="109"/>
        <w:gridCol w:w="109"/>
        <w:gridCol w:w="227"/>
        <w:gridCol w:w="778"/>
        <w:gridCol w:w="117"/>
        <w:gridCol w:w="117"/>
        <w:gridCol w:w="117"/>
        <w:gridCol w:w="117"/>
        <w:gridCol w:w="227"/>
        <w:gridCol w:w="665"/>
        <w:gridCol w:w="166"/>
      </w:tblGrid>
      <w:tr>
        <w:trPr/>
        <w:tc>
          <w:tcPr>
            <w:tcW w:w="1446"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March 31,</w:t>
            </w:r>
          </w:p>
        </w:tc>
      </w:tr>
      <w:tr>
        <w:trPr/>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marketable equity securities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 on marketable debt securities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unrealized gain on marketable securities</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17,706 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5,481 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7,829 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Equity Method Investments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December 2, 2024, we paid $44,900 to acquire a 12.5% membership interest in Jett Texas Company LLC (“Jett”), an investment company, as part of the financing of Jett's investment in the CB&amp;I storage solutions business, a designer and builder of storage facilities, tanks and terminals for energy and industrial markets, formerly owned by McDermott International, Ltd. Our investment, which is included in “Investments” on our Condensed Consolidated Balance Sheets, is measured using the equity method of accounting, wherein the carrying value of our investment is initially recorded at cost basis and subsequently adjusted for our proportionate share of earnings or losses, additional investments, and distributions. We recorded no earnings on our investment in Jett in the three months ended March 31, 2026 and $4,226 in the six months ended March 31, 2026 and the carrying value of our investment in Jett was $63,888 at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9. FAIR VALUE MEASUREMENTS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Fair Value Measurement Accounting</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is considered the price to sell an asset, or transfer a liability, between market participants on the measurement date. Fair value measurements assume that (1) the asset or liability is exchanged in an orderly manner, (2) the exchange is in the principal market for that asset or liability, and (3) the market participants are independent, knowledgeable, and able and willing to transact an exchange. Fair value accounting and reporting establishes a framework for measuring fair value by creating a hierarchy for observable independent market inputs and unobservable market assumptions and expands disclosures about fair value measurements. Judgment is required to interpret the market data used to develop fair value estimates. As such, the estimates presented herein are not necessarily indicative of the amounts that could be realized in a current exchange. The use of different market assumptions and/or estimation methods could have a material effect on the estimated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carrying values of cash and cash equivalents, restricted cash, accounts receivable, accounts payable and contract assets and liabilities approximate fair values due to their short-term nature. The carrying value of borrowings under our revolving credit facility approximates fair value as its effective interest rate is variable and approximates market rates.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At March 31, 2026 and September 30, 2025, financial assets and liabilities measured at fair value on a recurring basis were limited to investments in marketable equity securities classified as trading securities, our executive savings plan, under which certain employees are permitted to defer a portion of their base salary and/or bonus for a Plan Year (as defined in the plan), and contingent consideration liabilities related to certain of our acquisitions.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Financial assets (liabilities) measured at fair value on a recurring basis as of March 31, 2026 and September 30, 2025, are summarized in the following tables by the type of inputs applicable to the fair value measurements:</w:t>
      </w:r>
    </w:p>
    <w:tbl>
      <w:tblPr>
        <w:tblW w:w="10205" w:type="dxa"/>
        <w:jc w:val="center"/>
        <w:tblInd w:w="0" w:type="dxa"/>
        <w:tblLayout w:type="fixed"/>
        <w:tblCellMar>
          <w:top w:w="28" w:type="dxa"/>
          <w:left w:w="28" w:type="dxa"/>
          <w:bottom w:w="28" w:type="dxa"/>
          <w:right w:w="28" w:type="dxa"/>
        </w:tblCellMar>
      </w:tblPr>
      <w:tblGrid>
        <w:gridCol w:w="933"/>
        <w:gridCol w:w="724"/>
        <w:gridCol w:w="728"/>
        <w:gridCol w:w="109"/>
        <w:gridCol w:w="109"/>
        <w:gridCol w:w="109"/>
        <w:gridCol w:w="109"/>
        <w:gridCol w:w="109"/>
        <w:gridCol w:w="109"/>
        <w:gridCol w:w="474"/>
        <w:gridCol w:w="435"/>
        <w:gridCol w:w="388"/>
        <w:gridCol w:w="109"/>
        <w:gridCol w:w="109"/>
        <w:gridCol w:w="109"/>
        <w:gridCol w:w="109"/>
        <w:gridCol w:w="109"/>
        <w:gridCol w:w="109"/>
        <w:gridCol w:w="644"/>
        <w:gridCol w:w="533"/>
        <w:gridCol w:w="536"/>
        <w:gridCol w:w="109"/>
        <w:gridCol w:w="109"/>
        <w:gridCol w:w="109"/>
        <w:gridCol w:w="109"/>
        <w:gridCol w:w="109"/>
        <w:gridCol w:w="109"/>
        <w:gridCol w:w="831"/>
        <w:gridCol w:w="831"/>
        <w:gridCol w:w="1186"/>
      </w:tblGrid>
      <w:tr>
        <w:trPr/>
        <w:tc>
          <w:tcPr>
            <w:tcW w:w="93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Quoted Prices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 Unobservable Inputs (Level 3)</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213,983 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213,983 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1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savings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savings plan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211,743 </w:t>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214,114 </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33"/>
        <w:gridCol w:w="724"/>
        <w:gridCol w:w="728"/>
        <w:gridCol w:w="109"/>
        <w:gridCol w:w="109"/>
        <w:gridCol w:w="109"/>
        <w:gridCol w:w="109"/>
        <w:gridCol w:w="109"/>
        <w:gridCol w:w="109"/>
        <w:gridCol w:w="474"/>
        <w:gridCol w:w="435"/>
        <w:gridCol w:w="388"/>
        <w:gridCol w:w="109"/>
        <w:gridCol w:w="109"/>
        <w:gridCol w:w="109"/>
        <w:gridCol w:w="109"/>
        <w:gridCol w:w="109"/>
        <w:gridCol w:w="109"/>
        <w:gridCol w:w="644"/>
        <w:gridCol w:w="533"/>
        <w:gridCol w:w="536"/>
        <w:gridCol w:w="109"/>
        <w:gridCol w:w="109"/>
        <w:gridCol w:w="109"/>
        <w:gridCol w:w="109"/>
        <w:gridCol w:w="109"/>
        <w:gridCol w:w="109"/>
        <w:gridCol w:w="831"/>
        <w:gridCol w:w="831"/>
        <w:gridCol w:w="1186"/>
      </w:tblGrid>
      <w:tr>
        <w:trPr/>
        <w:tc>
          <w:tcPr>
            <w:tcW w:w="93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Quoted Prices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Significant Unobservable Inputs (Level 3)</w:t>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104,587 </w:t>
            </w:r>
          </w:p>
        </w:tc>
        <w:tc>
          <w:tcPr>
            <w:tcW w:w="3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104,587 </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savings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savings plan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w:t>
            </w:r>
          </w:p>
        </w:tc>
        <w:tc>
          <w:tcPr>
            <w:tcW w:w="3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w:t>
            </w:r>
          </w:p>
        </w:tc>
        <w:tc>
          <w:tcPr>
            <w:tcW w:w="5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48" w:type="dxa"/>
            <w:gridSpan w:val="3"/>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102,610 </w:t>
            </w:r>
          </w:p>
        </w:tc>
        <w:tc>
          <w:tcPr>
            <w:tcW w:w="3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104,723 </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w:t>
            </w:r>
          </w:p>
        </w:tc>
        <w:tc>
          <w:tcPr>
            <w:tcW w:w="1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On April 1, 2024, we entered into a contingent consideration arrangement in connection with the acquisition of Greiner Industries, Inc. The fair value of this liability, which is included in "Accounts payable and accrued expenses" in our Condensed Consolidated Balance Sheets, is measured on a recurring basis classified within Level 3 of the fair value hierarchy. Net adjustments to fair value of such liabilities are included in Contingent consideration in our Condensed Consolidated Statements of Comprehensive Income.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change in fair value of liabilities measured using significant unobservable inputs (Level 3).</w:t>
      </w:r>
    </w:p>
    <w:tbl>
      <w:tblPr>
        <w:tblW w:w="9105" w:type="dxa"/>
        <w:jc w:val="center"/>
        <w:tblInd w:w="0" w:type="dxa"/>
        <w:tblLayout w:type="fixed"/>
        <w:tblCellMar>
          <w:top w:w="28" w:type="dxa"/>
          <w:left w:w="28" w:type="dxa"/>
          <w:bottom w:w="28" w:type="dxa"/>
          <w:right w:w="28" w:type="dxa"/>
        </w:tblCellMar>
      </w:tblPr>
      <w:tblGrid>
        <w:gridCol w:w="2072"/>
        <w:gridCol w:w="1826"/>
        <w:gridCol w:w="1832"/>
        <w:gridCol w:w="109"/>
        <w:gridCol w:w="109"/>
        <w:gridCol w:w="109"/>
        <w:gridCol w:w="640"/>
        <w:gridCol w:w="1919"/>
        <w:gridCol w:w="335"/>
        <w:gridCol w:w="154"/>
      </w:tblGrid>
      <w:tr>
        <w:trPr/>
        <w:tc>
          <w:tcPr>
            <w:tcW w:w="2072"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Contingent consideration liability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adjustments to fair value included in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9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w:t>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10. INVENTORY</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Inventories consist of the following components:</w:t>
      </w:r>
    </w:p>
    <w:tbl>
      <w:tblPr>
        <w:tblW w:w="5071" w:type="dxa"/>
        <w:jc w:val="center"/>
        <w:tblInd w:w="0" w:type="dxa"/>
        <w:tblLayout w:type="fixed"/>
        <w:tblCellMar>
          <w:top w:w="28" w:type="dxa"/>
          <w:left w:w="28" w:type="dxa"/>
          <w:bottom w:w="28" w:type="dxa"/>
          <w:right w:w="28" w:type="dxa"/>
        </w:tblCellMar>
      </w:tblPr>
      <w:tblGrid>
        <w:gridCol w:w="291"/>
        <w:gridCol w:w="255"/>
        <w:gridCol w:w="255"/>
        <w:gridCol w:w="255"/>
        <w:gridCol w:w="255"/>
        <w:gridCol w:w="262"/>
        <w:gridCol w:w="155"/>
        <w:gridCol w:w="155"/>
        <w:gridCol w:w="155"/>
        <w:gridCol w:w="412"/>
        <w:gridCol w:w="414"/>
        <w:gridCol w:w="155"/>
        <w:gridCol w:w="109"/>
        <w:gridCol w:w="109"/>
        <w:gridCol w:w="109"/>
        <w:gridCol w:w="202"/>
        <w:gridCol w:w="202"/>
        <w:gridCol w:w="202"/>
        <w:gridCol w:w="412"/>
        <w:gridCol w:w="414"/>
        <w:gridCol w:w="293"/>
      </w:tblGrid>
      <w:tr>
        <w:trPr/>
        <w:tc>
          <w:tcPr>
            <w:tcW w:w="29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57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4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30,231 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10,546 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8,158 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Parts and supplies</w:t>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62,601 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46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126,679 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111,536 </w:t>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11. GOODWILL AND INTANGIBLE ASSETS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summarizes the changes in the carrying value of goodwill by segment during the six months ended March 31, 2026:</w:t>
      </w:r>
    </w:p>
    <w:tbl>
      <w:tblPr>
        <w:tblW w:w="10205" w:type="dxa"/>
        <w:jc w:val="center"/>
        <w:tblInd w:w="0" w:type="dxa"/>
        <w:tblLayout w:type="fixed"/>
        <w:tblCellMar>
          <w:top w:w="28" w:type="dxa"/>
          <w:left w:w="28" w:type="dxa"/>
          <w:bottom w:w="28" w:type="dxa"/>
          <w:right w:w="28" w:type="dxa"/>
        </w:tblCellMar>
      </w:tblPr>
      <w:tblGrid>
        <w:gridCol w:w="720"/>
        <w:gridCol w:w="541"/>
        <w:gridCol w:w="542"/>
        <w:gridCol w:w="109"/>
        <w:gridCol w:w="109"/>
        <w:gridCol w:w="109"/>
        <w:gridCol w:w="304"/>
        <w:gridCol w:w="1039"/>
        <w:gridCol w:w="158"/>
        <w:gridCol w:w="109"/>
        <w:gridCol w:w="109"/>
        <w:gridCol w:w="109"/>
        <w:gridCol w:w="211"/>
        <w:gridCol w:w="721"/>
        <w:gridCol w:w="109"/>
        <w:gridCol w:w="109"/>
        <w:gridCol w:w="109"/>
        <w:gridCol w:w="109"/>
        <w:gridCol w:w="307"/>
        <w:gridCol w:w="1053"/>
        <w:gridCol w:w="160"/>
        <w:gridCol w:w="109"/>
        <w:gridCol w:w="109"/>
        <w:gridCol w:w="109"/>
        <w:gridCol w:w="438"/>
        <w:gridCol w:w="844"/>
        <w:gridCol w:w="228"/>
        <w:gridCol w:w="109"/>
        <w:gridCol w:w="109"/>
        <w:gridCol w:w="109"/>
        <w:gridCol w:w="211"/>
        <w:gridCol w:w="826"/>
        <w:gridCol w:w="158"/>
      </w:tblGrid>
      <w:tr>
        <w:trPr/>
        <w:tc>
          <w:tcPr>
            <w:tcW w:w="72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Infrastructure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w:t>
            </w:r>
          </w:p>
        </w:tc>
      </w:tr>
      <w:tr>
        <w:trPr/>
        <w:tc>
          <w:tcPr>
            <w:tcW w:w="1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at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44,124 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107,830 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6"/>
              </w:rPr>
            </w:pPr>
            <w:r>
              <w:rPr>
                <w:rFonts w:ascii="Times New Roman;serif" w:hAnsi="Times New Roman;serif"/>
                <w:b w:val="false"/>
                <w:color w:val="000000"/>
                <w:sz w:val="16"/>
              </w:rPr>
              <w:t>(1)</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12,336 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65,484 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129,190 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8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16"/>
        </w:rPr>
      </w:pPr>
      <w:r>
        <w:rPr>
          <w:rFonts w:ascii="Times New Roman;serif" w:hAnsi="Times New Roman;serif"/>
          <w:b w:val="false"/>
          <w:color w:val="000000"/>
          <w:sz w:val="16"/>
        </w:rPr>
        <w:t>(1) On January 16, 2026, the Company acquired all of the outstanding common stock of Gulf Island Fabrication, Inc. for a purchase price of $152,042, net of cash acquired. The valuation of goodwill is preliminary as of the date of this report, and is subject to change.</w:t>
      </w:r>
    </w:p>
    <w:p>
      <w:pPr>
        <w:pStyle w:val="TextBody"/>
        <w:bidi w:val="0"/>
        <w:spacing w:before="0" w:after="60"/>
        <w:jc w:val="left"/>
        <w:rPr/>
      </w:pPr>
      <w:r>
        <w:rPr/>
      </w:r>
    </w:p>
    <w:p>
      <w:pPr>
        <w:pStyle w:val="TextBody"/>
        <w:bidi w:val="0"/>
        <w:spacing w:lineRule="auto" w:line="256" w:before="0" w:after="0"/>
        <w:jc w:val="both"/>
        <w:rPr>
          <w:rFonts w:ascii="Times New Roman;serif" w:hAnsi="Times New Roman;serif"/>
          <w:b w:val="false"/>
          <w:i/>
          <w:color w:val="000000"/>
          <w:sz w:val="20"/>
        </w:rPr>
      </w:pPr>
      <w:r>
        <w:rPr>
          <w:rFonts w:ascii="Times New Roman;serif" w:hAnsi="Times New Roman;serif"/>
          <w:b w:val="false"/>
          <w:i/>
          <w:color w:val="000000"/>
          <w:sz w:val="20"/>
        </w:rPr>
        <w:t>Intangible Assets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 consist of the following:</w:t>
      </w:r>
    </w:p>
    <w:tbl>
      <w:tblPr>
        <w:tblW w:w="10205" w:type="dxa"/>
        <w:jc w:val="left"/>
        <w:tblInd w:w="0" w:type="dxa"/>
        <w:tblLayout w:type="fixed"/>
        <w:tblCellMar>
          <w:top w:w="28" w:type="dxa"/>
          <w:left w:w="28" w:type="dxa"/>
          <w:bottom w:w="28" w:type="dxa"/>
          <w:right w:w="28" w:type="dxa"/>
        </w:tblCellMar>
      </w:tblPr>
      <w:tblGrid>
        <w:gridCol w:w="448"/>
        <w:gridCol w:w="395"/>
        <w:gridCol w:w="333"/>
        <w:gridCol w:w="298"/>
        <w:gridCol w:w="298"/>
        <w:gridCol w:w="302"/>
        <w:gridCol w:w="109"/>
        <w:gridCol w:w="109"/>
        <w:gridCol w:w="109"/>
        <w:gridCol w:w="185"/>
        <w:gridCol w:w="185"/>
        <w:gridCol w:w="185"/>
        <w:gridCol w:w="185"/>
        <w:gridCol w:w="185"/>
        <w:gridCol w:w="185"/>
        <w:gridCol w:w="185"/>
        <w:gridCol w:w="185"/>
        <w:gridCol w:w="185"/>
        <w:gridCol w:w="109"/>
        <w:gridCol w:w="109"/>
        <w:gridCol w:w="109"/>
        <w:gridCol w:w="109"/>
        <w:gridCol w:w="109"/>
        <w:gridCol w:w="109"/>
        <w:gridCol w:w="272"/>
        <w:gridCol w:w="1065"/>
        <w:gridCol w:w="140"/>
        <w:gridCol w:w="109"/>
        <w:gridCol w:w="109"/>
        <w:gridCol w:w="109"/>
        <w:gridCol w:w="109"/>
        <w:gridCol w:w="109"/>
        <w:gridCol w:w="109"/>
        <w:gridCol w:w="320"/>
        <w:gridCol w:w="1121"/>
        <w:gridCol w:w="168"/>
        <w:gridCol w:w="109"/>
        <w:gridCol w:w="109"/>
        <w:gridCol w:w="109"/>
        <w:gridCol w:w="109"/>
        <w:gridCol w:w="109"/>
        <w:gridCol w:w="109"/>
        <w:gridCol w:w="211"/>
        <w:gridCol w:w="721"/>
        <w:gridCol w:w="159"/>
      </w:tblGrid>
      <w:tr>
        <w:trPr/>
        <w:tc>
          <w:tcPr>
            <w:tcW w:w="44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7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Estimated Useful Lives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r>
      <w:tr>
        <w:trPr/>
        <w:tc>
          <w:tcPr>
            <w:tcW w:w="207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r>
          </w:p>
        </w:tc>
      </w:tr>
      <w:tr>
        <w:trPr/>
        <w:tc>
          <w:tcPr>
            <w:tcW w:w="207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5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(9,653)</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Technical library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117,892 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(72,193)</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45,699 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Non-competition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 and construction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141,578 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(83,132)</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58,446 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48"/>
        <w:gridCol w:w="395"/>
        <w:gridCol w:w="333"/>
        <w:gridCol w:w="298"/>
        <w:gridCol w:w="298"/>
        <w:gridCol w:w="302"/>
        <w:gridCol w:w="109"/>
        <w:gridCol w:w="109"/>
        <w:gridCol w:w="109"/>
        <w:gridCol w:w="185"/>
        <w:gridCol w:w="185"/>
        <w:gridCol w:w="185"/>
        <w:gridCol w:w="185"/>
        <w:gridCol w:w="185"/>
        <w:gridCol w:w="185"/>
        <w:gridCol w:w="185"/>
        <w:gridCol w:w="185"/>
        <w:gridCol w:w="185"/>
        <w:gridCol w:w="109"/>
        <w:gridCol w:w="109"/>
        <w:gridCol w:w="109"/>
        <w:gridCol w:w="109"/>
        <w:gridCol w:w="109"/>
        <w:gridCol w:w="109"/>
        <w:gridCol w:w="272"/>
        <w:gridCol w:w="1065"/>
        <w:gridCol w:w="140"/>
        <w:gridCol w:w="109"/>
        <w:gridCol w:w="109"/>
        <w:gridCol w:w="109"/>
        <w:gridCol w:w="109"/>
        <w:gridCol w:w="109"/>
        <w:gridCol w:w="109"/>
        <w:gridCol w:w="320"/>
        <w:gridCol w:w="1121"/>
        <w:gridCol w:w="168"/>
        <w:gridCol w:w="109"/>
        <w:gridCol w:w="109"/>
        <w:gridCol w:w="109"/>
        <w:gridCol w:w="109"/>
        <w:gridCol w:w="109"/>
        <w:gridCol w:w="109"/>
        <w:gridCol w:w="211"/>
        <w:gridCol w:w="721"/>
        <w:gridCol w:w="159"/>
      </w:tblGrid>
      <w:tr>
        <w:trPr/>
        <w:tc>
          <w:tcPr>
            <w:tcW w:w="44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Estimated Useful Lives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12"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r>
      <w:tr>
        <w:trPr/>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Net</w:t>
            </w:r>
          </w:p>
        </w:tc>
      </w:tr>
      <w:tr>
        <w:trPr/>
        <w:tc>
          <w:tcPr>
            <w:tcW w:w="207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5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(8,549)</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Technical library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98,372 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(66,024)</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32,348 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Non-competition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 and construction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117,168 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(75,523)</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41,645 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Legal Matters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are a party to various claims, lawsuits and other legal proceedings that arise in the ordinary course of business. We maintain various insurance coverages to minimize financial risk associated with these proceedings. None of these proceedings, separately or in the aggregate, are expected to have a material adverse effect on our financial position, results of operations or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flows. With respect to all such proceedings, we record reserves when it is probable that a liability has been incurred and the amount of loss can be reasonably estimated. We expense routine legal costs related to these proceedings as they are incurred.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the course of performing work as a subcontractor, from time to time we may be involved in projects which are the subject of contractual disputes between the general contractor and project owner, or between us and the general contractor. In such cases, payment of amounts owed to us by the general contractor may be delayed as contractual disputes are resolved through mediation, arbitration, or litigation. Such disputes may cause us to incur legal fees and other expenses to enforce our contractual rights, and we may not prevail in recovering all amounts to which we believe we are contractually entitled.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Risk Management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retain the risk for workers’ compensation, employer’s liability, automobile liability, construction defects, general liability and employee group health claims, as well as pollution coverage, resulting from uninsured deductibles per accident or occurrence which are generally subject to annual aggregate limits. Our general liability program provides coverage for bodily injury and property damage. In many cases, we insure third parties, including general contractors, as additional insured parties under our insurance policies. Losses are accrued based upon our known claims incurred and an estimate of claims incurred but not reported. As a result, many of our claims are effectively self-insured. Many claims against our insurance are in the form of litigation. At March 31, 2026 and September 30, 2025, we had $13,544 and $12,131, respectively, accrued for self-insurance liabilities. Because the reserves are based on judgment and estimates and involve variables that are inherently uncertain, such as the outcome of litigation and an assessment of insurance coverage, there can be no assurance that the ultimate liability will not be higher or lower than such estimates. </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Some of the underwriters of our casualty insurance program require us to post letters of credit as collateral. This is common in the insurance industry. To date, we have not had a situation where an underwriter has had reasonable cause to effect payment under a letter of credit. At March 31, 2026 and September 30, 2025, $11,335 and $5,545, respectively, of our outstanding letters of credit was utilized to collateralize our insurance program.</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Surety</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March 31, 2026, the estimated cost to complete our bonded projects was approximately $312,385. We evaluate our bonding requirements on a regular basis, including the terms offered by our sureties. We believe the bonding capacity presently provided by our current sureties is adequate for our current operations and will be adequate for our operations for the foreseeable future.</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Some of our customers and vendors require us to post letters of credit, or provide intercompany guarantees, as a means of guaranteeing performance under our contracts and ensuring payment by us to subcontractors and vendors. If our customer has reasonable cause to effect payment under a letter of credit, we would be required to reimburse our creditor for the letter of credit. </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March 31, 2026, we had firm commitments of $15,773 outstanding under agreements to purchase materials over the next 12 months in the ordinary course of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13. BUSINESS COMBINATIONS AND DIVESTITURES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Business combinations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January 16, 2026, the Company acquired 100% of the common stock of Gulf Island Fabrication, Inc. (“Gulf Island”), a steel fabricator and service provider for the industrial, energy and government sectors, for a purchase price of $152,042, net of cash acquired. Gulf Island is a part of our Infrastructure Solutions segment and continues to operate under the Gulf Island name. The acquisition of Gulf Island expands our fabrication capabilities and our presence in the energy and other markets, and will add capacity for IES's custom engineered solutions. The following table provides a summary of the total allocable purchase price for the acquisition of Gulf Island:</w:t>
      </w:r>
    </w:p>
    <w:p>
      <w:pPr>
        <w:pStyle w:val="TextBody"/>
        <w:bidi w:val="0"/>
        <w:spacing w:before="0" w:after="0"/>
        <w:jc w:val="left"/>
        <w:rPr/>
      </w:pPr>
      <w:r>
        <w:rPr/>
      </w:r>
    </w:p>
    <w:tbl>
      <w:tblPr>
        <w:tblW w:w="6655" w:type="dxa"/>
        <w:jc w:val="center"/>
        <w:tblInd w:w="0" w:type="dxa"/>
        <w:tblLayout w:type="fixed"/>
        <w:tblCellMar>
          <w:top w:w="28" w:type="dxa"/>
          <w:left w:w="28" w:type="dxa"/>
          <w:bottom w:w="28" w:type="dxa"/>
          <w:right w:w="28" w:type="dxa"/>
        </w:tblCellMar>
      </w:tblPr>
      <w:tblGrid>
        <w:gridCol w:w="1542"/>
        <w:gridCol w:w="1355"/>
        <w:gridCol w:w="1362"/>
        <w:gridCol w:w="109"/>
        <w:gridCol w:w="109"/>
        <w:gridCol w:w="109"/>
        <w:gridCol w:w="605"/>
        <w:gridCol w:w="605"/>
        <w:gridCol w:w="859"/>
      </w:tblGrid>
      <w:tr>
        <w:trPr/>
        <w:tc>
          <w:tcPr>
            <w:tcW w:w="154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Purchase Consideration</w:t>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consideration,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143,108 </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stock-based compensation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2,143 </w:t>
            </w:r>
          </w:p>
        </w:tc>
        <w:tc>
          <w:tcPr>
            <w:tcW w:w="8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previously held interest in Gulf Island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6,791 </w:t>
            </w:r>
          </w:p>
        </w:tc>
        <w:tc>
          <w:tcPr>
            <w:tcW w:w="8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allocable purchase price</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152,042 </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remeasured our previously held interest in Gulf Island to its fair value of $6,791 and realized a remeasurement gain of $2,818, representing the difference between the carrying value of that interest at September 30, 2025 and its fair value immediately prior to our acquisition of the remaining outstanding shares. Prior to the acquisition of the remaining outstanding shares of Gulf Island, we accounted for our initial investment as a trading security and recorded a gain or loss in each period to adjust the carrying value of the securities to fair value at each period end. The net impact of the change in value of our previously held interest in Gulf Island, inclusive of the final realized gain, was $17 and $2,818 for the three and six months ended March 31, 2026, and is included in Gain on marketable securities in the Company's Condensed Consolidated Statements of Comprehensive Income.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accounted for the transaction under the acquisition method of accounting, which requires recording assets and liabilities at fair value (Level 3). The preliminary purchase price allocation is subject to valuation activities that are currently underway; therefore, the allocation of purchase price is subject to change, and is expected to result in adjustments to the preliminary amounts recorded. The preliminary valuation of the assets acquired and liabilities assumed is as follows:</w:t>
      </w:r>
    </w:p>
    <w:p>
      <w:pPr>
        <w:pStyle w:val="TextBody"/>
        <w:bidi w:val="0"/>
        <w:spacing w:before="0" w:after="0"/>
        <w:jc w:val="left"/>
        <w:rPr/>
      </w:pPr>
      <w:r>
        <w:rPr/>
      </w:r>
    </w:p>
    <w:tbl>
      <w:tblPr>
        <w:tblW w:w="4247" w:type="dxa"/>
        <w:jc w:val="center"/>
        <w:tblInd w:w="0" w:type="dxa"/>
        <w:tblLayout w:type="fixed"/>
        <w:tblCellMar>
          <w:top w:w="28" w:type="dxa"/>
          <w:left w:w="28" w:type="dxa"/>
          <w:bottom w:w="28" w:type="dxa"/>
          <w:right w:w="28" w:type="dxa"/>
        </w:tblCellMar>
      </w:tblPr>
      <w:tblGrid>
        <w:gridCol w:w="1063"/>
        <w:gridCol w:w="932"/>
        <w:gridCol w:w="945"/>
        <w:gridCol w:w="109"/>
        <w:gridCol w:w="109"/>
        <w:gridCol w:w="109"/>
        <w:gridCol w:w="411"/>
        <w:gridCol w:w="415"/>
        <w:gridCol w:w="154"/>
      </w:tblGrid>
      <w:tr>
        <w:trPr/>
        <w:tc>
          <w:tcPr>
            <w:tcW w:w="1063"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 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 trade 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this acquisition, we acquired goodwill of $21,360, of which $3,342 is tax deductible, attributable to an assembled workforce and other intangible assets that do not qualify for separate recognition. The intangible assets acquired primarily consisted of customer relationships and trade name with a weighted-average amortization period of 8.0 years and 4.0 years,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Gulf Island contributed revenue of $37,493 and an operating loss of $1,185 during the three and six months ended March 31,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14. SUPPLEMENTAL CASH FLOW INFORMATION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and noncash activities in the six months ended March 31, 2026 and 2025 were as follows:</w:t>
      </w:r>
    </w:p>
    <w:tbl>
      <w:tblPr>
        <w:tblW w:w="10205" w:type="dxa"/>
        <w:jc w:val="center"/>
        <w:tblInd w:w="0" w:type="dxa"/>
        <w:tblLayout w:type="fixed"/>
        <w:tblCellMar>
          <w:top w:w="28" w:type="dxa"/>
          <w:left w:w="28" w:type="dxa"/>
          <w:bottom w:w="28" w:type="dxa"/>
          <w:right w:w="28" w:type="dxa"/>
        </w:tblCellMar>
      </w:tblPr>
      <w:tblGrid>
        <w:gridCol w:w="576"/>
        <w:gridCol w:w="474"/>
        <w:gridCol w:w="452"/>
        <w:gridCol w:w="912"/>
        <w:gridCol w:w="845"/>
        <w:gridCol w:w="845"/>
        <w:gridCol w:w="845"/>
        <w:gridCol w:w="845"/>
        <w:gridCol w:w="845"/>
        <w:gridCol w:w="342"/>
        <w:gridCol w:w="342"/>
        <w:gridCol w:w="360"/>
        <w:gridCol w:w="216"/>
        <w:gridCol w:w="740"/>
        <w:gridCol w:w="111"/>
        <w:gridCol w:w="111"/>
        <w:gridCol w:w="111"/>
        <w:gridCol w:w="111"/>
        <w:gridCol w:w="216"/>
        <w:gridCol w:w="740"/>
        <w:gridCol w:w="166"/>
      </w:tblGrid>
      <w:tr>
        <w:trPr/>
        <w:tc>
          <w:tcPr>
            <w:tcW w:w="57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March 31,</w:t>
            </w:r>
          </w:p>
        </w:tc>
      </w:tr>
      <w:tr>
        <w:trPr/>
        <w:tc>
          <w:tcPr>
            <w:tcW w:w="1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683"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 OF CASH ACTIVITIES:</w:t>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w:t>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64,197 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3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DISCLOSURE OF NONCASH ACTIVITIES:</w:t>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vAlign w:val="center"/>
          </w:tcPr>
          <w:p>
            <w:pPr>
              <w:pStyle w:val="TableContents"/>
              <w:bidi w:val="0"/>
              <w:spacing w:before="0" w:after="283"/>
              <w:jc w:val="left"/>
              <w:rPr>
                <w:sz w:val="4"/>
                <w:szCs w:val="4"/>
              </w:rPr>
            </w:pPr>
            <w:r>
              <w:rPr>
                <w:sz w:val="4"/>
                <w:szCs w:val="4"/>
              </w:rPr>
            </w:r>
          </w:p>
        </w:tc>
        <w:tc>
          <w:tcPr>
            <w:tcW w:w="2602"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tcPr>
          <w:p>
            <w:pPr>
              <w:pStyle w:val="TableContents"/>
              <w:bidi w:val="0"/>
              <w:spacing w:before="0" w:after="283"/>
              <w:jc w:val="left"/>
              <w:rPr>
                <w:sz w:val="4"/>
                <w:szCs w:val="4"/>
              </w:rPr>
            </w:pPr>
            <w:r>
              <w:rPr>
                <w:sz w:val="4"/>
                <w:szCs w:val="4"/>
              </w:rPr>
            </w:r>
          </w:p>
        </w:tc>
      </w:tr>
      <w:tr>
        <w:trPr/>
        <w:tc>
          <w:tcPr>
            <w:tcW w:w="1502" w:type="dxa"/>
            <w:gridSpan w:val="3"/>
            <w:tcBorders/>
            <w:vAlign w:val="center"/>
          </w:tcPr>
          <w:p>
            <w:pPr>
              <w:pStyle w:val="TableContents"/>
              <w:bidi w:val="0"/>
              <w:spacing w:before="0" w:after="283"/>
              <w:jc w:val="left"/>
              <w:rPr>
                <w:sz w:val="4"/>
                <w:szCs w:val="4"/>
              </w:rPr>
            </w:pPr>
            <w:r>
              <w:rPr>
                <w:sz w:val="4"/>
                <w:szCs w:val="4"/>
              </w:rPr>
            </w:r>
          </w:p>
        </w:tc>
        <w:tc>
          <w:tcPr>
            <w:tcW w:w="2602"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tcPr>
          <w:p>
            <w:pPr>
              <w:pStyle w:val="TableContents"/>
              <w:bidi w:val="0"/>
              <w:spacing w:before="0" w:after="283"/>
              <w:jc w:val="left"/>
              <w:rPr>
                <w:sz w:val="4"/>
                <w:szCs w:val="4"/>
              </w:rPr>
            </w:pPr>
            <w:r>
              <w:rPr>
                <w:sz w:val="4"/>
                <w:szCs w:val="4"/>
              </w:rPr>
            </w:r>
          </w:p>
        </w:tc>
      </w:tr>
      <w:tr>
        <w:trPr/>
        <w:tc>
          <w:tcPr>
            <w:tcW w:w="1502" w:type="dxa"/>
            <w:gridSpan w:val="3"/>
            <w:tcBorders/>
            <w:vAlign w:val="center"/>
          </w:tcPr>
          <w:p>
            <w:pPr>
              <w:pStyle w:val="TableContents"/>
              <w:bidi w:val="0"/>
              <w:spacing w:before="0" w:after="283"/>
              <w:jc w:val="left"/>
              <w:rPr>
                <w:sz w:val="4"/>
                <w:szCs w:val="4"/>
              </w:rPr>
            </w:pPr>
            <w:r>
              <w:rPr>
                <w:sz w:val="4"/>
                <w:szCs w:val="4"/>
              </w:rPr>
            </w:r>
          </w:p>
        </w:tc>
        <w:tc>
          <w:tcPr>
            <w:tcW w:w="2602"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tcPr>
          <w:p>
            <w:pPr>
              <w:pStyle w:val="TableContents"/>
              <w:bidi w:val="0"/>
              <w:spacing w:before="0" w:after="283"/>
              <w:jc w:val="left"/>
              <w:rPr>
                <w:sz w:val="4"/>
                <w:szCs w:val="4"/>
              </w:rPr>
            </w:pPr>
            <w:r>
              <w:rPr>
                <w:sz w:val="4"/>
                <w:szCs w:val="4"/>
              </w:rPr>
            </w:r>
          </w:p>
        </w:tc>
      </w:tr>
      <w:tr>
        <w:trPr/>
        <w:tc>
          <w:tcPr>
            <w:tcW w:w="1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finance lease liabilities</w:t>
            </w:r>
          </w:p>
        </w:tc>
        <w:tc>
          <w:tcPr>
            <w:tcW w:w="10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2" w:type="dxa"/>
            <w:gridSpan w:val="3"/>
            <w:tcBorders/>
            <w:vAlign w:val="center"/>
          </w:tcPr>
          <w:p>
            <w:pPr>
              <w:pStyle w:val="TableContents"/>
              <w:bidi w:val="0"/>
              <w:spacing w:before="0" w:after="283"/>
              <w:jc w:val="left"/>
              <w:rPr>
                <w:sz w:val="4"/>
                <w:szCs w:val="4"/>
              </w:rPr>
            </w:pPr>
            <w:r>
              <w:rPr>
                <w:sz w:val="4"/>
                <w:szCs w:val="4"/>
              </w:rPr>
            </w:r>
          </w:p>
        </w:tc>
        <w:tc>
          <w:tcPr>
            <w:tcW w:w="2602" w:type="dxa"/>
            <w:gridSpan w:val="3"/>
            <w:tcBorders/>
            <w:vAlign w:val="center"/>
          </w:tcPr>
          <w:p>
            <w:pPr>
              <w:pStyle w:val="TableContents"/>
              <w:bidi w:val="0"/>
              <w:spacing w:before="0" w:after="283"/>
              <w:jc w:val="left"/>
              <w:rPr>
                <w:sz w:val="4"/>
                <w:szCs w:val="4"/>
              </w:rPr>
            </w:pPr>
            <w:r>
              <w:rPr>
                <w:sz w:val="4"/>
                <w:szCs w:val="4"/>
              </w:rPr>
            </w:r>
          </w:p>
        </w:tc>
        <w:tc>
          <w:tcPr>
            <w:tcW w:w="2535"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260"/>
        <w:jc w:val="both"/>
        <w:rPr/>
      </w:pPr>
      <w:r>
        <w:rPr>
          <w:rFonts w:ascii="Times New Roman;serif" w:hAnsi="Times New Roman;serif"/>
          <w:b/>
          <w:color w:val="000000"/>
          <w:sz w:val="20"/>
        </w:rPr>
        <w:t xml:space="preserve">Item 2. </w:t>
      </w:r>
      <w:r>
        <w:rPr>
          <w:rFonts w:ascii="Times New Roman;serif" w:hAnsi="Times New Roman;serif"/>
          <w:b/>
          <w:i/>
          <w:color w:val="000000"/>
          <w:sz w:val="20"/>
        </w:rPr>
        <w:t>Management’s Discussion and Analysis of Financial Condition and Results of Operations</w:t>
      </w:r>
    </w:p>
    <w:p>
      <w:pPr>
        <w:pStyle w:val="TextBody"/>
        <w:bidi w:val="0"/>
        <w:spacing w:before="0" w:after="0"/>
        <w:ind w:left="0" w:right="0" w:hanging="1260"/>
        <w:jc w:val="both"/>
        <w:rPr/>
      </w:pPr>
      <w:r>
        <w:rPr/>
      </w:r>
    </w:p>
    <w:p>
      <w:pPr>
        <w:pStyle w:val="TextBody"/>
        <w:bidi w:val="0"/>
        <w:spacing w:lineRule="auto" w:line="288" w:before="0" w:after="0"/>
        <w:jc w:val="left"/>
        <w:rPr/>
      </w:pPr>
      <w:r>
        <w:rPr>
          <w:rFonts w:ascii="Times New Roman;serif" w:hAnsi="Times New Roman;serif"/>
          <w:b w:val="false"/>
          <w:color w:val="000000"/>
          <w:sz w:val="20"/>
        </w:rPr>
        <w:t xml:space="preserve">The following discussion and analysis should be read in conjunction with our Consolidated Financial Statements and the notes thereto, set forth in Part II, Item 8. </w:t>
      </w:r>
      <w:r>
        <w:rPr>
          <w:color w:val="000000"/>
        </w:rPr>
        <w:t>“</w:t>
      </w:r>
      <w:r>
        <w:rPr>
          <w:rFonts w:ascii="Times New Roman;serif" w:hAnsi="Times New Roman;serif"/>
          <w:b w:val="false"/>
          <w:i/>
          <w:color w:val="000000"/>
          <w:sz w:val="20"/>
        </w:rPr>
        <w:t>Financial Statements and Supplementary Data”</w:t>
      </w:r>
      <w:r>
        <w:rPr>
          <w:color w:val="000000"/>
        </w:rPr>
        <w:t xml:space="preserve"> </w:t>
      </w:r>
      <w:r>
        <w:rPr>
          <w:rFonts w:ascii="Times New Roman;serif" w:hAnsi="Times New Roman;serif"/>
          <w:b w:val="false"/>
          <w:color w:val="000000"/>
          <w:sz w:val="20"/>
        </w:rPr>
        <w:t xml:space="preserve">as set forth in our Annual Report on Form 10-K for the fiscal year ended September 30, 2025, and the Condensed Consolidated Financial Statements and notes thereto included in Part I, Item 1 of this Quarterly Report on Form 10-Q. The following discussion may contain forward looking statements. For additional information, see </w:t>
      </w:r>
      <w:r>
        <w:rPr>
          <w:color w:val="000000"/>
        </w:rPr>
        <w:t>“</w:t>
      </w:r>
      <w:r>
        <w:rPr>
          <w:rFonts w:ascii="Times New Roman;serif" w:hAnsi="Times New Roman;serif"/>
          <w:b w:val="false"/>
          <w:i/>
          <w:color w:val="000000"/>
          <w:sz w:val="20"/>
        </w:rPr>
        <w:t>Disclosure Regarding Forward Looking Statements”</w:t>
      </w:r>
      <w:r>
        <w:rPr>
          <w:color w:val="000000"/>
        </w:rPr>
        <w:t xml:space="preserve"> </w:t>
      </w:r>
      <w:r>
        <w:rPr>
          <w:rFonts w:ascii="Times New Roman;serif" w:hAnsi="Times New Roman;serif"/>
          <w:b w:val="false"/>
          <w:color w:val="000000"/>
          <w:sz w:val="20"/>
        </w:rPr>
        <w:t>in Part I of this Quarterly Report on Form 10-Q.</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Executive Overview</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Please refer to Part I, Item 1.</w:t>
      </w:r>
      <w:r>
        <w:rPr>
          <w:color w:val="000000"/>
        </w:rPr>
        <w:t xml:space="preserve"> “</w:t>
      </w:r>
      <w:r>
        <w:rPr>
          <w:rFonts w:ascii="Times New Roman;serif" w:hAnsi="Times New Roman;serif"/>
          <w:b w:val="false"/>
          <w:i/>
          <w:color w:val="000000"/>
          <w:sz w:val="20"/>
        </w:rPr>
        <w:t xml:space="preserve">Business” </w:t>
      </w:r>
      <w:r>
        <w:rPr>
          <w:rFonts w:ascii="Times New Roman;serif" w:hAnsi="Times New Roman;serif"/>
          <w:b w:val="false"/>
          <w:color w:val="000000"/>
          <w:sz w:val="20"/>
        </w:rPr>
        <w:t>of our Annual Report on Form 10-K for the fiscal year ended September 30, 2025, for a discussion of the Company’s services and corporate strategy. IES Holdings, Inc., a Delaware corporation, designs and installs integrated electrical and technology systems and provides infrastructure products and services to a variety of end markets, including data centers, residential housing, and commercial and industrial facilities. Our operations are organized into four business segments: Communications, Residential, Infrastructure Solutions and Commercial &amp; Industrial.</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Current Market and Operating Conditions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Entering the second half of fiscal 2026, we have significantly expanded our backlog. Demand with respect to data centers, a key end market served by our Communications, Infrastructure Solutions, and Commercial &amp; Industrial segments, has continued to grow. We expect the continuing investments in capacity we have made in recent years, combined with our increased backlog, will drive growth in our business in the second half of the year. Availability of labor remains challenging, and will continue to be an area of focus for us. While demand is strong for much of our business, our operating segments each have their own unique set of factors influencing demand for our services. Housing affordability challenges from elevated mortgage rates and inflation, concerns around the availability and cost of insurance, and the impact of overall economic uncertainty on consumer confidence have persisted from fiscal 2025. The large national and regional home builders continue to put pressure on suppliers such as IES to reduce our pricing, which has continued to impact our revenues and gross margins in our single-family business. In the multi-family residential business, higher borrowing costs for project owners in recent years resulted in a reduction in backlog during fiscal 2025, which we expect to drive a reduction in multi-family residential revenues for fiscal 2026. Multi-family backlog recently has begun to increase, which we expect will benefit us in fiscal 2027.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report our operating results across our four operating segments: Communications, Residential, Infrastructure Solutions, and Commercial &amp; Industrial. Expenses associated with our corporate office are classified separately. The following table presents selected historical results of operations of IES Holdings, Inc., including the results of acquired businesses from the dates acquired.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94"/>
        <w:gridCol w:w="194"/>
        <w:gridCol w:w="194"/>
        <w:gridCol w:w="1210"/>
        <w:gridCol w:w="1178"/>
        <w:gridCol w:w="1142"/>
        <w:gridCol w:w="211"/>
        <w:gridCol w:w="826"/>
        <w:gridCol w:w="109"/>
        <w:gridCol w:w="109"/>
        <w:gridCol w:w="109"/>
        <w:gridCol w:w="109"/>
        <w:gridCol w:w="308"/>
        <w:gridCol w:w="308"/>
        <w:gridCol w:w="109"/>
        <w:gridCol w:w="109"/>
        <w:gridCol w:w="109"/>
        <w:gridCol w:w="109"/>
        <w:gridCol w:w="109"/>
        <w:gridCol w:w="109"/>
        <w:gridCol w:w="109"/>
        <w:gridCol w:w="211"/>
        <w:gridCol w:w="826"/>
        <w:gridCol w:w="109"/>
        <w:gridCol w:w="109"/>
        <w:gridCol w:w="109"/>
        <w:gridCol w:w="109"/>
        <w:gridCol w:w="308"/>
        <w:gridCol w:w="308"/>
        <w:gridCol w:w="109"/>
        <w:gridCol w:w="109"/>
        <w:gridCol w:w="109"/>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4"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Percentage of revenues)</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2" w:type="dxa"/>
            <w:gridSpan w:val="3"/>
            <w:tcBorders/>
            <w:vAlign w:val="center"/>
          </w:tcPr>
          <w:p>
            <w:pPr>
              <w:pStyle w:val="TableContents"/>
              <w:bidi w:val="0"/>
              <w:spacing w:before="0" w:after="283"/>
              <w:jc w:val="left"/>
              <w:rPr>
                <w:sz w:val="4"/>
                <w:szCs w:val="4"/>
              </w:rPr>
            </w:pPr>
            <w:r>
              <w:rPr>
                <w:sz w:val="4"/>
                <w:szCs w:val="4"/>
              </w:rPr>
            </w:r>
          </w:p>
        </w:tc>
        <w:tc>
          <w:tcPr>
            <w:tcW w:w="353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before income taxes and equity method investment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IES Holdings,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revenues for the three months ended March 31, 2026, were $140.3 million higher than for the three months ended March 31, 2025, an increase of 16.8%, with increases at our Communications, Infrastructure Solutions and Commercial &amp; Industrial segments and a decrease at our Residential segment. See further discussion below of changes in revenues for our individual segments.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gross profit for the three months ended March 31, 2026 increased $45.9 million compared to the three months ended March 31, 2025. Our overall gross profit percentage was 26.2% during the three months ended March 31, 2026, as compared to 25.0% during the three months ended March 31, 2025. Gross profit as a percentage of revenue increased at our Communications and Commercial &amp; Industrial and decreased at our Residential and Infrastructure Solutions segments. See further discussion below of changes in gross margin for our individual segments.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include costs not directly associated with performing work for our customers. These costs consist primarily of compensation and benefits related to corporate, segment and branch management (including incentive-based compensation), occupancy and utilities, training, professional services, information technology costs, consulting fees, travel and certain types of depreciation and amortization. We allocate certain corporate selling, general and administrative costs across our segments as we believe this more accurately reflects the costs associated with operating each segment.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180"/>
        <w:jc w:val="left"/>
        <w:rPr/>
      </w:pPr>
      <w:r>
        <w:rPr>
          <w:rFonts w:ascii="Times New Roman;serif" w:hAnsi="Times New Roman;serif"/>
          <w:b w:val="false"/>
          <w:color w:val="000000"/>
          <w:sz w:val="20"/>
        </w:rPr>
        <w:t>During the three mon</w:t>
      </w:r>
      <w:r>
        <w:rPr>
          <w:rFonts w:ascii="Times New Roman;serif" w:hAnsi="Times New Roman;serif"/>
          <w:b w:val="false"/>
          <w:color w:val="000000"/>
          <w:sz w:val="20"/>
          <w:shd w:fill="FFFFFF" w:val="clear"/>
        </w:rPr>
        <w:t>ths ended March 31, 2026, our selling, general and administrative expenses were $142.4 million, an increase of $26.4 million, or 22.7%, over the three months ended March 31, 2025, driven by increased personnel costs across our operating segments to support their growth and increased incentive compensation in connection with higher earnings than in the prior fiscal year. As a percentage of revenue, selling, general and administrative expenses increased from 13.9% for the three months ended March 31, 2025 to 14.6% for the three months ended March 31, 2026.</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40"/>
        <w:gridCol w:w="140"/>
        <w:gridCol w:w="140"/>
        <w:gridCol w:w="1173"/>
        <w:gridCol w:w="1138"/>
        <w:gridCol w:w="1082"/>
        <w:gridCol w:w="211"/>
        <w:gridCol w:w="976"/>
        <w:gridCol w:w="109"/>
        <w:gridCol w:w="109"/>
        <w:gridCol w:w="109"/>
        <w:gridCol w:w="109"/>
        <w:gridCol w:w="308"/>
        <w:gridCol w:w="308"/>
        <w:gridCol w:w="109"/>
        <w:gridCol w:w="109"/>
        <w:gridCol w:w="109"/>
        <w:gridCol w:w="109"/>
        <w:gridCol w:w="109"/>
        <w:gridCol w:w="109"/>
        <w:gridCol w:w="109"/>
        <w:gridCol w:w="211"/>
        <w:gridCol w:w="976"/>
        <w:gridCol w:w="109"/>
        <w:gridCol w:w="109"/>
        <w:gridCol w:w="109"/>
        <w:gridCol w:w="109"/>
        <w:gridCol w:w="308"/>
        <w:gridCol w:w="308"/>
        <w:gridCol w:w="109"/>
        <w:gridCol w:w="109"/>
        <w:gridCol w:w="109"/>
        <w:gridCol w:w="15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March 31,</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5"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Percentage of revenues)</w:t>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3393"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sale of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before income taxes and equity method investment income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IES Holdings, Inc.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revenues for the six months ended March 31, 2026 were $261.7 million higher than for the six months ended March 31, 2025, an increase of 16.5%, with increases at our Communications, Infrastructure Solutions and Commercial &amp; Industrial segments and a decrease at our Residential segment. See further discussion below of changes in revenues for our individual segments.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gross profit for the six months ended March 31, 2026 increased $87.9 million compared to the six months ended March 31, 2025. Our overall gross profit percentage increased to 25.7% during the six months ended March 31, 2026 as compared to 24.4% during the six months ended March 31, 2025. Gross profit as a percentage of revenue increased at our Communications, Infrastructure Solutions and Commercial &amp; Industrial segments and decreased at our Residential segment. See further discussion below of changes in gross margin for our individual segments.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During the six months ended March 31, 2026, our sel</w:t>
      </w:r>
      <w:r>
        <w:rPr>
          <w:rFonts w:ascii="Times New Roman;serif" w:hAnsi="Times New Roman;serif"/>
          <w:b w:val="false"/>
          <w:color w:val="000000"/>
          <w:sz w:val="20"/>
          <w:shd w:fill="FFFFFF" w:val="clear"/>
        </w:rPr>
        <w:t>ling, general and administrative expenses were $264.3 million, an increase of $45.2 million, or 20.6%, over the six months ended March 31, 2025, driven primarily by increased personnel costs across our operating segments to support their growth, increased incentive compensation in connection with higher earnings than in the prior fiscal year and continued investment in technology to support the scalability of the business. Selling, general and administrative expenses as a percentage of rev</w:t>
      </w:r>
      <w:r>
        <w:rPr>
          <w:rFonts w:ascii="Times New Roman;serif" w:hAnsi="Times New Roman;serif"/>
          <w:b w:val="false"/>
          <w:color w:val="000000"/>
          <w:sz w:val="20"/>
        </w:rPr>
        <w:t>enue increased from 13.8% for the six months ended March 31, 2025 to 14.3% for the six months ended March 31,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Communications</w:t>
      </w:r>
    </w:p>
    <w:tbl>
      <w:tblPr>
        <w:tblW w:w="9716" w:type="dxa"/>
        <w:jc w:val="center"/>
        <w:tblInd w:w="0" w:type="dxa"/>
        <w:tblLayout w:type="fixed"/>
        <w:tblCellMar>
          <w:top w:w="28" w:type="dxa"/>
          <w:left w:w="28" w:type="dxa"/>
          <w:bottom w:w="28" w:type="dxa"/>
          <w:right w:w="28" w:type="dxa"/>
        </w:tblCellMar>
      </w:tblPr>
      <w:tblGrid>
        <w:gridCol w:w="1353"/>
        <w:gridCol w:w="1187"/>
        <w:gridCol w:w="1195"/>
        <w:gridCol w:w="109"/>
        <w:gridCol w:w="109"/>
        <w:gridCol w:w="109"/>
        <w:gridCol w:w="109"/>
        <w:gridCol w:w="109"/>
        <w:gridCol w:w="109"/>
        <w:gridCol w:w="413"/>
        <w:gridCol w:w="413"/>
        <w:gridCol w:w="109"/>
        <w:gridCol w:w="109"/>
        <w:gridCol w:w="109"/>
        <w:gridCol w:w="109"/>
        <w:gridCol w:w="308"/>
        <w:gridCol w:w="308"/>
        <w:gridCol w:w="109"/>
        <w:gridCol w:w="109"/>
        <w:gridCol w:w="109"/>
        <w:gridCol w:w="109"/>
        <w:gridCol w:w="109"/>
        <w:gridCol w:w="109"/>
        <w:gridCol w:w="109"/>
        <w:gridCol w:w="109"/>
        <w:gridCol w:w="109"/>
        <w:gridCol w:w="109"/>
        <w:gridCol w:w="413"/>
        <w:gridCol w:w="413"/>
        <w:gridCol w:w="109"/>
        <w:gridCol w:w="109"/>
        <w:gridCol w:w="109"/>
        <w:gridCol w:w="109"/>
        <w:gridCol w:w="308"/>
        <w:gridCol w:w="308"/>
        <w:gridCol w:w="109"/>
        <w:gridCol w:w="109"/>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Revenues. </w:t>
      </w:r>
      <w:r>
        <w:rPr>
          <w:rFonts w:ascii="Times New Roman;serif" w:hAnsi="Times New Roman;serif"/>
          <w:b w:val="false"/>
          <w:color w:val="000000"/>
          <w:sz w:val="20"/>
        </w:rPr>
        <w:t>Our Communications segm</w:t>
      </w:r>
      <w:r>
        <w:rPr>
          <w:rFonts w:ascii="Times New Roman;serif" w:hAnsi="Times New Roman;serif"/>
          <w:b w:val="false"/>
          <w:color w:val="000000"/>
          <w:sz w:val="20"/>
          <w:shd w:fill="FFFFFF" w:val="clear"/>
        </w:rPr>
        <w:t>ent’s revenues increased by $94.7 million during the three months ended March 31, 2026, or 34.7%, compared to the three months ended March 31, 2025. The increase primarily resulted from an increase in demand, particularly in the data center market, while demand in the distribution center market also continued to grow.</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Gross Profit. </w:t>
      </w:r>
      <w:r>
        <w:rPr>
          <w:rFonts w:ascii="Times New Roman;serif" w:hAnsi="Times New Roman;serif"/>
          <w:b w:val="false"/>
          <w:color w:val="000000"/>
          <w:sz w:val="20"/>
        </w:rPr>
        <w:t>Our Communications se</w:t>
      </w:r>
      <w:r>
        <w:rPr>
          <w:rFonts w:ascii="Times New Roman;serif" w:hAnsi="Times New Roman;serif"/>
          <w:b w:val="false"/>
          <w:color w:val="000000"/>
          <w:sz w:val="20"/>
          <w:shd w:fill="FFFFFF" w:val="clear"/>
        </w:rPr>
        <w:t xml:space="preserve">gment’s gross profit during the three months ended March 31, 2026 increased by $30.7 million, or 48.7%, compared to the three months ended March 31, 2025. Gross profit as a percentage of revenue was 25.5% in the three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months ended March 31, 2026 compared to 23.1% in the three months ended March 31, 2025. The increase in gross profit and gross margin primarily reflects strong demand as discussed above and successful project execution and improved margins on projects well-suited to our skilled workforce.</w: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val="false"/>
          <w:i/>
          <w:color w:val="000000"/>
          <w:sz w:val="20"/>
        </w:rPr>
        <w:t>Selling, General and Administrative Exp</w:t>
      </w:r>
      <w:r>
        <w:rPr>
          <w:rFonts w:ascii="Times New Roman;serif" w:hAnsi="Times New Roman;serif"/>
          <w:b w:val="false"/>
          <w:i/>
          <w:color w:val="000000"/>
          <w:sz w:val="20"/>
          <w:shd w:fill="FFFFFF" w:val="clear"/>
        </w:rPr>
        <w:t>enses.</w:t>
      </w:r>
      <w:r>
        <w:rPr>
          <w:color w:val="000000"/>
          <w:shd w:fill="FFFFFF" w:val="clear"/>
        </w:rPr>
        <w:t xml:space="preserve"> </w:t>
      </w:r>
      <w:r>
        <w:rPr>
          <w:rFonts w:ascii="Times New Roman;serif" w:hAnsi="Times New Roman;serif"/>
          <w:b w:val="false"/>
          <w:color w:val="000000"/>
          <w:sz w:val="20"/>
          <w:shd w:fill="FFFFFF" w:val="clear"/>
        </w:rPr>
        <w:t>Our Communications segment’s selling, general and administrative expenses increased by $9.1 million, or 38.9%, during the three months ended March 31, 2026 compared to the three months ended March 31, 2025. The increase primarily reflects higher personnel costs to support business growth and higher incentive compensation as a result of higher earnings. Selling, general and administrative expenses as a percentage of revenue was 8.9% during the three months ended March 31, 2026, compared to 8.6% during the three months ended March 31, 2025 as the increase in selling, general and administrative expenses was generally consistent with the Communications segment's revenue growth during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9826" w:type="dxa"/>
        <w:jc w:val="center"/>
        <w:tblInd w:w="0" w:type="dxa"/>
        <w:tblLayout w:type="fixed"/>
        <w:tblCellMar>
          <w:top w:w="28" w:type="dxa"/>
          <w:left w:w="28" w:type="dxa"/>
          <w:bottom w:w="28" w:type="dxa"/>
          <w:right w:w="28" w:type="dxa"/>
        </w:tblCellMar>
      </w:tblPr>
      <w:tblGrid>
        <w:gridCol w:w="1353"/>
        <w:gridCol w:w="1187"/>
        <w:gridCol w:w="1195"/>
        <w:gridCol w:w="109"/>
        <w:gridCol w:w="109"/>
        <w:gridCol w:w="109"/>
        <w:gridCol w:w="114"/>
        <w:gridCol w:w="114"/>
        <w:gridCol w:w="114"/>
        <w:gridCol w:w="413"/>
        <w:gridCol w:w="413"/>
        <w:gridCol w:w="114"/>
        <w:gridCol w:w="114"/>
        <w:gridCol w:w="114"/>
        <w:gridCol w:w="114"/>
        <w:gridCol w:w="308"/>
        <w:gridCol w:w="308"/>
        <w:gridCol w:w="114"/>
        <w:gridCol w:w="114"/>
        <w:gridCol w:w="114"/>
        <w:gridCol w:w="114"/>
        <w:gridCol w:w="114"/>
        <w:gridCol w:w="114"/>
        <w:gridCol w:w="114"/>
        <w:gridCol w:w="114"/>
        <w:gridCol w:w="114"/>
        <w:gridCol w:w="114"/>
        <w:gridCol w:w="413"/>
        <w:gridCol w:w="413"/>
        <w:gridCol w:w="114"/>
        <w:gridCol w:w="114"/>
        <w:gridCol w:w="114"/>
        <w:gridCol w:w="114"/>
        <w:gridCol w:w="308"/>
        <w:gridCol w:w="308"/>
        <w:gridCol w:w="114"/>
        <w:gridCol w:w="109"/>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March 31,</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2"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Percentage of revenues)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719,616 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505,976 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539,500 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394,122 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180,116 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111,854 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61,007 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sale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118,597 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68,234 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Revenues. </w:t>
      </w:r>
      <w:r>
        <w:rPr>
          <w:rFonts w:ascii="Times New Roman;serif" w:hAnsi="Times New Roman;serif"/>
          <w:b w:val="false"/>
          <w:color w:val="000000"/>
          <w:sz w:val="20"/>
        </w:rPr>
        <w:t>Our Communications se</w:t>
      </w:r>
      <w:r>
        <w:rPr>
          <w:rFonts w:ascii="Times New Roman;serif" w:hAnsi="Times New Roman;serif"/>
          <w:b w:val="false"/>
          <w:color w:val="000000"/>
          <w:sz w:val="20"/>
          <w:shd w:fill="FFFFFF" w:val="clear"/>
        </w:rPr>
        <w:t>gment’s revenues increased by $213.6 million, or 42.2%, during the six months ended March 31, 2026, compared to the six months ended March 31, 2025. Continued strong demand in the data center market was the primary driver of the increase, while demand in the distribution center market also continued to grow.</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Gross Profit. </w:t>
      </w:r>
      <w:r>
        <w:rPr>
          <w:rFonts w:ascii="Times New Roman;serif" w:hAnsi="Times New Roman;serif"/>
          <w:b w:val="false"/>
          <w:color w:val="000000"/>
          <w:sz w:val="20"/>
        </w:rPr>
        <w:t>Our Communication</w:t>
      </w:r>
      <w:r>
        <w:rPr>
          <w:rFonts w:ascii="Times New Roman;serif" w:hAnsi="Times New Roman;serif"/>
          <w:b w:val="false"/>
          <w:color w:val="000000"/>
          <w:sz w:val="20"/>
          <w:shd w:fill="FFFFFF" w:val="clear"/>
        </w:rPr>
        <w:t>s segment’s gross profit during the six months ended March 31, 2026 increased by $68.3 million, or 61.0%, as compared to the six months ended March 31, 2025. Gross profit as a percentage of revenue increased from 22.1% to 25.0%. The increase in gross profit and gross margin primarily reflects strong demand as discussed above, successful project execution and improved margins on projects well-suited to our skilled workforce.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Selling, General and Administrative Ex</w:t>
      </w:r>
      <w:r>
        <w:rPr>
          <w:rFonts w:ascii="Times New Roman;serif" w:hAnsi="Times New Roman;serif"/>
          <w:b w:val="false"/>
          <w:i/>
          <w:color w:val="000000"/>
          <w:sz w:val="20"/>
          <w:shd w:fill="FFFFFF" w:val="clear"/>
        </w:rPr>
        <w:t>penses.</w:t>
      </w:r>
      <w:r>
        <w:rPr>
          <w:color w:val="000000"/>
          <w:shd w:fill="FFFFFF" w:val="clear"/>
        </w:rPr>
        <w:t xml:space="preserve"> </w:t>
      </w:r>
      <w:r>
        <w:rPr>
          <w:rFonts w:ascii="Times New Roman;serif" w:hAnsi="Times New Roman;serif"/>
          <w:b w:val="false"/>
          <w:color w:val="000000"/>
          <w:sz w:val="20"/>
          <w:shd w:fill="FFFFFF" w:val="clear"/>
        </w:rPr>
        <w:t>Our Communications segment’s selling, general and administrative expenses increased by $17.3 million, or 39.7%, during the six months ended March 31, 2026, compared to the six months ended March 31, 2025. The increase primarily reflects higher personnel cost to support business growth and higher incentive compensation as a result of higher earnings. Selling, general and administrative expenses as a percentage of revenue was 8.5% for the six months ended March 31, 2026 compared with 8.6% during the six months ended March 31, 2025 as the change in selling, general and administrative expenses was generally consistent with the Communications segment's revenue growth during the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Residential</w:t>
      </w:r>
    </w:p>
    <w:tbl>
      <w:tblPr>
        <w:tblW w:w="9484" w:type="dxa"/>
        <w:jc w:val="center"/>
        <w:tblInd w:w="0" w:type="dxa"/>
        <w:tblLayout w:type="fixed"/>
        <w:tblCellMar>
          <w:top w:w="28" w:type="dxa"/>
          <w:left w:w="28" w:type="dxa"/>
          <w:bottom w:w="28" w:type="dxa"/>
          <w:right w:w="28" w:type="dxa"/>
        </w:tblCellMar>
      </w:tblPr>
      <w:tblGrid>
        <w:gridCol w:w="1353"/>
        <w:gridCol w:w="1187"/>
        <w:gridCol w:w="1195"/>
        <w:gridCol w:w="109"/>
        <w:gridCol w:w="109"/>
        <w:gridCol w:w="109"/>
        <w:gridCol w:w="211"/>
        <w:gridCol w:w="826"/>
        <w:gridCol w:w="109"/>
        <w:gridCol w:w="109"/>
        <w:gridCol w:w="109"/>
        <w:gridCol w:w="109"/>
        <w:gridCol w:w="308"/>
        <w:gridCol w:w="308"/>
        <w:gridCol w:w="109"/>
        <w:gridCol w:w="109"/>
        <w:gridCol w:w="109"/>
        <w:gridCol w:w="109"/>
        <w:gridCol w:w="109"/>
        <w:gridCol w:w="109"/>
        <w:gridCol w:w="109"/>
        <w:gridCol w:w="211"/>
        <w:gridCol w:w="826"/>
        <w:gridCol w:w="109"/>
        <w:gridCol w:w="109"/>
        <w:gridCol w:w="109"/>
        <w:gridCol w:w="109"/>
        <w:gridCol w:w="308"/>
        <w:gridCol w:w="308"/>
        <w:gridCol w:w="109"/>
        <w:gridCol w:w="109"/>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2"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Revenues. </w:t>
      </w:r>
      <w:r>
        <w:rPr>
          <w:rFonts w:ascii="Times New Roman;serif" w:hAnsi="Times New Roman;serif"/>
          <w:b w:val="false"/>
          <w:color w:val="000000"/>
          <w:sz w:val="20"/>
        </w:rPr>
        <w:t xml:space="preserve">Our Residential segment’s revenues decreased by $30.4 million, or 9.5%, during the three months ended March 31, 2026 compared to the three months ended March 31, 2025. Our single-family electrical revenues decreased by $25.9 million, primarily due to the continued impact of housing affordability and general economic conditions on consumer demand in the single-family housing market leading to a decline in construction volumes and pressure on pricing during the period, along with unfavorable weather conditions in certain regions reducing the total working days available during the three months ended March 31, 2026. Our single-family plumbing and HVAC revenues increased by $10.9 million compared to the prior year period, with expansion of the plumbing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and HVAC trades into new markets partly offsetting the impact of slowing demand on new home construction and unfavorable weather conditions impacting existing projects. Our multi-family revenues decreased by $15.4 million, or 19.5%, driven by </w:t>
      </w:r>
      <w:r>
        <w:rPr>
          <w:rFonts w:ascii="Times New Roman;serif" w:hAnsi="Times New Roman;serif"/>
          <w:b w:val="false"/>
          <w:color w:val="000000"/>
          <w:sz w:val="20"/>
          <w:shd w:fill="FFFFFF" w:val="clear"/>
        </w:rPr>
        <w:t>a reduction in backlog during fiscal 2025 resulting from the impact of elevated interest rates on demand</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Gross Profit. </w:t>
      </w:r>
      <w:r>
        <w:rPr>
          <w:rFonts w:ascii="Times New Roman;serif" w:hAnsi="Times New Roman;serif"/>
          <w:b w:val="false"/>
          <w:color w:val="000000"/>
          <w:sz w:val="20"/>
        </w:rPr>
        <w:t>During the three months ended March 31, 2026, our Residential segment's gross profit decreased by $17.9 million, or 22.4%, compared to the three months ended March 31, 2025, driven primarily by lower volume as discussed above. Gross profit as a percentage of revenue decreased to 21.5% during the three months ended March 31, 2026, compared to 25.1% for the three months ended March 31, 2025 as weaker demand and pricing pressure from our customers limited our ability to recover cost increases through pricing actions.</w:t>
      </w:r>
    </w:p>
    <w:p>
      <w:pPr>
        <w:pStyle w:val="TextBody"/>
        <w:bidi w:val="0"/>
        <w:spacing w:lineRule="auto" w:line="288" w:before="0" w:after="0"/>
        <w:jc w:val="left"/>
        <w:rPr/>
      </w:pPr>
      <w:r>
        <w:rPr>
          <w:rFonts w:ascii="Times New Roman;serif" w:hAnsi="Times New Roman;serif"/>
          <w:b w:val="false"/>
          <w:i/>
          <w:color w:val="000000"/>
          <w:sz w:val="20"/>
        </w:rPr>
        <w:t>Selling, General and Administrative Expenses.</w:t>
      </w:r>
      <w:r>
        <w:rPr>
          <w:color w:val="000000"/>
        </w:rPr>
        <w:t xml:space="preserve"> </w:t>
      </w:r>
      <w:r>
        <w:rPr>
          <w:rFonts w:ascii="Times New Roman;serif" w:hAnsi="Times New Roman;serif"/>
          <w:b w:val="false"/>
          <w:color w:val="000000"/>
          <w:sz w:val="20"/>
        </w:rPr>
        <w:t>Our Residential segment's selling, general and administrative expenses decreased by $1.8 million, or 3.1%, during the three months ended March 31, 2026, compared to the three months ended March 31, 2025. The decrease was primarily driven by lower incentive compensation costs associated with lower profitability. Selling, general and administrative expenses as a percentage of revenue in the Residential segment increased to 19.3% during the three months ended March 31, 2026, compared to 18.0% in the three months ended March 31, 2025. The increase as a percentage of revenue was primarily driven by the decrease in revenues as discussed above.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tbl>
      <w:tblPr>
        <w:tblW w:w="9484" w:type="dxa"/>
        <w:jc w:val="center"/>
        <w:tblInd w:w="0" w:type="dxa"/>
        <w:tblLayout w:type="fixed"/>
        <w:tblCellMar>
          <w:top w:w="28" w:type="dxa"/>
          <w:left w:w="28" w:type="dxa"/>
          <w:bottom w:w="28" w:type="dxa"/>
          <w:right w:w="28" w:type="dxa"/>
        </w:tblCellMar>
      </w:tblPr>
      <w:tblGrid>
        <w:gridCol w:w="1353"/>
        <w:gridCol w:w="1187"/>
        <w:gridCol w:w="1195"/>
        <w:gridCol w:w="109"/>
        <w:gridCol w:w="109"/>
        <w:gridCol w:w="109"/>
        <w:gridCol w:w="211"/>
        <w:gridCol w:w="826"/>
        <w:gridCol w:w="109"/>
        <w:gridCol w:w="109"/>
        <w:gridCol w:w="109"/>
        <w:gridCol w:w="109"/>
        <w:gridCol w:w="308"/>
        <w:gridCol w:w="308"/>
        <w:gridCol w:w="109"/>
        <w:gridCol w:w="109"/>
        <w:gridCol w:w="109"/>
        <w:gridCol w:w="109"/>
        <w:gridCol w:w="109"/>
        <w:gridCol w:w="109"/>
        <w:gridCol w:w="109"/>
        <w:gridCol w:w="211"/>
        <w:gridCol w:w="826"/>
        <w:gridCol w:w="109"/>
        <w:gridCol w:w="109"/>
        <w:gridCol w:w="109"/>
        <w:gridCol w:w="109"/>
        <w:gridCol w:w="308"/>
        <w:gridCol w:w="308"/>
        <w:gridCol w:w="109"/>
        <w:gridCol w:w="109"/>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2"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March 31,</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Revenues. </w:t>
      </w:r>
      <w:r>
        <w:rPr>
          <w:rFonts w:ascii="Times New Roman;serif" w:hAnsi="Times New Roman;serif"/>
          <w:b w:val="false"/>
          <w:color w:val="000000"/>
          <w:sz w:val="20"/>
        </w:rPr>
        <w:t xml:space="preserve">Our Residential segment’s revenues decreased by $66.3 million, or 10.4%, during the six months ended March 31, 2026, compared to the six months ended March 31, 2025. Our single-family electrical revenues decreased by $58.1 million compared to the prior year period. Consumer demand in the single-family housing market was impacted </w:t>
      </w:r>
      <w:r>
        <w:rPr>
          <w:rFonts w:ascii="Times New Roman;serif" w:hAnsi="Times New Roman;serif"/>
          <w:b w:val="false"/>
          <w:color w:val="000000"/>
          <w:sz w:val="20"/>
          <w:shd w:fill="FFFFFF" w:val="clear"/>
        </w:rPr>
        <w:t xml:space="preserve">by housing affordability challenges, availability and cost of insurance, and overall economic uncertainty, leading to a decline in construction volumes and pressure on pricing during the period. </w:t>
      </w:r>
      <w:r>
        <w:rPr>
          <w:rFonts w:ascii="Times New Roman;serif" w:hAnsi="Times New Roman;serif"/>
          <w:b w:val="false"/>
          <w:color w:val="000000"/>
          <w:sz w:val="20"/>
        </w:rPr>
        <w:t>Our multi-family revenues also decreased by $27.7 million, driven</w:t>
      </w:r>
      <w:r>
        <w:rPr>
          <w:color w:val="000000"/>
          <w:shd w:fill="FFFFFF" w:val="clear"/>
        </w:rPr>
        <w:t xml:space="preserve"> </w:t>
      </w:r>
      <w:r>
        <w:rPr>
          <w:rFonts w:ascii="Times New Roman;serif" w:hAnsi="Times New Roman;serif"/>
          <w:b w:val="false"/>
          <w:color w:val="000000"/>
          <w:sz w:val="20"/>
          <w:shd w:fill="FFFFFF" w:val="clear"/>
        </w:rPr>
        <w:t>by a reduction in backlog during fiscal 2025 resulting from the impact of elevated interest rates on demand.</w:t>
      </w:r>
      <w:r>
        <w:rPr>
          <w:color w:val="000000"/>
        </w:rPr>
        <w:t xml:space="preserve"> </w:t>
      </w:r>
      <w:r>
        <w:rPr>
          <w:rFonts w:ascii="Times New Roman;serif" w:hAnsi="Times New Roman;serif"/>
          <w:b w:val="false"/>
          <w:color w:val="000000"/>
          <w:sz w:val="20"/>
        </w:rPr>
        <w:t xml:space="preserve">Our single-family plumbing and HVAC revenue increased by $19.6 million compared to the prior year period as </w:t>
      </w:r>
      <w:r>
        <w:rPr>
          <w:rFonts w:ascii="Times New Roman;serif" w:hAnsi="Times New Roman;serif"/>
          <w:b w:val="false"/>
          <w:color w:val="000000"/>
          <w:sz w:val="20"/>
          <w:shd w:fill="FFFFFF" w:val="clear"/>
        </w:rPr>
        <w:t>the general decrease in demand for single-family housing was offset by continued expansion of our plumbing and HVAC business into new markets, as well as improved market conditions for these services in certain markets.</w: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val="false"/>
          <w:i/>
          <w:color w:val="000000"/>
          <w:sz w:val="20"/>
        </w:rPr>
        <w:t>Gross Profit.</w:t>
      </w:r>
      <w:r>
        <w:rPr>
          <w:color w:val="000000"/>
        </w:rPr>
        <w:t xml:space="preserve"> </w:t>
      </w:r>
      <w:r>
        <w:rPr>
          <w:rFonts w:ascii="Times New Roman;serif" w:hAnsi="Times New Roman;serif"/>
          <w:b w:val="false"/>
          <w:color w:val="000000"/>
          <w:sz w:val="20"/>
        </w:rPr>
        <w:t>During the six months ended March 31, 2026, our Residential segment’s gross profit decreased by $34.1 million, or 21.5%, compared to the six months ended March 31, 2025. The decrease in gross profit re</w:t>
      </w:r>
      <w:r>
        <w:rPr>
          <w:rFonts w:ascii="Times New Roman;serif" w:hAnsi="Times New Roman;serif"/>
          <w:b w:val="false"/>
          <w:color w:val="000000"/>
          <w:sz w:val="20"/>
          <w:shd w:fill="FFFFFF" w:val="clear"/>
        </w:rPr>
        <w:t>flects the decline in volume as discussed above and reduced pricing to our customers. Gross profit as a percentage of revenue was 21.8% during the six months ended March 31, 2026, compared to 24.9% during the six months end</w:t>
      </w:r>
      <w:r>
        <w:rPr>
          <w:rFonts w:ascii="Times New Roman;serif" w:hAnsi="Times New Roman;serif"/>
          <w:b w:val="false"/>
          <w:color w:val="000000"/>
          <w:sz w:val="20"/>
        </w:rPr>
        <w:t>ed March 31, 2025.</w:t>
      </w:r>
    </w:p>
    <w:p>
      <w:pPr>
        <w:pStyle w:val="TextBody"/>
        <w:bidi w:val="0"/>
        <w:spacing w:lineRule="auto" w:line="288" w:before="0" w:after="180"/>
        <w:jc w:val="left"/>
        <w:rPr/>
      </w:pPr>
      <w:r>
        <w:rPr>
          <w:rFonts w:ascii="Times New Roman;serif" w:hAnsi="Times New Roman;serif"/>
          <w:b w:val="false"/>
          <w:i/>
          <w:color w:val="000000"/>
          <w:sz w:val="20"/>
        </w:rPr>
        <w:t>Selling, General and Administrative Expenses.</w:t>
      </w:r>
      <w:r>
        <w:rPr>
          <w:color w:val="000000"/>
        </w:rPr>
        <w:t xml:space="preserve"> </w:t>
      </w:r>
      <w:r>
        <w:rPr>
          <w:rFonts w:ascii="Times New Roman;serif" w:hAnsi="Times New Roman;serif"/>
          <w:b w:val="false"/>
          <w:color w:val="000000"/>
          <w:sz w:val="20"/>
        </w:rPr>
        <w:t>Our Residential segment’s selling, general and administrative expenses decreased by $3.0 million, or 2.7%, during the six months ended March 31, 2026, compared to the six months ended March 31, 2025. The decrease was primarily driven b</w:t>
      </w:r>
      <w:r>
        <w:rPr>
          <w:rFonts w:ascii="Times New Roman;serif" w:hAnsi="Times New Roman;serif"/>
          <w:b w:val="false"/>
          <w:color w:val="000000"/>
          <w:sz w:val="20"/>
          <w:shd w:fill="FFFFFF" w:val="clear"/>
        </w:rPr>
        <w:t>y reduced incentive compensation expense in connection with lower profitability, partly offset by investments to support the future scalability of our business. Selling, general and administrative expenses as a percentage of revenue increased to 19.1% during the six months ended March 31, 2026, compared to 17.6% during the six months ended March 31, 2025. The increase as a percentage of revenue was primarily driven by the decrease in revenues as discussed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Infrastructure Solutions</w:t>
      </w:r>
    </w:p>
    <w:tbl>
      <w:tblPr>
        <w:tblW w:w="9273" w:type="dxa"/>
        <w:jc w:val="center"/>
        <w:tblInd w:w="0" w:type="dxa"/>
        <w:tblLayout w:type="fixed"/>
        <w:tblCellMar>
          <w:top w:w="28" w:type="dxa"/>
          <w:left w:w="28" w:type="dxa"/>
          <w:bottom w:w="28" w:type="dxa"/>
          <w:right w:w="28" w:type="dxa"/>
        </w:tblCellMar>
      </w:tblPr>
      <w:tblGrid>
        <w:gridCol w:w="1353"/>
        <w:gridCol w:w="1187"/>
        <w:gridCol w:w="1195"/>
        <w:gridCol w:w="109"/>
        <w:gridCol w:w="109"/>
        <w:gridCol w:w="109"/>
        <w:gridCol w:w="413"/>
        <w:gridCol w:w="413"/>
        <w:gridCol w:w="109"/>
        <w:gridCol w:w="109"/>
        <w:gridCol w:w="109"/>
        <w:gridCol w:w="109"/>
        <w:gridCol w:w="308"/>
        <w:gridCol w:w="308"/>
        <w:gridCol w:w="109"/>
        <w:gridCol w:w="109"/>
        <w:gridCol w:w="109"/>
        <w:gridCol w:w="109"/>
        <w:gridCol w:w="109"/>
        <w:gridCol w:w="109"/>
        <w:gridCol w:w="109"/>
        <w:gridCol w:w="211"/>
        <w:gridCol w:w="826"/>
        <w:gridCol w:w="109"/>
        <w:gridCol w:w="109"/>
        <w:gridCol w:w="109"/>
        <w:gridCol w:w="109"/>
        <w:gridCol w:w="308"/>
        <w:gridCol w:w="308"/>
        <w:gridCol w:w="109"/>
        <w:gridCol w:w="109"/>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8"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6"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Percentage of revenues)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Revenues. </w:t>
      </w:r>
      <w:r>
        <w:rPr>
          <w:rFonts w:ascii="Times New Roman;serif" w:hAnsi="Times New Roman;serif"/>
          <w:b w:val="false"/>
          <w:color w:val="000000"/>
          <w:sz w:val="20"/>
        </w:rPr>
        <w:t>Revenues in our Infrastructure Solutions segment increased by $74.8 million during the three months ended March 31, 2026, an increase of 63.6% compared to the three months ended March 31, 2025, driven prim</w:t>
      </w:r>
      <w:r>
        <w:rPr>
          <w:rFonts w:ascii="Times New Roman;serif" w:hAnsi="Times New Roman;serif"/>
          <w:b w:val="false"/>
          <w:color w:val="000000"/>
          <w:sz w:val="20"/>
          <w:shd w:fill="FFFFFF" w:val="clear"/>
        </w:rPr>
        <w:t>arily by continued strong demand in our custom engineered solutions manufacturing businesses, improved pricing, and the impact of investments to increase capacity we have made over the last several years. We also continued to expand our field services offerings. Gulf Island Fabrication, Inc. (“Gulf Island”), which wa</w:t>
      </w:r>
      <w:r>
        <w:rPr>
          <w:rFonts w:ascii="Times New Roman;serif" w:hAnsi="Times New Roman;serif"/>
          <w:b w:val="false"/>
          <w:color w:val="000000"/>
          <w:sz w:val="20"/>
        </w:rPr>
        <w:t>s acquired on January 16, 2026, contributed $37.5 million in revenues in the three months ended March 31, 2026.</w: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val="false"/>
          <w:i/>
          <w:color w:val="000000"/>
          <w:sz w:val="20"/>
        </w:rPr>
        <w:t>Gross Profit</w:t>
      </w:r>
      <w:r>
        <w:rPr>
          <w:rFonts w:ascii="Times New Roman;serif" w:hAnsi="Times New Roman;serif"/>
          <w:b w:val="false"/>
          <w:color w:val="000000"/>
          <w:sz w:val="20"/>
        </w:rPr>
        <w:t>. Our Infrastructure Solutions segment’s gross profit during the three months ended March 31, 2026 increased $23.8 million, or 60.6%, compared to th</w:t>
      </w:r>
      <w:r>
        <w:rPr>
          <w:rFonts w:ascii="Times New Roman;serif" w:hAnsi="Times New Roman;serif"/>
          <w:b w:val="false"/>
          <w:color w:val="000000"/>
          <w:sz w:val="20"/>
          <w:shd w:fill="FFFFFF" w:val="clear"/>
        </w:rPr>
        <w:t xml:space="preserve">e three months ended March 31, 2025, driven by increased revenue as discussed above, while gross profit as a percentage of revenue decreased from 33.4% to 32.8%, primarily reflecting lower gross margins at the recently acquired Gulf Island business as we reposition its operations to better utilize available manufacturing capacity. </w:t>
      </w:r>
    </w:p>
    <w:p>
      <w:pPr>
        <w:pStyle w:val="TextBody"/>
        <w:bidi w:val="0"/>
        <w:spacing w:lineRule="auto" w:line="288" w:before="0" w:after="0"/>
        <w:jc w:val="left"/>
        <w:rPr/>
      </w:pPr>
      <w:r>
        <w:rPr>
          <w:rFonts w:ascii="Times New Roman;serif" w:hAnsi="Times New Roman;serif"/>
          <w:b w:val="false"/>
          <w:i/>
          <w:color w:val="000000"/>
          <w:sz w:val="20"/>
        </w:rPr>
        <w:t xml:space="preserve">Selling, General and Administrative Expenses. </w:t>
      </w:r>
      <w:r>
        <w:rPr>
          <w:rFonts w:ascii="Times New Roman;serif" w:hAnsi="Times New Roman;serif"/>
          <w:b w:val="false"/>
          <w:color w:val="000000"/>
          <w:sz w:val="20"/>
        </w:rPr>
        <w:t>Our Infr</w:t>
      </w:r>
      <w:r>
        <w:rPr>
          <w:rFonts w:ascii="Times New Roman;serif" w:hAnsi="Times New Roman;serif"/>
          <w:b w:val="false"/>
          <w:color w:val="000000"/>
          <w:sz w:val="20"/>
          <w:shd w:fill="FFFFFF" w:val="clear"/>
        </w:rPr>
        <w:t>astructure Solutions segment’s selling, general and administrative expenses during the three months ended March 31, 2026 increased by $8.6 million, or 68.6%, compared to the three months ended March 31, 2025, primarily as a result of increased employee compensation cost to support growth in the business, higher incentive compensation as a result of higher earnings, and $5.4 million of expense, including amortization of acquired intangible assets, incurred at Gulf Island. Selling, general and administrative expenses as a percentage of revenue increased from 10.6% for the three months ended March 31, 2025 to 10.9% for the three months ended March 31, 2026, primarily reflecting the acquisition of Gulf Island.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tbl>
      <w:tblPr>
        <w:tblW w:w="9716" w:type="dxa"/>
        <w:jc w:val="center"/>
        <w:tblInd w:w="0" w:type="dxa"/>
        <w:tblLayout w:type="fixed"/>
        <w:tblCellMar>
          <w:top w:w="28" w:type="dxa"/>
          <w:left w:w="28" w:type="dxa"/>
          <w:bottom w:w="28" w:type="dxa"/>
          <w:right w:w="28" w:type="dxa"/>
        </w:tblCellMar>
      </w:tblPr>
      <w:tblGrid>
        <w:gridCol w:w="1353"/>
        <w:gridCol w:w="1187"/>
        <w:gridCol w:w="1195"/>
        <w:gridCol w:w="109"/>
        <w:gridCol w:w="109"/>
        <w:gridCol w:w="109"/>
        <w:gridCol w:w="109"/>
        <w:gridCol w:w="109"/>
        <w:gridCol w:w="109"/>
        <w:gridCol w:w="413"/>
        <w:gridCol w:w="413"/>
        <w:gridCol w:w="109"/>
        <w:gridCol w:w="109"/>
        <w:gridCol w:w="109"/>
        <w:gridCol w:w="109"/>
        <w:gridCol w:w="308"/>
        <w:gridCol w:w="308"/>
        <w:gridCol w:w="109"/>
        <w:gridCol w:w="109"/>
        <w:gridCol w:w="109"/>
        <w:gridCol w:w="109"/>
        <w:gridCol w:w="109"/>
        <w:gridCol w:w="109"/>
        <w:gridCol w:w="109"/>
        <w:gridCol w:w="109"/>
        <w:gridCol w:w="109"/>
        <w:gridCol w:w="109"/>
        <w:gridCol w:w="413"/>
        <w:gridCol w:w="413"/>
        <w:gridCol w:w="109"/>
        <w:gridCol w:w="109"/>
        <w:gridCol w:w="109"/>
        <w:gridCol w:w="109"/>
        <w:gridCol w:w="308"/>
        <w:gridCol w:w="308"/>
        <w:gridCol w:w="109"/>
        <w:gridCol w:w="109"/>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March 31,</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6"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4"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pPr>
      <w:r>
        <w:rPr>
          <w:rFonts w:ascii="Times New Roman;serif" w:hAnsi="Times New Roman;serif"/>
          <w:b w:val="false"/>
          <w:i/>
          <w:color w:val="000000"/>
          <w:sz w:val="20"/>
        </w:rPr>
        <w:t xml:space="preserve">Revenues. </w:t>
      </w:r>
      <w:r>
        <w:rPr>
          <w:rFonts w:ascii="Times New Roman;serif" w:hAnsi="Times New Roman;serif"/>
          <w:b w:val="false"/>
          <w:color w:val="000000"/>
          <w:sz w:val="20"/>
        </w:rPr>
        <w:t>Revenues in our Inf</w:t>
      </w:r>
      <w:r>
        <w:rPr>
          <w:rFonts w:ascii="Times New Roman;serif" w:hAnsi="Times New Roman;serif"/>
          <w:b w:val="false"/>
          <w:color w:val="000000"/>
          <w:sz w:val="20"/>
          <w:shd w:fill="FFFFFF" w:val="clear"/>
        </w:rPr>
        <w:t xml:space="preserve">rastructure Solutions segment increased by $106.9 million, or 47.3%, during the six months ended March 31, 2026 compared to the six months ended March 31, 2025. The increase in revenue was driven primarily by continued strong demand in our custom engineered solutions manufacturing businesses, improved pricing and the impact of investments we have made over the last several years to increase capacity to meet increasing demand, as well as expansion of our field services offerings and the acquisition of Gulf Island as discussed above. </w:t>
      </w:r>
    </w:p>
    <w:p>
      <w:pPr>
        <w:pStyle w:val="TextBody"/>
        <w:bidi w:val="0"/>
        <w:spacing w:lineRule="auto" w:line="288" w:before="0" w:after="0"/>
        <w:jc w:val="left"/>
        <w:rPr/>
      </w:pPr>
      <w:r>
        <w:rPr>
          <w:rFonts w:ascii="Times New Roman;serif" w:hAnsi="Times New Roman;serif"/>
          <w:b w:val="false"/>
          <w:i/>
          <w:color w:val="000000"/>
          <w:sz w:val="20"/>
        </w:rPr>
        <w:t>Gross Profit</w:t>
      </w:r>
      <w:r>
        <w:rPr>
          <w:rFonts w:ascii="Times New Roman;serif" w:hAnsi="Times New Roman;serif"/>
          <w:b w:val="false"/>
          <w:color w:val="000000"/>
          <w:sz w:val="20"/>
        </w:rPr>
        <w:t>. Our In</w:t>
      </w:r>
      <w:r>
        <w:rPr>
          <w:rFonts w:ascii="Times New Roman;serif" w:hAnsi="Times New Roman;serif"/>
          <w:b w:val="false"/>
          <w:color w:val="000000"/>
          <w:sz w:val="20"/>
          <w:shd w:fill="FFFFFF" w:val="clear"/>
        </w:rPr>
        <w:t>frastructure Solutions segment’s gross profit during the six months ended March 31, 2026 increased by $39.4 million, or 53.0%, compared to the six months ended March 31, 2025, and gross profit as a percentage of revenue increased to 34.2% for the six months ended March 31, 2026 compared to 32.9% for the six months ended March 31, 2025. The improvement in gross profit and gross margin primarily reflects improved pricing and productivity improvements as our newer facilities ramped up production, partly offset by the lower gross margin at Gulf Island as we reposition its operations to better utilize available manufacturing capacity.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Selling, General and Administrative Expenses. </w:t>
      </w:r>
      <w:r>
        <w:rPr>
          <w:rFonts w:ascii="Times New Roman;serif" w:hAnsi="Times New Roman;serif"/>
          <w:b w:val="false"/>
          <w:color w:val="000000"/>
          <w:sz w:val="20"/>
        </w:rPr>
        <w:t>Our In</w:t>
      </w:r>
      <w:r>
        <w:rPr>
          <w:rFonts w:ascii="Times New Roman;serif" w:hAnsi="Times New Roman;serif"/>
          <w:b w:val="false"/>
          <w:color w:val="000000"/>
          <w:sz w:val="20"/>
          <w:shd w:fill="FFFFFF" w:val="clear"/>
        </w:rPr>
        <w:t>frastructure Solutions segment’s selling, general and administrative expenses during the six months ended March 31, 2026 increased by $12.2 million, or 51.4%, compared to the six months ended March 31, 2025, as a result of the growth of the business, as well as $5.4 million of expense, including amortization of acquired intangible assets, incurred at Gulf Island. Selling, general and administrative expenses as a percentage of revenue increased from 10.5% for the six months ended March 31, 2025 to 10.8% for the six months ended March 31, 2026, primarily reflecting the acquisition of Gulf Island.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Commercial &amp; Industrial</w:t>
      </w:r>
    </w:p>
    <w:tbl>
      <w:tblPr>
        <w:tblW w:w="9273" w:type="dxa"/>
        <w:jc w:val="center"/>
        <w:tblInd w:w="0" w:type="dxa"/>
        <w:tblLayout w:type="fixed"/>
        <w:tblCellMar>
          <w:top w:w="28" w:type="dxa"/>
          <w:left w:w="28" w:type="dxa"/>
          <w:bottom w:w="28" w:type="dxa"/>
          <w:right w:w="28" w:type="dxa"/>
        </w:tblCellMar>
      </w:tblPr>
      <w:tblGrid>
        <w:gridCol w:w="1353"/>
        <w:gridCol w:w="1187"/>
        <w:gridCol w:w="1195"/>
        <w:gridCol w:w="109"/>
        <w:gridCol w:w="109"/>
        <w:gridCol w:w="109"/>
        <w:gridCol w:w="413"/>
        <w:gridCol w:w="413"/>
        <w:gridCol w:w="109"/>
        <w:gridCol w:w="109"/>
        <w:gridCol w:w="109"/>
        <w:gridCol w:w="109"/>
        <w:gridCol w:w="308"/>
        <w:gridCol w:w="308"/>
        <w:gridCol w:w="109"/>
        <w:gridCol w:w="109"/>
        <w:gridCol w:w="109"/>
        <w:gridCol w:w="109"/>
        <w:gridCol w:w="109"/>
        <w:gridCol w:w="109"/>
        <w:gridCol w:w="109"/>
        <w:gridCol w:w="211"/>
        <w:gridCol w:w="826"/>
        <w:gridCol w:w="109"/>
        <w:gridCol w:w="109"/>
        <w:gridCol w:w="109"/>
        <w:gridCol w:w="109"/>
        <w:gridCol w:w="308"/>
        <w:gridCol w:w="308"/>
        <w:gridCol w:w="109"/>
        <w:gridCol w:w="109"/>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8"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0" w:type="dxa"/>
            <w:gridSpan w:val="1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8"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Percentage of revenues)</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p>
      <w:pPr>
        <w:pStyle w:val="TextBody"/>
        <w:bidi w:val="0"/>
        <w:spacing w:lineRule="auto" w:line="288" w:before="0" w:after="180"/>
        <w:jc w:val="left"/>
        <w:rPr/>
      </w:pPr>
      <w:r>
        <w:rPr>
          <w:rFonts w:ascii="Times New Roman;serif" w:hAnsi="Times New Roman;serif"/>
          <w:b w:val="false"/>
          <w:i/>
          <w:color w:val="000000"/>
          <w:sz w:val="20"/>
        </w:rPr>
        <w:t xml:space="preserve">Revenues. </w:t>
      </w:r>
      <w:r>
        <w:rPr>
          <w:rFonts w:ascii="Times New Roman;serif" w:hAnsi="Times New Roman;serif"/>
          <w:b w:val="false"/>
          <w:color w:val="000000"/>
          <w:sz w:val="20"/>
        </w:rPr>
        <w:t>Revenues in our Commercial &amp; Industrial segment increased by $1.2 million, or 0.9%, during the three months ended March 31, 2026, compared to the three months ended March 31, 2025, as both periods benefited from strong demand in the data center end market</w:t>
      </w:r>
      <w:r>
        <w:rPr>
          <w:rFonts w:ascii="Times New Roman;serif" w:hAnsi="Times New Roman;serif"/>
          <w:b w:val="false"/>
          <w:color w:val="000000"/>
          <w:sz w:val="20"/>
          <w:shd w:fill="FFFFFF" w:val="clear"/>
        </w:rPr>
        <w:t>.</w:t>
      </w:r>
    </w:p>
    <w:p>
      <w:pPr>
        <w:pStyle w:val="TextBody"/>
        <w:bidi w:val="0"/>
        <w:spacing w:lineRule="auto" w:line="288" w:before="0" w:after="180"/>
        <w:jc w:val="left"/>
        <w:rPr/>
      </w:pPr>
      <w:r>
        <w:rPr>
          <w:rFonts w:ascii="Times New Roman;serif" w:hAnsi="Times New Roman;serif"/>
          <w:b w:val="false"/>
          <w:i/>
          <w:color w:val="000000"/>
          <w:sz w:val="20"/>
        </w:rPr>
        <w:t>Gross Profit</w:t>
      </w:r>
      <w:r>
        <w:rPr>
          <w:rFonts w:ascii="Times New Roman;serif" w:hAnsi="Times New Roman;serif"/>
          <w:b w:val="false"/>
          <w:color w:val="000000"/>
          <w:sz w:val="20"/>
        </w:rPr>
        <w:t>. Our Commercial &amp; Industrial segment’s gross profit during the three months ended March 31, 2026 increased by $9.3 million, or 34.6%, compared to the three months ended March 31, 2025. Gross profit as a percentage of revenue increased from 21.4% for the three months ended March 31, 2025 to 28.6% for the thee months ended March 31, 2026, as we benefited from strong execution on certain large data center projects</w:t>
      </w:r>
      <w:r>
        <w:rPr>
          <w:rFonts w:ascii="Times New Roman;serif" w:hAnsi="Times New Roman;serif"/>
          <w:b w:val="false"/>
          <w:color w:val="000000"/>
          <w:sz w:val="20"/>
          <w:shd w:fill="FFFFFF" w:val="clear"/>
        </w:rPr>
        <w:t>.</w:t>
      </w:r>
    </w:p>
    <w:p>
      <w:pPr>
        <w:pStyle w:val="TextBody"/>
        <w:bidi w:val="0"/>
        <w:spacing w:lineRule="auto" w:line="288" w:before="0" w:after="0"/>
        <w:jc w:val="left"/>
        <w:rPr/>
      </w:pPr>
      <w:r>
        <w:rPr>
          <w:rFonts w:ascii="Times New Roman;serif" w:hAnsi="Times New Roman;serif"/>
          <w:b w:val="false"/>
          <w:color w:val="000000"/>
          <w:sz w:val="20"/>
        </w:rPr>
        <w:t>Selling, General a</w:t>
      </w:r>
      <w:r>
        <w:rPr>
          <w:rFonts w:ascii="Times New Roman;serif" w:hAnsi="Times New Roman;serif"/>
          <w:b w:val="false"/>
          <w:color w:val="000000"/>
          <w:sz w:val="20"/>
          <w:shd w:fill="FFFFFF" w:val="clear"/>
        </w:rPr>
        <w:t>nd Administrative Expenses. Our Commercial &amp; Industrial segment’s selling, general and administrative expenses during the three months ended March 31, 2026 increased by $3.7 million, or 33.8%, compared to the three months ended March 31, 2025 primarily as a result of increased employee compensation cost as we continue to invest in the growth of the business and higher incentive compensation as a result of successful project execution. Selling, general and administrative expenses as a percentage of revenue increased from 8.8% for the three months ended March 31, 2025 to 11.7% for the three months ended March 31, 2026 as a result of the increased compensation expense discussed above.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p>
    <w:tbl>
      <w:tblPr>
        <w:tblW w:w="9826" w:type="dxa"/>
        <w:jc w:val="center"/>
        <w:tblInd w:w="0" w:type="dxa"/>
        <w:tblLayout w:type="fixed"/>
        <w:tblCellMar>
          <w:top w:w="28" w:type="dxa"/>
          <w:left w:w="28" w:type="dxa"/>
          <w:bottom w:w="28" w:type="dxa"/>
          <w:right w:w="28" w:type="dxa"/>
        </w:tblCellMar>
      </w:tblPr>
      <w:tblGrid>
        <w:gridCol w:w="1353"/>
        <w:gridCol w:w="1187"/>
        <w:gridCol w:w="1195"/>
        <w:gridCol w:w="109"/>
        <w:gridCol w:w="109"/>
        <w:gridCol w:w="109"/>
        <w:gridCol w:w="114"/>
        <w:gridCol w:w="114"/>
        <w:gridCol w:w="114"/>
        <w:gridCol w:w="413"/>
        <w:gridCol w:w="413"/>
        <w:gridCol w:w="114"/>
        <w:gridCol w:w="114"/>
        <w:gridCol w:w="114"/>
        <w:gridCol w:w="114"/>
        <w:gridCol w:w="308"/>
        <w:gridCol w:w="308"/>
        <w:gridCol w:w="114"/>
        <w:gridCol w:w="114"/>
        <w:gridCol w:w="114"/>
        <w:gridCol w:w="114"/>
        <w:gridCol w:w="114"/>
        <w:gridCol w:w="114"/>
        <w:gridCol w:w="114"/>
        <w:gridCol w:w="114"/>
        <w:gridCol w:w="114"/>
        <w:gridCol w:w="114"/>
        <w:gridCol w:w="413"/>
        <w:gridCol w:w="413"/>
        <w:gridCol w:w="114"/>
        <w:gridCol w:w="114"/>
        <w:gridCol w:w="114"/>
        <w:gridCol w:w="114"/>
        <w:gridCol w:w="308"/>
        <w:gridCol w:w="308"/>
        <w:gridCol w:w="114"/>
        <w:gridCol w:w="109"/>
        <w:gridCol w:w="109"/>
        <w:gridCol w:w="154"/>
      </w:tblGrid>
      <w:tr>
        <w:trPr/>
        <w:tc>
          <w:tcPr>
            <w:tcW w:w="135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4"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March 31,</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2" w:type="dxa"/>
            <w:gridSpan w:val="30"/>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 Percentage of revenues)</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221,343 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165,047 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171,880 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56,296 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25,268 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31,130 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jc w:val="left"/>
        <w:rPr/>
      </w:pPr>
      <w:r>
        <w:rPr>
          <w:rFonts w:ascii="Times New Roman;serif" w:hAnsi="Times New Roman;serif"/>
          <w:b w:val="false"/>
          <w:i/>
          <w:color w:val="000000"/>
          <w:sz w:val="20"/>
        </w:rPr>
        <w:t xml:space="preserve">Revenues. </w:t>
      </w:r>
      <w:r>
        <w:rPr>
          <w:rFonts w:ascii="Times New Roman;serif" w:hAnsi="Times New Roman;serif"/>
          <w:b w:val="false"/>
          <w:color w:val="000000"/>
          <w:sz w:val="20"/>
        </w:rPr>
        <w:t>Revenues in our Commercial &amp; Industrial segment increased by $7.5 million, or 3.5%, during the six months ended March 31, 2026, compared to the six months ended March 31, 2025. The increase was prim</w:t>
      </w:r>
      <w:r>
        <w:rPr>
          <w:rFonts w:ascii="Times New Roman;serif" w:hAnsi="Times New Roman;serif"/>
          <w:b w:val="false"/>
          <w:color w:val="000000"/>
          <w:sz w:val="20"/>
          <w:shd w:fill="FFFFFF" w:val="clear"/>
        </w:rPr>
        <w:t>arily driven by continued strong demand and successful execution of backlog, particularly in the data center end market, as well as expansion of one of our operations in the Midwest market.</w:t>
      </w:r>
    </w:p>
    <w:p>
      <w:pPr>
        <w:pStyle w:val="TextBody"/>
        <w:bidi w:val="0"/>
        <w:spacing w:lineRule="auto" w:line="288" w:before="0" w:after="0"/>
        <w:jc w:val="left"/>
        <w:rPr/>
      </w:pPr>
      <w:r>
        <w:rPr>
          <w:rFonts w:ascii="Times New Roman;serif" w:hAnsi="Times New Roman;serif"/>
          <w:b w:val="false"/>
          <w:i/>
          <w:color w:val="000000"/>
          <w:sz w:val="20"/>
        </w:rPr>
        <w:t>Gross Profit</w:t>
      </w:r>
      <w:r>
        <w:rPr>
          <w:rFonts w:ascii="Times New Roman;serif" w:hAnsi="Times New Roman;serif"/>
          <w:b w:val="false"/>
          <w:color w:val="000000"/>
          <w:sz w:val="20"/>
        </w:rPr>
        <w:t>. Our Commercial &amp; Industrial segment’s gross profit during the six months ended March 31, 2026 increased by $14.3 million, or 34.1%, compared to the six months ended March 31, 2025. Gross profit as a percentage of revenue was 25.4% for the six months ended March 31, 2026 compared with 19.6% for the six months ended March 31, 2025 as w</w:t>
      </w:r>
      <w:r>
        <w:rPr>
          <w:rFonts w:ascii="Times New Roman;serif" w:hAnsi="Times New Roman;serif"/>
          <w:b w:val="false"/>
          <w:color w:val="000000"/>
          <w:sz w:val="20"/>
          <w:shd w:fill="FFFFFF" w:val="clear"/>
        </w:rPr>
        <w:t xml:space="preserve">e benefited from strong execution on certain large data center projects.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val="false"/>
          <w:i/>
          <w:color w:val="000000"/>
          <w:sz w:val="20"/>
        </w:rPr>
        <w:t>Selling, General and Ad</w:t>
      </w:r>
      <w:r>
        <w:rPr>
          <w:rFonts w:ascii="Times New Roman;serif" w:hAnsi="Times New Roman;serif"/>
          <w:b w:val="false"/>
          <w:i/>
          <w:color w:val="000000"/>
          <w:sz w:val="20"/>
          <w:shd w:fill="FFFFFF" w:val="clear"/>
        </w:rPr>
        <w:t xml:space="preserve">ministrative Expenses. </w:t>
      </w:r>
      <w:r>
        <w:rPr>
          <w:rFonts w:ascii="Times New Roman;serif" w:hAnsi="Times New Roman;serif"/>
          <w:b w:val="false"/>
          <w:color w:val="000000"/>
          <w:sz w:val="20"/>
          <w:shd w:fill="FFFFFF" w:val="clear"/>
        </w:rPr>
        <w:t>Our Commercial &amp; Industrial segment’s selling, general and administrative expenses during the six months ended March 31, 2026 increased by $6.2 million, or 32.4%, compared to the six months ended March 31, 2025 primarily as a result of increased employee compensation cost, including higher incentive compensation as a result of successful project execution, as we continue to invest in growth of the business. Selling, general and administrative expenses as a percentage of revenue increased to 11.4% for the six months ended March 31, 2026 compare</w:t>
      </w:r>
      <w:r>
        <w:rPr>
          <w:rFonts w:ascii="Times New Roman;serif" w:hAnsi="Times New Roman;serif"/>
          <w:b w:val="false"/>
          <w:color w:val="000000"/>
          <w:sz w:val="20"/>
        </w:rPr>
        <w:t xml:space="preserve">d with 8.9% for the six months ended March 31, 2025 as a result of the increased compensation expense discussed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INTEREST AND OTHER INCOME (EXPENSE)</w:t>
      </w:r>
    </w:p>
    <w:tbl>
      <w:tblPr>
        <w:tblW w:w="6684" w:type="dxa"/>
        <w:jc w:val="center"/>
        <w:tblInd w:w="0" w:type="dxa"/>
        <w:tblLayout w:type="fixed"/>
        <w:tblCellMar>
          <w:top w:w="28" w:type="dxa"/>
          <w:left w:w="28" w:type="dxa"/>
          <w:bottom w:w="28" w:type="dxa"/>
          <w:right w:w="28" w:type="dxa"/>
        </w:tblCellMar>
      </w:tblPr>
      <w:tblGrid>
        <w:gridCol w:w="1087"/>
        <w:gridCol w:w="952"/>
        <w:gridCol w:w="961"/>
        <w:gridCol w:w="109"/>
        <w:gridCol w:w="109"/>
        <w:gridCol w:w="109"/>
        <w:gridCol w:w="177"/>
        <w:gridCol w:w="177"/>
        <w:gridCol w:w="177"/>
        <w:gridCol w:w="359"/>
        <w:gridCol w:w="362"/>
        <w:gridCol w:w="177"/>
        <w:gridCol w:w="177"/>
        <w:gridCol w:w="177"/>
        <w:gridCol w:w="177"/>
        <w:gridCol w:w="177"/>
        <w:gridCol w:w="177"/>
        <w:gridCol w:w="177"/>
        <w:gridCol w:w="307"/>
        <w:gridCol w:w="309"/>
        <w:gridCol w:w="250"/>
      </w:tblGrid>
      <w:tr>
        <w:trPr/>
        <w:tc>
          <w:tcPr>
            <w:tcW w:w="108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 March 31,</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37,333 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5,488 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2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and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36,376 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5,987 </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incurred interest expense of $1.5 million primarily comprised of interest on our revolving credit facility, which had an average outstanding balance of $83.9 million, interest on our finance lease agreements and fees on an average letter of credit balance of $11.3 million under our revolving credit facility and an average unused line of credit balance of $204.8 million. This compares to interest expense of $0.3 million for the three months ended March 31, 2025, primarily comprised of interest on our finance lease agreements and fees on an average letter of credit balance of $5.5 million under our revolving credit facility and an average unused line of credit balance of $264.9 million.</w:t>
      </w:r>
    </w:p>
    <w:p>
      <w:pPr>
        <w:pStyle w:val="TextBody"/>
        <w:bidi w:val="0"/>
        <w:spacing w:before="0" w:after="0"/>
        <w:jc w:val="left"/>
        <w:rPr/>
      </w:pPr>
      <w:r>
        <w:rPr/>
      </w:r>
    </w:p>
    <w:p>
      <w:pPr>
        <w:pStyle w:val="TextBody"/>
        <w:bidi w:val="0"/>
        <w:spacing w:lineRule="auto" w:line="288" w:before="0" w:after="180"/>
        <w:jc w:val="left"/>
        <w:rPr/>
      </w:pPr>
      <w:r>
        <w:rPr>
          <w:rFonts w:ascii="Times New Roman;serif" w:hAnsi="Times New Roman;serif"/>
          <w:b w:val="false"/>
          <w:color w:val="000000"/>
          <w:sz w:val="20"/>
        </w:rPr>
        <w:t>We recorded a net gain on marketable securities of $37.3 million for the three months ended March 31, 2026 compared to $5.5 million for the three months ended March 31, 2025 reflecting both</w:t>
      </w:r>
      <w:r>
        <w:rPr>
          <w:color w:val="000000"/>
          <w:shd w:fill="FFFFFF" w:val="clear"/>
        </w:rPr>
        <w:t xml:space="preserve"> </w:t>
      </w:r>
      <w:r>
        <w:rPr>
          <w:rFonts w:ascii="Times New Roman;serif" w:hAnsi="Times New Roman;serif"/>
          <w:b w:val="false"/>
          <w:color w:val="000000"/>
          <w:sz w:val="20"/>
          <w:shd w:fill="FFFFFF" w:val="clear"/>
        </w:rPr>
        <w:t>realized gains and an increase in the market value of our holdings.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536" w:type="dxa"/>
        <w:jc w:val="left"/>
        <w:tblInd w:w="0" w:type="dxa"/>
        <w:tblLayout w:type="fixed"/>
        <w:tblCellMar>
          <w:top w:w="28" w:type="dxa"/>
          <w:left w:w="28" w:type="dxa"/>
          <w:bottom w:w="28" w:type="dxa"/>
          <w:right w:w="28" w:type="dxa"/>
        </w:tblCellMar>
      </w:tblPr>
      <w:tblGrid>
        <w:gridCol w:w="1087"/>
        <w:gridCol w:w="952"/>
        <w:gridCol w:w="961"/>
        <w:gridCol w:w="109"/>
        <w:gridCol w:w="109"/>
        <w:gridCol w:w="109"/>
        <w:gridCol w:w="164"/>
        <w:gridCol w:w="164"/>
        <w:gridCol w:w="164"/>
        <w:gridCol w:w="359"/>
        <w:gridCol w:w="362"/>
        <w:gridCol w:w="164"/>
        <w:gridCol w:w="164"/>
        <w:gridCol w:w="164"/>
        <w:gridCol w:w="164"/>
        <w:gridCol w:w="164"/>
        <w:gridCol w:w="164"/>
        <w:gridCol w:w="164"/>
        <w:gridCol w:w="307"/>
        <w:gridCol w:w="309"/>
        <w:gridCol w:w="232"/>
      </w:tblGrid>
      <w:tr>
        <w:trPr/>
        <w:tc>
          <w:tcPr>
            <w:tcW w:w="108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Six Months Ended March 31,</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6"/>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54,188 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interest and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54,591 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9,032 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180"/>
        <w:jc w:val="left"/>
        <w:rPr/>
      </w:pPr>
      <w:r>
        <w:rPr>
          <w:rFonts w:ascii="Times New Roman;serif" w:hAnsi="Times New Roman;serif"/>
          <w:b w:val="false"/>
          <w:color w:val="000000"/>
          <w:sz w:val="20"/>
        </w:rPr>
        <w:t>During the six months ended March 31, 2026, w</w:t>
      </w:r>
      <w:r>
        <w:rPr>
          <w:rFonts w:ascii="Times New Roman;serif" w:hAnsi="Times New Roman;serif"/>
          <w:b w:val="false"/>
          <w:color w:val="000000"/>
          <w:sz w:val="20"/>
          <w:shd w:fill="FFFFFF" w:val="clear"/>
        </w:rPr>
        <w:t>e incurred interest expense of $2.0 million primarily comprised of interest on our revolving credit facility, which had an average outstanding balance of $41.6 million, interest on our finance lease agreements and fees on an average letter of credit balance of $10.2 million under our revolving credit facility and an average unused line of credit balance of $248.2 million. This compares to interest expense of $0.8 million for the six months ended March 31, 2025, primarily comprised of interest on our finance lease agreements and fees on an average letter of credit balance of $5.5 million under our revolving credit facility and an average unused line of credit balance of $203.6 million.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recorded a net gain on marketable securities of $54.2 million for the six months ended March 31, 2026 compared to $7.9 million for the six months ended March 31, 2025 reflecting both realized gains and an increase in the market value of our holdings.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PROVISION FOR INCOME TAXES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recorded income tax expense of $38.3 million for the three months ended March 31, 2026, compared to $26.1 million for the three months ended March 31, 2025, driven primarily by increased pretax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recorded income tax expense of $66.7 million for the six months ended March 31, 2026, compared to $46.1 million for the six months ended March 31, 2025, driven primarily by increased pretax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Management’s discussion and analysis of financial condition and results of operations is based on our Condensed Consolidated Financial Statements included in this Quarterly Report on Form 10-Q, which have been prepared in accordance with U.S. generally accepted accounting principles (“GAAP”). The preparation of our Condensed Consolidated Financial Statements requires us to make estimates and assumptions that affect the reported amounts of assets and liabilities, disclosures of contingent assets and liabilities known to exist as of the date of the Condensed Consolidated Financial Statements, and the reported amounts of revenues and expenses recognized during the periods presented. We review all significant estimates affecting our Condensed Consolidated Financial Statements on a recurring basis and record the effect of any necessary adjustments prior to their publication. Judgments and estimates are based on our beliefs and assumptions derived from information available at the time such judgments and estimates are made. Uncertainties with respect to such estimates and assumptions are inherent in the preparation of financial statements. There can be no assurance that actual results will not differ from those estimates. For a discussion of our significant accounting policies, please see our Annual Report on Form 10-K for the fiscal year ended September 30, 2025. Some of the more significant estimates include revenue recognition and business combinations.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our accounting policies as disclosed in our Annual Report on Form 10-K for the fiscal year ended September 30,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REMAINING PERFORMANCE OBLIGATIONS AND BACKLOG</w:t>
      </w:r>
    </w:p>
    <w:p>
      <w:pPr>
        <w:pStyle w:val="TextBody"/>
        <w:bidi w:val="0"/>
        <w:spacing w:before="0" w:after="0"/>
        <w:jc w:val="center"/>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Remaining performance obligations represent the unrecognized revenue value of our contractual commitments. While backlog is not a defined term under GAAP, it is a common measurement used in our industry, and we believe it improves our ability to forecast future results and identify operating trends that may not otherwise be apparent. Backlog is a measure of revenue that we expect to recognize from work that has yet to be performed on uncompleted contracts and from work that has been contracted but has not started, exclusive of short-term projects. While all of our backlog is supported by documentation from customers, backlog is not a guarantee of future revenues, as contractual commitments may change and our performance may vary. Not all of our work is performed under contracts included in backlog; for example, most of the apparatus repair work that is completed by our Infrastructure Solutions segment is performed under master service agreements on an as-needed basis. Additionally, electrical, plumbing and HVAC installation services for single-family housing at our Residential segment are completed on a short-term basis and are therefore excluded from backlog. In our Communications segment, we have a significant amount of shorter duration projects that can be substantially completed within a quarter. The table below summarizes our remaining performance obligations and backlog (in thousands):</w:t>
      </w:r>
    </w:p>
    <w:tbl>
      <w:tblPr>
        <w:tblW w:w="12304" w:type="dxa"/>
        <w:jc w:val="left"/>
        <w:tblInd w:w="0" w:type="dxa"/>
        <w:tblLayout w:type="fixed"/>
        <w:tblCellMar>
          <w:top w:w="28" w:type="dxa"/>
          <w:left w:w="28" w:type="dxa"/>
          <w:bottom w:w="28" w:type="dxa"/>
          <w:right w:w="28" w:type="dxa"/>
        </w:tblCellMar>
      </w:tblPr>
      <w:tblGrid>
        <w:gridCol w:w="468"/>
        <w:gridCol w:w="411"/>
        <w:gridCol w:w="412"/>
        <w:gridCol w:w="196"/>
        <w:gridCol w:w="871"/>
        <w:gridCol w:w="109"/>
        <w:gridCol w:w="196"/>
        <w:gridCol w:w="871"/>
        <w:gridCol w:w="109"/>
        <w:gridCol w:w="196"/>
        <w:gridCol w:w="871"/>
        <w:gridCol w:w="109"/>
        <w:gridCol w:w="109"/>
        <w:gridCol w:w="109"/>
        <w:gridCol w:w="109"/>
        <w:gridCol w:w="196"/>
        <w:gridCol w:w="871"/>
        <w:gridCol w:w="109"/>
        <w:gridCol w:w="196"/>
        <w:gridCol w:w="736"/>
        <w:gridCol w:w="109"/>
        <w:gridCol w:w="196"/>
        <w:gridCol w:w="871"/>
        <w:gridCol w:w="109"/>
        <w:gridCol w:w="109"/>
        <w:gridCol w:w="109"/>
        <w:gridCol w:w="109"/>
        <w:gridCol w:w="196"/>
        <w:gridCol w:w="871"/>
        <w:gridCol w:w="109"/>
        <w:gridCol w:w="196"/>
        <w:gridCol w:w="736"/>
        <w:gridCol w:w="109"/>
        <w:gridCol w:w="196"/>
        <w:gridCol w:w="871"/>
        <w:gridCol w:w="154"/>
      </w:tblGrid>
      <w:tr>
        <w:trPr/>
        <w:tc>
          <w:tcPr>
            <w:tcW w:w="4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31, 2025</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Remaining Performance Obligations</w:t>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 xml:space="preserve">Agreements without an enforceable obligation </w:t>
            </w:r>
            <w:r>
              <w:rPr>
                <w:rFonts w:ascii="Times New Roman;serif" w:hAnsi="Times New Roman;serif"/>
                <w:b w:val="false"/>
                <w:color w:val="000000"/>
                <w:sz w:val="11"/>
              </w:rPr>
              <w:t>(1)</w:t>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Backlog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Remaining Performance Obligations</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 xml:space="preserve">Agreements without an enforceable obligation </w:t>
            </w:r>
            <w:r>
              <w:rPr>
                <w:rFonts w:ascii="Times New Roman;serif" w:hAnsi="Times New Roman;serif"/>
                <w:b w:val="false"/>
                <w:color w:val="000000"/>
                <w:sz w:val="11"/>
              </w:rPr>
              <w:t>(1)</w:t>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Backlog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Remaining Performance Obligations</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 xml:space="preserve">Agreements without an enforceable obligation </w:t>
            </w:r>
            <w:r>
              <w:rPr>
                <w:rFonts w:ascii="Times New Roman;serif" w:hAnsi="Times New Roman;serif"/>
                <w:b w:val="false"/>
                <w:color w:val="000000"/>
                <w:sz w:val="11"/>
              </w:rPr>
              <w:t>(1)</w:t>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Backlog</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millions)</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Communications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954,134 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1,377,317 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755,807 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680,999 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Residential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364,413 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Infrastructure Solutions </w:t>
            </w:r>
            <w:r>
              <w:rPr>
                <w:rFonts w:ascii="Times New Roman;serif" w:hAnsi="Times New Roman;serif"/>
                <w:b w:val="false"/>
                <w:color w:val="000000"/>
                <w:sz w:val="11"/>
              </w:rPr>
              <w:t>(2)</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738,335 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490,557 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619,248 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Commercial &amp; Industrial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613,633 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268,924 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2,347,101 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1,515,002 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3,862,103 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1,686,583 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687,207 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2,373,790 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1,225,985 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586,724 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1,812,709 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Our backlog contains signed agreements and letters of intent, which we do not have a legal right to enforce prior to work starting. These arrangements are excluded from remaining performance obligations until work begins.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During the quarter ended March 31, 2026, Infrastructure Solutions acquired $29.1 million of remaining performance obligations and backlog in connection with the acquisition of Gulf Island.</w:t>
      </w:r>
    </w:p>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WORKING CAPITAL</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March 31, 2026, working capital exclusive of cash, cash equivalents and restricted cash increased by $87.4 million from September 30, 2025, reflecting a $287.0 million increase in current assets excluding cash and restricted cash and a $199.6 million increase in current liabilities during the period.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March 31, 2026, our current assets exclusive of cash, cash equivalents and restricted cash increased to $1,245.3 million, as compared to $958.3 million as of September 30, 2025. The increase was primarily driven by a $121.9 million increase in accounts receivable including retainage associated with an increase in activity, and a $109.4 million increase in marketable securities. In addition, costs and estimated earnings in excess of billings increased by $31.6 million, driven by increased activity and the timing of contract billings.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March 31, 2026, our total current liabilities increased by $199.6 million to $833.0 million, compared to $633.4 million as of September 30, 2025, primarily driven by a $109.8 million increase in billings in excess of costs and estimated earnings associated with increased activity and the timing of contract billings. We also incurred $35.0 million of debt, which we have classified as a current liability as a result of our intention to repay it within the next 12 months, in connection with our acquisition of Gulf Island. Finally, accounts payable increased by $54.8 million as a result of increased activity.</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Surety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believe the bonding capacity provided by our sureties is adequate for our current operations and will be adequate for our operations for the foreseeable future. As of March 31, 2026, the estimated cost to complete our bonded projects was approximately $312.4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Revolving Credit Facility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a party to the Fourth Amended and Restated Credit Agreement (the “Amended Credit Agreement”), which provides for a revolving line of credit of $300 million, maturing on January 21, 2030. </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Under the Amended Credit Agreement, the Company is subject to certain financial covenants including a maximum Consolidated Total Leverage Ratio (as defined in the Amended Credit Agreement) of 3.00 to 1.00 and a minimum Consolidated Interest Coverage Ratio (as defined in the Amended Credit Agreement) of 3.00 to 1.00. As of March 31, 2026, the Company was in compliance with the financial covenants under the Amended Credit Agreement.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Amounts outstanding bear interest at a rate equal to either (1) the Base Rate (which is the greater of the Federal Funds Rate (as defined in the Amended Credit Agreement) and the Prime Rate (as defined in the Amended Credit Agreement)), (2) the Daily Simple SOFR (as defined in the Amended Credit Agreement) or (3) Term SOFR (as defined in the Amended Credit Agreement), plus, in each case, an interest rate margin, which is determined quarterly based on our Consolidated Total Leverage Ratio, in accordance with the following thresholds:</w:t>
      </w:r>
    </w:p>
    <w:tbl>
      <w:tblPr>
        <w:tblW w:w="10205" w:type="dxa"/>
        <w:jc w:val="center"/>
        <w:tblInd w:w="0" w:type="dxa"/>
        <w:tblLayout w:type="fixed"/>
        <w:tblCellMar>
          <w:top w:w="28" w:type="dxa"/>
          <w:left w:w="28" w:type="dxa"/>
          <w:bottom w:w="28" w:type="dxa"/>
          <w:right w:w="28" w:type="dxa"/>
        </w:tblCellMar>
      </w:tblPr>
      <w:tblGrid>
        <w:gridCol w:w="344"/>
        <w:gridCol w:w="303"/>
        <w:gridCol w:w="305"/>
        <w:gridCol w:w="109"/>
        <w:gridCol w:w="109"/>
        <w:gridCol w:w="109"/>
        <w:gridCol w:w="1040"/>
        <w:gridCol w:w="1040"/>
        <w:gridCol w:w="1042"/>
        <w:gridCol w:w="109"/>
        <w:gridCol w:w="109"/>
        <w:gridCol w:w="109"/>
        <w:gridCol w:w="1004"/>
        <w:gridCol w:w="988"/>
        <w:gridCol w:w="991"/>
        <w:gridCol w:w="109"/>
        <w:gridCol w:w="109"/>
        <w:gridCol w:w="109"/>
        <w:gridCol w:w="643"/>
        <w:gridCol w:w="627"/>
        <w:gridCol w:w="897"/>
      </w:tblGrid>
      <w:tr>
        <w:trPr/>
        <w:tc>
          <w:tcPr>
            <w:tcW w:w="34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Pricing Level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Consolidated Total Leverage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Margin applicable to Daily Simple SOFR/Term SOFR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Interest Margin applicable to Base Rate</w:t>
            </w:r>
          </w:p>
        </w:tc>
      </w:tr>
      <w:tr>
        <w:trPr/>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Greater than or equal to 2.50 to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2.25 percentage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1.25 percentage points</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Greater than or equal to 1.75 to 1.00, but less than 2.50 to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 percentage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1.00 percentage points</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Greater than or equal to 1.00 to 1.00, but less than 1.75 to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 percentage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0.75 percentage points</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1.00 to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1.50 percentage points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0.50 percentage points</w:t>
            </w:r>
          </w:p>
        </w:tc>
      </w:tr>
    </w:tbl>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we are charged monthly in arrears an unused commitment fee of 0.25% to 0.35% per annum on any unused portion of the revolving credit facility based on the Company's Consolidated Total Leverage Ratio.</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Amended Credit Agreement restricts certain types of transactions when the Company’s Consolidated Total Leverage Ratio, after giving pro forma effect thereto, exceeds 2.75 to 1.00. The Amended Credit Agreement continues to contain other customary affirmative and negative covenants as well as events of default.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Amended Credit Agreement, if in the future our Consolidated Total Leverage Ratio is greater than 3.00:1.00, or our Consolidated Interest Coverage Ratio is less than 3.00:1.00, or if we otherwise fail to perform or otherwise comply with certain of our covenants or other agreements under the Amended Credit Agreement, it would result in an event of default under the Amended Credit Agreement, which could result in some or all of our then-outstanding indebtedness becoming immediately due and payable.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At March 31, 2026, we had $11.3 million in outstanding letters of credit and $35.0 million of outstanding borrowings under our revolving credit facility.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cash flow from operations is not only influenced by cyclicality, demand for our services, operating margins and the type of services we provide, but can also be influenced by working capital needs such as the timing of our receivable collections. Working capital needs are generally lower during our fiscal first and second quarters due to the seasonality that we experience in many regions of the country; however, a seasonal decline in working capital may be offset by needs associated with higher growth or acquisitions. Currently, our working capital needs are higher than they have been historically, as a result of growth of our business and elevated commodity prices.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$131.0 million during the six months ended March 31, 2026, as compared to $62.1 million in the six months ended March 31, 2025. The increase in operating cash flow primarily resulted from increased earnings in the six months ended March 31, 2026 as compared with the six months ended March 31, 2025.</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was $221.1 million for the six months ended March 31, 2026, compared to $97.1 million used in investing activities in the six months ended March 31, 2025. During the six months ended March 31, 2026, we used $143.1 million to fund the purchase of Gulf Island and $78.4 million for capital expenditures in support of the growth of our business. During the six months ended March 31, 2025, we paid $44.9 million to acquire a membership interest in Jett Texas Company LLC (“Jett”), an investment company, as part of the financing of Jett's investment in the CB&amp;I storage solutions business. We also made capital expenditures of $30.1 million as we continued to purchase new assets instead of entering into new lease agreements at our Communications segment and made other capital expenditures to support the growth of our business. </w:t>
      </w:r>
    </w:p>
    <w:p>
      <w:pPr>
        <w:pStyle w:val="TextBody"/>
        <w:bidi w:val="0"/>
        <w:spacing w:before="0" w:after="0"/>
        <w:jc w:val="left"/>
        <w:rPr/>
      </w:pPr>
      <w:r>
        <w:rPr/>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for the six months ended March 31, 2026 was $12.5 million, compared to net cash used in financing activities of $43.4 million for the six months ended March 31, 2025. Net cash provided by financing activities for the six months ended March 31, 2026 included net borrowings of $35.0 million on our revolving credit facility, partly offset by $19.4 million used to repurchase our common stock, primarily to satisfy statutory withholding requirements upon the vesting of employee stock compensation. Net cash used in financing activities for the six months ended March 31, 2025 included $36.3 million used to repurchase our common stock, including repurchases to satisfy statutory withholding requirements upon the vesting of employee stock compensation, and $5.0 million in distributions to noncontrolling interests under operating agreements in connection with certain acquisitions.</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Stock Repurchase Program</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July 31, 2024, our Board authorized a stock repurchase program for the purchase from time to time of up to $200.0 million of the Company’s common stock after the previous stock repurchase program was fully utilized. Share purchases are made for cash in open market transactions at prevailing market prices or in privately negotiated transactions or otherwise. The timing and amount of purchases under the program are determined based upon prevailing market conditions, our liquidity requirements, contractual restrictions and other factors. All or part of the repurchases may be implemented under a Rule 10b5-1 trading plan, which allows repurchases under pre-set terms at times when the Company might otherwise be prevented from purchasing under insider trading laws or because of self-imposed blackout periods. The program does not require the Company to purchase any specific number of shares and may be modified, suspended, reinstated, or terminated at any time at the Company’s discretion and without notice. We repurchased 4,112 shares of our common stock in open market transactions during the six months ended March 31, 2026.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MATERIAL CASH REQUIREMENTS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From time to time, we may enter into firm purchase commitments for materials, such as copper or aluminum wire, which we expect to use in the ordinary course of business. These commitments are typically for terms of less than one year and require us to buy minimum quantities of materials at specific intervals at a fixed price over the term. As of March 31, 2026, we had firm commitments of $15.8 million outstanding under agreements to purchase materials in the next 12 months in the ordinary course of business. In January 2026, we funded our purchase of Gulf Island with a combination of borrowings on our revolving line of credit and cash on hand. In connection with the purchase of Gulf Island and the planned expansion of products produced there, as well as continuing investment in expanded customer offerings and capacity across our business, we have raised our expected capital expenditure forecast for fiscal 2026 to a range of $145 million to $160 million. There have been no other material changes in our material cash requirements from those disclosed in our Annual Report on Form 10-K for the fiscal year ended September 30, 2025. We expect that cash and cash equivalents, cash flow from operations and availability under our revolving credit facility will be sufficient to satisfy cash requirements during at least the next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0"/>
        </w:rPr>
        <w:t xml:space="preserve">Item 3. </w:t>
      </w:r>
      <w:r>
        <w:rPr>
          <w:rFonts w:ascii="Times New Roman;serif" w:hAnsi="Times New Roman;serif"/>
          <w:b/>
          <w:i/>
          <w:color w:val="000000"/>
          <w:sz w:val="20"/>
        </w:rPr>
        <w:t>Quantitative and Qualitative Disclosures About Market Risk</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rPr>
        <w:t>Management is actively involved in monitoring exposure to market risk and continues to develop and utilize appropriate risk management techniques. Our exposure to significant market risks includes fluctuations in labor costs and commodity prices. We are also exposed to interest rate risk with respect to any debt obligations we may incur under our revolving credit facility. For additional information see</w:t>
      </w:r>
      <w:r>
        <w:rPr>
          <w:color w:val="000000"/>
        </w:rPr>
        <w:t xml:space="preserve"> “</w:t>
      </w:r>
      <w:r>
        <w:rPr>
          <w:rFonts w:ascii="Times New Roman;serif" w:hAnsi="Times New Roman;serif"/>
          <w:b w:val="false"/>
          <w:i/>
          <w:color w:val="000000"/>
          <w:sz w:val="20"/>
        </w:rPr>
        <w:t>Disclosure Regarding Forward-Looking Statements”</w:t>
      </w:r>
      <w:r>
        <w:rPr>
          <w:color w:val="000000"/>
        </w:rPr>
        <w:t xml:space="preserve"> </w:t>
      </w:r>
      <w:r>
        <w:rPr>
          <w:rFonts w:ascii="Times New Roman;serif" w:hAnsi="Times New Roman;serif"/>
          <w:b w:val="false"/>
          <w:color w:val="000000"/>
          <w:sz w:val="20"/>
        </w:rPr>
        <w:t>in Part I of this Quarterly Report on Form 10-Q and our risk factors in Part I, Item 1A. “</w:t>
      </w:r>
      <w:r>
        <w:rPr>
          <w:rFonts w:ascii="Times New Roman;serif" w:hAnsi="Times New Roman;serif"/>
          <w:b w:val="false"/>
          <w:i/>
          <w:color w:val="000000"/>
          <w:sz w:val="20"/>
        </w:rPr>
        <w:t xml:space="preserve">Risk Factors” </w:t>
      </w:r>
      <w:r>
        <w:rPr>
          <w:rFonts w:ascii="Times New Roman;serif" w:hAnsi="Times New Roman;serif"/>
          <w:b w:val="false"/>
          <w:color w:val="000000"/>
          <w:sz w:val="20"/>
        </w:rPr>
        <w:t>in our Annual Report on Form 10-K for the fiscal year ended September 30, 2025.</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Commodity Risk</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exposure to significant market risks includes fluctuations in commodity prices for, among other things, copper, aluminum, steel, electrical components, certain plastics and fuel. Commodity price risks may have an impact on our results of operations due to the fixed-price nature of many of our contracts. Over the long term, we expect to be able to pass along a portion of these costs to our customers, as market conditions in the industries we serve will allow.</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Investment Risk</w:t>
      </w:r>
    </w:p>
    <w:p>
      <w:pPr>
        <w:pStyle w:val="TextBody"/>
        <w:bidi w:val="0"/>
        <w:spacing w:before="0" w:after="0"/>
        <w:jc w:val="both"/>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We are exposed to market price volatility for our investments in marketable securities which</w:t>
      </w:r>
      <w:r>
        <w:rPr>
          <w:color w:val="000000"/>
        </w:rPr>
        <w:t xml:space="preserve"> </w:t>
      </w:r>
      <w:r>
        <w:rPr>
          <w:rFonts w:ascii="Times New Roman;serif" w:hAnsi="Times New Roman;serif"/>
          <w:b w:val="false"/>
          <w:color w:val="000000"/>
          <w:sz w:val="20"/>
        </w:rPr>
        <w:t>are carried at fair value measured using market prices, with gains and losses included under "Interest and other income (expense)" on our Condensed Consolidated Statements of Comprehensive Income. Changes in the market value of these investments could create volatility in our reported earnings from period to period, and a decline in value of our investments could have an adverse impact on our reported earnings. Changes in market value of these investments measured at fair value resulted in an unrealized gain of $34.6 million in the six months ended March 31, 2026. As of March 31, 2026, we had investments in marketable securities with a fair value of $214.0 million, and a 10% increase or decrease in the market value of these investments would cause a $21.4 million increase or decrease, respectively, to the carrying value of our investments in marketable securities and our pre-tax income. The hypothetical 10% increase or decrease does not represent the maximum extent to which the fair value of our investments could be affected by changes in market conditions. Our investments could decline in value by a far greater amount as a result of volatility in the equity markets and the concentrated nature of our investment portfolio.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Floating rate debt, where the interest rate fluctuates periodically, exposes us to short-term changes in market interest rates. Any borrowings under our revolving credit facility are structured on floating rate terms. We currently do not maintain any hedging contracts that would limit our exposure to variable rates of interest when we have outstanding borrowings under our revolving credit facility. The Amended Credit Agreement uses SOFR as the benchmark for establishing the interest rate charged on our borrowings. If SOFR were to increase, our interest payment obligations on any then-outstanding borrowings would increase, having a negative effect on our cash flow and financial condition. A one percentage point increase in the underlying SOFR rate on the $35.0 million of borrowings outstanding under our revolving credit facility as of March 31, 2026 would result in a $0.4 million pre-tax annual increase in interest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4.</w:t>
      </w:r>
      <w:r>
        <w:rPr>
          <w:color w:val="000000"/>
        </w:rPr>
        <w:t xml:space="preserve"> </w:t>
      </w:r>
      <w:r>
        <w:rPr>
          <w:rFonts w:ascii="Times New Roman;serif" w:hAnsi="Times New Roman;serif"/>
          <w:b/>
          <w:i/>
          <w:color w:val="000000"/>
          <w:sz w:val="20"/>
        </w:rPr>
        <w:t>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the Company’s internal control over financial reporting (as such term is defined in Rules 13a-15 and 15d-15 under the Securities Exchange Act of 1934, as amended (the “Exchange Act”)) during the fiscal quarter to which this report relates that have materially affected, or are reasonably likely to materially affect, the Company’s internal control over financial reporting. We are in the process of implementing a new enterprise resource planning (“ERP”) system, which will replace and upgrade many of our existing financial systems and processes. The ERP system is designed to accurately maintain our financial records and provide timely information to management to be used in operating the business. The first phase was implemented in the quarter ended December 31, 2024 and the Company continued working toward the next phase of the implementation through the quarter ended March 31, 2026. Upon the first phase implementation, the Company updated its internal controls as appropriate. As the implementation activities take place, we will continue to monitor the impact of the implementation on our financial reporting business processes and evaluate each quarter whether there are changes that affect our internal control over financial reporting.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Rules 13a-15 and 15d-15 of the Exchange Act, we carried out an evaluation, under the supervision and with the participation of management, including our Chief Executive Officer and our Chief Financial Officer, of the effectiveness of our disclosure controls and procedures as of the end of the period covered by this report. Based on that evaluation, our Chief Executive Officer and Chief Financial Officer concluded that our disclosure controls and procedures were effective as of March 31, 2026, to provide reasonable assurance that information required to be disclosed in our reports filed or submitted under the Exchange Act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recorded, processed, summarized and reported within the time periods specified in the Securities and Exchange Commission’s rules and forms. Our disclosure controls and procedures include controls and procedures designed to ensure that information required to be disclosed in reports filed or submitted under the Exchange Act is accumulated and communicated to our management, including our Chief Executive Officer and Chief Financial Officer, as appropriate, to allow timely decisions regarding required disclosure.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1. </w:t>
      </w:r>
      <w:r>
        <w:rPr>
          <w:rFonts w:ascii="Times New Roman;serif" w:hAnsi="Times New Roman;serif"/>
          <w:b/>
          <w:i/>
          <w:color w:val="000000"/>
          <w:sz w:val="20"/>
        </w:rPr>
        <w:t>Legal Proceedings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information regarding legal proceedings, see Note 12, “Commitments and Contingencies – Legal Matters” in the Notes to our Condensed Consolidated Financial Statements set forth in Part I, Item 1 of this Quarterly Report on Form 10-Q,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1A. </w:t>
      </w:r>
      <w:r>
        <w:rPr>
          <w:rFonts w:ascii="Times New Roman;serif" w:hAnsi="Times New Roman;serif"/>
          <w:b/>
          <w:i/>
          <w:color w:val="000000"/>
          <w:sz w:val="20"/>
        </w:rPr>
        <w:t>Risk Factors</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20"/>
        </w:rPr>
        <w:t xml:space="preserve">There have been no material changes to the risk factors disclosed under Part I, Item 1A. </w:t>
      </w:r>
      <w:r>
        <w:rPr>
          <w:color w:val="000000"/>
        </w:rPr>
        <w:t>“</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in our Annual Report on Form 10-K for the fiscal year ended September 30,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2. </w:t>
      </w:r>
      <w:r>
        <w:rPr>
          <w:rFonts w:ascii="Times New Roman;serif" w:hAnsi="Times New Roman;serif"/>
          <w:b/>
          <w:i/>
          <w:color w:val="000000"/>
          <w:sz w:val="20"/>
        </w:rPr>
        <w:t>Unregistered Sales of Equity Securities and Use of Proceeds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601"/>
        <w:gridCol w:w="471"/>
        <w:gridCol w:w="474"/>
        <w:gridCol w:w="494"/>
        <w:gridCol w:w="494"/>
        <w:gridCol w:w="495"/>
        <w:gridCol w:w="282"/>
        <w:gridCol w:w="965"/>
        <w:gridCol w:w="145"/>
        <w:gridCol w:w="766"/>
        <w:gridCol w:w="766"/>
        <w:gridCol w:w="768"/>
        <w:gridCol w:w="109"/>
        <w:gridCol w:w="1305"/>
        <w:gridCol w:w="1105"/>
        <w:gridCol w:w="965"/>
      </w:tblGrid>
      <w:tr>
        <w:trPr/>
        <w:tc>
          <w:tcPr>
            <w:tcW w:w="60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r>
      <w:tr>
        <w:trPr/>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8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Total Number of Shares Purchased</w:t>
            </w:r>
            <w:r>
              <w:rPr>
                <w:color w:val="000000"/>
              </w:rPr>
              <w:t xml:space="preserve"> </w:t>
            </w:r>
            <w:r>
              <w:rPr>
                <w:rFonts w:ascii="Times New Roman;serif" w:hAnsi="Times New Roman;serif"/>
                <w:b w:val="false"/>
                <w:color w:val="000000"/>
                <w:sz w:val="13"/>
              </w:rPr>
              <w:t>(1)</w:t>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Average Price Paid Per Share</w:t>
            </w:r>
          </w:p>
        </w:tc>
        <w:tc>
          <w:tcPr>
            <w:tcW w:w="23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Total Number of Shares Purchased as Part of a Publicly Announced Plan </w:t>
            </w:r>
          </w:p>
        </w:tc>
        <w:tc>
          <w:tcPr>
            <w:tcW w:w="109" w:type="dxa"/>
            <w:tcBorders/>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 xml:space="preserve">Maximum Dollar Value of Shares That May Yet Be Purchased Under the Publicly Announced Plan </w:t>
            </w:r>
            <w:r>
              <w:rPr>
                <w:rFonts w:ascii="Times New Roman;serif" w:hAnsi="Times New Roman;serif"/>
                <w:b w:val="false"/>
                <w:color w:val="000000"/>
                <w:sz w:val="13"/>
              </w:rPr>
              <w:t>(2)</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2026 – January 31, 2026</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167,950,925</w:t>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2026 – February 28, 2026</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167,950,925</w:t>
            </w:r>
          </w:p>
        </w:tc>
      </w:tr>
      <w:tr>
        <w:trPr/>
        <w:tc>
          <w:tcPr>
            <w:tcW w:w="1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1, 2026 – March 31, 2026</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4,112 </w:t>
            </w:r>
          </w:p>
        </w:tc>
        <w:tc>
          <w:tcPr>
            <w:tcW w:w="4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418.31 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4,112 </w:t>
            </w:r>
          </w:p>
        </w:tc>
        <w:tc>
          <w:tcPr>
            <w:tcW w:w="7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166,230,823</w:t>
            </w:r>
          </w:p>
        </w:tc>
      </w:tr>
      <w:tr>
        <w:trPr/>
        <w:tc>
          <w:tcPr>
            <w:tcW w:w="1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418.31 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4,112 </w:t>
            </w:r>
          </w:p>
        </w:tc>
        <w:tc>
          <w:tcPr>
            <w:tcW w:w="7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166,230,823</w:t>
            </w:r>
          </w:p>
        </w:tc>
      </w:tr>
    </w:tbl>
    <w:p>
      <w:pPr>
        <w:pStyle w:val="TextBody"/>
        <w:bidi w:val="0"/>
        <w:spacing w:lineRule="auto" w:line="331" w:before="0" w:after="0"/>
        <w:ind w:left="0" w:right="0" w:hanging="450"/>
        <w:jc w:val="left"/>
        <w:rPr/>
      </w:pPr>
      <w:r>
        <w:rPr>
          <w:rFonts w:ascii="Times New Roman;serif" w:hAnsi="Times New Roman;serif"/>
          <w:b w:val="false"/>
          <w:color w:val="000000"/>
          <w:sz w:val="16"/>
        </w:rPr>
        <w:t>(1)</w:t>
      </w:r>
      <w:r>
        <w:rPr>
          <w:color w:val="000000"/>
        </w:rPr>
        <w:t>    </w:t>
      </w:r>
      <w:r>
        <w:rPr>
          <w:rFonts w:ascii="Times New Roman;serif" w:hAnsi="Times New Roman;serif"/>
          <w:b w:val="false"/>
          <w:color w:val="000000"/>
          <w:sz w:val="16"/>
        </w:rPr>
        <w:t>The total number of shares purchased includes shares purchased pursuant to the program described in footnote (2) below.</w:t>
      </w:r>
    </w:p>
    <w:p>
      <w:pPr>
        <w:pStyle w:val="TextBody"/>
        <w:bidi w:val="0"/>
        <w:spacing w:lineRule="auto" w:line="288" w:before="0" w:after="0"/>
        <w:ind w:left="0" w:right="0" w:hanging="450"/>
        <w:jc w:val="left"/>
        <w:rPr/>
      </w:pPr>
      <w:r>
        <w:rPr>
          <w:rFonts w:ascii="Times New Roman;serif" w:hAnsi="Times New Roman;serif"/>
          <w:b w:val="false"/>
          <w:color w:val="000000"/>
          <w:sz w:val="16"/>
        </w:rPr>
        <w:t>(2)</w:t>
      </w:r>
      <w:r>
        <w:rPr>
          <w:color w:val="000000"/>
        </w:rPr>
        <w:t>    </w:t>
      </w:r>
      <w:r>
        <w:rPr>
          <w:rFonts w:ascii="Times New Roman;serif" w:hAnsi="Times New Roman;serif"/>
          <w:b w:val="false"/>
          <w:color w:val="000000"/>
          <w:sz w:val="16"/>
        </w:rPr>
        <w:t>On July 31, 2024, the Board authorized a new stock repurchase program for the purchase of up to $200 million of the Company’s common stock from time to time.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3. </w:t>
      </w:r>
      <w:r>
        <w:rPr>
          <w:rFonts w:ascii="Times New Roman;serif" w:hAnsi="Times New Roman;serif"/>
          <w:b/>
          <w:i/>
          <w:color w:val="000000"/>
          <w:sz w:val="20"/>
        </w:rPr>
        <w:t>Defaults Upon Senior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4. </w:t>
      </w:r>
      <w:r>
        <w:rPr>
          <w:rFonts w:ascii="Times New Roman;serif" w:hAnsi="Times New Roman;serif"/>
          <w:b/>
          <w:i/>
          <w:color w:val="000000"/>
          <w:sz w:val="20"/>
        </w:rPr>
        <w:t>Mine Safety Disclosures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 xml:space="preserve">Item 5. </w:t>
      </w:r>
      <w:r>
        <w:rPr>
          <w:rFonts w:ascii="Times New Roman;serif" w:hAnsi="Times New Roman;serif"/>
          <w:b/>
          <w:i/>
          <w:color w:val="000000"/>
          <w:sz w:val="20"/>
        </w:rPr>
        <w:t>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Rule 10b5-1 Trading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From time to time, members of the Company's Board of Directors and officers of the Company may enter into Rule 10b5-1 trading plans, which allow for the purchase or sale of common stock under pre-established terms at times when directors and officers might otherwise be prevented from trading under insider trading laws or because of self-imposed blackout periods. Such trading plans are intended to satisfy the affirmative defense conditions of Rule 10b5-1(c) under the Exchange Act and comply with the Company's Insider Trading Policy. During the three months ended March 31, 2026, none of the Company's directors or officers adopted, modified or terminated a “Rule 10b5-1 trading arrangement” or a “non-Rule 10b5-1 trading arrangement” as each term is defined under Item 408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Item 6. </w:t>
      </w:r>
      <w:r>
        <w:rPr>
          <w:rFonts w:ascii="Times New Roman;serif" w:hAnsi="Times New Roman;serif"/>
          <w:b/>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261"/>
        <w:gridCol w:w="230"/>
        <w:gridCol w:w="231"/>
        <w:gridCol w:w="2802"/>
        <w:gridCol w:w="2752"/>
        <w:gridCol w:w="3929"/>
      </w:tblGrid>
      <w:tr>
        <w:trPr/>
        <w:tc>
          <w:tcPr>
            <w:tcW w:w="26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802"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3929" w:type="dxa"/>
            <w:tcBorders/>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Exhibit</w:t>
            </w:r>
            <w:r>
              <w:rPr>
                <w:color w:val="000000"/>
              </w:rPr>
              <w:t xml:space="preserve"> </w:t>
            </w:r>
          </w:p>
          <w:p>
            <w:pPr>
              <w:pStyle w:val="TableContents"/>
              <w:bidi w:val="0"/>
              <w:spacing w:lineRule="auto" w:line="240" w:before="0" w:after="0"/>
              <w:jc w:val="center"/>
              <w:rPr>
                <w:rFonts w:ascii="Times New Roman;serif" w:hAnsi="Times New Roman;serif"/>
                <w:b/>
                <w:color w:val="000000"/>
                <w:sz w:val="18"/>
                <w:u w:val="single"/>
              </w:rPr>
            </w:pPr>
            <w:r>
              <w:rPr>
                <w:rFonts w:ascii="Times New Roman;serif" w:hAnsi="Times New Roman;serif"/>
                <w:b/>
                <w:color w:val="000000"/>
                <w:sz w:val="18"/>
                <w:u w:val="single"/>
              </w:rPr>
              <w:t>No.</w:t>
            </w:r>
          </w:p>
        </w:tc>
        <w:tc>
          <w:tcPr>
            <w:tcW w:w="9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Description</w:t>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94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3">
              <w:r>
                <w:rPr>
                  <w:rStyle w:val="InternetLink"/>
                  <w:rFonts w:ascii="Times New Roman;serif" w:hAnsi="Times New Roman;serif"/>
                  <w:b w:val="false"/>
                  <w:color w:val="0000FF"/>
                  <w:sz w:val="20"/>
                  <w:u w:val="single"/>
                </w:rPr>
                <w:t>Second Amended and Restated Certificate of Incorporation of IES Holdings, Inc., as amended by the Certificate of Amendment thereto, effective May 24, 2016 (composite). (Incorporated by reference to Exhibit 3.1 to the Company’s Quarterly Report on Form 10-Q filed on August 8, 2016).</w:t>
              </w:r>
            </w:hyperlink>
          </w:p>
        </w:tc>
      </w:tr>
      <w:tr>
        <w:trPr/>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9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Times New Roman;serif" w:hAnsi="Times New Roman;serif"/>
                  <w:b w:val="false"/>
                  <w:color w:val="0000FF"/>
                  <w:sz w:val="20"/>
                  <w:u w:val="single"/>
                </w:rPr>
                <w:t>Amended and Restated Bylaws of IES Holdings, Inc., effective April 28, 2021. (Incorporated by reference to Exhibit 3.3 to the Company's Quarterly Report on Form 10-Q filed on April 30, 2021).</w:t>
              </w:r>
            </w:hyperlink>
          </w:p>
        </w:tc>
      </w:tr>
      <w:tr>
        <w:trPr/>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94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5">
              <w:r>
                <w:rPr>
                  <w:rStyle w:val="InternetLink"/>
                  <w:rFonts w:ascii="Times New Roman;serif" w:hAnsi="Times New Roman;serif"/>
                  <w:b w:val="false"/>
                  <w:color w:val="0000FF"/>
                  <w:sz w:val="20"/>
                  <w:u w:val="single"/>
                </w:rPr>
                <w:t>Specimen common stock certificate. (Incorporated by reference to Exhibit 4.1 to the Company’s Annual Report on Form 10-K filed on December 9, 2016).</w:t>
              </w:r>
            </w:hyperlink>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9483"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vAlign w:val="center"/>
          </w:tcPr>
          <w:p>
            <w:pPr>
              <w:pStyle w:val="TableContents"/>
              <w:bidi w:val="0"/>
              <w:spacing w:before="0" w:after="283"/>
              <w:jc w:val="left"/>
              <w:rPr>
                <w:sz w:val="4"/>
                <w:szCs w:val="4"/>
              </w:rPr>
            </w:pPr>
            <w:r>
              <w:rPr>
                <w:sz w:val="4"/>
                <w:szCs w:val="4"/>
              </w:rPr>
            </w:r>
          </w:p>
        </w:tc>
        <w:tc>
          <w:tcPr>
            <w:tcW w:w="9483" w:type="dxa"/>
            <w:gridSpan w:val="3"/>
            <w:tcBorders/>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9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6">
              <w:r>
                <w:rPr>
                  <w:rStyle w:val="InternetLink"/>
                  <w:rFonts w:ascii="Times New Roman;serif" w:hAnsi="Times New Roman;serif"/>
                  <w:b w:val="false"/>
                  <w:color w:val="0000FF"/>
                  <w:sz w:val="20"/>
                  <w:u w:val="single"/>
                </w:rPr>
                <w:t>Amendment No. 1 to Fourth Amended And Restated Credit Agreement, dated January 9, 2026, by and among the Company and each of the other borrowers and guarantors named therein with Wells Fargo Bank, National Association, as administrative agent, swingline lender and issuing lender,  Wells Fargo Securities LLC and Fifth Third Bank National Association as joint lead arrangers and joint bookrunners and other financial institutions party thereto as lenders. (Incorporated by reference to Exhibit 10.1 to the Company's Quarterly Report on Form 10-Q filed on January 30, 2026).</w:t>
              </w:r>
            </w:hyperlink>
            <w:r>
              <w:rPr>
                <w:color w:val="000000"/>
              </w:rPr>
              <w:t xml:space="preserve"> </w:t>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94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7">
              <w:r>
                <w:rPr>
                  <w:rStyle w:val="InternetLink"/>
                  <w:rFonts w:ascii="Times New Roman;serif" w:hAnsi="Times New Roman;serif"/>
                  <w:b w:val="false"/>
                  <w:color w:val="0000FF"/>
                  <w:sz w:val="20"/>
                  <w:u w:val="single"/>
                </w:rPr>
                <w:t>Agreement and Plan of Merger, dated as of November 7, 2025, by and among IES Holdings, Inc., IES Merger Sub, LLC and Gulf Island Fabrication, Inc. (Incorporated by reference to Exhibit 2.1 to the Company’s Current Report on Form 8-K filed November 12, 2025).</w:t>
              </w:r>
            </w:hyperlink>
          </w:p>
        </w:tc>
      </w:tr>
      <w:tr>
        <w:trPr/>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94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q22026ex311-mar.htm">
              <w:r>
                <w:rPr>
                  <w:rStyle w:val="InternetLink"/>
                  <w:rFonts w:ascii="Times New Roman;serif" w:hAnsi="Times New Roman;serif"/>
                  <w:b w:val="false"/>
                  <w:color w:val="0000FF"/>
                  <w:sz w:val="20"/>
                  <w:u w:val="single"/>
                </w:rPr>
                <w:t>Rule 13a-14(a)/15d-14(a) Certification of Matthew J. Simmes, President and Chief Executive Officer</w:t>
              </w:r>
            </w:hyperlink>
            <w:r>
              <w:rPr>
                <w:color w:val="000000"/>
              </w:rPr>
              <w:t xml:space="preserve"> </w:t>
            </w:r>
            <w:r>
              <w:rPr>
                <w:rFonts w:ascii="Times New Roman;serif" w:hAnsi="Times New Roman;serif"/>
                <w:b w:val="false"/>
                <w:color w:val="000000"/>
                <w:sz w:val="13"/>
              </w:rPr>
              <w:t>(1)</w:t>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 —</w:t>
            </w:r>
          </w:p>
        </w:tc>
        <w:tc>
          <w:tcPr>
            <w:tcW w:w="94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22026ex312-mar.htm">
              <w:r>
                <w:rPr>
                  <w:rStyle w:val="InternetLink"/>
                  <w:rFonts w:ascii="Times New Roman;serif" w:hAnsi="Times New Roman;serif"/>
                  <w:b w:val="false"/>
                  <w:color w:val="0000FF"/>
                  <w:sz w:val="20"/>
                  <w:u w:val="single"/>
                </w:rPr>
                <w:t xml:space="preserve">Rule 13a-14(a)/15d-14(a) Certification of Tracy A. McLauchlin, Senior Vice President, Chief Financial Officer and Treasurer </w:t>
              </w:r>
            </w:hyperlink>
            <w:r>
              <w:rPr>
                <w:rFonts w:ascii="Times New Roman;serif" w:hAnsi="Times New Roman;serif"/>
                <w:b w:val="false"/>
                <w:color w:val="000000"/>
                <w:sz w:val="13"/>
              </w:rPr>
              <w:t>(1)</w:t>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94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q22026ex321-mar.htm">
              <w:r>
                <w:rPr>
                  <w:rStyle w:val="InternetLink"/>
                  <w:rFonts w:ascii="Times New Roman;serif" w:hAnsi="Times New Roman;serif"/>
                  <w:b w:val="false"/>
                  <w:color w:val="0000FF"/>
                  <w:sz w:val="20"/>
                  <w:u w:val="single"/>
                </w:rPr>
                <w:t>Section 1350 Certification of Matthew J. Simmes, President and Chief Executive Officer</w:t>
              </w:r>
            </w:hyperlink>
            <w:r>
              <w:rPr>
                <w:color w:val="000000"/>
              </w:rPr>
              <w:t xml:space="preserve"> </w:t>
            </w:r>
            <w:r>
              <w:rPr>
                <w:rFonts w:ascii="Times New Roman;serif" w:hAnsi="Times New Roman;serif"/>
                <w:b w:val="false"/>
                <w:color w:val="000000"/>
                <w:sz w:val="13"/>
              </w:rPr>
              <w:t>(2)</w:t>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 —</w:t>
            </w:r>
          </w:p>
        </w:tc>
        <w:tc>
          <w:tcPr>
            <w:tcW w:w="94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22026ex322-mar.htm">
              <w:r>
                <w:rPr>
                  <w:rStyle w:val="InternetLink"/>
                  <w:rFonts w:ascii="Times New Roman;serif" w:hAnsi="Times New Roman;serif"/>
                  <w:b w:val="false"/>
                  <w:color w:val="0000FF"/>
                  <w:sz w:val="20"/>
                  <w:u w:val="single"/>
                </w:rPr>
                <w:t>Section 1350 Certification of Tracy A. McLauchlin, Senior Vice President, Chief Financial Officer and Treasurer</w:t>
              </w:r>
            </w:hyperlink>
            <w:r>
              <w:rPr>
                <w:color w:val="000000"/>
              </w:rPr>
              <w:t xml:space="preserve"> </w:t>
            </w:r>
            <w:r>
              <w:rPr>
                <w:rFonts w:ascii="Times New Roman;serif" w:hAnsi="Times New Roman;serif"/>
                <w:b w:val="false"/>
                <w:color w:val="000000"/>
                <w:sz w:val="13"/>
              </w:rPr>
              <w:t>(2)</w:t>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9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 xml:space="preserve">Inline XBRL Instance Document - the instance document does not appear in the Interactive Data File because its XBRL tags are embedded within the Inline XBRL document </w:t>
            </w:r>
            <w:r>
              <w:rPr>
                <w:rFonts w:ascii="Times New Roman;serif" w:hAnsi="Times New Roman;serif"/>
                <w:b w:val="false"/>
                <w:color w:val="000000"/>
                <w:sz w:val="13"/>
              </w:rPr>
              <w:t>(1)</w:t>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94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XBRL Schema Document </w:t>
            </w:r>
            <w:r>
              <w:rPr>
                <w:rFonts w:ascii="Times New Roman;serif" w:hAnsi="Times New Roman;serif"/>
                <w:b w:val="false"/>
                <w:color w:val="000000"/>
                <w:sz w:val="13"/>
              </w:rPr>
              <w:t>(1)</w:t>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94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XBRL Label Linkbase Document </w:t>
            </w:r>
            <w:r>
              <w:rPr>
                <w:rFonts w:ascii="Times New Roman;serif" w:hAnsi="Times New Roman;serif"/>
                <w:b w:val="false"/>
                <w:color w:val="000000"/>
                <w:sz w:val="13"/>
              </w:rPr>
              <w:t>(1)</w:t>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94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XBRL Presentation Linkbase Document </w:t>
            </w:r>
            <w:r>
              <w:rPr>
                <w:rFonts w:ascii="Times New Roman;serif" w:hAnsi="Times New Roman;serif"/>
                <w:b w:val="false"/>
                <w:color w:val="000000"/>
                <w:sz w:val="13"/>
              </w:rPr>
              <w:t>(1)</w:t>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94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XBRL Definition Linkbase Document </w:t>
            </w:r>
            <w:r>
              <w:rPr>
                <w:rFonts w:ascii="Times New Roman;serif" w:hAnsi="Times New Roman;serif"/>
                <w:b w:val="false"/>
                <w:color w:val="000000"/>
                <w:sz w:val="13"/>
              </w:rPr>
              <w:t>(1)</w:t>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94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 xml:space="preserve">XBRL Calculation Linkbase Document </w:t>
            </w:r>
            <w:r>
              <w:rPr>
                <w:rFonts w:ascii="Times New Roman;serif" w:hAnsi="Times New Roman;serif"/>
                <w:b w:val="false"/>
                <w:color w:val="000000"/>
                <w:sz w:val="13"/>
              </w:rPr>
              <w:t>(1)</w:t>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94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interactive data file does not appear in the Interactive Data File because its XBRL tags are embedded within the Inline XBRL document</w:t>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9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9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exhibits not otherwise designated are incorporated by reference to a prior filing with the SEC as indicated.</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 on May 1, 2026.</w:t>
      </w:r>
    </w:p>
    <w:p>
      <w:pPr>
        <w:pStyle w:val="TextBody"/>
        <w:bidi w:val="0"/>
        <w:spacing w:before="0" w:after="0"/>
        <w:jc w:val="left"/>
        <w:rPr/>
      </w:pPr>
      <w:r>
        <w:rPr/>
      </w:r>
    </w:p>
    <w:tbl>
      <w:tblPr>
        <w:tblW w:w="5844" w:type="dxa"/>
        <w:jc w:val="left"/>
        <w:tblInd w:w="0" w:type="dxa"/>
        <w:tblLayout w:type="fixed"/>
        <w:tblCellMar>
          <w:top w:w="28" w:type="dxa"/>
          <w:left w:w="28" w:type="dxa"/>
          <w:bottom w:w="28" w:type="dxa"/>
          <w:right w:w="28" w:type="dxa"/>
        </w:tblCellMar>
      </w:tblPr>
      <w:tblGrid>
        <w:gridCol w:w="124"/>
        <w:gridCol w:w="109"/>
        <w:gridCol w:w="109"/>
        <w:gridCol w:w="314"/>
        <w:gridCol w:w="314"/>
        <w:gridCol w:w="314"/>
        <w:gridCol w:w="1323"/>
        <w:gridCol w:w="1323"/>
        <w:gridCol w:w="19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IES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TRACY A. MCLAUCHLIN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Tracy A. McLauchlin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 and Authorized Signatory)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I, Matthew J. Simmes, certify that:</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1. I have reviewed this Quarterly Report on Form 10-Q of IES Holdings, Inc.;</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40" w:after="283"/>
        <w:jc w:val="both"/>
        <w:rPr/>
      </w:pPr>
      <w:r>
        <w:rPr/>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Date: May 1, 2026</w:t>
      </w:r>
    </w:p>
    <w:p>
      <w:pPr>
        <w:pStyle w:val="TextBody"/>
        <w:bidi w:val="0"/>
        <w:spacing w:lineRule="auto" w:line="288" w:before="140" w:after="283"/>
        <w:jc w:val="left"/>
        <w:rPr>
          <w:color w:val="000000"/>
        </w:rPr>
      </w:pPr>
      <w:r>
        <w:rPr>
          <w:color w:val="000000"/>
        </w:rPr>
        <w:t> </w:t>
      </w:r>
    </w:p>
    <w:tbl>
      <w:tblPr>
        <w:tblW w:w="6011" w:type="dxa"/>
        <w:jc w:val="left"/>
        <w:tblInd w:w="0" w:type="dxa"/>
        <w:tblLayout w:type="fixed"/>
        <w:tblCellMar>
          <w:top w:w="28" w:type="dxa"/>
          <w:left w:w="28" w:type="dxa"/>
          <w:bottom w:w="28" w:type="dxa"/>
          <w:right w:w="28" w:type="dxa"/>
        </w:tblCellMar>
      </w:tblPr>
      <w:tblGrid>
        <w:gridCol w:w="124"/>
        <w:gridCol w:w="109"/>
        <w:gridCol w:w="109"/>
        <w:gridCol w:w="1659"/>
        <w:gridCol w:w="1659"/>
        <w:gridCol w:w="235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before="0" w:after="283"/>
              <w:jc w:val="center"/>
              <w:rPr/>
            </w:pPr>
            <w:r>
              <w:rPr/>
              <w:t>/s/ MATTHEW J. SIMMES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Matthew J. Simmes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 as Principal Executive Officer</w:t>
            </w:r>
          </w:p>
          <w:p>
            <w:pPr>
              <w:pStyle w:val="TableContents"/>
              <w:bidi w:val="0"/>
              <w:spacing w:lineRule="auto" w:line="288" w:before="0" w:after="0"/>
              <w:jc w:val="center"/>
              <w:rPr>
                <w:color w:val="000000"/>
              </w:rPr>
            </w:pPr>
            <w:r>
              <w:rPr>
                <w:color w:val="000000"/>
              </w:rPr>
              <w:t>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6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I, Tracy A. McLauchlin, certify that:</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1. I have reviewed this Quarterly Report on Form 10-Q of IES Holdings, Inc.;</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40" w:after="283"/>
        <w:jc w:val="both"/>
        <w:rPr>
          <w:color w:val="000000"/>
        </w:rPr>
      </w:pPr>
      <w:r>
        <w:rPr>
          <w:color w:val="000000"/>
        </w:rPr>
        <w:t>     </w:t>
      </w: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40" w:after="283"/>
        <w:jc w:val="both"/>
        <w:rPr/>
      </w:pPr>
      <w:r>
        <w:rPr/>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Date: May 1, 2026</w:t>
      </w:r>
    </w:p>
    <w:tbl>
      <w:tblPr>
        <w:tblW w:w="4481" w:type="dxa"/>
        <w:jc w:val="left"/>
        <w:tblInd w:w="0" w:type="dxa"/>
        <w:tblLayout w:type="fixed"/>
        <w:tblCellMar>
          <w:top w:w="28" w:type="dxa"/>
          <w:left w:w="28" w:type="dxa"/>
          <w:bottom w:w="28" w:type="dxa"/>
          <w:right w:w="28" w:type="dxa"/>
        </w:tblCellMar>
      </w:tblPr>
      <w:tblGrid>
        <w:gridCol w:w="124"/>
        <w:gridCol w:w="109"/>
        <w:gridCol w:w="109"/>
        <w:gridCol w:w="1212"/>
        <w:gridCol w:w="1212"/>
        <w:gridCol w:w="17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TRACY A. MCLAUCHLIN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Tracy A. McLauchlin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Principal Financial Officer</w:t>
            </w:r>
          </w:p>
          <w:p>
            <w:pPr>
              <w:pStyle w:val="TableContents"/>
              <w:bidi w:val="0"/>
              <w:spacing w:lineRule="auto" w:line="288" w:before="0" w:after="0"/>
              <w:jc w:val="center"/>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this Quarterly Report of IES Holdings, Inc. (the “Company”) on Form 10-Q for the period ending March 31, 2026 (the “Report”), I, Matthew J. Simmes, Chief Executive Officer of the Company, certify, pursuant to 18 U.S.C. § 1350, as adopted pursuant to § 906 of the Sarbanes-Oxley Act of 2002, that:</w:t>
      </w:r>
    </w:p>
    <w:p>
      <w:pPr>
        <w:pStyle w:val="TextBody"/>
        <w:bidi w:val="0"/>
        <w:spacing w:before="140" w:after="283"/>
        <w:jc w:val="both"/>
        <w:rPr/>
      </w:pPr>
      <w:r>
        <w:rPr/>
      </w:r>
    </w:p>
    <w:p>
      <w:pPr>
        <w:pStyle w:val="TextBody"/>
        <w:bidi w:val="0"/>
        <w:spacing w:lineRule="auto" w:line="288" w:before="1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40" w:after="283"/>
        <w:jc w:val="both"/>
        <w:rPr/>
      </w:pPr>
      <w:r>
        <w:rPr/>
      </w:r>
    </w:p>
    <w:tbl>
      <w:tblPr>
        <w:tblW w:w="7708" w:type="dxa"/>
        <w:jc w:val="left"/>
        <w:tblInd w:w="0" w:type="dxa"/>
        <w:tblLayout w:type="fixed"/>
        <w:tblCellMar>
          <w:top w:w="28" w:type="dxa"/>
          <w:left w:w="28" w:type="dxa"/>
          <w:bottom w:w="28" w:type="dxa"/>
          <w:right w:w="28" w:type="dxa"/>
        </w:tblCellMar>
      </w:tblPr>
      <w:tblGrid>
        <w:gridCol w:w="203"/>
        <w:gridCol w:w="179"/>
        <w:gridCol w:w="179"/>
        <w:gridCol w:w="179"/>
        <w:gridCol w:w="179"/>
        <w:gridCol w:w="179"/>
        <w:gridCol w:w="179"/>
        <w:gridCol w:w="179"/>
        <w:gridCol w:w="179"/>
        <w:gridCol w:w="134"/>
        <w:gridCol w:w="134"/>
        <w:gridCol w:w="136"/>
        <w:gridCol w:w="1660"/>
        <w:gridCol w:w="1660"/>
        <w:gridCol w:w="2349"/>
      </w:tblGrid>
      <w:tr>
        <w:trPr/>
        <w:tc>
          <w:tcPr>
            <w:tcW w:w="20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2349" w:type="dxa"/>
            <w:tcBorders/>
            <w:vAlign w:val="center"/>
          </w:tcPr>
          <w:p>
            <w:pPr>
              <w:pStyle w:val="TableContents"/>
              <w:bidi w:val="0"/>
              <w:spacing w:before="0" w:after="283"/>
              <w:jc w:val="left"/>
              <w:rPr>
                <w:sz w:val="4"/>
                <w:szCs w:val="4"/>
              </w:rPr>
            </w:pPr>
            <w:r>
              <w:rPr>
                <w:sz w:val="4"/>
                <w:szCs w:val="4"/>
              </w:rPr>
            </w:r>
          </w:p>
        </w:tc>
      </w:tr>
      <w:tr>
        <w:trPr/>
        <w:tc>
          <w:tcPr>
            <w:tcW w:w="163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6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MATTHEW J. SIMMES</w:t>
            </w:r>
          </w:p>
        </w:tc>
      </w:tr>
      <w:tr>
        <w:trPr/>
        <w:tc>
          <w:tcPr>
            <w:tcW w:w="16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Matthew J. Simmes</w:t>
            </w:r>
          </w:p>
        </w:tc>
      </w:tr>
      <w:tr>
        <w:trPr/>
        <w:tc>
          <w:tcPr>
            <w:tcW w:w="163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President and Chief Executive Officer as Principal Executive Officer</w:t>
            </w:r>
          </w:p>
          <w:p>
            <w:pPr>
              <w:pStyle w:val="TableContents"/>
              <w:bidi w:val="0"/>
              <w:spacing w:before="0" w:after="0"/>
              <w:jc w:val="center"/>
              <w:rPr/>
            </w:pPr>
            <w:r>
              <w:rPr/>
            </w:r>
          </w:p>
        </w:tc>
      </w:tr>
      <w:tr>
        <w:trPr/>
        <w:tc>
          <w:tcPr>
            <w:tcW w:w="561"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537"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56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2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4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this Quarterly Report of IES Holdings, Inc. (the “Company”) on Form 10-Q for the period ending March 31, 2026 (the “Report”), I, Tracy A. McLauchlin, Senior Vice President, Chief Financial Officer and Treasurer of the Company, certify, pursuant to 18 U.S.C. § 1350, as adopted pursuant to § 906 of the Sarbanes-Oxley Act of 2002, that:</w:t>
      </w:r>
    </w:p>
    <w:p>
      <w:pPr>
        <w:pStyle w:val="TextBody"/>
        <w:bidi w:val="0"/>
        <w:spacing w:before="140" w:after="283"/>
        <w:jc w:val="both"/>
        <w:rPr/>
      </w:pPr>
      <w:r>
        <w:rPr/>
      </w:r>
    </w:p>
    <w:p>
      <w:pPr>
        <w:pStyle w:val="TextBody"/>
        <w:bidi w:val="0"/>
        <w:spacing w:lineRule="auto" w:line="288" w:before="1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40" w:after="283"/>
        <w:jc w:val="both"/>
        <w:rPr/>
      </w:pPr>
      <w:r>
        <w:rPr/>
      </w:r>
    </w:p>
    <w:tbl>
      <w:tblPr>
        <w:tblW w:w="6169" w:type="dxa"/>
        <w:jc w:val="left"/>
        <w:tblInd w:w="0" w:type="dxa"/>
        <w:tblLayout w:type="fixed"/>
        <w:tblCellMar>
          <w:top w:w="28" w:type="dxa"/>
          <w:left w:w="28" w:type="dxa"/>
          <w:bottom w:w="28" w:type="dxa"/>
          <w:right w:w="28" w:type="dxa"/>
        </w:tblCellMar>
      </w:tblPr>
      <w:tblGrid>
        <w:gridCol w:w="153"/>
        <w:gridCol w:w="134"/>
        <w:gridCol w:w="134"/>
        <w:gridCol w:w="134"/>
        <w:gridCol w:w="134"/>
        <w:gridCol w:w="134"/>
        <w:gridCol w:w="134"/>
        <w:gridCol w:w="134"/>
        <w:gridCol w:w="134"/>
        <w:gridCol w:w="134"/>
        <w:gridCol w:w="134"/>
        <w:gridCol w:w="134"/>
        <w:gridCol w:w="134"/>
        <w:gridCol w:w="134"/>
        <w:gridCol w:w="136"/>
        <w:gridCol w:w="643"/>
        <w:gridCol w:w="643"/>
        <w:gridCol w:w="643"/>
        <w:gridCol w:w="643"/>
        <w:gridCol w:w="643"/>
        <w:gridCol w:w="923"/>
      </w:tblGrid>
      <w:tr>
        <w:trPr/>
        <w:tc>
          <w:tcPr>
            <w:tcW w:w="15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1627"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38"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TRACY A. MCLAUCHLIN</w:t>
            </w:r>
          </w:p>
        </w:tc>
      </w:tr>
      <w:tr>
        <w:trPr/>
        <w:tc>
          <w:tcPr>
            <w:tcW w:w="162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Tracy A. McLauchlin</w:t>
            </w:r>
          </w:p>
        </w:tc>
      </w:tr>
      <w:tr>
        <w:trPr/>
        <w:tc>
          <w:tcPr>
            <w:tcW w:w="162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Principal Financial Officer</w:t>
            </w:r>
          </w:p>
        </w:tc>
      </w:tr>
      <w:tr>
        <w:trPr/>
        <w:tc>
          <w:tcPr>
            <w:tcW w:w="421"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1929" w:type="dxa"/>
            <w:gridSpan w:val="3"/>
            <w:tcBorders/>
            <w:vAlign w:val="center"/>
          </w:tcPr>
          <w:p>
            <w:pPr>
              <w:pStyle w:val="TableContents"/>
              <w:bidi w:val="0"/>
              <w:spacing w:before="0" w:after="283"/>
              <w:jc w:val="left"/>
              <w:rPr>
                <w:sz w:val="4"/>
                <w:szCs w:val="4"/>
              </w:rPr>
            </w:pPr>
            <w:r>
              <w:rPr>
                <w:sz w:val="4"/>
                <w:szCs w:val="4"/>
              </w:rPr>
            </w:r>
          </w:p>
        </w:tc>
        <w:tc>
          <w:tcPr>
            <w:tcW w:w="2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48268/000119312516674386/d211495dex31.htm" TargetMode="External"/><Relationship Id="rId4" Type="http://schemas.openxmlformats.org/officeDocument/2006/relationships/hyperlink" Target="https://www.sec.gov/Archives/edgar/data/1048268/000104826821000065/amendedandrestatedbylawsof.htm" TargetMode="External"/><Relationship Id="rId5" Type="http://schemas.openxmlformats.org/officeDocument/2006/relationships/hyperlink" Target="https://www.sec.gov/Archives/edgar/data/1048268/000119312516789187/d310826dex41.htm" TargetMode="External"/><Relationship Id="rId6" Type="http://schemas.openxmlformats.org/officeDocument/2006/relationships/hyperlink" Target="https://www.sec.gov/Archives/edgar/data/1048268/000104826826000037/amendmentno1tofourthamende.htm" TargetMode="External"/><Relationship Id="rId7" Type="http://schemas.openxmlformats.org/officeDocument/2006/relationships/hyperlink" Target="https://www.sec.gov/Archives/edgar/data/1048268/000104826825000165/mergeragreementforedgarizi.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21290</Words>
  <Characters>118124</Characters>
  <CharactersWithSpaces>137906</CharactersWithSpaces>
  <Paragraphs>3104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