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5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GENDELL JEFFREY L ET 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SOUND SHORE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IESC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251" w:lineRule="exact"/>
        <w:rPr>
          <w:sz w:val="24"/>
          <w:szCs w:val="24"/>
          <w:color w:val="auto"/>
        </w:rPr>
      </w:pPr>
    </w:p>
    <w:p>
      <w:pPr>
        <w:sectPr>
          <w:pgSz w:w="11900" w:h="1685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1940" w:type="dxa"/>
            <w:vAlign w:val="bottom"/>
            <w:tcBorders>
              <w:bottom w:val="single" w:sz="8" w:color="9A9A9A"/>
            </w:tcBorders>
          </w:tcPr>
          <w:p>
            <w:pPr>
              <w:spacing w:after="0"/>
              <w:rPr>
                <w:sz w:val="4"/>
                <w:szCs w:val="4"/>
                <w:color w:val="auto"/>
              </w:rPr>
            </w:pPr>
          </w:p>
        </w:tc>
        <w:tc>
          <w:tcPr>
            <w:tcW w:w="17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40" w:type="dxa"/>
            <w:vAlign w:val="bottom"/>
            <w:shd w:val="clear" w:color="auto" w:fill="EEEEEE"/>
          </w:tcPr>
          <w:p>
            <w:pPr>
              <w:spacing w:after="0" w:line="20" w:lineRule="exact"/>
              <w:rPr>
                <w:sz w:val="1"/>
                <w:szCs w:val="1"/>
                <w:color w:val="auto"/>
              </w:rPr>
            </w:pPr>
          </w:p>
        </w:tc>
        <w:tc>
          <w:tcPr>
            <w:tcW w:w="170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80" w:type="dxa"/>
            <w:vAlign w:val="bottom"/>
            <w:gridSpan w:val="2"/>
            <w:vMerge w:val="continue"/>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GREENWICH  CT</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06830</w:t>
            </w:r>
          </w:p>
        </w:tc>
        <w:tc>
          <w:tcPr>
            <w:tcW w:w="8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440" w:type="dxa"/>
            <w:vAlign w:val="bottom"/>
          </w:tcPr>
          <w:p>
            <w:pPr>
              <w:ind w:left="7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4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1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6.</w:t>
            </w:r>
          </w:p>
        </w:tc>
        <w:tc>
          <w:tcPr>
            <w:tcW w:w="144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4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1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4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0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vMerge w:val="restart"/>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w:t>
            </w:r>
          </w:p>
        </w:tc>
        <w:tc>
          <w:tcPr>
            <w:tcW w:w="96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or</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96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1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8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0000FF"/>
              </w:rPr>
              <w:t>05/26/2026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ind w:left="164"/>
              <w:spacing w:after="0"/>
              <w:rPr>
                <w:sz w:val="20"/>
                <w:szCs w:val="20"/>
                <w:color w:val="auto"/>
              </w:rPr>
            </w:pPr>
            <w:r>
              <w:rPr>
                <w:rFonts w:ascii="Times New Roman" w:cs="Times New Roman" w:eastAsia="Times New Roman" w:hAnsi="Times New Roman"/>
                <w:sz w:val="17"/>
                <w:szCs w:val="17"/>
                <w:color w:val="0000FF"/>
              </w:rPr>
              <w:t>2,006</w:t>
            </w: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702.24</w:t>
            </w:r>
            <w:r>
              <w:rPr>
                <w:rFonts w:ascii="Times New Roman" w:cs="Times New Roman" w:eastAsia="Times New Roman" w:hAnsi="Times New Roman"/>
                <w:sz w:val="22"/>
                <w:szCs w:val="22"/>
                <w:color w:val="008000"/>
                <w:w w:val="95"/>
                <w:vertAlign w:val="superscript"/>
              </w:rPr>
              <w:t>(1)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10,483,638</w:t>
            </w:r>
          </w:p>
        </w:tc>
        <w:tc>
          <w:tcPr>
            <w:tcW w:w="960" w:type="dxa"/>
            <w:vAlign w:val="bottom"/>
          </w:tcPr>
          <w:p>
            <w:pPr>
              <w:jc w:val="right"/>
              <w:ind w:right="347"/>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4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8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7"/>
                <w:szCs w:val="17"/>
                <w:color w:val="0000FF"/>
              </w:rPr>
              <w:t>05/26/2026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144"/>
              <w:spacing w:after="0"/>
              <w:rPr>
                <w:sz w:val="20"/>
                <w:szCs w:val="20"/>
                <w:color w:val="auto"/>
              </w:rPr>
            </w:pPr>
            <w:r>
              <w:rPr>
                <w:rFonts w:ascii="Times New Roman" w:cs="Times New Roman" w:eastAsia="Times New Roman" w:hAnsi="Times New Roman"/>
                <w:sz w:val="17"/>
                <w:szCs w:val="17"/>
                <w:color w:val="0000FF"/>
              </w:rPr>
              <w:t>49</w:t>
            </w: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Pr>
          <w:p>
            <w:pPr>
              <w:spacing w:after="0"/>
              <w:rPr>
                <w:sz w:val="21"/>
                <w:szCs w:val="21"/>
                <w:color w:val="auto"/>
              </w:rPr>
            </w:pPr>
          </w:p>
        </w:tc>
        <w:tc>
          <w:tcPr>
            <w:tcW w:w="840" w:type="dxa"/>
            <w:vAlign w:val="bottom"/>
            <w:vMerge w:val="restart"/>
          </w:tcPr>
          <w:p>
            <w:pPr>
              <w:jc w:val="center"/>
              <w:ind w:right="1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703.89</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10,483,589</w:t>
            </w:r>
          </w:p>
        </w:tc>
        <w:tc>
          <w:tcPr>
            <w:tcW w:w="960" w:type="dxa"/>
            <w:vAlign w:val="bottom"/>
            <w:vMerge w:val="restart"/>
          </w:tcPr>
          <w:p>
            <w:pPr>
              <w:jc w:val="right"/>
              <w:ind w:right="347"/>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(4)(5)(6)</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8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0000FF"/>
              </w:rPr>
              <w:t>05/27/2026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ind w:left="164"/>
              <w:spacing w:after="0"/>
              <w:rPr>
                <w:sz w:val="20"/>
                <w:szCs w:val="20"/>
                <w:color w:val="auto"/>
              </w:rPr>
            </w:pPr>
            <w:r>
              <w:rPr>
                <w:rFonts w:ascii="Times New Roman" w:cs="Times New Roman" w:eastAsia="Times New Roman" w:hAnsi="Times New Roman"/>
                <w:sz w:val="17"/>
                <w:szCs w:val="17"/>
                <w:color w:val="0000FF"/>
              </w:rPr>
              <w:t>6,000</w:t>
            </w: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702.65</w:t>
            </w:r>
            <w:r>
              <w:rPr>
                <w:rFonts w:ascii="Times New Roman" w:cs="Times New Roman" w:eastAsia="Times New Roman" w:hAnsi="Times New Roman"/>
                <w:sz w:val="22"/>
                <w:szCs w:val="22"/>
                <w:color w:val="008000"/>
                <w:w w:val="95"/>
                <w:vertAlign w:val="superscript"/>
              </w:rPr>
              <w:t>(7)</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10,477,589</w:t>
            </w:r>
          </w:p>
        </w:tc>
        <w:tc>
          <w:tcPr>
            <w:tcW w:w="960" w:type="dxa"/>
            <w:vAlign w:val="bottom"/>
          </w:tcPr>
          <w:p>
            <w:pPr>
              <w:jc w:val="right"/>
              <w:ind w:right="347"/>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4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8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7"/>
                <w:szCs w:val="17"/>
                <w:color w:val="0000FF"/>
              </w:rPr>
              <w:t>05/27/2026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164"/>
              <w:spacing w:after="0"/>
              <w:rPr>
                <w:sz w:val="20"/>
                <w:szCs w:val="20"/>
                <w:color w:val="auto"/>
              </w:rPr>
            </w:pPr>
            <w:r>
              <w:rPr>
                <w:rFonts w:ascii="Times New Roman" w:cs="Times New Roman" w:eastAsia="Times New Roman" w:hAnsi="Times New Roman"/>
                <w:sz w:val="17"/>
                <w:szCs w:val="17"/>
                <w:color w:val="0000FF"/>
              </w:rPr>
              <w:t>2,250</w:t>
            </w: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Pr>
          <w:p>
            <w:pPr>
              <w:spacing w:after="0"/>
              <w:rPr>
                <w:sz w:val="21"/>
                <w:szCs w:val="21"/>
                <w:color w:val="auto"/>
              </w:rPr>
            </w:pPr>
          </w:p>
        </w:tc>
        <w:tc>
          <w:tcPr>
            <w:tcW w:w="840" w:type="dxa"/>
            <w:vAlign w:val="bottom"/>
            <w:vMerge w:val="restart"/>
          </w:tcPr>
          <w:p>
            <w:pPr>
              <w:jc w:val="center"/>
              <w:ind w:right="1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703.51</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10,475,339</w:t>
            </w:r>
          </w:p>
        </w:tc>
        <w:tc>
          <w:tcPr>
            <w:tcW w:w="960" w:type="dxa"/>
            <w:vAlign w:val="bottom"/>
            <w:vMerge w:val="restart"/>
          </w:tcPr>
          <w:p>
            <w:pPr>
              <w:jc w:val="right"/>
              <w:ind w:right="347"/>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(4)(5)(6)</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8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0000FF"/>
              </w:rPr>
              <w:t>05/27/2026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ind w:left="164"/>
              <w:spacing w:after="0"/>
              <w:rPr>
                <w:sz w:val="20"/>
                <w:szCs w:val="20"/>
                <w:color w:val="auto"/>
              </w:rPr>
            </w:pPr>
            <w:r>
              <w:rPr>
                <w:rFonts w:ascii="Times New Roman" w:cs="Times New Roman" w:eastAsia="Times New Roman" w:hAnsi="Times New Roman"/>
                <w:sz w:val="17"/>
                <w:szCs w:val="17"/>
                <w:color w:val="0000FF"/>
              </w:rPr>
              <w:t>8,251</w:t>
            </w: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705.38</w:t>
            </w:r>
            <w:r>
              <w:rPr>
                <w:rFonts w:ascii="Times New Roman" w:cs="Times New Roman" w:eastAsia="Times New Roman" w:hAnsi="Times New Roman"/>
                <w:sz w:val="22"/>
                <w:szCs w:val="22"/>
                <w:color w:val="008000"/>
                <w:w w:val="95"/>
                <w:vertAlign w:val="superscript"/>
              </w:rPr>
              <w:t>(8)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10,467,088</w:t>
            </w:r>
          </w:p>
        </w:tc>
        <w:tc>
          <w:tcPr>
            <w:tcW w:w="960" w:type="dxa"/>
            <w:vAlign w:val="bottom"/>
          </w:tcPr>
          <w:p>
            <w:pPr>
              <w:jc w:val="right"/>
              <w:ind w:right="347"/>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4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8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0000FF"/>
              </w:rPr>
              <w:t>05/27/2026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ind w:left="164"/>
              <w:spacing w:after="0"/>
              <w:rPr>
                <w:sz w:val="20"/>
                <w:szCs w:val="20"/>
                <w:color w:val="auto"/>
              </w:rPr>
            </w:pPr>
            <w:r>
              <w:rPr>
                <w:rFonts w:ascii="Times New Roman" w:cs="Times New Roman" w:eastAsia="Times New Roman" w:hAnsi="Times New Roman"/>
                <w:sz w:val="17"/>
                <w:szCs w:val="17"/>
                <w:color w:val="0000FF"/>
              </w:rPr>
              <w:t>4,000</w:t>
            </w: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Pr>
          <w:p>
            <w:pPr>
              <w:spacing w:after="0"/>
              <w:rPr>
                <w:sz w:val="24"/>
                <w:szCs w:val="24"/>
                <w:color w:val="auto"/>
              </w:rPr>
            </w:pPr>
          </w:p>
        </w:tc>
        <w:tc>
          <w:tcPr>
            <w:tcW w:w="840" w:type="dxa"/>
            <w:vAlign w:val="bottom"/>
          </w:tcPr>
          <w:p>
            <w:pPr>
              <w:jc w:val="center"/>
              <w:ind w:right="15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706.6</w:t>
            </w:r>
            <w:r>
              <w:rPr>
                <w:rFonts w:ascii="Times New Roman" w:cs="Times New Roman" w:eastAsia="Times New Roman" w:hAnsi="Times New Roman"/>
                <w:sz w:val="22"/>
                <w:szCs w:val="22"/>
                <w:color w:val="008000"/>
                <w:w w:val="95"/>
                <w:vertAlign w:val="superscript"/>
              </w:rPr>
              <w:t>(9)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10,463,088</w:t>
            </w:r>
          </w:p>
        </w:tc>
        <w:tc>
          <w:tcPr>
            <w:tcW w:w="960" w:type="dxa"/>
            <w:vAlign w:val="bottom"/>
          </w:tcPr>
          <w:p>
            <w:pPr>
              <w:jc w:val="right"/>
              <w:ind w:right="347"/>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4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8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0000FF"/>
              </w:rPr>
              <w:t>05/27/2026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ind w:left="164"/>
              <w:spacing w:after="0"/>
              <w:rPr>
                <w:sz w:val="20"/>
                <w:szCs w:val="20"/>
                <w:color w:val="auto"/>
              </w:rPr>
            </w:pPr>
            <w:r>
              <w:rPr>
                <w:rFonts w:ascii="Times New Roman" w:cs="Times New Roman" w:eastAsia="Times New Roman" w:hAnsi="Times New Roman"/>
                <w:sz w:val="17"/>
                <w:szCs w:val="17"/>
                <w:color w:val="0000FF"/>
              </w:rPr>
              <w:t>7,000</w:t>
            </w: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708.1</w:t>
            </w:r>
            <w:r>
              <w:rPr>
                <w:rFonts w:ascii="Times New Roman" w:cs="Times New Roman" w:eastAsia="Times New Roman" w:hAnsi="Times New Roman"/>
                <w:sz w:val="22"/>
                <w:szCs w:val="22"/>
                <w:color w:val="008000"/>
                <w:w w:val="94"/>
                <w:vertAlign w:val="superscript"/>
              </w:rPr>
              <w:t>(10)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10,456,088</w:t>
            </w:r>
          </w:p>
        </w:tc>
        <w:tc>
          <w:tcPr>
            <w:tcW w:w="960" w:type="dxa"/>
            <w:vAlign w:val="bottom"/>
          </w:tcPr>
          <w:p>
            <w:pPr>
              <w:jc w:val="right"/>
              <w:ind w:right="347"/>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4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8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0000FF"/>
              </w:rPr>
              <w:t>05/27/2026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ind w:left="164"/>
              <w:spacing w:after="0"/>
              <w:rPr>
                <w:sz w:val="20"/>
                <w:szCs w:val="20"/>
                <w:color w:val="auto"/>
              </w:rPr>
            </w:pPr>
            <w:r>
              <w:rPr>
                <w:rFonts w:ascii="Times New Roman" w:cs="Times New Roman" w:eastAsia="Times New Roman" w:hAnsi="Times New Roman"/>
                <w:sz w:val="17"/>
                <w:szCs w:val="17"/>
                <w:color w:val="0000FF"/>
              </w:rPr>
              <w:t>2,809</w:t>
            </w: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710.14</w:t>
            </w:r>
            <w:r>
              <w:rPr>
                <w:rFonts w:ascii="Times New Roman" w:cs="Times New Roman" w:eastAsia="Times New Roman" w:hAnsi="Times New Roman"/>
                <w:sz w:val="22"/>
                <w:szCs w:val="22"/>
                <w:color w:val="008000"/>
                <w:w w:val="94"/>
                <w:vertAlign w:val="superscript"/>
              </w:rPr>
              <w:t>(11)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10,453,279</w:t>
            </w:r>
          </w:p>
        </w:tc>
        <w:tc>
          <w:tcPr>
            <w:tcW w:w="960" w:type="dxa"/>
            <w:vAlign w:val="bottom"/>
          </w:tcPr>
          <w:p>
            <w:pPr>
              <w:jc w:val="right"/>
              <w:ind w:right="347"/>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4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jc w:val="right"/>
              <w:ind w:right="80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2"/>
          </w:tcPr>
          <w:p>
            <w:pPr>
              <w:jc w:val="right"/>
              <w:ind w:righ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jc w:val="right"/>
              <w:ind w:right="347"/>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3"/>
          </w:tcPr>
          <w:p>
            <w:pPr>
              <w:ind w:left="54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Number</w:t>
            </w: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8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4"/>
                <w:szCs w:val="14"/>
                <w:color w:val="auto"/>
              </w:rPr>
            </w:pPr>
          </w:p>
        </w:tc>
        <w:tc>
          <w:tcPr>
            <w:tcW w:w="1780" w:type="dxa"/>
            <w:vAlign w:val="bottom"/>
            <w:gridSpan w:val="3"/>
          </w:tcPr>
          <w:p>
            <w:pPr>
              <w:ind w:left="140"/>
              <w:spacing w:after="0"/>
              <w:rPr>
                <w:sz w:val="20"/>
                <w:szCs w:val="20"/>
                <w:color w:val="auto"/>
              </w:rPr>
            </w:pPr>
            <w:r>
              <w:rPr>
                <w:rFonts w:ascii="Arial" w:cs="Arial" w:eastAsia="Arial" w:hAnsi="Arial"/>
                <w:sz w:val="12"/>
                <w:szCs w:val="12"/>
                <w:b w:val="1"/>
                <w:bCs w:val="1"/>
                <w:color w:val="auto"/>
              </w:rPr>
              <w:t>Title  Shares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gridSpan w:val="4"/>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GENDELL JEFFREY L ET AL</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900" w:type="dxa"/>
            <w:vAlign w:val="bottom"/>
          </w:tcPr>
          <w:p>
            <w:pPr>
              <w:jc w:val="right"/>
              <w:ind w:right="303"/>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SOUND SHORE DRIVE</w:t>
      </w:r>
    </w:p>
    <w:p>
      <w:pPr>
        <w:spacing w:after="0" w:line="3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58" w:orient="portrait"/>
          <w:cols w:equalWidth="0" w:num="1">
            <w:col w:w="11080"/>
          </w:cols>
          <w:pgMar w:left="460" w:top="219" w:right="359" w:bottom="0" w:gutter="0" w:footer="0" w:header="0"/>
          <w:type w:val="continuous"/>
        </w:sectPr>
      </w:pPr>
    </w:p>
    <w:p>
      <w:pPr>
        <w:spacing w:after="0" w:line="35" w:lineRule="exact"/>
        <w:rPr>
          <w:sz w:val="24"/>
          <w:szCs w:val="24"/>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GREENWICH</w:t>
      </w:r>
      <w:r>
        <w:rPr>
          <w:sz w:val="20"/>
          <w:szCs w:val="20"/>
          <w:color w:val="auto"/>
        </w:rPr>
        <w:tab/>
      </w:r>
      <w:r>
        <w:rPr>
          <w:rFonts w:ascii="Times New Roman" w:cs="Times New Roman" w:eastAsia="Times New Roman" w:hAnsi="Times New Roman"/>
          <w:sz w:val="17"/>
          <w:szCs w:val="17"/>
          <w:color w:val="0000FF"/>
        </w:rPr>
        <w:t>CT</w:t>
      </w:r>
      <w:r>
        <w:rPr>
          <w:sz w:val="20"/>
          <w:szCs w:val="20"/>
          <w:color w:val="auto"/>
        </w:rPr>
        <w:tab/>
      </w:r>
      <w:r>
        <w:rPr>
          <w:rFonts w:ascii="Times New Roman" w:cs="Times New Roman" w:eastAsia="Times New Roman" w:hAnsi="Times New Roman"/>
          <w:sz w:val="17"/>
          <w:szCs w:val="17"/>
          <w:color w:val="0000FF"/>
        </w:rPr>
        <w:t>06830</w:t>
      </w:r>
    </w:p>
    <w:p>
      <w:pPr>
        <w:sectPr>
          <w:pgSz w:w="11900" w:h="16858" w:orient="portrait"/>
          <w:cols w:equalWidth="0" w:num="1">
            <w:col w:w="11080"/>
          </w:cols>
          <w:pgMar w:left="460" w:top="219"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TONTINE ASSET ASSOCIATES,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18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18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8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06830</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18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TONTINE CAPITAL MANAGEMENT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18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18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8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06830</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18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TONTINE CAPITAL OVERSEAS MASTER</w:t>
        </w:r>
      </w:hyperlink>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18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18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8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06830</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18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TONTINE CAPITAL PARTNERS L 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18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18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8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06830</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18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TONTINE MANAGEMENT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Tontine Associates,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06830</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979"/>
          </w:cols>
          <w:pgMar w:left="480" w:top="420"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420"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-140970</wp:posOffset>
            </wp:positionV>
            <wp:extent cx="2809240" cy="1628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809240" cy="1628775"/>
                    </a:xfrm>
                    <a:prstGeom prst="rect">
                      <a:avLst/>
                    </a:prstGeom>
                    <a:noFill/>
                  </pic:spPr>
                </pic:pic>
              </a:graphicData>
            </a:graphic>
          </wp:anchor>
        </w:drawing>
      </w:r>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Tontine Capital Overseas GP,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18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SOUND SHORE DRIVE</w:t>
            </w:r>
          </w:p>
        </w:tc>
        <w:tc>
          <w:tcPr>
            <w:tcW w:w="18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8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06830</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18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reported as sold in this Form 4 were shares directly held by Jeffrey L. Gendell ("Mr. Gendell"). The price reported in Column 4 is a weighted average price. These shares were sold in multiple transactions at prices ranging from $702.24 to $702.49, inclusive. The reporting person undertakes to provide IES Holdings, Inc.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36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is filed jointly by Tontine Capital Partners, L.P., a Delaware limited partnership ("TCP"), Tontine Capital Management, L.L.C., a Delaware limited liability company ("TCM"), Tontine Management, L.L.C., a Delaware limited liability company ("TM"), Tontine Capital Overseas Master Fund II, L.P., a Delaware limited partnership ("TCP 2"), Tontine Asset Associates, L.L.C., a Delaware limited liability company ("TAA"), Tontine Associates, L.L.C., a Delaware limited liability company ("TA"), Tontine Capital Overseas GP, L.L.C., a Delaware limited liability company ("TCO"), and Mr. Gendell. Mr. Gendell is the managing member of: (a) TCM, the general partner of TCP; (b) TM; (c) TAA, the general partner of TCP 2; (d) TA; and (e) TCO.</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TCP directly owns 5,524,391 shares of Common Stock, TCM directly owns 1,910,529 shares of Common Stock, TM directly owns 1,410,162 shares of Common Stock, TCP 2 directly owns 710,934 shares of Common Stock, TAA directly owns 96,891 shares of Common Stock, TA directly owns 640,057 shares of Common Stock, TCO directly owns 47,284 shares of Common Stock, Mr. Gendell directly owns 44,599 shares of Common Stock and 65,069 phantom stock units granted to him pursuant to the IES Holdings, Inc. 2006 Equity Incentive Plan, as amended and restated, and Mr. Gendell's adult children own 3,363 shares of Common Stock through trusts for which Mr. Gendell acts as trustee.</w:t>
      </w:r>
    </w:p>
    <w:p>
      <w:pPr>
        <w:spacing w:after="0" w:line="24" w:lineRule="exact"/>
        <w:rPr>
          <w:rFonts w:ascii="Times New Roman" w:cs="Times New Roman" w:eastAsia="Times New Roman" w:hAnsi="Times New Roman"/>
          <w:sz w:val="13"/>
          <w:szCs w:val="13"/>
          <w:color w:val="008000"/>
        </w:rPr>
      </w:pPr>
    </w:p>
    <w:p>
      <w:pPr>
        <w:ind w:right="5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foregoing securities may be deemed to be beneficially owned by Mr. Gendell. The foregoing securities held by TCP may be deemed to be beneficially owned by TCM. The foregoing securities held by TCP 2 may be deemed to be beneficially owned by TAA.</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Gendell disclaims beneficial ownership of the Issuer's securities reported herein for purposes of Section 16(a) under the Securities Exchange Act of 1934, as amended, or otherwise, except as to</w:t>
      </w:r>
    </w:p>
    <w:p>
      <w:pPr>
        <w:spacing w:after="0" w:line="11" w:lineRule="exact"/>
        <w:rPr>
          <w:rFonts w:ascii="Times New Roman" w:cs="Times New Roman" w:eastAsia="Times New Roman" w:hAnsi="Times New Roman"/>
          <w:sz w:val="13"/>
          <w:szCs w:val="13"/>
          <w:color w:val="008000"/>
        </w:rPr>
      </w:pPr>
    </w:p>
    <w:p>
      <w:pPr>
        <w:ind w:right="60"/>
        <w:spacing w:after="0" w:line="24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directly owned by Mr. Gendell or representing Mr. Gendell's pro rata interest in, and interest in the profits of, TCM, TCP, TM, TCP 2, TAA, TA and TCO. TCM disclaims beneficial ownership of the Issuer's securities reported herein for purposes of Section 16(a) under the Securities Exchange Act of 1934, as amended, or otherwise, except as to securities directly owned by TCM or representing TCM's pro rata interest in, and interest in the profits of, TCP.</w:t>
      </w:r>
    </w:p>
    <w:p>
      <w:pPr>
        <w:spacing w:after="0" w:line="26" w:lineRule="exact"/>
        <w:rPr>
          <w:rFonts w:ascii="Times New Roman" w:cs="Times New Roman" w:eastAsia="Times New Roman" w:hAnsi="Times New Roman"/>
          <w:sz w:val="13"/>
          <w:szCs w:val="13"/>
          <w:color w:val="008000"/>
        </w:rPr>
      </w:pPr>
    </w:p>
    <w:p>
      <w:pPr>
        <w:ind w:right="10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TAA disclaims beneficial ownership of the Issuer's securities reported herein for purposes of Section 16(a) under the Securities Exchange Act of 1934, as amended, or otherwise, except as to securities directly owned by TAA or representing TAA's pro rata interest in, and interest in the profits of, TCP 2. TA disclaims beneficial ownership of the Issuer's securities reported herein for purposes of Section 16(a) under the Securities Exchange Act of 1934, as amended, or otherwise, except as to securities directly owned by TA. TM disclaims beneficial ownership of the Issuer's securities reported herein for purposes of Section 16(a) under the Securities Exchange Act of 1934, as amended, or otherwise, except as to securities directly owned by TM. TCO disclaims beneficial ownership of the Issuer's securities reported herein for purposes of Section 16(a) under the Securities Exchange Act of 1934, as amended, or otherwise, except as to securities directly owned by TCO.</w:t>
      </w:r>
    </w:p>
    <w:p>
      <w:pPr>
        <w:spacing w:after="0" w:line="26" w:lineRule="exact"/>
        <w:rPr>
          <w:rFonts w:ascii="Times New Roman" w:cs="Times New Roman" w:eastAsia="Times New Roman" w:hAnsi="Times New Roman"/>
          <w:sz w:val="13"/>
          <w:szCs w:val="13"/>
          <w:color w:val="008000"/>
        </w:rPr>
      </w:pPr>
    </w:p>
    <w:p>
      <w:pPr>
        <w:ind w:right="2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$702.37 to $703.33,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$704.89 to $705.73,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$706.38 to $706.81,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$707.72 to $708.54,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00" w:firstLine="7"/>
        <w:spacing w:after="0" w:line="253"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$710.11 to $710.37, inclusive. The reporting person undertakes to provide the Issuer, any security holder of the Issuer, or the staff of the SEC, upon request, full information regarding the number of shares sold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00"/>
          </w:cols>
          <w:pgMar w:left="500" w:top="110" w:right="499" w:bottom="0" w:gutter="0" w:footer="0" w:header="0"/>
        </w:sectPr>
      </w:pP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1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4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Tontine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By: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93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93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8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its Managing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82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1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Capital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10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Master Fund II, L.P., By: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Tontine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L.L.C., By: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15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0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Asset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15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93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5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its Managing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82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13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Tontine Capital Overseas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34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93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28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680" w:space="60"/>
            <w:col w:w="2160"/>
          </w:cols>
          <w:pgMar w:left="500" w:top="110" w:right="499" w:bottom="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10" w:right="4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24"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13" Type="http://schemas.openxmlformats.org/officeDocument/2006/relationships/hyperlink" Target="http://www.sec.gov/cgi-bin/browse-edgar?action=getcompany&amp;CIK=0000948904" TargetMode="External"/><Relationship Id="rId14" Type="http://schemas.openxmlformats.org/officeDocument/2006/relationships/hyperlink" Target="http://www.sec.gov/cgi-bin/browse-edgar?action=getcompany&amp;CIK=0001048268" TargetMode="External"/><Relationship Id="rId18" Type="http://schemas.openxmlformats.org/officeDocument/2006/relationships/hyperlink" Target="http://www.sec.gov/cgi-bin/browse-edgar?action=getcompany&amp;CIK=0001482609" TargetMode="External"/><Relationship Id="rId19" Type="http://schemas.openxmlformats.org/officeDocument/2006/relationships/hyperlink" Target="http://www.sec.gov/cgi-bin/browse-edgar?action=getcompany&amp;CIK=0001272374" TargetMode="External"/><Relationship Id="rId20" Type="http://schemas.openxmlformats.org/officeDocument/2006/relationships/hyperlink" Target="http://www.sec.gov/cgi-bin/browse-edgar?action=getcompany&amp;CIK=0001482608" TargetMode="External"/><Relationship Id="rId21" Type="http://schemas.openxmlformats.org/officeDocument/2006/relationships/hyperlink" Target="http://www.sec.gov/cgi-bin/browse-edgar?action=getcompany&amp;CIK=0001276922" TargetMode="External"/><Relationship Id="rId22" Type="http://schemas.openxmlformats.org/officeDocument/2006/relationships/hyperlink" Target="http://www.sec.gov/cgi-bin/browse-edgar?action=getcompany&amp;CIK=0001268959" TargetMode="External"/><Relationship Id="rId23" Type="http://schemas.openxmlformats.org/officeDocument/2006/relationships/hyperlink" Target="http://www.sec.gov/cgi-bin/browse-edgar?action=getcompany&amp;CIK=0001491514" TargetMode="External"/><Relationship Id="rId25" Type="http://schemas.openxmlformats.org/officeDocument/2006/relationships/hyperlink" Target="http://www.sec.gov/cgi-bin/browse-edgar?action=getcompany&amp;CIK=000140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2026-05-28T18:07:54Z</dcterms:created>
  <dcterms:modified xsi:type="dcterms:W3CDTF">2026-05-28T18:07:54Z</dcterms:modified>
</cp:coreProperties>
</file>