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28575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15875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9"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For the quarterly period ended March 31, 2024</w:t>
      </w:r>
    </w:p>
    <w:p>
      <w:pPr>
        <w:spacing w:after="0" w:line="13"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OR</w:t>
      </w:r>
    </w:p>
    <w:p>
      <w:pPr>
        <w:spacing w:after="0" w:line="31"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8"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-635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23495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121920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25400</wp:posOffset>
            </wp:positionV>
            <wp:extent cx="272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700"/>
        <w:spacing w:after="0"/>
        <w:tabs>
          <w:tab w:leader="none" w:pos="782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76-0542208</w:t>
      </w:r>
    </w:p>
    <w:p>
      <w:pPr>
        <w:spacing w:after="0" w:line="31" w:lineRule="exact"/>
        <w:rPr>
          <w:sz w:val="24"/>
          <w:szCs w:val="24"/>
          <w:color w:val="auto"/>
        </w:rPr>
      </w:pPr>
    </w:p>
    <w:p>
      <w:pPr>
        <w:ind w:left="216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3"/>
          <w:szCs w:val="13"/>
          <w:b w:val="1"/>
          <w:bCs w:val="1"/>
          <w:color w:val="auto"/>
        </w:rPr>
        <w:t>(I.R.S. Employer</w:t>
      </w:r>
    </w:p>
    <w:p>
      <w:pPr>
        <w:spacing w:after="0" w:line="26" w:lineRule="exact"/>
        <w:rPr>
          <w:sz w:val="24"/>
          <w:szCs w:val="24"/>
          <w:color w:val="auto"/>
        </w:rPr>
      </w:pPr>
    </w:p>
    <w:p>
      <w:pPr>
        <w:ind w:left="212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No.)</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 Riverway, Suite 1730, Houston, Texas 77056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2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gridSpan w:val="3"/>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150" w:lineRule="exact"/>
        <w:rPr>
          <w:sz w:val="24"/>
          <w:szCs w:val="24"/>
          <w:color w:val="auto"/>
        </w:rPr>
      </w:pPr>
    </w:p>
    <w:p>
      <w:pPr>
        <w:ind w:right="480"/>
        <w:spacing w:after="0" w:line="20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4" w:lineRule="exact"/>
        <w:rPr>
          <w:sz w:val="24"/>
          <w:szCs w:val="24"/>
          <w:color w:val="auto"/>
        </w:rPr>
      </w:pPr>
    </w:p>
    <w:p>
      <w:pPr>
        <w:ind w:right="3120"/>
        <w:spacing w:after="0" w:line="26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On April 30, 2024, there were 20,243,458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9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9920" w:type="dxa"/>
            <w:vAlign w:val="bottom"/>
            <w:gridSpan w:val="21"/>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March 31, 2024 and September 30, 2023</w:t>
            </w:r>
          </w:p>
        </w:tc>
        <w:tc>
          <w:tcPr>
            <w:tcW w:w="3240" w:type="dxa"/>
            <w:vAlign w:val="bottom"/>
            <w:gridSpan w:val="5"/>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Six Months Ended March 31, 2024 and 2023</w:t>
            </w: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Six Months Ended March 31, 2024 and 2023</w:t>
            </w:r>
          </w:p>
        </w:tc>
        <w:tc>
          <w:tcPr>
            <w:tcW w:w="700" w:type="dxa"/>
            <w:vAlign w:val="bottom"/>
            <w:gridSpan w:val="2"/>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March 31, 2024 and 2023</w:t>
            </w:r>
          </w:p>
        </w:tc>
        <w:tc>
          <w:tcPr>
            <w:tcW w:w="210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920" w:type="dxa"/>
            <w:vAlign w:val="bottom"/>
            <w:gridSpan w:val="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920" w:type="dxa"/>
            <w:vAlign w:val="bottom"/>
            <w:gridSpan w:val="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820" w:type="dxa"/>
            <w:vAlign w:val="bottom"/>
            <w:gridSpan w:val="13"/>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400" w:type="dxa"/>
            <w:vAlign w:val="bottom"/>
            <w:gridSpan w:val="11"/>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840" w:type="dxa"/>
            <w:vAlign w:val="bottom"/>
            <w:gridSpan w:val="1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520" w:type="dxa"/>
            <w:vAlign w:val="bottom"/>
            <w:gridSpan w:val="1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660" w:type="dxa"/>
            <w:vAlign w:val="bottom"/>
            <w:gridSpan w:val="12"/>
          </w:tcPr>
          <w:p>
            <w:pPr>
              <w:jc w:val="right"/>
              <w:ind w:right="1200"/>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this Quarterly Report on Form 10-Q, the words “IES”, the “Company”, the “Registrant”, “we”, “our”, “ours” and “us” refer to IES Holdings, Inc. and, except as otherwise specified herein, to our subsidiaries.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9"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29" w:lineRule="exact"/>
        <w:rPr>
          <w:rFonts w:ascii="Times New Roman" w:cs="Times New Roman" w:eastAsia="Times New Roman" w:hAnsi="Times New Roman"/>
          <w:sz w:val="17"/>
          <w:szCs w:val="17"/>
          <w:color w:val="auto"/>
        </w:rPr>
      </w:pPr>
    </w:p>
    <w:p>
      <w:pPr>
        <w:ind w:left="620" w:right="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market and macro-economic disruptions resulting from the ongoing Ukraine and Israel conflicts, trade tensions between the U.S. and China, or other geo-political events;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77"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84"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 due to our suppliers' access to materials and labor, their ability to ship products timely, or credit or liquidity problems they may face;</w:t>
      </w:r>
    </w:p>
    <w:p>
      <w:pPr>
        <w:spacing w:after="0" w:line="164" w:lineRule="exact"/>
        <w:rPr>
          <w:rFonts w:ascii="Times New Roman" w:cs="Times New Roman" w:eastAsia="Times New Roman" w:hAnsi="Times New Roman"/>
          <w:sz w:val="17"/>
          <w:szCs w:val="17"/>
          <w:color w:val="auto"/>
        </w:rPr>
      </w:pPr>
    </w:p>
    <w:p>
      <w:pPr>
        <w:jc w:val="both"/>
        <w:ind w:left="620" w:right="34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spacing w:after="0" w:line="184" w:lineRule="exact"/>
        <w:rPr>
          <w:rFonts w:ascii="Times New Roman" w:cs="Times New Roman" w:eastAsia="Times New Roman" w:hAnsi="Times New Roman"/>
          <w:sz w:val="17"/>
          <w:szCs w:val="17"/>
          <w:color w:val="auto"/>
        </w:rPr>
      </w:pPr>
    </w:p>
    <w:p>
      <w:pPr>
        <w:ind w:left="620" w:right="2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retain sufficient financing at acceptable rates, which could lead to project delays or cancellations;</w:t>
      </w:r>
    </w:p>
    <w:p>
      <w:pPr>
        <w:spacing w:after="0" w:line="190" w:lineRule="exact"/>
        <w:rPr>
          <w:rFonts w:ascii="Times New Roman" w:cs="Times New Roman" w:eastAsia="Times New Roman" w:hAnsi="Times New Roman"/>
          <w:sz w:val="17"/>
          <w:szCs w:val="17"/>
          <w:color w:val="auto"/>
        </w:rPr>
      </w:pPr>
    </w:p>
    <w:p>
      <w:pPr>
        <w:ind w:left="620" w:right="1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42" w:lineRule="exact"/>
        <w:rPr>
          <w:rFonts w:ascii="Times New Roman" w:cs="Times New Roman" w:eastAsia="Times New Roman" w:hAnsi="Times New Roman"/>
          <w:sz w:val="17"/>
          <w:szCs w:val="17"/>
          <w:color w:val="auto"/>
        </w:rPr>
      </w:pPr>
    </w:p>
    <w:p>
      <w:pPr>
        <w:ind w:left="620" w:right="10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29"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ind w:left="307" w:right="1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additional collateral at their discretion;</w:t>
      </w:r>
    </w:p>
    <w:p>
      <w:pPr>
        <w:spacing w:after="0" w:line="177" w:lineRule="exact"/>
        <w:rPr>
          <w:rFonts w:ascii="Times New Roman" w:cs="Times New Roman" w:eastAsia="Times New Roman" w:hAnsi="Times New Roman"/>
          <w:sz w:val="17"/>
          <w:szCs w:val="17"/>
          <w:color w:val="auto"/>
        </w:rPr>
      </w:pPr>
    </w:p>
    <w:p>
      <w:pPr>
        <w:ind w:left="307" w:right="8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downturns in levels of construction or the housing market, seasonality and differing regional economic conditions;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bad debt expense and days sales outstanding due to liquidity problems faced by our customers;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42" w:lineRule="exact"/>
        <w:rPr>
          <w:rFonts w:ascii="Times New Roman" w:cs="Times New Roman" w:eastAsia="Times New Roman" w:hAnsi="Times New Roman"/>
          <w:sz w:val="17"/>
          <w:szCs w:val="17"/>
          <w:color w:val="auto"/>
        </w:rPr>
      </w:pPr>
    </w:p>
    <w:p>
      <w:pPr>
        <w:ind w:left="307" w:right="22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 security or data breaches;</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under existing or potential future laws and regulations, including those laws and regulations related to the environment and climate change;</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comply with future changes in laws and regulations, including environmental laws and regulations and those relating to climate change;</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inability to transfer, renew and obtain electrical and other professional licenses;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 value of certain tax benefits may be reduced by a decrease in the federal tax rate;</w:t>
      </w:r>
    </w:p>
    <w:p>
      <w:pPr>
        <w:spacing w:after="0" w:line="242" w:lineRule="exact"/>
        <w:rPr>
          <w:rFonts w:ascii="Times New Roman" w:cs="Times New Roman" w:eastAsia="Times New Roman" w:hAnsi="Times New Roman"/>
          <w:sz w:val="17"/>
          <w:szCs w:val="17"/>
          <w:color w:val="auto"/>
        </w:rPr>
      </w:pPr>
    </w:p>
    <w:p>
      <w:pPr>
        <w:ind w:left="307" w:right="6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tax benefits related to uncertain tax positions and the potential for disagreements with taxing authorities with regard to tax positions we have adopted;</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recognition of valuation allowances or write-downs on deferred tax assets;</w:t>
      </w:r>
    </w:p>
    <w:p>
      <w:pPr>
        <w:spacing w:after="0" w:line="242"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availability of sufficient credit or cash flow to fund our working capital needs and capital expenditures, to complete acquisitions, and for debt service;</w:t>
      </w:r>
    </w:p>
    <w:p>
      <w:pPr>
        <w:spacing w:after="0" w:line="177" w:lineRule="exact"/>
        <w:rPr>
          <w:rFonts w:ascii="Times New Roman" w:cs="Times New Roman" w:eastAsia="Times New Roman" w:hAnsi="Times New Roman"/>
          <w:sz w:val="17"/>
          <w:szCs w:val="17"/>
          <w:color w:val="auto"/>
        </w:rPr>
      </w:pPr>
    </w:p>
    <w:p>
      <w:pPr>
        <w:ind w:left="307" w:right="3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estimating future operating results, including revenues, operating income or cash flow;</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42" w:lineRule="exact"/>
        <w:rPr>
          <w:rFonts w:ascii="Times New Roman" w:cs="Times New Roman" w:eastAsia="Times New Roman" w:hAnsi="Times New Roman"/>
          <w:sz w:val="17"/>
          <w:szCs w:val="17"/>
          <w:color w:val="auto"/>
        </w:rPr>
      </w:pPr>
    </w:p>
    <w:p>
      <w:pPr>
        <w:ind w:left="307" w:right="180" w:hanging="307"/>
        <w:spacing w:after="0" w:line="270"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307" w:right="2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which may make it more difficult for shareholders to sell a substantial number of shares for the same price at which shareholders could sell a smaller number of shares;</w:t>
      </w:r>
    </w:p>
    <w:p>
      <w:pPr>
        <w:spacing w:after="0" w:line="177" w:lineRule="exact"/>
        <w:rPr>
          <w:rFonts w:ascii="Times New Roman" w:cs="Times New Roman" w:eastAsia="Times New Roman" w:hAnsi="Times New Roman"/>
          <w:sz w:val="17"/>
          <w:szCs w:val="17"/>
          <w:color w:val="auto"/>
        </w:rPr>
      </w:pPr>
    </w:p>
    <w:p>
      <w:pPr>
        <w:ind w:left="307" w:right="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29" w:lineRule="exact"/>
        <w:rPr>
          <w:rFonts w:ascii="Times New Roman" w:cs="Times New Roman" w:eastAsia="Times New Roman" w:hAnsi="Times New Roman"/>
          <w:sz w:val="17"/>
          <w:szCs w:val="17"/>
          <w:color w:val="auto"/>
        </w:rPr>
      </w:pPr>
    </w:p>
    <w:p>
      <w:pPr>
        <w:ind w:left="307" w:right="40"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177" w:lineRule="exact"/>
        <w:rPr>
          <w:rFonts w:ascii="Times New Roman" w:cs="Times New Roman" w:eastAsia="Times New Roman" w:hAnsi="Times New Roman"/>
          <w:sz w:val="17"/>
          <w:szCs w:val="17"/>
          <w:color w:val="auto"/>
        </w:rPr>
      </w:pPr>
    </w:p>
    <w:p>
      <w:pPr>
        <w:ind w:left="307" w:right="40"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resulting from our designation of the Court of Chancery of the State of Delaware as the sole and exclusive forum for certain types of actions and proceedings;</w:t>
      </w:r>
    </w:p>
    <w:p>
      <w:pPr>
        <w:sectPr>
          <w:pgSz w:w="11900" w:h="16838" w:orient="portrait"/>
          <w:cols w:equalWidth="0" w:num="1">
            <w:col w:w="10927"/>
          </w:cols>
          <w:pgMar w:left="633" w:top="665" w:right="339" w:bottom="1440" w:gutter="0" w:footer="0" w:header="0"/>
        </w:sectPr>
      </w:pPr>
    </w:p>
    <w:p>
      <w:pPr>
        <w:spacing w:after="0" w:line="371" w:lineRule="exact"/>
        <w:rPr>
          <w:sz w:val="20"/>
          <w:szCs w:val="20"/>
          <w:color w:val="auto"/>
        </w:rPr>
      </w:pPr>
    </w:p>
    <w:p>
      <w:pPr>
        <w:jc w:val="center"/>
        <w:ind w:right="31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77470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665" w:right="339" w:bottom="1440" w:gutter="0" w:footer="0" w:header="0"/>
          <w:type w:val="continuous"/>
        </w:sectPr>
      </w:pPr>
    </w:p>
    <w:bookmarkStart w:id="4" w:name="page5"/>
    <w:bookmarkEnd w:id="4"/>
    <w:p>
      <w:pPr>
        <w:ind w:left="620" w:right="1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 and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elsewhere in this Quarterly Report on Form 10-Q.</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of our Annual Report on Form 10-K for the fiscal year ended September 30, 2023,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March 31,</w:t>
            </w:r>
          </w:p>
        </w:tc>
        <w:tc>
          <w:tcPr>
            <w:tcW w:w="1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9"/>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16"/>
        </w:trPr>
        <w:tc>
          <w:tcPr>
            <w:tcW w:w="82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8"/>
                <w:szCs w:val="18"/>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Trade, net of allowance of $1,887 and $1,649,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363,836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Retainage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76,934</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95,655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48,620</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796,498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671,296</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56,208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20,383</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61,761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16,147</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1,101,164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981,600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60" w:type="dxa"/>
            <w:vAlign w:val="bottom"/>
            <w:shd w:val="clear" w:color="auto" w:fill="CCEEFF"/>
          </w:tcPr>
          <w:p>
            <w:pPr>
              <w:ind w:left="2300"/>
              <w:spacing w:after="0" w:line="185"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296,797</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103,771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434,230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400,568</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42,098</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tax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22,047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16,951</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506,200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481,664</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49,951</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and outstanding</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issued and 20,243,458 and 20,194,218 outstanding,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Treasury stock, at cost, 1,806,071 and 1,855,311 shares, respectively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(49,450)</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203,431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295,784</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534,806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449,985</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1,101,164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12"/>
        </w:trPr>
        <w:tc>
          <w:tcPr>
            <w:tcW w:w="77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705,733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568,881</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534,120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467,955</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100,926</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69,349</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31,610</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(1,768)</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8,157</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56,800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24,172</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52,909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20,227,342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20,170,824</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20,479,755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20,387,796</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7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1,143,755</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1,024,760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947,391</w:t>
            </w:r>
          </w:p>
        </w:tc>
      </w:tr>
      <w:tr>
        <w:trPr>
          <w:trHeight w:val="212"/>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196,364</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137,117</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(13,162)</w:t>
            </w:r>
          </w:p>
        </w:tc>
      </w:tr>
      <w:tr>
        <w:trPr>
          <w:trHeight w:val="212"/>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135,704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72,271</w:t>
            </w:r>
          </w:p>
        </w:tc>
      </w:tr>
      <w:tr>
        <w:trPr>
          <w:trHeight w:val="19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135,158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71,111</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18,185</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52,926</w:t>
            </w:r>
          </w:p>
        </w:tc>
      </w:tr>
      <w:tr>
        <w:trPr>
          <w:trHeight w:val="212"/>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(4,973)</w:t>
            </w:r>
          </w:p>
        </w:tc>
      </w:tr>
      <w:tr>
        <w:trPr>
          <w:trHeight w:val="237"/>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19"/>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20,213,421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20,206,814</w:t>
            </w:r>
          </w:p>
        </w:tc>
      </w:tr>
      <w:tr>
        <w:trPr>
          <w:trHeight w:val="219"/>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20,449,691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20,414,492</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ectPr>
          <w:pgSz w:w="11900" w:h="16838" w:orient="portrait"/>
          <w:cols w:equalWidth="0" w:num="1">
            <w:col w:w="11140"/>
          </w:cols>
          <w:pgMar w:left="400" w:top="6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right="500" w:hanging="141"/>
        <w:spacing w:after="0" w:line="288" w:lineRule="auto"/>
        <w:rPr>
          <w:sz w:val="20"/>
          <w:szCs w:val="20"/>
          <w:color w:val="auto"/>
        </w:rPr>
      </w:pPr>
      <w:r>
        <w:rPr>
          <w:rFonts w:ascii="Times New Roman" w:cs="Times New Roman" w:eastAsia="Times New Roman" w:hAnsi="Times New Roman"/>
          <w:sz w:val="14"/>
          <w:szCs w:val="14"/>
          <w:color w:val="auto"/>
        </w:rPr>
        <w:t>BALANCE, December 31, 2023 Issuances under compensation plans Acquisition of treasury stock Option exercised</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income attributable to IES Holdings, Inc.</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December 31, 2022</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Options exercised</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40" w:right="40" w:firstLine="90"/>
        <w:spacing w:after="0" w:line="371" w:lineRule="auto"/>
        <w:rPr>
          <w:sz w:val="20"/>
          <w:szCs w:val="20"/>
          <w:color w:val="auto"/>
        </w:rPr>
      </w:pPr>
      <w:r>
        <w:rPr>
          <w:rFonts w:ascii="Times New Roman" w:cs="Times New Roman" w:eastAsia="Times New Roman" w:hAnsi="Times New Roman"/>
          <w:sz w:val="14"/>
          <w:szCs w:val="14"/>
          <w:color w:val="auto"/>
        </w:rPr>
        <w:t>Net income attributable to IES Holdings, Inc. BALANCE,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right="540" w:hanging="128"/>
        <w:spacing w:after="0" w:line="288" w:lineRule="auto"/>
        <w:rPr>
          <w:sz w:val="20"/>
          <w:szCs w:val="20"/>
          <w:color w:val="auto"/>
        </w:rPr>
      </w:pPr>
      <w:r>
        <w:rPr>
          <w:rFonts w:ascii="Times New Roman" w:cs="Times New Roman" w:eastAsia="Times New Roman" w:hAnsi="Times New Roman"/>
          <w:sz w:val="14"/>
          <w:szCs w:val="14"/>
          <w:color w:val="auto"/>
        </w:rPr>
        <w:t>BALANCE, September 30, 2023 Issuances under compensation plans Acquisition of treasury stock Options exercised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income attributable to IES Holdings, Inc.</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right="500" w:hanging="115"/>
        <w:spacing w:after="0" w:line="288" w:lineRule="auto"/>
        <w:rPr>
          <w:sz w:val="20"/>
          <w:szCs w:val="20"/>
          <w:color w:val="auto"/>
        </w:rPr>
      </w:pPr>
      <w:r>
        <w:rPr>
          <w:rFonts w:ascii="Times New Roman" w:cs="Times New Roman" w:eastAsia="Times New Roman" w:hAnsi="Times New Roman"/>
          <w:sz w:val="14"/>
          <w:szCs w:val="14"/>
          <w:color w:val="auto"/>
        </w:rPr>
        <w:t>BALANCE, September 30, 2022 Issuances under compensation plans Acquisition of treasury stock Options exercised</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income attributable to IES Holdings, Inc.</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March 31, 2023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25400</wp:posOffset>
            </wp:positionV>
            <wp:extent cx="50349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34915"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12"/>
          </w:tcPr>
          <w:p>
            <w:pPr>
              <w:ind w:left="48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5"/>
                <w:szCs w:val="15"/>
                <w:color w:val="auto"/>
              </w:rPr>
            </w:pPr>
          </w:p>
        </w:tc>
        <w:tc>
          <w:tcPr>
            <w:tcW w:w="2280" w:type="dxa"/>
            <w:vAlign w:val="bottom"/>
            <w:gridSpan w:val="10"/>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Additional Paid-In</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920" w:type="dxa"/>
            <w:vAlign w:val="bottom"/>
            <w:gridSpan w:val="2"/>
          </w:tcPr>
          <w:p>
            <w:pPr>
              <w:jc w:val="right"/>
              <w:ind w:right="23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(1,835,553)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203,986</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333,958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488,643</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(21,518)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52,909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52,909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(1,806,071)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(50,428)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204,088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380,926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534,806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Three Months Ended March 31, 2023</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12"/>
          </w:tcPr>
          <w:p>
            <w:pPr>
              <w:ind w:left="46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9"/>
                <w:szCs w:val="19"/>
                <w:color w:val="auto"/>
              </w:rPr>
            </w:pPr>
          </w:p>
        </w:tc>
        <w:tc>
          <w:tcPr>
            <w:tcW w:w="2280" w:type="dxa"/>
            <w:vAlign w:val="bottom"/>
            <w:gridSpan w:val="10"/>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 Paid -In</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92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(1,875,676)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(49,653)</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226,544</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378,051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(1,878,008)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(49,751)</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245,324</w:t>
            </w: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397,751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12"/>
          </w:tcPr>
          <w:p>
            <w:pPr>
              <w:ind w:left="40"/>
              <w:spacing w:after="0"/>
              <w:rPr>
                <w:sz w:val="20"/>
                <w:szCs w:val="20"/>
                <w:color w:val="auto"/>
              </w:rPr>
            </w:pPr>
            <w:r>
              <w:rPr>
                <w:rFonts w:ascii="Times New Roman" w:cs="Times New Roman" w:eastAsia="Times New Roman" w:hAnsi="Times New Roman"/>
                <w:sz w:val="14"/>
                <w:szCs w:val="14"/>
                <w:color w:val="auto"/>
              </w:rPr>
              <w:t>Six Months Ended March 31, 2024</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12"/>
          </w:tcPr>
          <w:p>
            <w:pPr>
              <w:ind w:left="48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9"/>
                <w:szCs w:val="19"/>
                <w:color w:val="auto"/>
              </w:rPr>
            </w:pPr>
          </w:p>
        </w:tc>
        <w:tc>
          <w:tcPr>
            <w:tcW w:w="2280" w:type="dxa"/>
            <w:vAlign w:val="bottom"/>
            <w:gridSpan w:val="10"/>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 Paid -In</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w w:val="99"/>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92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(1,855,311)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(49,450)</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295,784</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449,985</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82,180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(33,940)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(1,806,071)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(50,428)</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380,926</w:t>
            </w: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534,806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12"/>
          </w:tcPr>
          <w:p>
            <w:pPr>
              <w:ind w:left="40"/>
              <w:spacing w:after="0"/>
              <w:rPr>
                <w:sz w:val="20"/>
                <w:szCs w:val="20"/>
                <w:color w:val="auto"/>
              </w:rPr>
            </w:pPr>
            <w:r>
              <w:rPr>
                <w:rFonts w:ascii="Times New Roman" w:cs="Times New Roman" w:eastAsia="Times New Roman" w:hAnsi="Times New Roman"/>
                <w:sz w:val="14"/>
                <w:szCs w:val="14"/>
                <w:color w:val="auto"/>
              </w:rPr>
              <w:t>Six Months Ended March 31, 2023</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Borders>
              <w:bottom w:val="single" w:sz="8" w:color="auto"/>
            </w:tcBorders>
            <w:gridSpan w:val="1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10"/>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12"/>
          </w:tcPr>
          <w:p>
            <w:pPr>
              <w:ind w:left="50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9"/>
                <w:szCs w:val="19"/>
                <w:color w:val="auto"/>
              </w:rPr>
            </w:pPr>
          </w:p>
        </w:tc>
        <w:tc>
          <w:tcPr>
            <w:tcW w:w="2280" w:type="dxa"/>
            <w:vAlign w:val="bottom"/>
            <w:gridSpan w:val="10"/>
          </w:tcPr>
          <w:p>
            <w:pPr>
              <w:ind w:left="66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 Paid -In</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92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(1,707,629)</w:t>
            </w:r>
          </w:p>
        </w:tc>
        <w:tc>
          <w:tcPr>
            <w:tcW w:w="20" w:type="dxa"/>
            <w:vAlign w:val="bottom"/>
            <w:tcBorders>
              <w:top w:val="single" w:sz="8" w:color="auto"/>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203,197</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361,288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71,013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(243,392)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(1,878,008)</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(49,751)</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245,324</w:t>
            </w: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397,751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-5885180</wp:posOffset>
            </wp:positionV>
            <wp:extent cx="7080885" cy="130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0885" cy="13081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-5631815</wp:posOffset>
            </wp:positionV>
            <wp:extent cx="7080885" cy="12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0885" cy="12255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-5386070</wp:posOffset>
            </wp:positionV>
            <wp:extent cx="7080885"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0885" cy="12255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-5140325</wp:posOffset>
            </wp:positionV>
            <wp:extent cx="7080885" cy="122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088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-4231640</wp:posOffset>
            </wp:positionV>
            <wp:extent cx="7056755"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6755" cy="1308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-3977640</wp:posOffset>
            </wp:positionV>
            <wp:extent cx="7056755" cy="12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-3732530</wp:posOffset>
            </wp:positionV>
            <wp:extent cx="7056755"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-3486785</wp:posOffset>
            </wp:positionV>
            <wp:extent cx="7056755" cy="147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6755" cy="14732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-2692400</wp:posOffset>
            </wp:positionV>
            <wp:extent cx="7105650" cy="130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-2439035</wp:posOffset>
            </wp:positionV>
            <wp:extent cx="7105650" cy="122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-2193290</wp:posOffset>
            </wp:positionV>
            <wp:extent cx="7105650" cy="122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-1947545</wp:posOffset>
            </wp:positionV>
            <wp:extent cx="7105650"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-1030605</wp:posOffset>
            </wp:positionV>
            <wp:extent cx="7056755" cy="130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6755" cy="1308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-777240</wp:posOffset>
            </wp:positionV>
            <wp:extent cx="7056755"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-531495</wp:posOffset>
            </wp:positionV>
            <wp:extent cx="7056755" cy="122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-285750</wp:posOffset>
            </wp:positionV>
            <wp:extent cx="7056755" cy="122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6755" cy="122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520"/>
            <w:col w:w="7960"/>
          </w:cols>
          <w:pgMar w:left="400" w:top="622" w:right="359" w:bottom="1440" w:gutter="0" w:footer="0" w:header="0"/>
          <w:type w:val="continuous"/>
        </w:sectPr>
      </w:pPr>
    </w:p>
    <w:p>
      <w:pPr>
        <w:spacing w:after="0" w:line="6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400" w:top="622"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100,388</w:t>
            </w:r>
          </w:p>
        </w:tc>
        <w:tc>
          <w:tcPr>
            <w:tcW w:w="1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52,926</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Bad debt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financing cost 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Gain on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(13,162)</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6,955</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Unrealized loss on trading securities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35,660</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(11,798)</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4,120</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(11,672)</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(30,454)</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10,109</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58,693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60,059</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(6,677)</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19,124</w:t>
            </w:r>
          </w:p>
        </w:tc>
      </w:tr>
      <w:tr>
        <w:trPr>
          <w:trHeight w:val="219"/>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equity investments</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12,282</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Borrowings of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1,346,388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1,162,971</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Repayments of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(1,346,388)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(1,230,519)</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for finance leases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Settlement of contingent consideration liability</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(5,272)</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(7,637)</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Options exercised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(82,060)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(9,719)</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75,770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24,848</w:t>
            </w:r>
          </w:p>
        </w:tc>
      </w:tr>
      <w:tr>
        <w:trPr>
          <w:trHeight w:val="27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105,969</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Cash paid for interest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4,660</w:t>
            </w:r>
          </w:p>
        </w:tc>
      </w:tr>
    </w:tbl>
    <w:p>
      <w:pPr>
        <w:spacing w:after="0" w:line="29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520" w:hanging="307"/>
        <w:spacing w:after="0" w:line="26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32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8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right="4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2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Financial Statement Preparation</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2023.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In each case, the purchase price is variable, based on a multiple of earnings as defined in the applicable operating agreement. Therefore, each noncontrolling interest is carried at the greater of the balance determined under Accounting Standards Codification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right="420"/>
        <w:spacing w:after="0" w:line="287" w:lineRule="auto"/>
        <w:rPr>
          <w:sz w:val="20"/>
          <w:szCs w:val="20"/>
          <w:color w:val="auto"/>
        </w:rPr>
      </w:pPr>
      <w:r>
        <w:rPr>
          <w:rFonts w:ascii="Times New Roman" w:cs="Times New Roman" w:eastAsia="Times New Roman" w:hAnsi="Times New Roman"/>
          <w:sz w:val="17"/>
          <w:szCs w:val="17"/>
          <w:color w:val="auto"/>
        </w:rPr>
        <w:t>(“ASC”) 810 and the redemption amounts assuming the noncontrolling interest was redeemable at the balance sheet date. If all of the noncontrolling interests remaining outstanding at March 31, 2024 had been redeemable at that date, the aggregate redemption amount would have been $60,158.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Standards Recently Adopted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October 2021, the Financial Accounting Standards Board ("FASB") issued Accounting Standard Update No. 2021-08, Business Combinations (Topic 805): Accounting for Contract Assets and Contract Liabilities from Contracts with Customers (“ASU 2021-08”). This standard amends the existing guidance under ASC 805 to add contract assets and contract liabilities to the list of exceptions to the recognition and measurement principles that apply to business combinations. Under this standard, the acquirer of a business is expected to recognize and measure acquired contract assets and contract liabilities as if the acquirer entered into the original contract on the same date with the same terms in accordance with ASC 606 rather than at fair value on the date of acquisition. This update is effective for fiscal years beginning after December 15, 2022 and for interim periods within that year. We adopted this standard on October 1, 2023 using the prospective method. ASU 2021-08 will impact how we account for future business combinations.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CONTROLLING STOCKHOLDER</w:t>
      </w:r>
    </w:p>
    <w:p>
      <w:pPr>
        <w:spacing w:after="0" w:line="247"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56 percent of the Company’s outstanding common stock based on Amendment No. 29 to the Schedule 13D filed by Tontine with the SEC on March 15, 2024 and the Company's shares outstanding as of April 30, 2024. Accordingly, Tontine has the ability to exercise significant control over our affairs, including the election of directors and most actions requiring the approval of stockholders.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Should Tontine sell or otherwise dispose of all or a portion of its position in IES, a change in control of IES could occur. A change of control would trigger the change of control provisions in a number of our material agreements, including our credit agreement, bonding agreements with our sureties and our executive severance plan.</w:t>
      </w:r>
    </w:p>
    <w:p>
      <w:pPr>
        <w:spacing w:after="0" w:line="19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Payments by the Company are at a rate consistent with that paid by Tontine Associates to its landlord.</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right="100"/>
        <w:spacing w:after="0" w:line="270" w:lineRule="auto"/>
        <w:rPr>
          <w:sz w:val="20"/>
          <w:szCs w:val="20"/>
          <w:color w:val="auto"/>
        </w:rPr>
      </w:pPr>
      <w:r>
        <w:rPr>
          <w:rFonts w:ascii="Times New Roman" w:cs="Times New Roman" w:eastAsia="Times New Roman" w:hAnsi="Times New Roman"/>
          <w:sz w:val="17"/>
          <w:szCs w:val="17"/>
          <w:color w:val="auto"/>
        </w:rPr>
        <w:t>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24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80" w:firstLine="3"/>
        <w:spacing w:after="0" w:line="266" w:lineRule="auto"/>
        <w:tabs>
          <w:tab w:leader="none" w:pos="29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24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other than the Residential Single-family and Infrastructure Solutions Industrial Services businesses, as (i) control continuously transfers to the customer as work progresses at a project location controlled by the customer and (ii) we have the right to bill the customer as costs are incurred. Within our Infrastructure Solutions Custom Power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Such assessment involves an evaluation of contractual termination clauses.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For arrangements where we recognize revenue over time,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205"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Certain divisions in the Residential and Infrastructure Solutions segments recognize revenue at the completion of the contract ("completed contract") under the right to invoice practical expedient because the duration of their contracts is short in nature. We recognize revenue on completed contracts when the project is complete and billable to the customer.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which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spacing w:after="0" w:line="287" w:lineRule="auto"/>
        <w:rPr>
          <w:sz w:val="20"/>
          <w:szCs w:val="20"/>
          <w:color w:val="auto"/>
        </w:rPr>
      </w:pPr>
      <w:r>
        <w:rPr>
          <w:rFonts w:ascii="Times New Roman" w:cs="Times New Roman" w:eastAsia="Times New Roman" w:hAnsi="Times New Roman"/>
          <w:sz w:val="17"/>
          <w:szCs w:val="17"/>
          <w:color w:val="auto"/>
        </w:rPr>
        <w:t>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4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and six months ended March 31, 2024 and 2023 was derived from the following activities. Certain prior period amounts have been reclassified to conform with the current period presentation, where applicable. See details in the following tables:</w:t>
      </w:r>
    </w:p>
    <w:p>
      <w:pPr>
        <w:spacing w:after="0" w:line="158" w:lineRule="exact"/>
        <w:rPr>
          <w:sz w:val="20"/>
          <w:szCs w:val="20"/>
          <w:color w:val="auto"/>
        </w:rPr>
      </w:pPr>
    </w:p>
    <w:tbl>
      <w:tblPr>
        <w:tblLayout w:type="fixed"/>
        <w:tblInd w:w="74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3560" w:type="dxa"/>
            <w:vAlign w:val="bottom"/>
            <w:gridSpan w:val="6"/>
          </w:tcPr>
          <w:p>
            <w:pPr>
              <w:ind w:left="62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380" w:type="dxa"/>
            <w:vAlign w:val="bottom"/>
          </w:tcPr>
          <w:p>
            <w:pPr>
              <w:spacing w:after="0"/>
              <w:rPr>
                <w:sz w:val="19"/>
                <w:szCs w:val="19"/>
                <w:color w:val="auto"/>
              </w:rPr>
            </w:pPr>
          </w:p>
        </w:tc>
        <w:tc>
          <w:tcPr>
            <w:tcW w:w="3100" w:type="dxa"/>
            <w:vAlign w:val="bottom"/>
            <w:gridSpan w:val="4"/>
          </w:tcPr>
          <w:p>
            <w:pPr>
              <w:jc w:val="right"/>
              <w:ind w:right="63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27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288,365</w:t>
            </w:r>
          </w:p>
        </w:tc>
      </w:tr>
      <w:tr>
        <w:trPr>
          <w:trHeight w:val="219"/>
        </w:trPr>
        <w:tc>
          <w:tcPr>
            <w:tcW w:w="2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Residential</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Single-family</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498,859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470,925</w:t>
            </w:r>
          </w:p>
        </w:tc>
      </w:tr>
      <w:tr>
        <w:trPr>
          <w:trHeight w:val="219"/>
        </w:trPr>
        <w:tc>
          <w:tcPr>
            <w:tcW w:w="2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Multi-family and Other</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78,896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153,265</w:t>
            </w:r>
          </w:p>
        </w:tc>
      </w:tr>
      <w:tr>
        <w:trPr>
          <w:trHeight w:val="212"/>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Residential</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624,190</w:t>
            </w:r>
          </w:p>
        </w:tc>
      </w:tr>
      <w:tr>
        <w:trPr>
          <w:trHeight w:val="219"/>
        </w:trPr>
        <w:tc>
          <w:tcPr>
            <w:tcW w:w="2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Infrastructure Solutions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Industrial Services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23,174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22,516</w:t>
            </w:r>
          </w:p>
        </w:tc>
      </w:tr>
      <w:tr>
        <w:trPr>
          <w:trHeight w:val="219"/>
        </w:trPr>
        <w:tc>
          <w:tcPr>
            <w:tcW w:w="2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Custom Power Solutions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41,054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115,503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79,384</w:t>
            </w:r>
          </w:p>
        </w:tc>
      </w:tr>
      <w:tr>
        <w:trPr>
          <w:trHeight w:val="212"/>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138,677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101,900</w:t>
            </w:r>
          </w:p>
        </w:tc>
      </w:tr>
      <w:tr>
        <w:trPr>
          <w:trHeight w:val="219"/>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129,300</w:t>
            </w: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Revenue</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705,733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568,881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1,340,177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1,143,755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8"/>
          </w:tcPr>
          <w:p>
            <w:pPr>
              <w:jc w:val="center"/>
              <w:ind w:right="780"/>
              <w:spacing w:after="0"/>
              <w:rPr>
                <w:sz w:val="20"/>
                <w:szCs w:val="20"/>
                <w:color w:val="auto"/>
              </w:rPr>
            </w:pPr>
            <w:r>
              <w:rPr>
                <w:rFonts w:ascii="Times New Roman" w:cs="Times New Roman" w:eastAsia="Times New Roman" w:hAnsi="Times New Roman"/>
                <w:sz w:val="17"/>
                <w:szCs w:val="17"/>
                <w:color w:val="auto"/>
              </w:rPr>
              <w:t>Three Months Ended March 31, 2024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8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Solutions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141,144</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339,372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82,972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637,031</w:t>
            </w:r>
          </w:p>
        </w:tc>
        <w:tc>
          <w:tcPr>
            <w:tcW w:w="0" w:type="dxa"/>
            <w:vAlign w:val="bottom"/>
          </w:tcPr>
          <w:p>
            <w:pPr>
              <w:spacing w:after="0"/>
              <w:rPr>
                <w:sz w:val="1"/>
                <w:szCs w:val="1"/>
                <w:color w:val="auto"/>
              </w:rPr>
            </w:pPr>
          </w:p>
        </w:tc>
      </w:tr>
      <w:tr>
        <w:trPr>
          <w:trHeight w:val="219"/>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52,359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68,702</w:t>
            </w:r>
          </w:p>
        </w:tc>
        <w:tc>
          <w:tcPr>
            <w:tcW w:w="0" w:type="dxa"/>
            <w:vAlign w:val="bottom"/>
          </w:tcPr>
          <w:p>
            <w:pPr>
              <w:spacing w:after="0"/>
              <w:rPr>
                <w:sz w:val="1"/>
                <w:szCs w:val="1"/>
                <w:color w:val="auto"/>
              </w:rPr>
            </w:pPr>
          </w:p>
        </w:tc>
      </w:tr>
      <w:tr>
        <w:trPr>
          <w:trHeight w:val="237"/>
        </w:trPr>
        <w:tc>
          <w:tcPr>
            <w:tcW w:w="25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193,503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339,372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705,733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780"/>
              <w:spacing w:after="0"/>
              <w:rPr>
                <w:sz w:val="20"/>
                <w:szCs w:val="20"/>
                <w:color w:val="auto"/>
              </w:rPr>
            </w:pPr>
            <w:r>
              <w:rPr>
                <w:rFonts w:ascii="Times New Roman" w:cs="Times New Roman" w:eastAsia="Times New Roman" w:hAnsi="Times New Roman"/>
                <w:sz w:val="17"/>
                <w:szCs w:val="17"/>
                <w:color w:val="auto"/>
              </w:rPr>
              <w:t>Three Months Ended March 31, 2023</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4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Solutions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2"/>
        </w:trPr>
        <w:tc>
          <w:tcPr>
            <w:tcW w:w="2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509,370</w:t>
            </w:r>
          </w:p>
        </w:tc>
        <w:tc>
          <w:tcPr>
            <w:tcW w:w="0" w:type="dxa"/>
            <w:vAlign w:val="bottom"/>
          </w:tcPr>
          <w:p>
            <w:pPr>
              <w:spacing w:after="0"/>
              <w:rPr>
                <w:sz w:val="1"/>
                <w:szCs w:val="1"/>
                <w:color w:val="auto"/>
              </w:rPr>
            </w:pPr>
          </w:p>
        </w:tc>
      </w:tr>
      <w:tr>
        <w:trPr>
          <w:trHeight w:val="219"/>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59,511</w:t>
            </w:r>
          </w:p>
        </w:tc>
        <w:tc>
          <w:tcPr>
            <w:tcW w:w="0" w:type="dxa"/>
            <w:vAlign w:val="bottom"/>
          </w:tcPr>
          <w:p>
            <w:pPr>
              <w:spacing w:after="0"/>
              <w:rPr>
                <w:sz w:val="1"/>
                <w:szCs w:val="1"/>
                <w:color w:val="auto"/>
              </w:rPr>
            </w:pPr>
          </w:p>
        </w:tc>
      </w:tr>
      <w:tr>
        <w:trPr>
          <w:trHeight w:val="237"/>
        </w:trPr>
        <w:tc>
          <w:tcPr>
            <w:tcW w:w="25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141,120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306,112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568,881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7"/>
                <w:szCs w:val="17"/>
                <w:color w:val="auto"/>
              </w:rPr>
              <w:t>Six Months</w:t>
            </w:r>
          </w:p>
        </w:tc>
        <w:tc>
          <w:tcPr>
            <w:tcW w:w="14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gridSpan w:val="3"/>
          </w:tcPr>
          <w:p>
            <w:pPr>
              <w:spacing w:after="0" w:line="165" w:lineRule="exact"/>
              <w:rPr>
                <w:sz w:val="20"/>
                <w:szCs w:val="20"/>
                <w:color w:val="auto"/>
              </w:rPr>
            </w:pPr>
            <w:r>
              <w:rPr>
                <w:rFonts w:ascii="Times New Roman" w:cs="Times New Roman" w:eastAsia="Times New Roman" w:hAnsi="Times New Roman"/>
                <w:sz w:val="17"/>
                <w:szCs w:val="17"/>
                <w:color w:val="auto"/>
                <w:w w:val="92"/>
              </w:rPr>
              <w:t>Ended March 31, 2024</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8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Solutions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266,367</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655,228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134,423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156,882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1,212,900</w:t>
            </w:r>
          </w:p>
        </w:tc>
        <w:tc>
          <w:tcPr>
            <w:tcW w:w="0" w:type="dxa"/>
            <w:vAlign w:val="bottom"/>
          </w:tcPr>
          <w:p>
            <w:pPr>
              <w:spacing w:after="0"/>
              <w:rPr>
                <w:sz w:val="1"/>
                <w:szCs w:val="1"/>
                <w:color w:val="auto"/>
              </w:rPr>
            </w:pPr>
          </w:p>
        </w:tc>
      </w:tr>
      <w:tr>
        <w:trPr>
          <w:trHeight w:val="219"/>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127,277</w:t>
            </w:r>
          </w:p>
        </w:tc>
        <w:tc>
          <w:tcPr>
            <w:tcW w:w="0" w:type="dxa"/>
            <w:vAlign w:val="bottom"/>
          </w:tcPr>
          <w:p>
            <w:pPr>
              <w:spacing w:after="0"/>
              <w:rPr>
                <w:sz w:val="1"/>
                <w:szCs w:val="1"/>
                <w:color w:val="auto"/>
              </w:rPr>
            </w:pPr>
          </w:p>
        </w:tc>
      </w:tr>
      <w:tr>
        <w:trPr>
          <w:trHeight w:val="237"/>
        </w:trPr>
        <w:tc>
          <w:tcPr>
            <w:tcW w:w="25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364,251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1,340,177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454"/>
              <w:spacing w:after="0"/>
              <w:rPr>
                <w:sz w:val="20"/>
                <w:szCs w:val="20"/>
                <w:color w:val="auto"/>
              </w:rPr>
            </w:pPr>
            <w:r>
              <w:rPr>
                <w:rFonts w:ascii="Times New Roman" w:cs="Times New Roman" w:eastAsia="Times New Roman" w:hAnsi="Times New Roman"/>
                <w:sz w:val="17"/>
                <w:szCs w:val="17"/>
                <w:color w:val="auto"/>
              </w:rPr>
              <w:t>Six Months Ended March 31, 2023</w:t>
            </w: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8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Solutions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179,666</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624,190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111,810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1,014,163</w:t>
            </w:r>
          </w:p>
        </w:tc>
        <w:tc>
          <w:tcPr>
            <w:tcW w:w="0" w:type="dxa"/>
            <w:vAlign w:val="bottom"/>
          </w:tcPr>
          <w:p>
            <w:pPr>
              <w:spacing w:after="0"/>
              <w:rPr>
                <w:sz w:val="1"/>
                <w:szCs w:val="1"/>
                <w:color w:val="auto"/>
              </w:rPr>
            </w:pPr>
          </w:p>
        </w:tc>
      </w:tr>
      <w:tr>
        <w:trPr>
          <w:trHeight w:val="219"/>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129,592</w:t>
            </w:r>
          </w:p>
        </w:tc>
        <w:tc>
          <w:tcPr>
            <w:tcW w:w="0" w:type="dxa"/>
            <w:vAlign w:val="bottom"/>
          </w:tcPr>
          <w:p>
            <w:pPr>
              <w:spacing w:after="0"/>
              <w:rPr>
                <w:sz w:val="1"/>
                <w:szCs w:val="1"/>
                <w:color w:val="auto"/>
              </w:rPr>
            </w:pPr>
          </w:p>
        </w:tc>
      </w:tr>
      <w:tr>
        <w:trPr>
          <w:trHeight w:val="237"/>
        </w:trPr>
        <w:tc>
          <w:tcPr>
            <w:tcW w:w="25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624,190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1,143,755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433"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that we have billed or have an unconditional right to bill our customers. As of March 31, 2024, Accounts receivable included $7,385 of unbilled receivables for which we have an unconditional right to bill.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Sheets under the caption “Billings in excess of costs and estimated earnings”.</w:t>
      </w:r>
    </w:p>
    <w:p>
      <w:pPr>
        <w:spacing w:after="0" w:line="20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During the six months ended March 31, 2024 and 2023, we recognized revenue of $92,970 and $52,350 related to our contract liabilities at October 1, 2023 and 2022,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March 31, 2024, we had remaining performance obligations of $1,065,444. The Company expects to recognize revenue on approximately $875,040 of the remaining performance obligations over the next 12 months, with the remainder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and six months ended March 31, 2024, net revenue recognized from our performance obligations satisfied in previous periods was not material.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22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$150,000 under our revolving credit facility. The Amended Credit Agreement, which matures on September 30, 2026, contains customary affirmative, negative and financial covenants as disclosed in Item 7 of our Annual Report on Form 10-K for the fiscal year ended September 30, 2023. As of March 31, 2024, the Company was in compliance with the financial covenants under the Amended Credit Agreement.</w:t>
      </w:r>
    </w:p>
    <w:p>
      <w:pPr>
        <w:spacing w:after="0" w:line="19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At March 31, 2024 and September 30, 2023, we had no outstanding borrowings under our revolving credit facility. At March 31, 2024, we had $5,606 in outstanding letters of credit and total availability of $143,501 under our revolving credit facility without triggering the financial covenants under the Amended Credit Agreement.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PER SHARE INFORMATION</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38"/>
        </w:trPr>
        <w:tc>
          <w:tcPr>
            <w:tcW w:w="102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following tables reconcile the components of basic and diluted earnings per share for the three and six months ended March 31, 2024 and 2023:</w:t>
            </w:r>
          </w:p>
        </w:tc>
        <w:tc>
          <w:tcPr>
            <w:tcW w:w="1000" w:type="dxa"/>
            <w:vAlign w:val="bottom"/>
          </w:tcPr>
          <w:p>
            <w:pPr>
              <w:spacing w:after="0"/>
              <w:rPr>
                <w:sz w:val="24"/>
                <w:szCs w:val="24"/>
                <w:color w:val="auto"/>
              </w:rPr>
            </w:pPr>
          </w:p>
        </w:tc>
      </w:tr>
      <w:tr>
        <w:trPr>
          <w:trHeight w:val="245"/>
        </w:trPr>
        <w:tc>
          <w:tcPr>
            <w:tcW w:w="8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5"/>
          </w:tcPr>
          <w:p>
            <w:pPr>
              <w:jc w:val="right"/>
              <w:ind w:right="39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12"/>
        </w:trPr>
        <w:tc>
          <w:tcPr>
            <w:tcW w:w="8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52,909</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21,551</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2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18,780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20,227,342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20,170,824</w:t>
            </w:r>
          </w:p>
        </w:tc>
      </w:tr>
      <w:tr>
        <w:trPr>
          <w:trHeight w:val="21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252,413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216,972</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20,479,755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20,387,796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r>
      <w:tr>
        <w:trPr>
          <w:trHeight w:val="464"/>
        </w:trPr>
        <w:tc>
          <w:tcPr>
            <w:tcW w:w="8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49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8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93,865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47,953</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(5,826)</w:t>
            </w: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20,213,421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20,206,814</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207,678</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20,449,691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20,414,492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IES Holdings, Inc.:</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23"/>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r>
    </w:tbl>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7"/>
          <w:szCs w:val="17"/>
          <w:color w:val="auto"/>
        </w:rPr>
        <w:t>For the three and six months ended March 31, 2024 and 2023, the average price of our common shares exceeded the exercise price of all of our outstanding stock options. As a result, all of our outstanding stock options were included in the computation of diluted earnings per share. For the six months ended March 31, 2024 and 2023, the computation of diluted earnings per share excluded 21,584 and 22,344 unvested Employee PSUs (as defined below), respectively, as the inclusion of such instruments would have been anti-dilutive. All unvested Employee PSUs were included in the computation of diluted earnings per share for the three months ended March 31, 2024 and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OPERATING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520" w:firstLine="3"/>
        <w:spacing w:after="0" w:line="266" w:lineRule="auto"/>
        <w:tabs>
          <w:tab w:leader="none" w:pos="17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Chief Operating Decision Maker (“CODM”) reviews operating results for the purpose of allocating resources and assessing performance. The Company’s CODM is its Chief Executive Officer.</w:t>
      </w:r>
    </w:p>
    <w:p>
      <w:pPr>
        <w:spacing w:after="0" w:line="19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organization provides general and administrative services, as well as support services, to each of our four operating segments. Management allocates certain shared costs among segments for selling, general and administrative expenses and depreciation expense.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Segment information for the three and six months ended March 31, 2024 and 2023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9"/>
          </w:tcPr>
          <w:p>
            <w:pPr>
              <w:jc w:val="center"/>
              <w:ind w:right="320"/>
              <w:spacing w:after="0"/>
              <w:rPr>
                <w:sz w:val="20"/>
                <w:szCs w:val="20"/>
                <w:color w:val="auto"/>
              </w:rPr>
            </w:pPr>
            <w:r>
              <w:rPr>
                <w:rFonts w:ascii="Times New Roman" w:cs="Times New Roman" w:eastAsia="Times New Roman" w:hAnsi="Times New Roman"/>
                <w:sz w:val="15"/>
                <w:szCs w:val="15"/>
                <w:color w:val="auto"/>
              </w:rPr>
              <w:t>Three Months Ended March 31, 2024</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193,503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339,372</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75,789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97,069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705,733</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154,568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250,702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52,044</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76,806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534,120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38,935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88,670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23,745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20,263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171,613</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16,988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55,258</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8,707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6,692</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95,272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(1,373)</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21,963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77,714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7,821</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936</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3,424</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2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6,844</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230,386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396,760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200,476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174,697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1,101,164</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center"/>
              <w:ind w:right="320"/>
              <w:spacing w:after="0"/>
              <w:rPr>
                <w:sz w:val="20"/>
                <w:szCs w:val="20"/>
                <w:color w:val="auto"/>
              </w:rPr>
            </w:pPr>
            <w:r>
              <w:rPr>
                <w:rFonts w:ascii="Times New Roman" w:cs="Times New Roman" w:eastAsia="Times New Roman" w:hAnsi="Times New Roman"/>
                <w:sz w:val="15"/>
                <w:szCs w:val="15"/>
                <w:color w:val="auto"/>
              </w:rPr>
              <w:t>Three Months Ended March 31, 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141,120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306,112</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568,881</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115,957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251,281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38,421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62,296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467,955</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25,163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54,831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100,926</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13,386</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37,999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5,990</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6,400</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5,574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69,349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11,780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16,763</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(5,574)</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31,610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6,864</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480</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2,379</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188,937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389,946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173,621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889,088</w:t>
            </w:r>
          </w:p>
        </w:tc>
        <w:tc>
          <w:tcPr>
            <w:tcW w:w="0" w:type="dxa"/>
            <w:vAlign w:val="bottom"/>
          </w:tcPr>
          <w:p>
            <w:pPr>
              <w:spacing w:after="0"/>
              <w:rPr>
                <w:sz w:val="1"/>
                <w:szCs w:val="1"/>
                <w:color w:val="auto"/>
              </w:rPr>
            </w:pPr>
          </w:p>
        </w:tc>
      </w:tr>
      <w:tr>
        <w:trPr>
          <w:trHeight w:val="539"/>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5"/>
                <w:szCs w:val="15"/>
                <w:color w:val="auto"/>
              </w:rPr>
              <w:t>Six Months Ended March 31, 2024</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364,251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655,228</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138,677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1,340,177</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289,041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491,127</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96,741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147,851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1,024,760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75,210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164,101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41,936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34,170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315,417</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31,889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106,636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14,912</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15,554</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181,122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(1,357)</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43,341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58,787</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27,024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18,669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(12,117)</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135,704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15,438</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1,936</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6,788</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13,359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230,386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396,760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200,476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174,697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1,101,164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5"/>
                <w:szCs w:val="15"/>
                <w:color w:val="auto"/>
              </w:rPr>
              <w:t>Six Months Ended March 31, 2023</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288,365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624,190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101,900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129,300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1,143,755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241,464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509,740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77,238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118,949</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947,391</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46,901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24,662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10,351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196,364</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25,683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77,050</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11,751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12,089</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10,544</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137,117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(13,162)</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21,221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37,268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12,930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72,271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13,252</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1,122</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1,269</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188,937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389,946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173,621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889,088</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570,655 shares were available for issuance at March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December 2022, our Board authorized a stock repurchase program for the purchase from time to time of up to $40,000 of the Company’s common stock, replacing the Company's previous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4,048 and 223,779 shares, respectively, of our common stock during the three and six months ended March 31, 2023 in open market transactions at an average price of $34.97 and $31.05 per share, respectively. We made no repurchases of common stock in open market transactions during the three and six months ended March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2024, we issued 82,180 shares of common stock from treasury stock to employees and repurchased 33,940 shares of common stock from our employees to satisfy statutory tax withholding requirements upon the vesting of certain performance phantom stock units under the Equity Incentive Plan. During the six months ended March 31, 2024, we issued 1,000 unrestricted shares to satisfy the exercise of certain outstanding option awards under the Equity Incentive Plan.</w:t>
      </w:r>
    </w:p>
    <w:p>
      <w:pPr>
        <w:spacing w:after="0" w:line="19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2023, we issued 71,013 shares of common stock from treasury stock to employees and repurchased 19,347 shares of common stock from our employees to satisfy statutory tax withholding requirements upon the vesting of certain performance phantom stock units under the Equity Incentive Plan. In addition, 266 restricted shares were forfeited and returned to treasury stock. During the six months ended March 31, 2023, we issued 2,000 unrestricted shares to satisfy the exercise of certain outstanding option awards under the Equity Incentive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19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As of March 31, 2024, the Company had outstanding Employee PSUs, which, subject to the achievement of certain performance metrics, could result in the issuance of 323,973 shares of common stock. During the six months ended March 31, 2024, we granted 85,434 Employee PSUs, 5,094 were forfeited, and 82,180 vested.</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summary of the compensation expense related to our stock awards recognized during the three and six months ended March 31, 2024 and 2023 is provided in the table below: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Six Months Ended March 31,</w:t>
            </w:r>
          </w:p>
        </w:tc>
        <w:tc>
          <w:tcPr>
            <w:tcW w:w="500" w:type="dxa"/>
            <w:vAlign w:val="bottom"/>
            <w:tcBorders>
              <w:bottom w:val="single" w:sz="8" w:color="auto"/>
            </w:tcBorders>
          </w:tcPr>
          <w:p>
            <w:pPr>
              <w:spacing w:after="0"/>
              <w:rPr>
                <w:sz w:val="19"/>
                <w:szCs w:val="19"/>
                <w:color w:val="auto"/>
              </w:rPr>
            </w:pPr>
          </w:p>
        </w:tc>
      </w:tr>
      <w:tr>
        <w:trPr>
          <w:trHeight w:val="212"/>
        </w:trPr>
        <w:tc>
          <w:tcPr>
            <w:tcW w:w="48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2023</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Borders>
              <w:bottom w:val="single" w:sz="8" w:color="auto"/>
            </w:tcBorders>
          </w:tcPr>
          <w:p>
            <w:pPr>
              <w:spacing w:after="0"/>
              <w:rPr>
                <w:sz w:val="18"/>
                <w:szCs w:val="18"/>
                <w:color w:val="auto"/>
              </w:rPr>
            </w:pPr>
          </w:p>
        </w:tc>
      </w:tr>
      <w:tr>
        <w:trPr>
          <w:trHeight w:val="212"/>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Restricted stock awards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4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Director PSUs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19"/>
        </w:trPr>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Employee PSUs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0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At March 31, 2024 and September 30, 2023, financial assets and liabilities measured at fair value on a recurring basis were limited to investments in equity securities and debt securities classified as trading securities,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191"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Financial assets (liabilities) measured at fair value on a recurring basis as of March 31, 2024 and September 30, 2023,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March 31, 2024</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2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38"/>
        </w:trPr>
        <w:tc>
          <w:tcPr>
            <w:tcW w:w="6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13,048</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13,048</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Debt securities classified as trading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September 30, 2023</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right"/>
              <w:ind w:right="274"/>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0" w:type="dxa"/>
            <w:vAlign w:val="bottom"/>
          </w:tcPr>
          <w:p>
            <w:pPr>
              <w:spacing w:after="0"/>
              <w:rPr>
                <w:sz w:val="1"/>
                <w:szCs w:val="1"/>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Investments in equity securities and debt securities, all of which are classified as trading securities and mature after one year and before five years at March 31, 2024, were included in “Prepaid expenses and other current assets” in our Condensed Consolidated Balance Sheets. Gains and losses to measure our investments in equity and debt securities at fair value were included in Other income, net in our Condensed Consolidated Statements of Comprehensive Income. Our unrealized net gains (losses), which are calculated as total net gains (losses) recognized during the period less net gains (losses) recognized on securities sold during the period, were as follows:</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27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43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Unrealized loss on equity securities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Unrealized gain (loss) on debt securities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3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unrealized loss on trading securities</w:t>
            </w:r>
          </w:p>
        </w:tc>
        <w:tc>
          <w:tcPr>
            <w:tcW w:w="94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In fiscal year 2021, we entered into a contingent consideration arrangement related to the acquisition of Bayonet. The table below presents the change in fair value of this obligation, which used significant unobservable inputs (Level 3). This obligation was settled during the six months ended March 31, 2024, and we did not have any other assets or liabilities measured using significant unobservable inputs at March 31, 2024.</w:t>
      </w:r>
    </w:p>
    <w:p>
      <w:pPr>
        <w:sectPr>
          <w:pgSz w:w="11900" w:h="16838" w:orient="portrait"/>
          <w:cols w:equalWidth="0" w:num="1">
            <w:col w:w="11240"/>
          </w:cols>
          <w:pgMar w:left="320" w:top="47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Fair value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-129540</wp:posOffset>
            </wp:positionV>
            <wp:extent cx="3978275" cy="147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78275" cy="147320"/>
                    </a:xfrm>
                    <a:prstGeom prst="rect">
                      <a:avLst/>
                    </a:prstGeom>
                    <a:noFill/>
                  </pic:spPr>
                </pic:pic>
              </a:graphicData>
            </a:graphic>
          </wp:anchor>
        </w:drawing>
      </w:r>
    </w:p>
    <w:p>
      <w:pPr>
        <w:spacing w:after="0" w:line="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Net adjustments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14605</wp:posOffset>
            </wp:positionV>
            <wp:extent cx="3978275"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78275" cy="139065"/>
                    </a:xfrm>
                    <a:prstGeom prst="rect">
                      <a:avLst/>
                    </a:prstGeom>
                    <a:noFill/>
                  </pic:spPr>
                </pic:pic>
              </a:graphicData>
            </a:graphic>
          </wp:anchor>
        </w:drawing>
      </w:r>
    </w:p>
    <w:p>
      <w:pPr>
        <w:spacing w:after="0" w:line="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Settlements</w:t>
      </w:r>
    </w:p>
    <w:p>
      <w:pPr>
        <w:spacing w:after="0" w:line="58" w:lineRule="exact"/>
        <w:rPr>
          <w:sz w:val="20"/>
          <w:szCs w:val="20"/>
          <w:color w:val="auto"/>
        </w:rPr>
      </w:pPr>
    </w:p>
    <w:p>
      <w:pPr>
        <w:jc w:val="center"/>
        <w:ind w:left="803"/>
        <w:spacing w:after="0"/>
        <w:rPr>
          <w:sz w:val="20"/>
          <w:szCs w:val="20"/>
          <w:color w:val="auto"/>
        </w:rPr>
      </w:pPr>
      <w:r>
        <w:rPr>
          <w:rFonts w:ascii="Times New Roman" w:cs="Times New Roman" w:eastAsia="Times New Roman" w:hAnsi="Times New Roman"/>
          <w:sz w:val="17"/>
          <w:szCs w:val="17"/>
          <w:color w:val="auto"/>
        </w:rPr>
        <w:t>Fair value at March 31, 2024</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2497"/>
        <w:spacing w:after="0"/>
        <w:rPr>
          <w:sz w:val="20"/>
          <w:szCs w:val="20"/>
          <w:color w:val="auto"/>
        </w:rPr>
      </w:pPr>
      <w:r>
        <w:rPr>
          <w:rFonts w:ascii="Times New Roman" w:cs="Times New Roman" w:eastAsia="Times New Roman" w:hAnsi="Times New Roman"/>
          <w:sz w:val="17"/>
          <w:szCs w:val="17"/>
          <w:color w:val="auto"/>
        </w:rPr>
        <w:t>Contingent Consideration</w:t>
      </w:r>
    </w:p>
    <w:p>
      <w:pPr>
        <w:spacing w:after="0" w:line="3" w:lineRule="exact"/>
        <w:rPr>
          <w:sz w:val="20"/>
          <w:szCs w:val="20"/>
          <w:color w:val="auto"/>
        </w:rPr>
      </w:pPr>
    </w:p>
    <w:p>
      <w:pPr>
        <w:jc w:val="center"/>
        <w:ind w:right="2497"/>
        <w:spacing w:after="0"/>
        <w:rPr>
          <w:sz w:val="20"/>
          <w:szCs w:val="20"/>
          <w:color w:val="auto"/>
        </w:rPr>
      </w:pPr>
      <w:r>
        <w:rPr>
          <w:rFonts w:ascii="Times New Roman" w:cs="Times New Roman" w:eastAsia="Times New Roman" w:hAnsi="Times New Roman"/>
          <w:sz w:val="17"/>
          <w:szCs w:val="17"/>
          <w:color w:val="auto"/>
        </w:rPr>
        <w:t>Agreements</w:t>
      </w:r>
    </w:p>
    <w:p>
      <w:pPr>
        <w:spacing w:after="0" w:line="19" w:lineRule="exact"/>
        <w:rPr>
          <w:sz w:val="20"/>
          <w:szCs w:val="20"/>
          <w:color w:val="auto"/>
        </w:rPr>
      </w:pPr>
    </w:p>
    <w:p>
      <w:pPr>
        <w:ind w:left="1323" w:hanging="1323"/>
        <w:spacing w:after="0"/>
        <w:tabs>
          <w:tab w:leader="none" w:pos="132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(4,465)</w:t>
      </w:r>
    </w:p>
    <w:p>
      <w:pPr>
        <w:spacing w:after="0" w:line="27" w:lineRule="exact"/>
        <w:rPr>
          <w:rFonts w:ascii="Times New Roman" w:cs="Times New Roman" w:eastAsia="Times New Roman" w:hAnsi="Times New Roman"/>
          <w:sz w:val="17"/>
          <w:szCs w:val="17"/>
          <w:color w:val="auto"/>
        </w:rPr>
      </w:pPr>
    </w:p>
    <w:p>
      <w:pPr>
        <w:ind w:left="152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w:t>
      </w:r>
    </w:p>
    <w:p>
      <w:pPr>
        <w:spacing w:after="0" w:line="24" w:lineRule="exact"/>
        <w:rPr>
          <w:sz w:val="20"/>
          <w:szCs w:val="20"/>
          <w:color w:val="auto"/>
        </w:rPr>
      </w:pPr>
    </w:p>
    <w:p>
      <w:pPr>
        <w:ind w:left="1383"/>
        <w:spacing w:after="0"/>
        <w:rPr>
          <w:sz w:val="20"/>
          <w:szCs w:val="20"/>
          <w:color w:val="auto"/>
        </w:rPr>
      </w:pPr>
      <w:r>
        <w:rPr>
          <w:rFonts w:ascii="Times New Roman" w:cs="Times New Roman" w:eastAsia="Times New Roman" w:hAnsi="Times New Roman"/>
          <w:sz w:val="17"/>
          <w:szCs w:val="17"/>
          <w:color w:val="auto"/>
        </w:rPr>
        <w:t>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178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13" w:lineRule="exact"/>
        <w:rPr>
          <w:sz w:val="20"/>
          <w:szCs w:val="20"/>
          <w:color w:val="auto"/>
        </w:rPr>
      </w:pPr>
    </w:p>
    <w:p>
      <w:pPr>
        <w:ind w:left="3"/>
        <w:spacing w:after="0"/>
        <w:tabs>
          <w:tab w:leader="none" w:pos="1582"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1785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785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41910</wp:posOffset>
            </wp:positionV>
            <wp:extent cx="11785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197" w:space="720"/>
            <w:col w:w="4323"/>
          </w:cols>
          <w:pgMar w:left="320" w:top="471" w:right="33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INVENTORY</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64"/>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7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March 31,</w:t>
            </w:r>
          </w:p>
        </w:tc>
        <w:tc>
          <w:tcPr>
            <w:tcW w:w="260" w:type="dxa"/>
            <w:vAlign w:val="bottom"/>
          </w:tcPr>
          <w:p>
            <w:pPr>
              <w:spacing w:after="0"/>
              <w:rPr>
                <w:sz w:val="20"/>
                <w:szCs w:val="20"/>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7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Parts and supplies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64,983</w:t>
            </w: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carrying value of goodwill by segment at March 31, 2024, which did not change from September 30,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Infrastructure</w:t>
            </w:r>
          </w:p>
        </w:tc>
        <w:tc>
          <w:tcPr>
            <w:tcW w:w="200" w:type="dxa"/>
            <w:vAlign w:val="bottom"/>
          </w:tcPr>
          <w:p>
            <w:pPr>
              <w:spacing w:after="0"/>
              <w:rPr>
                <w:sz w:val="16"/>
                <w:szCs w:val="16"/>
                <w:color w:val="auto"/>
              </w:rPr>
            </w:pPr>
          </w:p>
        </w:tc>
        <w:tc>
          <w:tcPr>
            <w:tcW w:w="1840" w:type="dxa"/>
            <w:vAlign w:val="bottom"/>
            <w:gridSpan w:val="3"/>
          </w:tcPr>
          <w:p>
            <w:pPr>
              <w:jc w:val="center"/>
              <w:ind w:right="594"/>
              <w:spacing w:after="0"/>
              <w:rPr>
                <w:sz w:val="20"/>
                <w:szCs w:val="20"/>
                <w:color w:val="auto"/>
              </w:rPr>
            </w:pPr>
            <w:r>
              <w:rPr>
                <w:rFonts w:ascii="Times New Roman" w:cs="Times New Roman" w:eastAsia="Times New Roman" w:hAnsi="Times New Roman"/>
                <w:sz w:val="17"/>
                <w:szCs w:val="17"/>
                <w:color w:val="auto"/>
              </w:rPr>
              <w:t>Commercial &amp;</w:t>
            </w:r>
          </w:p>
        </w:tc>
        <w:tc>
          <w:tcPr>
            <w:tcW w:w="1200" w:type="dxa"/>
            <w:vAlign w:val="bottom"/>
          </w:tcPr>
          <w:p>
            <w:pPr>
              <w:spacing w:after="0"/>
              <w:rPr>
                <w:sz w:val="16"/>
                <w:szCs w:val="16"/>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6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Solutions</w:t>
            </w:r>
          </w:p>
        </w:tc>
        <w:tc>
          <w:tcPr>
            <w:tcW w:w="200" w:type="dxa"/>
            <w:vAlign w:val="bottom"/>
          </w:tcPr>
          <w:p>
            <w:pPr>
              <w:spacing w:after="0"/>
              <w:rPr>
                <w:sz w:val="19"/>
                <w:szCs w:val="19"/>
                <w:color w:val="auto"/>
              </w:rPr>
            </w:pPr>
          </w:p>
        </w:tc>
        <w:tc>
          <w:tcPr>
            <w:tcW w:w="1840" w:type="dxa"/>
            <w:vAlign w:val="bottom"/>
            <w:gridSpan w:val="3"/>
          </w:tcPr>
          <w:p>
            <w:pPr>
              <w:jc w:val="center"/>
              <w:ind w:right="574"/>
              <w:spacing w:after="0"/>
              <w:rPr>
                <w:sz w:val="20"/>
                <w:szCs w:val="20"/>
                <w:color w:val="auto"/>
              </w:rPr>
            </w:pPr>
            <w:r>
              <w:rPr>
                <w:rFonts w:ascii="Times New Roman" w:cs="Times New Roman" w:eastAsia="Times New Roman" w:hAnsi="Times New Roman"/>
                <w:sz w:val="17"/>
                <w:szCs w:val="17"/>
                <w:color w:val="auto"/>
              </w:rPr>
              <w:t>Industrial</w:t>
            </w: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37"/>
        </w:trPr>
        <w:tc>
          <w:tcPr>
            <w:tcW w:w="30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655"/>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27"/>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5"/>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jc w:val="center"/>
              <w:ind w:right="540"/>
              <w:spacing w:after="0"/>
              <w:rPr>
                <w:sz w:val="20"/>
                <w:szCs w:val="20"/>
                <w:color w:val="auto"/>
              </w:rPr>
            </w:pPr>
            <w:r>
              <w:rPr>
                <w:rFonts w:ascii="Times New Roman" w:cs="Times New Roman" w:eastAsia="Times New Roman" w:hAnsi="Times New Roman"/>
                <w:sz w:val="17"/>
                <w:szCs w:val="17"/>
                <w:color w:val="auto"/>
                <w:w w:val="99"/>
              </w:rPr>
              <w:t>March 31, 2024</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70"/>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Estimated Useful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line="170" w:lineRule="exact"/>
              <w:rPr>
                <w:sz w:val="20"/>
                <w:szCs w:val="20"/>
                <w:color w:val="auto"/>
              </w:rPr>
            </w:pPr>
            <w:r>
              <w:rPr>
                <w:rFonts w:ascii="Times New Roman" w:cs="Times New Roman" w:eastAsia="Times New Roman" w:hAnsi="Times New Roman"/>
                <w:sz w:val="17"/>
                <w:szCs w:val="17"/>
                <w:color w:val="auto"/>
              </w:rPr>
              <w:t>Gross Carrying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ind w:left="60"/>
              <w:spacing w:after="0" w:line="170" w:lineRule="exact"/>
              <w:rPr>
                <w:sz w:val="20"/>
                <w:szCs w:val="20"/>
                <w:color w:val="auto"/>
              </w:rPr>
            </w:pPr>
            <w:r>
              <w:rPr>
                <w:rFonts w:ascii="Times New Roman" w:cs="Times New Roman" w:eastAsia="Times New Roman" w:hAnsi="Times New Roman"/>
                <w:sz w:val="17"/>
                <w:szCs w:val="17"/>
                <w:color w:val="auto"/>
              </w:rPr>
              <w:t>Accumulated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8"/>
          </w:tcPr>
          <w:p>
            <w:pPr>
              <w:jc w:val="center"/>
              <w:ind w:right="3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60" w:type="dxa"/>
            <w:vAlign w:val="bottom"/>
          </w:tcPr>
          <w:p>
            <w:pPr>
              <w:spacing w:after="0"/>
              <w:rPr>
                <w:sz w:val="19"/>
                <w:szCs w:val="19"/>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440" w:type="dxa"/>
            <w:vAlign w:val="bottom"/>
          </w:tcPr>
          <w:p>
            <w:pPr>
              <w:spacing w:after="0"/>
              <w:rPr>
                <w:sz w:val="19"/>
                <w:szCs w:val="19"/>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86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6,897</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42,989</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108,205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(58,130)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50,075</w:t>
            </w: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85"/>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7"/>
                <w:szCs w:val="17"/>
                <w:color w:val="auto"/>
              </w:rPr>
              <w:t>September 30, 2023</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0"/>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5"/>
          </w:tcPr>
          <w:p>
            <w:pPr>
              <w:jc w:val="center"/>
              <w:ind w:right="14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2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2"/>
        </w:trPr>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8"/>
          </w:tcPr>
          <w:p>
            <w:pPr>
              <w:jc w:val="center"/>
              <w:ind w:right="38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6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440" w:type="dxa"/>
            <w:vAlign w:val="bottom"/>
          </w:tcPr>
          <w:p>
            <w:pPr>
              <w:spacing w:after="0"/>
              <w:rPr>
                <w:sz w:val="20"/>
                <w:szCs w:val="20"/>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8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48,361</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56,208</w:t>
            </w: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0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March 31, 2024 and September 30, 2023, we had $10,143 and $7,726,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20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March 31, 2024 and September 30, 2023, $5,606 and $4,166, respectively, of our outstanding letters of credit was utilized to collateralize our insurance program.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As of March 31, 2024, the estimated cost to complete our bonded projects was approximately $138,588.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2024, we did not have any such firm commitments to purchase materials outstanding.</w:t>
      </w:r>
    </w:p>
    <w:p>
      <w:pPr>
        <w:spacing w:after="0"/>
        <w:rPr>
          <w:sz w:val="20"/>
          <w:szCs w:val="20"/>
          <w:color w:val="auto"/>
        </w:rPr>
      </w:pPr>
      <w:r>
        <w:rPr>
          <w:rFonts w:ascii="Times New Roman" w:cs="Times New Roman" w:eastAsia="Times New Roman" w:hAnsi="Times New Roman"/>
          <w:sz w:val="17"/>
          <w:szCs w:val="17"/>
          <w:b w:val="1"/>
          <w:bCs w:val="1"/>
          <w:color w:val="auto"/>
        </w:rPr>
        <w:t>12. LEASES</w:t>
      </w:r>
    </w:p>
    <w:p>
      <w:pPr>
        <w:spacing w:after="0" w:line="22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The lease terms generally range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9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Current operating and finance lease liabilities of $19,619 and $4,657, respectively, as of March 31, 2024, and $19,496 and $4,301, respectively, as of September 30, 2023,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The maturities of our lease liabilities as of March 31, 2024 are as follows: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9"/>
        </w:trPr>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tcPr>
          <w:p>
            <w:pPr>
              <w:spacing w:after="0"/>
              <w:rPr>
                <w:sz w:val="24"/>
                <w:szCs w:val="24"/>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13,139</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22,927</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18,352</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12,034</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w:t>
            </w:r>
          </w:p>
        </w:tc>
      </w:tr>
      <w:tr>
        <w:trPr>
          <w:trHeight w:val="21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5,473</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5,481</w:t>
            </w:r>
          </w:p>
        </w:tc>
      </w:tr>
      <w:tr>
        <w:trPr>
          <w:trHeight w:val="212"/>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64,723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13,110</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77,833</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8,141</w:t>
            </w:r>
          </w:p>
        </w:tc>
      </w:tr>
      <w:tr>
        <w:trPr>
          <w:trHeight w:val="237"/>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57,794</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11,898</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69,692</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future undiscounted cash flows related to lease agreements committed to but not yet commenced as of March 31, 2024 is $3,598.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cost recognized in our Condensed Consolidated Statements of Comprehensive Income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7"/>
                <w:szCs w:val="17"/>
                <w:color w:val="auto"/>
              </w:rPr>
              <w:t>Three Months Ended</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12"/>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March 31, 2024</w:t>
            </w:r>
          </w:p>
        </w:tc>
        <w:tc>
          <w:tcPr>
            <w:tcW w:w="180" w:type="dxa"/>
            <w:vAlign w:val="bottom"/>
          </w:tcPr>
          <w:p>
            <w:pPr>
              <w:spacing w:after="0"/>
              <w:rPr>
                <w:sz w:val="18"/>
                <w:szCs w:val="18"/>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March 31, 2023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March 31, 2024</w:t>
            </w:r>
          </w:p>
        </w:tc>
        <w:tc>
          <w:tcPr>
            <w:tcW w:w="200" w:type="dxa"/>
            <w:vAlign w:val="bottom"/>
          </w:tcPr>
          <w:p>
            <w:pPr>
              <w:spacing w:after="0"/>
              <w:rPr>
                <w:sz w:val="18"/>
                <w:szCs w:val="18"/>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March 31, 2023</w:t>
            </w:r>
          </w:p>
        </w:tc>
      </w:tr>
      <w:tr>
        <w:trPr>
          <w:trHeight w:val="212"/>
        </w:trPr>
        <w:tc>
          <w:tcPr>
            <w:tcW w:w="4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lease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Finance lease cost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r>
      <w:tr>
        <w:trPr>
          <w:trHeight w:val="219"/>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12"/>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Finance lease cost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w:t>
            </w:r>
          </w:p>
        </w:tc>
      </w:tr>
      <w:tr>
        <w:trPr>
          <w:trHeight w:val="219"/>
        </w:trPr>
        <w:tc>
          <w:tcPr>
            <w:tcW w:w="4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Short-term lease cost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w:t>
            </w:r>
          </w:p>
        </w:tc>
      </w:tr>
      <w:tr>
        <w:trPr>
          <w:trHeight w:val="212"/>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Variable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w:t>
            </w:r>
          </w:p>
        </w:tc>
      </w:tr>
      <w:tr>
        <w:trPr>
          <w:trHeight w:val="212"/>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6,808</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13,561</w:t>
            </w: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88"/>
        </w:trPr>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8"/>
        </w:trPr>
        <w:tc>
          <w:tcPr>
            <w:tcW w:w="4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our Condensed Consolidated Financial Statements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80" w:type="dxa"/>
            <w:vAlign w:val="bottom"/>
            <w:gridSpan w:val="5"/>
          </w:tcPr>
          <w:p>
            <w:pPr>
              <w:ind w:left="760"/>
              <w:spacing w:after="0"/>
              <w:rPr>
                <w:sz w:val="20"/>
                <w:szCs w:val="20"/>
                <w:color w:val="auto"/>
              </w:rPr>
            </w:pPr>
            <w:r>
              <w:rPr>
                <w:rFonts w:ascii="Times New Roman" w:cs="Times New Roman" w:eastAsia="Times New Roman" w:hAnsi="Times New Roman"/>
                <w:sz w:val="17"/>
                <w:szCs w:val="17"/>
                <w:color w:val="auto"/>
              </w:rPr>
              <w:t>Three Months Ended</w:t>
            </w:r>
          </w:p>
        </w:tc>
        <w:tc>
          <w:tcPr>
            <w:tcW w:w="220" w:type="dxa"/>
            <w:vAlign w:val="bottom"/>
          </w:tcPr>
          <w:p>
            <w:pPr>
              <w:spacing w:after="0"/>
              <w:rPr>
                <w:sz w:val="19"/>
                <w:szCs w:val="19"/>
                <w:color w:val="auto"/>
              </w:rPr>
            </w:pPr>
          </w:p>
        </w:tc>
        <w:tc>
          <w:tcPr>
            <w:tcW w:w="3200" w:type="dxa"/>
            <w:vAlign w:val="bottom"/>
            <w:gridSpan w:val="5"/>
          </w:tcPr>
          <w:p>
            <w:pPr>
              <w:jc w:val="right"/>
              <w:ind w:right="97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12"/>
        </w:trPr>
        <w:tc>
          <w:tcPr>
            <w:tcW w:w="4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March 31, 2024</w:t>
            </w: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March 31, 2023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March 31, 2024</w:t>
            </w:r>
          </w:p>
        </w:tc>
        <w:tc>
          <w:tcPr>
            <w:tcW w:w="3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March 31, 2023</w:t>
            </w:r>
          </w:p>
        </w:tc>
      </w:tr>
      <w:tr>
        <w:trPr>
          <w:trHeight w:val="21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operating leases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6,026</w:t>
            </w:r>
          </w:p>
        </w:tc>
        <w:tc>
          <w:tcPr>
            <w:tcW w:w="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12,064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11,818</w:t>
            </w:r>
          </w:p>
        </w:tc>
      </w:tr>
      <w:tr>
        <w:trPr>
          <w:trHeight w:val="219"/>
        </w:trPr>
        <w:tc>
          <w:tcPr>
            <w:tcW w:w="4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finance leases</w:t>
            </w:r>
          </w:p>
        </w:tc>
        <w:tc>
          <w:tcPr>
            <w:tcW w:w="22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215</w:t>
            </w:r>
          </w:p>
        </w:tc>
        <w:tc>
          <w:tcPr>
            <w:tcW w:w="2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399</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168"/>
        </w:trPr>
        <w:tc>
          <w:tcPr>
            <w:tcW w:w="432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Right-of-use assets obtained in exchange for new operating</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3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1,116</w:t>
            </w:r>
          </w:p>
        </w:tc>
        <w:tc>
          <w:tcPr>
            <w:tcW w:w="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7,575</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9,191</w:t>
            </w:r>
          </w:p>
        </w:tc>
      </w:tr>
      <w:tr>
        <w:trPr>
          <w:trHeight w:val="168"/>
        </w:trPr>
        <w:tc>
          <w:tcPr>
            <w:tcW w:w="4320" w:type="dxa"/>
            <w:vAlign w:val="bottom"/>
          </w:tcPr>
          <w:p>
            <w:pPr>
              <w:ind w:left="60"/>
              <w:spacing w:after="0" w:line="167" w:lineRule="exact"/>
              <w:rPr>
                <w:sz w:val="20"/>
                <w:szCs w:val="20"/>
                <w:color w:val="auto"/>
              </w:rPr>
            </w:pPr>
            <w:r>
              <w:rPr>
                <w:rFonts w:ascii="Times New Roman" w:cs="Times New Roman" w:eastAsia="Times New Roman" w:hAnsi="Times New Roman"/>
                <w:sz w:val="17"/>
                <w:szCs w:val="17"/>
                <w:color w:val="auto"/>
              </w:rPr>
              <w:t>Right-of-use assets obtained in exchange for new finance</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2"/>
        </w:trPr>
        <w:tc>
          <w:tcPr>
            <w:tcW w:w="4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22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644</w:t>
            </w:r>
          </w:p>
        </w:tc>
        <w:tc>
          <w:tcPr>
            <w:tcW w:w="2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984</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4,826</w:t>
            </w:r>
          </w:p>
        </w:tc>
      </w:tr>
      <w:tr>
        <w:trPr>
          <w:trHeight w:val="489"/>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gridSpan w:val="6"/>
          </w:tcPr>
          <w:p>
            <w:pPr>
              <w:jc w:val="right"/>
              <w:ind w:right="900"/>
              <w:spacing w:after="0"/>
              <w:rPr>
                <w:sz w:val="20"/>
                <w:szCs w:val="20"/>
                <w:color w:val="auto"/>
              </w:rPr>
            </w:pPr>
            <w:r>
              <w:rPr>
                <w:rFonts w:ascii="Times New Roman" w:cs="Times New Roman" w:eastAsia="Times New Roman" w:hAnsi="Times New Roman"/>
                <w:sz w:val="17"/>
                <w:szCs w:val="17"/>
                <w:color w:val="auto"/>
              </w:rPr>
              <w:t>March 31, 2024</w:t>
            </w:r>
          </w:p>
        </w:tc>
        <w:tc>
          <w:tcPr>
            <w:tcW w:w="178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September 30, 2023</w:t>
            </w:r>
          </w:p>
        </w:tc>
      </w:tr>
      <w:tr>
        <w:trPr>
          <w:trHeight w:val="21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years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years</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3.0 years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years</w:t>
            </w: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BUSINESS COMBINATIONS AND DIVESTITURES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completed no acquisitions during the six months ended March 31, 2024 or during the year ended September 30, 2023.</w:t>
      </w:r>
    </w:p>
    <w:p>
      <w:pPr>
        <w:spacing w:after="0" w:line="24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On October 7, 2022, we sold 100% of the membership interests of STR Mechanical, LLC and its subsidiary Technical Services II, LLC (collectively, “STR”). As a result, we recognized a pre-tax gain of $13,045, which was included in “Gain on sale of assets” within our Condensed Consolidated Statements of Comprehensive Income for the six months ended March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SUBSEQUENT EVENTS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Greiner Industries</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On April 1, 2024, the Company acquired all of the equity interests of Greiner Industries, Inc., a Mount Joy, Pennsylvania-based structural steel fabrication and services company, to support the growth of our Infrastructure Solutions segment for a cash purchase price of $69,804, subject to post-closing adjustments to be determined based on the valuation of certain assets and liabilities, plus a maximum of $5,000 contingent consideration, payable upon achievement of certain future earnings targets. This acquired business will operate as a subsidiary in our Infrastructure Solutions segment. The fair value of the total consideration for this transaction remains subject to post-closing adjustments as of the date of this report.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as set forth in our Annual Report on Form 10-K for the fiscal year ended September 30, 2023,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Condensed 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7"/>
          <w:szCs w:val="17"/>
          <w:i w:val="1"/>
          <w:iCs w:val="1"/>
          <w:color w:val="auto"/>
        </w:rPr>
        <w:t>“Disclosure Regarding Forward Looking Statements”</w:t>
      </w:r>
      <w:r>
        <w:rPr>
          <w:rFonts w:ascii="Times New Roman" w:cs="Times New Roman" w:eastAsia="Times New Roman" w:hAnsi="Times New Roman"/>
          <w:sz w:val="17"/>
          <w:szCs w:val="17"/>
          <w:color w:val="auto"/>
        </w:rPr>
        <w:t xml:space="preserve"> in Part I of this Quarterly Report on Form 10-Q.</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our Annual Report on Form 10-K for the fiscal year ended September 30, 2023,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Market and Operating Conditions</w:t>
      </w:r>
    </w:p>
    <w:p>
      <w:pPr>
        <w:spacing w:after="0" w:line="23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Increases in the target federal funds rate throughout calendar years 2022 and 2023 have resulted in higher mortgage rates, which when combined with elevated materials and labor costs, have had a substantial impact on the affordability of housing. While decreased housing affordability has led to uncertainty around near-term demand for our services in the single-family housing market and we continue to monitor market conditions for signs of slowing activity, demand in the primary markets we serve has remained firm. In addition, there continue to be several trends, such as rising household formation and population growth in our key markets, that we expect will drive long-term demand for our services. Within the various other end markets we serve, our customers' capital budgets for new construction projects may be impacted by broader economic, technological or other factors.</w:t>
      </w:r>
    </w:p>
    <w:p>
      <w:pPr>
        <w:spacing w:after="0" w:line="199"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7"/>
          <w:szCs w:val="17"/>
          <w:color w:val="auto"/>
        </w:rPr>
        <w:t>While the COVID-19 pandemic's impact on markets, the supply chain and the labor force had less of an impact on our business thus far in fiscal 2024 compared with prior fiscal years, COVID-19 and any future pandemic or other public health emergency could impact our workforce, customers and suppliers in the future. An inability to procure materials in a timely manner, to complete work on schedule, and to reflect higher materials or labor costs in our pricing to customers has had, and could have in the future, a significant impact on our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 xml:space="preserve">Please refer to Part I. Item 1A. </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i w:val="1"/>
          <w:iCs w:val="1"/>
          <w:color w:val="212529"/>
        </w:rPr>
        <w:t>Risk Factors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212529"/>
        </w:rPr>
        <w:t xml:space="preserve"> of our Annual Report on Form 10-K for the fiscal year ended </w:t>
      </w:r>
      <w:r>
        <w:rPr>
          <w:rFonts w:ascii="Times New Roman" w:cs="Times New Roman" w:eastAsia="Times New Roman" w:hAnsi="Times New Roman"/>
          <w:sz w:val="17"/>
          <w:szCs w:val="17"/>
          <w:color w:val="000000"/>
        </w:rPr>
        <w:t>September 30, 2023</w:t>
      </w:r>
      <w:r>
        <w:rPr>
          <w:rFonts w:ascii="Times New Roman" w:cs="Times New Roman" w:eastAsia="Times New Roman" w:hAnsi="Times New Roman"/>
          <w:sz w:val="17"/>
          <w:szCs w:val="17"/>
          <w:color w:val="212529"/>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2024</w:t>
            </w: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2023</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20" w:type="dxa"/>
            <w:vAlign w:val="bottom"/>
            <w:gridSpan w:val="9"/>
          </w:tcPr>
          <w:p>
            <w:pPr>
              <w:jc w:val="center"/>
              <w:ind w:right="30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534,120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75.7</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467,955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82.3</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17.7</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12.2</w:t>
            </w:r>
          </w:p>
        </w:tc>
        <w:tc>
          <w:tcPr>
            <w:tcW w:w="280" w:type="dxa"/>
            <w:vAlign w:val="bottom"/>
          </w:tcPr>
          <w:p>
            <w:pPr>
              <w:spacing w:after="0"/>
              <w:rPr>
                <w:sz w:val="19"/>
                <w:szCs w:val="19"/>
                <w:color w:val="auto"/>
              </w:rPr>
            </w:pPr>
          </w:p>
        </w:tc>
      </w:tr>
      <w:tr>
        <w:trPr>
          <w:trHeight w:val="21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11.0</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8.0</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Borders>
              <w:bottom w:val="single" w:sz="8" w:color="auto"/>
            </w:tcBorders>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Consolidated revenues for the three months ended March 31, 2024, were $136.9 million higher than for the three months ended March 31, 2023, an increase of 24.1%, with increases at all four of our operating segments. See further discussion below of changes in revenues for our individual segments.</w:t>
      </w:r>
    </w:p>
    <w:p>
      <w:pPr>
        <w:spacing w:after="0" w:line="17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Consolidated gross profit for the three months ended March 31, 2024 increased $70.7 million compared to the three months ended March 31, 2023. Our overall gross profit percentage was 24.3% during the three months ended March 31, 2024, as compared to 17.7% during the three months ended March 31, 2023. Gross profit as a percentage of revenue increased at all four of our operating segments. See further discussion below of changes in gross margin for our individual segments.</w:t>
      </w:r>
    </w:p>
    <w:p>
      <w:pPr>
        <w:spacing w:after="0" w:line="197"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During the three months ended March 31, 2024, our selling, general and administrative expenses were $95.3 million, an increase of $25.9 million, or 37.4%, over the three months ended March 31, 2023, primarily driven by increased personnel costs at our Residential operating segment in connection with a reorganization of the segment's management structure in fiscal 2023 and higher incentive compensation at the division level as a result of higher earnings. Increases in selling, general and administrative expenses at our other operating segments were generally consistent with each segment's respective revenue growth. Selling, general and administrative expenses as a percentage of revenue increased from 12.2% for the three months ended March 31, 2023 to 13.5% for the three months ended March 31, 2024.</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25" w:name="page26"/>
    <w:bookmarkEnd w:id="25"/>
    <w:tbl>
      <w:tblPr>
        <w:tblLayout w:type="fixed"/>
        <w:tblInd w:w="12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7"/>
                <w:szCs w:val="17"/>
                <w:color w:val="auto"/>
              </w:rPr>
              <w:t>2024</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2023</w:t>
            </w: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3"/>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r>
      <w:tr>
        <w:trPr>
          <w:trHeight w:val="203"/>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00" w:type="dxa"/>
            <w:vAlign w:val="bottom"/>
            <w:gridSpan w:val="10"/>
          </w:tcPr>
          <w:p>
            <w:pPr>
              <w:ind w:left="9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1,024,760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76.5</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947,391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82.8</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17.2</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w:t>
            </w:r>
          </w:p>
        </w:tc>
        <w:tc>
          <w:tcPr>
            <w:tcW w:w="280" w:type="dxa"/>
            <w:vAlign w:val="bottom"/>
          </w:tcPr>
          <w:p>
            <w:pPr>
              <w:spacing w:after="0"/>
              <w:rPr>
                <w:sz w:val="19"/>
                <w:szCs w:val="19"/>
                <w:color w:val="auto"/>
              </w:rPr>
            </w:pPr>
          </w:p>
        </w:tc>
      </w:tr>
      <w:tr>
        <w:trPr>
          <w:trHeight w:val="219"/>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135,704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Borders>
              <w:bottom w:val="single" w:sz="8" w:color="auto"/>
            </w:tcBorders>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Consolidated revenues for the six months ended March 31, 2024, were $196.4 million higher than for the six months ended March 31, 2023, an increase of 17.2%, with increases at all four of our operating segments. See further discussion below of changes in revenues for our individual segments.</w:t>
      </w:r>
    </w:p>
    <w:p>
      <w:pPr>
        <w:spacing w:after="0" w:line="1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overall gross profit percentage increased to 23.5% during the six months ended March 31, 2024, as compared to 17.2% during the six months ended March 31, 2023. Gross profit as a percentage of revenue increased at all four of our operating segments. See further discussion below of changes in gross margin for our individual segments.</w:t>
      </w:r>
    </w:p>
    <w:p>
      <w:pPr>
        <w:spacing w:after="0" w:line="1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During the six months ended March 31, 2024, our selling, general and administrative expenses were $181.1 million, an increase of $44.0 million, or 32.1%, over the six months ended March 31, 2023, primarily driven by increased personnel costs at our Residential operating segment in connection with a reorganization of the segment's management structure in fiscal 2023 and higher incentive compensation at the division level as a result of higher earnings. Increases in selling, general and administrative expenses at our other operating segments were generally consistent with each segment's respective revenue growth. Selling, general and administrative expenses as a percentage of revenue increased from 12.0% for the six months ended March 31, 2023 to 13.5% for the six months ended March 31, 2024.</w:t>
      </w:r>
    </w:p>
    <w:p>
      <w:pPr>
        <w:spacing w:after="0" w:line="195" w:lineRule="exact"/>
        <w:rPr>
          <w:sz w:val="20"/>
          <w:szCs w:val="20"/>
          <w:color w:val="auto"/>
        </w:rPr>
      </w:pPr>
    </w:p>
    <w:p>
      <w:pPr>
        <w:ind w:right="360"/>
        <w:spacing w:after="0" w:line="292" w:lineRule="auto"/>
        <w:rPr>
          <w:sz w:val="20"/>
          <w:szCs w:val="20"/>
          <w:color w:val="auto"/>
        </w:rPr>
      </w:pPr>
      <w:r>
        <w:rPr>
          <w:rFonts w:ascii="Times New Roman" w:cs="Times New Roman" w:eastAsia="Times New Roman" w:hAnsi="Times New Roman"/>
          <w:sz w:val="17"/>
          <w:szCs w:val="17"/>
          <w:i w:val="1"/>
          <w:iCs w:val="1"/>
          <w:color w:val="auto"/>
        </w:rPr>
        <w:t>Gain on Sale of Asset</w:t>
      </w:r>
      <w:r>
        <w:rPr>
          <w:rFonts w:ascii="Times New Roman" w:cs="Times New Roman" w:eastAsia="Times New Roman" w:hAnsi="Times New Roman"/>
          <w:sz w:val="17"/>
          <w:szCs w:val="17"/>
          <w:color w:val="auto"/>
        </w:rPr>
        <w:t>s. Our results for the six months ended March 31, 2023 included a pretax gain on sale of $13.0 million from the sale of STR Mechanical,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LLC (“STR”) on October 7, 2022. STR previously operated as part of our Commercial &amp; Industrial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7"/>
                <w:szCs w:val="17"/>
                <w:color w:val="auto"/>
              </w:rPr>
              <w:t>2024</w:t>
            </w: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2023</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82.2</w:t>
            </w:r>
          </w:p>
        </w:tc>
        <w:tc>
          <w:tcPr>
            <w:tcW w:w="280" w:type="dxa"/>
            <w:vAlign w:val="bottom"/>
            <w:tcBorders>
              <w:bottom w:val="single" w:sz="8" w:color="auto"/>
            </w:tcBorders>
          </w:tcPr>
          <w:p>
            <w:pPr>
              <w:spacing w:after="0"/>
              <w:rPr>
                <w:sz w:val="19"/>
                <w:szCs w:val="19"/>
                <w:color w:val="auto"/>
              </w:rPr>
            </w:pP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17.8</w:t>
            </w:r>
          </w:p>
        </w:tc>
        <w:tc>
          <w:tcPr>
            <w:tcW w:w="280" w:type="dxa"/>
            <w:vAlign w:val="bottom"/>
            <w:shd w:val="clear" w:color="auto" w:fill="CCEEFF"/>
          </w:tcPr>
          <w:p>
            <w:pPr>
              <w:spacing w:after="0"/>
              <w:rPr>
                <w:sz w:val="18"/>
                <w:szCs w:val="18"/>
                <w:color w:val="auto"/>
              </w:rPr>
            </w:pPr>
          </w:p>
        </w:tc>
      </w:tr>
      <w:tr>
        <w:trPr>
          <w:trHeight w:val="219"/>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9.5</w:t>
            </w:r>
          </w:p>
        </w:tc>
        <w:tc>
          <w:tcPr>
            <w:tcW w:w="280" w:type="dxa"/>
            <w:vAlign w:val="bottom"/>
          </w:tcPr>
          <w:p>
            <w:pPr>
              <w:spacing w:after="0"/>
              <w:rPr>
                <w:sz w:val="19"/>
                <w:szCs w:val="19"/>
                <w:color w:val="auto"/>
              </w:rPr>
            </w:pPr>
          </w:p>
        </w:tc>
      </w:tr>
      <w:tr>
        <w:trPr>
          <w:trHeight w:val="219"/>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8.3</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$52.4 million during the three months ended March 31, 2024, or 37.1%,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2023. The increase primarily resulted from an increase in demand from data center customers.</w:t>
      </w:r>
    </w:p>
    <w:p>
      <w:pPr>
        <w:spacing w:after="0" w:line="169"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three months ended March 31, 2024 increased by $13.8 million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2023. Gross profit as a percentage of revenue increased from 17.8% to 20.1%. The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26" w:name="page27"/>
    <w:bookmarkEnd w:id="26"/>
    <w:p>
      <w:pPr>
        <w:ind w:right="200"/>
        <w:spacing w:after="0" w:line="287" w:lineRule="auto"/>
        <w:rPr>
          <w:sz w:val="20"/>
          <w:szCs w:val="20"/>
          <w:color w:val="auto"/>
        </w:rPr>
      </w:pPr>
      <w:r>
        <w:rPr>
          <w:rFonts w:ascii="Times New Roman" w:cs="Times New Roman" w:eastAsia="Times New Roman" w:hAnsi="Times New Roman"/>
          <w:sz w:val="17"/>
          <w:szCs w:val="17"/>
          <w:color w:val="auto"/>
        </w:rPr>
        <w:t>increase in profitability in the three months ended March 31, 2024 was primarily the result of increased volume, improved project execution and pricing, and the impact of a more disciplined bidding process.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$3.6 million, or 26.9%,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March 31, 2024, compared to the three months ended March 31, 2023. The increase primarily reflects higher personnel cost including higher incentive compensation as a result of higher earnings, investment in an organizational structure that will enhance the scalability of our business, and higher wages in an increasingly competitive labor market. Selling, general and administrative expenses as a percentage of revenue in the Communications segment decreased from 9.5% for the three months ended March 31, 2023 to 8.8% during the three months ended March 31, 2024 as we benefited from the scale of our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2023</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289,041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241,464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83.7</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46,901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c>
          <w:tcPr>
            <w:tcW w:w="28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8.9</w:t>
            </w:r>
          </w:p>
        </w:tc>
        <w:tc>
          <w:tcPr>
            <w:tcW w:w="28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$75.9 million, or 26.3%, during the six months ended March 31, 2024,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2023. The increase primarily resulted from an increase in demand from data center, high-tech manufacturing and e-commerce distribution center customers.</w:t>
      </w:r>
    </w:p>
    <w:p>
      <w:pPr>
        <w:spacing w:after="0" w:line="186"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six months ended March 31, 2024 increased by $28.3 million, or 60.4%,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six months ended March 31, 2023. Gross profit as a percentage of revenue increased from 16.3% to 20.6%. The increase in gross profit and gross profit as a percentage of revenue primarily reflects increased volume, improved project execution and pricing, and the impact of a more disciplined bidding process.</w:t>
      </w:r>
    </w:p>
    <w:p>
      <w:pPr>
        <w:spacing w:after="0" w:line="186"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$6.2 million, or 24.2%,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six months ended March 31, 2024, compared to the six months ended March 31, 2023. The increase primarily reflects higher personnel cost including higher incentive compensation as a result of higher earnings, investment in an organizational structure that will enhance the scalability of our business, and higher wages in an increasingly competitive labor market. Selling, general and administrative expenses as a percentage of revenues in the Communications segment was 8.8% during the six months ended March 31, 2024 compared to 8.9% during the six months ended March 31,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5"/>
        </w:trPr>
        <w:tc>
          <w:tcPr>
            <w:tcW w:w="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jc w:val="center"/>
              <w:ind w:right="66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2024</w:t>
            </w: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2023</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0" w:type="dxa"/>
            <w:vAlign w:val="bottom"/>
            <w:gridSpan w:val="9"/>
          </w:tcPr>
          <w:p>
            <w:pPr>
              <w:jc w:val="center"/>
              <w:ind w:right="2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306,112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 w:type="dxa"/>
            <w:vAlign w:val="bottom"/>
          </w:tcPr>
          <w:p>
            <w:pPr>
              <w:spacing w:after="0"/>
              <w:rPr>
                <w:sz w:val="19"/>
                <w:szCs w:val="19"/>
                <w:color w:val="auto"/>
              </w:rPr>
            </w:pPr>
          </w:p>
        </w:tc>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73.9</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251,281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82.1</w:t>
            </w:r>
          </w:p>
        </w:tc>
        <w:tc>
          <w:tcPr>
            <w:tcW w:w="300" w:type="dxa"/>
            <w:vAlign w:val="bottom"/>
            <w:tcBorders>
              <w:bottom w:val="single" w:sz="8" w:color="auto"/>
            </w:tcBorders>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17.9</w:t>
            </w:r>
          </w:p>
        </w:tc>
        <w:tc>
          <w:tcPr>
            <w:tcW w:w="300" w:type="dxa"/>
            <w:vAlign w:val="bottom"/>
            <w:shd w:val="clear" w:color="auto" w:fill="CCEEFF"/>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37,999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12.4</w:t>
            </w:r>
          </w:p>
        </w:tc>
        <w:tc>
          <w:tcPr>
            <w:tcW w:w="30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10.2</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5.5</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$33.3 million, or 10.9%, during the three months ended March 31, 2024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2023. The increase was primarily driven by an expansion of our plumbing and HVAC offerings and continued strong demand in our single-family business, where revenues increased by $25.1 million. In addition, in our multi-family business, successful execution of its backlog contributed to an $8.2 million increase in revenues.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ind w:right="8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three months ended March 31, 2024, our Residential segment's gross profit increased by $33.8 million, or 61.7%,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2023. Gross profit as a percentage of revenue increased to 26.1% during the three months ended March 31, 2024, compared to 17.9% for the three months ended March 31, 2023. The increase in profitability was driven primarily by improved project execution in our multi-family business, as well as the benefit of improved procurement and other processes implemented as part of the reorganization of the segment in fiscal 2023.</w:t>
      </w:r>
    </w:p>
    <w:p>
      <w:pPr>
        <w:spacing w:after="0" w:line="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$17.3 million, or 45.4%,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March 31, 2024, compared to the three months ended March 31, 2023. The increase was driven by higher personnel costs in connection with a reorganization of the segment's management structure in fiscal 2023 and incentive profit sharing for division management resulting from higher earnings. Selling, general and administrative expenses as a percentage of revenue in the Residential segment increased to 16.3% during the three months ended March 31, 2024, compared to 12.4% in the three months ended March 31, 2023.</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center"/>
              <w:ind w:right="7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7"/>
                <w:szCs w:val="17"/>
                <w:color w:val="auto"/>
              </w:rPr>
              <w:t>2024</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2023</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gridSpan w:val="8"/>
          </w:tcPr>
          <w:p>
            <w:pPr>
              <w:jc w:val="center"/>
              <w:ind w:right="40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491,127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75.0</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509,740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81.7</w:t>
            </w:r>
          </w:p>
        </w:tc>
        <w:tc>
          <w:tcPr>
            <w:tcW w:w="30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164,101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18.3</w:t>
            </w:r>
          </w:p>
        </w:tc>
        <w:tc>
          <w:tcPr>
            <w:tcW w:w="300" w:type="dxa"/>
            <w:vAlign w:val="bottom"/>
            <w:shd w:val="clear" w:color="auto" w:fill="CCEEFF"/>
          </w:tcPr>
          <w:p>
            <w:pPr>
              <w:spacing w:after="0"/>
              <w:rPr>
                <w:sz w:val="18"/>
                <w:szCs w:val="18"/>
                <w:color w:val="auto"/>
              </w:rPr>
            </w:pPr>
          </w:p>
        </w:tc>
      </w:tr>
      <w:tr>
        <w:trPr>
          <w:trHeight w:val="219"/>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12.3</w:t>
            </w:r>
          </w:p>
        </w:tc>
        <w:tc>
          <w:tcPr>
            <w:tcW w:w="300" w:type="dxa"/>
            <w:vAlign w:val="bottom"/>
          </w:tcPr>
          <w:p>
            <w:pPr>
              <w:spacing w:after="0"/>
              <w:rPr>
                <w:sz w:val="19"/>
                <w:szCs w:val="19"/>
                <w:color w:val="auto"/>
              </w:rPr>
            </w:pPr>
          </w:p>
        </w:tc>
      </w:tr>
      <w:tr>
        <w:trPr>
          <w:trHeight w:val="219"/>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$31.0 million, or 5.0%, during the six months ended March 31, 2024, compared to the six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2023. The increase was primarily driven by an expansion of our plumbing and HVAC offerings and continued strong demand in our single-family business, where revenues increased by $27.9 million compared to the prior year period. Multi-family and other revenue also increased by $3.1 million for the six months ended March 31, 2024 compared to the prior year period as continued strong demand and successful execution of existing backlog were partially offset by a more selective bidding process and a reduction in activity in certain areas where we experienced project execution challenges in the prior year.</w:t>
      </w:r>
    </w:p>
    <w:p>
      <w:pPr>
        <w:spacing w:after="0" w:line="20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7"/>
          <w:szCs w:val="17"/>
          <w:color w:val="auto"/>
        </w:rPr>
        <w:t>Gross Profit. During the six months ended March 31, 2024, our Residential segment's gross profit increased by $49.7 million, or 43.4%, compared to the six months ended March 31, 2023. Gross margin as a percentage of revenue increased to 25.0% during the six months ended March 31, 2024, compared to 18.3% during the six months ended March 31, 2023. The increase in profitability was driven primarily by improved project execution in our multi-family business, as well as the benefit of improved procurement and other processes implemented as part of the reorganization of the segment in fiscal 2023.</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$29.6 million, or 38.4%,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six months ended March 31, 2024, compared to the six months ended March 31, 2023. The increase was driven by higher personnel costs in connection with a reorganization of the segment's management structure in fiscal 2023 and incentive profit sharing for division management resulting from higher earnings. Selling, general and administrative expenses as a percentage of revenue in the Residential segment increased to 16.3% during the six months ended March 31, 2024, compared to 12.3% during the six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7"/>
        </w:trPr>
        <w:tc>
          <w:tcPr>
            <w:tcW w:w="55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5"/>
        </w:trPr>
        <w:tc>
          <w:tcPr>
            <w:tcW w:w="5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jc w:val="right"/>
              <w:ind w:right="1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7"/>
                <w:szCs w:val="17"/>
                <w:color w:val="auto"/>
                <w:w w:val="93"/>
              </w:rPr>
              <w:t>2024</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7"/>
                <w:szCs w:val="17"/>
                <w:color w:val="auto"/>
                <w:w w:val="93"/>
              </w:rPr>
              <w:t>2023</w:t>
            </w:r>
          </w:p>
        </w:tc>
        <w:tc>
          <w:tcPr>
            <w:tcW w:w="32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20" w:type="dxa"/>
            <w:vAlign w:val="bottom"/>
            <w:gridSpan w:val="7"/>
          </w:tcPr>
          <w:p>
            <w:pPr>
              <w:jc w:val="right"/>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2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75,789</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52,616</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52,044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38,421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320" w:type="dxa"/>
            <w:vAlign w:val="bottom"/>
          </w:tcPr>
          <w:p>
            <w:pPr>
              <w:spacing w:after="0"/>
              <w:rPr>
                <w:sz w:val="19"/>
                <w:szCs w:val="19"/>
                <w:color w:val="auto"/>
              </w:rPr>
            </w:pPr>
          </w:p>
        </w:tc>
      </w:tr>
      <w:tr>
        <w:trPr>
          <w:trHeight w:val="212"/>
        </w:trPr>
        <w:tc>
          <w:tcPr>
            <w:tcW w:w="55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23,745</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14,195</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320" w:type="dxa"/>
            <w:vAlign w:val="bottom"/>
            <w:tcBorders>
              <w:top w:val="single" w:sz="8" w:color="auto"/>
            </w:tcBorders>
            <w:shd w:val="clear" w:color="auto" w:fill="CCEEFF"/>
          </w:tcPr>
          <w:p>
            <w:pPr>
              <w:spacing w:after="0"/>
              <w:rPr>
                <w:sz w:val="18"/>
                <w:szCs w:val="18"/>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320" w:type="dxa"/>
            <w:vAlign w:val="bottom"/>
          </w:tcPr>
          <w:p>
            <w:pPr>
              <w:spacing w:after="0"/>
              <w:rPr>
                <w:sz w:val="19"/>
                <w:szCs w:val="19"/>
                <w:color w:val="auto"/>
              </w:rPr>
            </w:pPr>
          </w:p>
        </w:tc>
      </w:tr>
      <w:tr>
        <w:trPr>
          <w:trHeight w:val="212"/>
        </w:trPr>
        <w:tc>
          <w:tcPr>
            <w:tcW w:w="55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16,118</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8,205</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jc w:val="both"/>
        <w:ind w:right="4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by $23.2 million during the three months ended March 31, 2024, an increase of 44.0%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March 31, 2023, driven primarily by continued strong demand in our custom power solutions manufacturing businesses, including generator enclosures.</w:t>
      </w:r>
    </w:p>
    <w:p>
      <w:pPr>
        <w:spacing w:after="0" w:line="186"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three months ended March 31, 2024 increased $9.6 million,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2023, primarily resulting from higher volumes, improved pricing and operating efficiencies at our facilities as well as the impact of investments to increase capacity we have made over the last several years. Gross profit as a percentage of revenue increased from 27.0% to 31.3%.</w:t>
      </w:r>
    </w:p>
    <w:p>
      <w:pPr>
        <w:spacing w:after="0" w:line="2"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2024 increased by $1.6 million, compared to the three months ended March 31, 2023, primarily as a result of increased employee compensation cost to support growth in the business. Selling, general and administrative expenses as a percentage of revenue decreased from 11.4% for the three months ended March 31, 2023 to 10.1% for the three months ended March 31, 2024 as we benefited from the scale of our operations.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2"/>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2024</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2023</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60" w:type="dxa"/>
            <w:vAlign w:val="bottom"/>
            <w:gridSpan w:val="9"/>
          </w:tcPr>
          <w:p>
            <w:pPr>
              <w:jc w:val="center"/>
              <w:ind w:right="3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69.8</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77,238</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75.8</w:t>
            </w:r>
          </w:p>
        </w:tc>
        <w:tc>
          <w:tcPr>
            <w:tcW w:w="300" w:type="dxa"/>
            <w:vAlign w:val="bottom"/>
            <w:tcBorders>
              <w:bottom w:val="single" w:sz="8" w:color="auto"/>
            </w:tcBorders>
          </w:tcPr>
          <w:p>
            <w:pPr>
              <w:spacing w:after="0"/>
              <w:rPr>
                <w:sz w:val="19"/>
                <w:szCs w:val="19"/>
                <w:color w:val="auto"/>
              </w:rPr>
            </w:pPr>
          </w:p>
        </w:tc>
      </w:tr>
      <w:tr>
        <w:trPr>
          <w:trHeight w:val="212"/>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24.2</w:t>
            </w:r>
          </w:p>
        </w:tc>
        <w:tc>
          <w:tcPr>
            <w:tcW w:w="300" w:type="dxa"/>
            <w:vAlign w:val="bottom"/>
            <w:shd w:val="clear" w:color="auto" w:fill="CCEEFF"/>
          </w:tcPr>
          <w:p>
            <w:pPr>
              <w:spacing w:after="0"/>
              <w:rPr>
                <w:sz w:val="18"/>
                <w:szCs w:val="18"/>
                <w:color w:val="auto"/>
              </w:rPr>
            </w:pPr>
          </w:p>
        </w:tc>
      </w:tr>
      <w:tr>
        <w:trPr>
          <w:trHeight w:val="219"/>
        </w:trPr>
        <w:tc>
          <w:tcPr>
            <w:tcW w:w="5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11.5</w:t>
            </w:r>
          </w:p>
        </w:tc>
        <w:tc>
          <w:tcPr>
            <w:tcW w:w="300" w:type="dxa"/>
            <w:vAlign w:val="bottom"/>
          </w:tcPr>
          <w:p>
            <w:pPr>
              <w:spacing w:after="0"/>
              <w:rPr>
                <w:sz w:val="19"/>
                <w:szCs w:val="19"/>
                <w:color w:val="auto"/>
              </w:rPr>
            </w:pPr>
          </w:p>
        </w:tc>
      </w:tr>
      <w:tr>
        <w:trPr>
          <w:trHeight w:val="219"/>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27,024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19.5</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12,930</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12.7</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by $36.8 million, or 36.1%, during the six months ended March 31, 2024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six months ended March 31, 2023. The increase in revenue was driven primarily by continued strong demand in our custom power solutions manufacturing businesses, including generator enclosures.</w:t>
      </w:r>
    </w:p>
    <w:p>
      <w:pPr>
        <w:spacing w:after="0" w:line="1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six months ended March 31, 2024 increased by $17.3 million,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2023, primarily resulting from higher volumes, improved pricing and operating efficiencies at our facilities as well as the impact of investments to increase capacity we have made over the last several years. Gross profit as a percentage of revenues increased to 30.2% for the six months ended March 31, 2024 compared to 24.2% for the six months ended March 31, 2023.</w:t>
      </w:r>
    </w:p>
    <w:p>
      <w:pPr>
        <w:spacing w:after="0" w:line="1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2024 increased by $3.2 million, compared to the six months ended March 31, 2023, primarily as a result of increased employee compensation cost to support growth in the business. Selling, general and administrative expenses as a percentage of revenue decreased from 11.5% for the six months ended March 31, 2023 to 10.8% for the six months ended March 31, 2024 as we benefited from the scale of our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7"/>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5"/>
        </w:trPr>
        <w:tc>
          <w:tcPr>
            <w:tcW w:w="5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center"/>
              <w:ind w:right="68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7"/>
                <w:szCs w:val="17"/>
                <w:color w:val="auto"/>
              </w:rPr>
              <w:t>2024</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2023</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79.1</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62,296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90.2</w:t>
            </w:r>
          </w:p>
        </w:tc>
        <w:tc>
          <w:tcPr>
            <w:tcW w:w="26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9.8</w:t>
            </w:r>
          </w:p>
        </w:tc>
        <w:tc>
          <w:tcPr>
            <w:tcW w:w="26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26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by $28.0 million, or 40.6%, during the three months ended March 31, 2024,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March 31, 2023. The increase primarily relates to a large data center project.</w:t>
      </w:r>
    </w:p>
    <w:p>
      <w:pPr>
        <w:spacing w:after="0" w:line="16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three months ended March 31, 2024, increased by $13.5 million,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March 31, 2023. Gross profit as a percentage of revenue increased from 9.8% for the quarter ended March 31, 2023 to 20.9% for the quarter ended March 31, 2024. In the three months ended March 31, 2024, segment results benefited from favorable project execution on the large data center project, improving bid margins in certain markets, and a more selective bidding strategy implemented in the prior year. Our results for the quarter ended March 31, 2023 were impacted by continuing operating challenges at one branch that incurred significant losses during fiscal 2022 and into fiscal 2023.</w:t>
      </w:r>
    </w:p>
    <w:p>
      <w:pPr>
        <w:spacing w:after="0" w:line="19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2024 increased by $2.3 million, or 36.0%, compared to the three months ended March 31, 2023 primarily as a result of increased employee compensation cost, including higher incentive compensation as a result of higher earnings. Selling, general and administrative expenses as a percentage of revenue decreased from 9.3% for the three months ended March 31, 2023, to 9.0% for the three months ended March 31, 2024, as we benefited from the scale of our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2023</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1"/>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182,021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8"/>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147,851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32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32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32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320" w:type="dxa"/>
            <w:vAlign w:val="bottom"/>
            <w:tcBorders>
              <w:bottom w:val="single" w:sz="8" w:color="auto"/>
            </w:tcBorders>
            <w:shd w:val="clear" w:color="auto" w:fill="CCEEFF"/>
          </w:tcPr>
          <w:p>
            <w:pPr>
              <w:spacing w:after="0"/>
              <w:rPr>
                <w:sz w:val="19"/>
                <w:szCs w:val="19"/>
                <w:color w:val="auto"/>
              </w:rPr>
            </w:pPr>
          </w:p>
        </w:tc>
      </w:tr>
      <w:tr>
        <w:trPr>
          <w:trHeight w:val="248"/>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r>
    </w:tbl>
    <w:p>
      <w:pPr>
        <w:spacing w:after="0" w:line="279"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by $52.7 million, or 40.8%, during the six months ended March 31, 2024,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six months ended March 31, 2023. The increase primarily relates to a large data center project.</w:t>
      </w:r>
    </w:p>
    <w:p>
      <w:pPr>
        <w:spacing w:after="0" w:line="1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six months ended March 31, 2024 increased by $23.8 million, or 230.1%,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six months ended March 31, 2023. Gross profit as a percentage of revenue increased from 8.0% for the six months ended March 31, 2023 to 18.8% for the six months ended March 31, 2024. In the six months ended March 31, 2024, segment results benefited from improved project execution, including favorable project execution on the large data center project, improving bid margins in certain markets, and a more selective bidding strategy implemented in the prior year. Our results for the six months ended March 31, 2023 were impacted by continuing operating challenges at one branch that incurred significant losses during fiscal 2022 and into fiscal 2023.</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2024 increased by $3.5 million, or 28.7%, compared to the six months ended March 31, 2023 primarily as a result of increased employee compensation cost, including higher incentive compensation as a result of higher earnings. Selling, general and administrative expenses as a percentage of revenue decreased from 9.3% for the six months ended March 31, 2023 to 8.5% for the six months ended March 31, 2024 as we benefited from the scale of our operations.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0" w:name="page31"/>
    <w:bookmarkEnd w:id="30"/>
    <w:p>
      <w:pPr>
        <w:ind w:right="280"/>
        <w:spacing w:after="0" w:line="292" w:lineRule="auto"/>
        <w:rPr>
          <w:sz w:val="20"/>
          <w:szCs w:val="20"/>
          <w:color w:val="auto"/>
        </w:rPr>
      </w:pPr>
      <w:r>
        <w:rPr>
          <w:rFonts w:ascii="Times New Roman" w:cs="Times New Roman" w:eastAsia="Times New Roman" w:hAnsi="Times New Roman"/>
          <w:sz w:val="17"/>
          <w:szCs w:val="17"/>
          <w:i w:val="1"/>
          <w:iCs w:val="1"/>
          <w:color w:val="auto"/>
        </w:rPr>
        <w:t>Gain on Sale of Assets</w:t>
      </w:r>
      <w:r>
        <w:rPr>
          <w:rFonts w:ascii="Times New Roman" w:cs="Times New Roman" w:eastAsia="Times New Roman" w:hAnsi="Times New Roman"/>
          <w:sz w:val="17"/>
          <w:szCs w:val="17"/>
          <w:color w:val="auto"/>
        </w:rPr>
        <w:t>. As discussed above, our results for the six months ended March 31, 2023 include a pretax gain on sale of $13.0 million from the sale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 in October 2022.</w:t>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5080" w:type="dxa"/>
            <w:vAlign w:val="bottom"/>
            <w:gridSpan w:val="2"/>
          </w:tcPr>
          <w:p>
            <w:pPr>
              <w:jc w:val="right"/>
              <w:ind w:right="1434"/>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5"/>
        </w:trPr>
        <w:tc>
          <w:tcPr>
            <w:tcW w:w="35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540" w:type="dxa"/>
            <w:vAlign w:val="bottom"/>
            <w:tcBorders>
              <w:bottom w:val="single" w:sz="8" w:color="auto"/>
            </w:tcBorders>
          </w:tcPr>
          <w:p>
            <w:pPr>
              <w:spacing w:after="0"/>
              <w:rPr>
                <w:sz w:val="21"/>
                <w:szCs w:val="21"/>
                <w:color w:val="auto"/>
              </w:rPr>
            </w:pPr>
          </w:p>
        </w:tc>
      </w:tr>
      <w:tr>
        <w:trPr>
          <w:trHeight w:val="212"/>
        </w:trPr>
        <w:tc>
          <w:tcPr>
            <w:tcW w:w="35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40" w:type="dxa"/>
            <w:vAlign w:val="bottom"/>
            <w:tcBorders>
              <w:bottom w:val="single" w:sz="8" w:color="auto"/>
            </w:tcBorders>
          </w:tcPr>
          <w:p>
            <w:pPr>
              <w:spacing w:after="0"/>
              <w:rPr>
                <w:sz w:val="18"/>
                <w:szCs w:val="18"/>
                <w:color w:val="auto"/>
              </w:rPr>
            </w:pPr>
          </w:p>
        </w:tc>
      </w:tr>
      <w:tr>
        <w:trPr>
          <w:trHeight w:val="196"/>
        </w:trPr>
        <w:tc>
          <w:tcPr>
            <w:tcW w:w="35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60" w:type="dxa"/>
            <w:vAlign w:val="bottom"/>
            <w:gridSpan w:val="3"/>
          </w:tcPr>
          <w:p>
            <w:pPr>
              <w:jc w:val="right"/>
              <w:ind w:right="594"/>
              <w:spacing w:after="0"/>
              <w:rPr>
                <w:sz w:val="20"/>
                <w:szCs w:val="20"/>
                <w:color w:val="auto"/>
              </w:rPr>
            </w:pPr>
            <w:r>
              <w:rPr>
                <w:rFonts w:ascii="Times New Roman" w:cs="Times New Roman" w:eastAsia="Times New Roman" w:hAnsi="Times New Roman"/>
                <w:sz w:val="15"/>
                <w:szCs w:val="15"/>
                <w:color w:val="auto"/>
              </w:rPr>
              <w:t>(In thousands)</w:t>
            </w:r>
          </w:p>
        </w:tc>
        <w:tc>
          <w:tcPr>
            <w:tcW w:w="540" w:type="dxa"/>
            <w:vAlign w:val="bottom"/>
          </w:tcPr>
          <w:p>
            <w:pPr>
              <w:spacing w:after="0"/>
              <w:rPr>
                <w:sz w:val="17"/>
                <w:szCs w:val="17"/>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08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40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4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245"/>
        </w:trPr>
        <w:tc>
          <w:tcPr>
            <w:tcW w:w="35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0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(1,768)</w:t>
            </w: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0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and other (income) expense, net</w:t>
            </w:r>
          </w:p>
        </w:tc>
        <w:tc>
          <w:tcPr>
            <w:tcW w:w="406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w:t>
            </w:r>
          </w:p>
        </w:tc>
      </w:tr>
      <w:tr>
        <w:trPr>
          <w:trHeight w:val="20"/>
        </w:trPr>
        <w:tc>
          <w:tcPr>
            <w:tcW w:w="3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During the three months ended March 31, 2024, we incurred interest expense of $0.4 million primarily comprised of interest on our finance lease agreements and fees on an average letter of credit balance of $5.6 million under our revolving credit facility and an average unused line of credit balance of $142.7 million. This compares to interest expense of $1.0 million for the three months ended March 31, 2023, primarily comprising interest expense from our revolving credit facility, which had an average outstanding balance of $43.5 million, in addition to fees on an average letter of credit balance of $5.0 million under our revolving credit facility and an average unused line of credit balance of $106.6 million. The decrease in interest expense in the three months ended March 31, 2024 compared to the three months ended March 31, 2023 was a result of a decrease in average outstanding borrowings under our revolving credit facility, which had no outstanding balance during the three months ended March 31, 2024.</w:t>
      </w:r>
    </w:p>
    <w:p>
      <w:pPr>
        <w:spacing w:after="0" w:line="20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The change in total other (income) expense, net for the three months ended March 31, 2024, compared to the three months ended March 31, 2023 is primarily the result of unrealized losses on investments in trading securities of $1.8 million in the three months ended March 31, 2024 compared to realized gains on investments in trading securities of $1.7 million in the three months ended March 31, 2023, partially offset by interest income of $1.1 million earned during the three months ended March 31, 2024 with no such interest income earned in the three months ended March 31,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560" w:type="dxa"/>
            <w:vAlign w:val="bottom"/>
            <w:tcBorders>
              <w:bottom w:val="single" w:sz="8" w:color="auto"/>
            </w:tcBorders>
          </w:tcPr>
          <w:p>
            <w:pPr>
              <w:spacing w:after="0"/>
              <w:rPr>
                <w:sz w:val="19"/>
                <w:szCs w:val="19"/>
                <w:color w:val="auto"/>
              </w:rPr>
            </w:pPr>
          </w:p>
        </w:tc>
      </w:tr>
      <w:tr>
        <w:trPr>
          <w:trHeight w:val="212"/>
        </w:trPr>
        <w:tc>
          <w:tcPr>
            <w:tcW w:w="7980" w:type="dxa"/>
            <w:vAlign w:val="bottom"/>
          </w:tcPr>
          <w:p>
            <w:pPr>
              <w:spacing w:after="0"/>
              <w:rPr>
                <w:sz w:val="18"/>
                <w:szCs w:val="18"/>
                <w:color w:val="auto"/>
              </w:rPr>
            </w:pPr>
          </w:p>
        </w:tc>
        <w:tc>
          <w:tcPr>
            <w:tcW w:w="10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bottom w:val="single" w:sz="8" w:color="auto"/>
            </w:tcBorders>
          </w:tcPr>
          <w:p>
            <w:pPr>
              <w:spacing w:after="0"/>
              <w:rPr>
                <w:sz w:val="18"/>
                <w:szCs w:val="18"/>
                <w:color w:val="auto"/>
              </w:rPr>
            </w:pPr>
          </w:p>
        </w:tc>
      </w:tr>
      <w:tr>
        <w:trPr>
          <w:trHeight w:val="196"/>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gridSpan w:val="3"/>
          </w:tcPr>
          <w:p>
            <w:pPr>
              <w:jc w:val="right"/>
              <w:ind w:right="534"/>
              <w:spacing w:after="0"/>
              <w:rPr>
                <w:sz w:val="20"/>
                <w:szCs w:val="20"/>
                <w:color w:val="auto"/>
              </w:rPr>
            </w:pPr>
            <w:r>
              <w:rPr>
                <w:rFonts w:ascii="Times New Roman" w:cs="Times New Roman" w:eastAsia="Times New Roman" w:hAnsi="Times New Roman"/>
                <w:sz w:val="15"/>
                <w:szCs w:val="15"/>
                <w:color w:val="auto"/>
              </w:rPr>
              <w:t>(In thousands)</w:t>
            </w:r>
          </w:p>
        </w:tc>
        <w:tc>
          <w:tcPr>
            <w:tcW w:w="560" w:type="dxa"/>
            <w:vAlign w:val="bottom"/>
          </w:tcPr>
          <w:p>
            <w:pPr>
              <w:spacing w:after="0"/>
              <w:rPr>
                <w:sz w:val="17"/>
                <w:szCs w:val="17"/>
                <w:color w:val="auto"/>
              </w:rPr>
            </w:pPr>
          </w:p>
        </w:tc>
      </w:tr>
      <w:tr>
        <w:trPr>
          <w:trHeight w:val="22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w:t>
            </w:r>
          </w:p>
        </w:tc>
      </w:tr>
      <w:tr>
        <w:trPr>
          <w:trHeight w:val="245"/>
        </w:trPr>
        <w:tc>
          <w:tcPr>
            <w:tcW w:w="7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2,010</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During the six months ended March 31, 2024, we incurred interest expense of $0.8 million primarily comprised of interest on our finance lease agreements and fees on an average letter of credit balance of $5.5 million under our revolving credit facility and an average unused line of credit balance of $142.5 million. This compares to interest expense of $2.2 million for the six months ended March 31, 2023, primarily comprised of interest expense from our revolving credit facility, which had an average outstanding balance of $52.4 million, in addition to fees on an average letter of credit balance of $5.2 million under our revolving credit facility and an average unused line of credit balance of $93.5 million. The reduction in interest expense in the six months ended March 31, 2024 compared to the six months ended March 31, 2023 was a result of a decrease in average outstanding borrowings under our revolving credit facility, which had no outstanding balance during the six months ended March 31, 2024.</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right="220"/>
        <w:spacing w:after="0" w:line="264" w:lineRule="auto"/>
        <w:rPr>
          <w:sz w:val="20"/>
          <w:szCs w:val="20"/>
          <w:color w:val="auto"/>
        </w:rPr>
      </w:pPr>
      <w:r>
        <w:rPr>
          <w:rFonts w:ascii="Times New Roman" w:cs="Times New Roman" w:eastAsia="Times New Roman" w:hAnsi="Times New Roman"/>
          <w:sz w:val="17"/>
          <w:szCs w:val="17"/>
          <w:color w:val="auto"/>
        </w:rPr>
        <w:t>The decrease in total other income, net for the six months ended March 31, 2024, compared with March 31, 2023 is primarily the result of unrealized losses on investments in trading securities of $1.9 million in the six months ended March 31, 2024 compared to realized gains on investments in trading securities of $0.9 million in the six months ended March 31, 2023, partially offset by interest income of $2.3 million earned during the six months ended March 31, 2024 with no such interest income in the six months ended March 31, 2023.</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We recorded income tax expense of $19.4 million for the three months ended March 31, 2024, compared to $8.2 million for the three months ended March 31, 2023, driven by increased pretax income.</w:t>
      </w:r>
    </w:p>
    <w:p>
      <w:pPr>
        <w:spacing w:after="0" w:line="17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We recorded income tax expense of $34.8 million for the six months ended March 31, 2024, compared to $18.2 million for the six months ended March 31, 2023, driven by increased pretax income.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2023. Some of the more significant estimates include revenue recognition, business combinations, valuation allowance for deferred tax assets and income taxes.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There have been no significant changes to our accounting policies as disclosed in our Annual Report on Form 10-K for the fiscal year ended September 30, 2023.</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 (in thousands):</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September 30,</w:t>
            </w:r>
          </w:p>
        </w:tc>
        <w:tc>
          <w:tcPr>
            <w:tcW w:w="280" w:type="dxa"/>
            <w:vAlign w:val="bottom"/>
          </w:tcPr>
          <w:p>
            <w:pPr>
              <w:spacing w:after="0"/>
              <w:rPr>
                <w:sz w:val="19"/>
                <w:szCs w:val="19"/>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June 30,</w:t>
            </w: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Remaining performance obligations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1,065,444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1,072,593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1,071,605</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xml:space="preserve">Agreements without an enforceable obligation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297,451</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379,463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414,589</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458,057</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Backlog</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1,362,895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1,452,056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1,558,012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1,529,662</w:t>
            </w:r>
          </w:p>
        </w:tc>
      </w:tr>
    </w:tbl>
    <w:p>
      <w:pPr>
        <w:spacing w:after="0" w:line="1" w:lineRule="exact"/>
        <w:rPr>
          <w:sz w:val="20"/>
          <w:szCs w:val="20"/>
          <w:color w:val="auto"/>
        </w:rPr>
      </w:pPr>
    </w:p>
    <w:p>
      <w:pPr>
        <w:ind w:left="120" w:right="400" w:firstLine="10"/>
        <w:spacing w:after="0" w:line="253" w:lineRule="auto"/>
        <w:tabs>
          <w:tab w:leader="none" w:pos="33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-222885</wp:posOffset>
            </wp:positionV>
            <wp:extent cx="4044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4431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During the six months ended March 31, 2024, working capital exclusive of cash increased by $61.4 million from September 30, 2023, reflecting a $95.0 million increase in current assets excluding cash partially offset by a $33.7 million increase in current liabilities during the period.</w:t>
      </w:r>
    </w:p>
    <w:p>
      <w:pPr>
        <w:spacing w:after="0" w:line="1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During the six months ended March 31, 2024, our current assets exclusive of cash increased to $690.5 million, as compared to $595.5 million as of September 30, 2023. An increase in activity at our Communications, Infrastructure Solutions and Commercial &amp; Industrial businesses drove a $52.8 million increase in trade accounts receivable. While the rate of collections may vary, our typically secured position, resulting from our ability in general to secure liens against our customers’ overdue receivables, offers some protection that collection will occur eventually to the extent that our security retains value. We also had a $23.5 million increase in prepaid expenses and other current assets as we invested in equity and debt securities in the second quarter of fiscal 2024, a $10.1 million increase in retainage driven by the timing of large projects approaching completion, and a $9.0 million increase in inventories from advance material purchases primarily for projects not yet commenced in our Residential multi-family business.</w:t>
      </w:r>
    </w:p>
    <w:p>
      <w:pPr>
        <w:spacing w:after="0" w:line="20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2024, our total current liabilities increased by $33.7 million to $434.2 million, compared to $400.6 million as of September 30, 2023, driven by a $24.0 million increase in billings in excess of costs and estimated earnings driven by the timing of contract billings on projects on which revenue is recognized using the percentage of completion method, and a $9.7 million increase in accounts payable and accrued expenses primarily as a result of the timing of payments by our Communications segment.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bonding capacity provided by our sureties is adequate for our current operations and will be adequate for our operations for the foreseeable future.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2024, the estimated cost to complete our bonded projects was approximately $138.6 million.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 million. The Amended Credit Agreement contains customary affirmative, negative and financial covenants and events of default.</w:t>
      </w:r>
    </w:p>
    <w:p>
      <w:pPr>
        <w:spacing w:after="0" w:line="17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Borrowings under the Amended Credit Agreement may not exceed a Borrowing Base, as defined in the Amended Credit Agreement, that is determined monthly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Level</w:t>
            </w:r>
          </w:p>
        </w:tc>
        <w:tc>
          <w:tcPr>
            <w:tcW w:w="8220" w:type="dxa"/>
            <w:vAlign w:val="bottom"/>
            <w:gridSpan w:val="2"/>
          </w:tcPr>
          <w:p>
            <w:pPr>
              <w:ind w:left="3660"/>
              <w:spacing w:after="0"/>
              <w:rPr>
                <w:sz w:val="20"/>
                <w:szCs w:val="20"/>
                <w:color w:val="auto"/>
              </w:rPr>
            </w:pPr>
            <w:r>
              <w:rPr>
                <w:rFonts w:ascii="Times New Roman" w:cs="Times New Roman" w:eastAsia="Times New Roman" w:hAnsi="Times New Roman"/>
                <w:sz w:val="17"/>
                <w:szCs w:val="17"/>
                <w:color w:val="auto"/>
              </w:rPr>
              <w:t>Thresholds</w:t>
            </w:r>
          </w:p>
        </w:tc>
        <w:tc>
          <w:tcPr>
            <w:tcW w:w="2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Rate Margin</w:t>
            </w:r>
          </w:p>
        </w:tc>
      </w:tr>
      <w:tr>
        <w:trPr>
          <w:trHeight w:val="25"/>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w:t>
            </w:r>
          </w:p>
        </w:tc>
        <w:tc>
          <w:tcPr>
            <w:tcW w:w="120" w:type="dxa"/>
            <w:vAlign w:val="bottom"/>
          </w:tcPr>
          <w:p>
            <w:pPr>
              <w:spacing w:after="0"/>
              <w:rPr>
                <w:sz w:val="15"/>
                <w:szCs w:val="15"/>
                <w:color w:val="auto"/>
              </w:rPr>
            </w:pPr>
          </w:p>
        </w:tc>
        <w:tc>
          <w:tcPr>
            <w:tcW w:w="8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If Liquidity is less than 35% of the Maximum Revolver Amount (each as defined in the Amended Credit</w:t>
            </w:r>
          </w:p>
        </w:tc>
        <w:tc>
          <w:tcPr>
            <w:tcW w:w="120" w:type="dxa"/>
            <w:vAlign w:val="bottom"/>
          </w:tcPr>
          <w:p>
            <w:pPr>
              <w:spacing w:after="0"/>
              <w:rPr>
                <w:sz w:val="15"/>
                <w:szCs w:val="15"/>
                <w:color w:val="auto"/>
              </w:rPr>
            </w:pPr>
          </w:p>
        </w:tc>
        <w:tc>
          <w:tcPr>
            <w:tcW w:w="21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2.00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Agreement) at any time during the period</w:t>
            </w:r>
          </w:p>
        </w:tc>
        <w:tc>
          <w:tcPr>
            <w:tcW w:w="2140" w:type="dxa"/>
            <w:vAlign w:val="bottom"/>
          </w:tcPr>
          <w:p>
            <w:pPr>
              <w:spacing w:after="0"/>
              <w:rPr>
                <w:sz w:val="19"/>
                <w:szCs w:val="19"/>
                <w:color w:val="auto"/>
              </w:rPr>
            </w:pPr>
          </w:p>
        </w:tc>
      </w:tr>
      <w:tr>
        <w:trPr>
          <w:trHeight w:val="26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1.75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than 50% of the Maximum Revolver Amount at any time during the period</w:t>
            </w:r>
          </w:p>
        </w:tc>
        <w:tc>
          <w:tcPr>
            <w:tcW w:w="2140" w:type="dxa"/>
            <w:vAlign w:val="bottom"/>
          </w:tcPr>
          <w:p>
            <w:pPr>
              <w:spacing w:after="0"/>
              <w:rPr>
                <w:sz w:val="19"/>
                <w:szCs w:val="19"/>
                <w:color w:val="auto"/>
              </w:rPr>
            </w:pPr>
          </w:p>
        </w:tc>
      </w:tr>
      <w:tr>
        <w:trPr>
          <w:trHeight w:val="29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 percentage points</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are charged monthly in arrears for (1) an unused commitment fee of 0.25% per annum, (2) a collateral monitoring fee of $5 thousand per quarter,</w:t>
      </w:r>
    </w:p>
    <w:p>
      <w:pPr>
        <w:spacing w:after="0" w:line="28" w:lineRule="exact"/>
        <w:rPr>
          <w:sz w:val="20"/>
          <w:szCs w:val="20"/>
          <w:color w:val="auto"/>
        </w:rPr>
      </w:pPr>
    </w:p>
    <w:p>
      <w:pPr>
        <w:ind w:right="20" w:firstLine="3"/>
        <w:spacing w:after="0" w:line="266" w:lineRule="auto"/>
        <w:tabs>
          <w:tab w:leader="none" w:pos="24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of credit fee based on the then-applicable interest rate margin (4) appraisal fees, costs and expenses and (5) certain other fees and charges as specified in the Amended Credit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2024, we were in compliance with the financial covenants under the Amended Credit Agreement, requiring that we maintain:</w:t>
      </w:r>
    </w:p>
    <w:p>
      <w:pPr>
        <w:spacing w:after="0" w:line="217" w:lineRule="exact"/>
        <w:rPr>
          <w:sz w:val="20"/>
          <w:szCs w:val="20"/>
          <w:color w:val="auto"/>
        </w:rPr>
      </w:pPr>
    </w:p>
    <w:p>
      <w:pPr>
        <w:ind w:left="1480" w:right="80" w:hanging="317"/>
        <w:spacing w:after="0" w:line="287" w:lineRule="auto"/>
        <w:tabs>
          <w:tab w:leader="none" w:pos="14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3" w:name="page34"/>
    <w:bookmarkEnd w:id="33"/>
    <w:p>
      <w:pPr>
        <w:ind w:left="1480" w:right="80" w:hanging="317"/>
        <w:spacing w:after="0" w:line="287" w:lineRule="auto"/>
        <w:tabs>
          <w:tab w:leader="none" w:pos="14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10% of the Maximum Revolver Amount, or $15.0 million; with, for purposes of this covenant, at least 50% of our Liquidity comprised of Excess Availability (as defined in the Amended Credit Agreement).</w:t>
      </w:r>
    </w:p>
    <w:p>
      <w:pPr>
        <w:spacing w:after="0" w:line="17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At March 31, 2024, our Liquidity was $249.5 million, our Excess Availability was $143.5 million (or greater than 50% of minimum Liquidity), and our Fixed Charge Coverage Ratio was 7.9:1.0.</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March 31, 2024, we had $5.6 million in outstanding letters of credit and no outstanding borrowings under our revolving credit facility.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and elevated commodity prices.</w:t>
      </w:r>
    </w:p>
    <w:p>
      <w:pPr>
        <w:spacing w:after="0" w:line="200"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$58.7 million during the six months ended March 31, 2024, as compared to $60.1 million in the six months ended March 31, 2023. The decrease in operating cash flow resulted from an increase in cash used in working capital during the six months ended March 31, 2024 as compared with the six months ended March 31, 2023, largely offset by increased earnings.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Net cash used in investing activities was $11.4 million for the six months ended March 31, 2024, compared to $12.3 million provided by investing activities in the six months ended March 31, 2023. During the six months ended March 31, 2024, we used $13.4 million for capital expenditures to support the growth of our business, which was partially offset by cash provided by the sale of assets of $2.4 million. During the six months ended March 31, 2023, the sale of assets, including the sale of STR, provided cash of $19.1 million, which was partially offset by $6.7 million used for capital expenditures.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Net cash used in financing activities for the six months ended March 31, 2024 was $17.1 million, compared to $82.1 million for the six months ended March 31, 2023. Net cash used in financing activities for the six months ended March 31, 2024 included $4.1 million to settle our contingent consideration liability related to prior year acquisitions, $7.9 million in distributions to noncontrolling interests under operating agreements in connection with certain acquisitions, and $3.2 million in repurchases our common stock to satisfy statutory withholding requirements upon the vesting of employee stock compensation. Net cash used in financing activities for the six months ended March 31, 2023 included net repayments on our credit facility of $67.5 million, $7.6 million used to repurchase our common stock, including repurchases to satisfy statutory withholding requirements upon the vesting of employee stock compensation, and distributions of $5.3 million to noncontrolling interests under operating agreements in connection with certain acquisitions.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December 2022, our Board authorized a stock repurchase program for the purchase from time to time of up to $40.0 million of the Company’s common stock, replacing the Company's previous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had no purchases pursuant to our repurchase programs during the six months ended March 31, 2024.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34" w:name="page35"/>
    <w:bookmarkEnd w:id="34"/>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2024, we did not have any such firm commitments to purchase materials outstanding. In connection with expected growth in our business, we are planning to expand capacity in certain areas. Further, based on increased availability of vehicles and other equipment needed in the business and the relative costs and benefits of purchasing compared with leasing, we expect to satisfy a larger proportion of our vehicle and other equipment needs through purchasing and to reduce our reliance on leasing. As a result, we have updated our capital expenditure expectations for the current fiscal year, and now expect our capital spending for the year ending September 30, 2024 will range from $35 million to $45 million, compared to $17.7 million for the year ended September 30, 2023. There have been no other material changes in our material cash requirements from those disclosed in our Annual Report on Form 10-K for the fiscal year ended September 30, 2023. We expect that cash and cash equivalents, cash flow from operations and availability under our revolving credit facility will be sufficient to satisfy cash requirements during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our outstanding borrowings under our revolving credit facility. For additional information see </w:t>
      </w:r>
      <w:r>
        <w:rPr>
          <w:rFonts w:ascii="Times New Roman" w:cs="Times New Roman" w:eastAsia="Times New Roman" w:hAnsi="Times New Roman"/>
          <w:sz w:val="17"/>
          <w:szCs w:val="17"/>
          <w:i w:val="1"/>
          <w:iCs w:val="1"/>
          <w:color w:val="auto"/>
        </w:rPr>
        <w:t>“Disclosure Regarding Forward-Looking Statements”</w:t>
      </w:r>
      <w:r>
        <w:rPr>
          <w:rFonts w:ascii="Times New Roman" w:cs="Times New Roman" w:eastAsia="Times New Roman" w:hAnsi="Times New Roman"/>
          <w:sz w:val="17"/>
          <w:szCs w:val="17"/>
          <w:color w:val="auto"/>
        </w:rPr>
        <w:t xml:space="preserve"> in Part I of this Quarterly Report on Form 10-Q and our risk factors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2023.</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for copper, aluminum, steel, electronic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Any long-term debt that may be outstanding from time to time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We had no borrowings outstanding under our revolving credit facility as of March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2024,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7"/>
          <w:szCs w:val="17"/>
          <w:color w:val="auto"/>
        </w:rPr>
        <w:t>For information regarding legal proceedings, see Note 11,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disclosed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63"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2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9"/>
              </w:rPr>
              <w:t>Total Number of</w:t>
            </w: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Maximum Dollar Value of</w:t>
            </w:r>
          </w:p>
        </w:tc>
        <w:tc>
          <w:tcPr>
            <w:tcW w:w="0" w:type="dxa"/>
            <w:vAlign w:val="bottom"/>
          </w:tcPr>
          <w:p>
            <w:pPr>
              <w:spacing w:after="0"/>
              <w:rPr>
                <w:sz w:val="1"/>
                <w:szCs w:val="1"/>
                <w:color w:val="auto"/>
              </w:rPr>
            </w:pPr>
          </w:p>
        </w:tc>
      </w:tr>
      <w:tr>
        <w:trPr>
          <w:trHeight w:val="177"/>
        </w:trPr>
        <w:tc>
          <w:tcPr>
            <w:tcW w:w="3060" w:type="dxa"/>
            <w:vAlign w:val="bottom"/>
          </w:tcPr>
          <w:p>
            <w:pPr>
              <w:spacing w:after="0"/>
              <w:rPr>
                <w:sz w:val="15"/>
                <w:szCs w:val="15"/>
                <w:color w:val="auto"/>
              </w:rPr>
            </w:pPr>
          </w:p>
        </w:tc>
        <w:tc>
          <w:tcPr>
            <w:tcW w:w="18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Total Number of</w:t>
            </w:r>
          </w:p>
        </w:tc>
        <w:tc>
          <w:tcPr>
            <w:tcW w:w="15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Average Price Paid</w:t>
            </w:r>
          </w:p>
        </w:tc>
        <w:tc>
          <w:tcPr>
            <w:tcW w:w="1720" w:type="dxa"/>
            <w:vAlign w:val="bottom"/>
          </w:tcPr>
          <w:p>
            <w:pPr>
              <w:jc w:val="center"/>
              <w:ind w:right="74"/>
              <w:spacing w:after="0" w:line="177" w:lineRule="exact"/>
              <w:rPr>
                <w:sz w:val="20"/>
                <w:szCs w:val="20"/>
                <w:color w:val="auto"/>
              </w:rPr>
            </w:pPr>
            <w:r>
              <w:rPr>
                <w:rFonts w:ascii="Times New Roman" w:cs="Times New Roman" w:eastAsia="Times New Roman" w:hAnsi="Times New Roman"/>
                <w:sz w:val="17"/>
                <w:szCs w:val="17"/>
                <w:color w:val="auto"/>
              </w:rPr>
              <w:t>Shares Purchased as</w:t>
            </w:r>
          </w:p>
        </w:tc>
        <w:tc>
          <w:tcPr>
            <w:tcW w:w="2020" w:type="dxa"/>
            <w:vAlign w:val="bottom"/>
          </w:tcPr>
          <w:p>
            <w:pPr>
              <w:jc w:val="center"/>
              <w:ind w:right="54"/>
              <w:spacing w:after="0" w:line="177" w:lineRule="exact"/>
              <w:rPr>
                <w:sz w:val="20"/>
                <w:szCs w:val="20"/>
                <w:color w:val="auto"/>
              </w:rPr>
            </w:pPr>
            <w:r>
              <w:rPr>
                <w:rFonts w:ascii="Times New Roman" w:cs="Times New Roman" w:eastAsia="Times New Roman" w:hAnsi="Times New Roman"/>
                <w:sz w:val="17"/>
                <w:szCs w:val="17"/>
                <w:color w:val="auto"/>
                <w:w w:val="99"/>
              </w:rPr>
              <w:t>Shares That May Yet Be</w:t>
            </w:r>
          </w:p>
        </w:tc>
        <w:tc>
          <w:tcPr>
            <w:tcW w:w="0" w:type="dxa"/>
            <w:vAlign w:val="bottom"/>
          </w:tcPr>
          <w:p>
            <w:pPr>
              <w:spacing w:after="0"/>
              <w:rPr>
                <w:sz w:val="1"/>
                <w:szCs w:val="1"/>
                <w:color w:val="auto"/>
              </w:rPr>
            </w:pPr>
          </w:p>
        </w:tc>
      </w:tr>
      <w:tr>
        <w:trPr>
          <w:trHeight w:val="171"/>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84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74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7"/>
                <w:szCs w:val="17"/>
                <w:color w:val="auto"/>
              </w:rPr>
              <w:t>Part of a Publicly   Purchased Under the Publicly</w:t>
            </w:r>
          </w:p>
        </w:tc>
        <w:tc>
          <w:tcPr>
            <w:tcW w:w="0" w:type="dxa"/>
            <w:vAlign w:val="bottom"/>
          </w:tcPr>
          <w:p>
            <w:pPr>
              <w:spacing w:after="0"/>
              <w:rPr>
                <w:sz w:val="1"/>
                <w:szCs w:val="1"/>
                <w:color w:val="auto"/>
              </w:rPr>
            </w:pPr>
          </w:p>
        </w:tc>
      </w:tr>
      <w:tr>
        <w:trPr>
          <w:trHeight w:val="219"/>
        </w:trPr>
        <w:tc>
          <w:tcPr>
            <w:tcW w:w="3060" w:type="dxa"/>
            <w:vAlign w:val="bottom"/>
            <w:vMerge w:val="continue"/>
          </w:tcPr>
          <w:p>
            <w:pPr>
              <w:spacing w:after="0"/>
              <w:rPr>
                <w:sz w:val="19"/>
                <w:szCs w:val="19"/>
                <w:color w:val="auto"/>
              </w:rPr>
            </w:pPr>
          </w:p>
        </w:tc>
        <w:tc>
          <w:tcPr>
            <w:tcW w:w="1840" w:type="dxa"/>
            <w:vAlign w:val="bottom"/>
          </w:tcPr>
          <w:p>
            <w:pPr>
              <w:jc w:val="right"/>
              <w:spacing w:after="0" w:line="219" w:lineRule="exact"/>
              <w:rPr>
                <w:sz w:val="20"/>
                <w:szCs w:val="20"/>
                <w:color w:val="auto"/>
              </w:rPr>
            </w:pPr>
            <w:r>
              <w:rPr>
                <w:rFonts w:ascii="Times New Roman" w:cs="Times New Roman" w:eastAsia="Times New Roman" w:hAnsi="Times New Roman"/>
                <w:sz w:val="17"/>
                <w:szCs w:val="17"/>
                <w:color w:val="auto"/>
              </w:rPr>
              <w:t xml:space="preserve">Shares Purchased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Per Share</w:t>
            </w:r>
          </w:p>
        </w:tc>
        <w:tc>
          <w:tcPr>
            <w:tcW w:w="172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Announced Plan</w:t>
            </w:r>
          </w:p>
        </w:tc>
        <w:tc>
          <w:tcPr>
            <w:tcW w:w="2020" w:type="dxa"/>
            <w:vAlign w:val="bottom"/>
          </w:tcPr>
          <w:p>
            <w:pPr>
              <w:jc w:val="center"/>
              <w:ind w:right="54"/>
              <w:spacing w:after="0" w:line="219" w:lineRule="exact"/>
              <w:rPr>
                <w:sz w:val="20"/>
                <w:szCs w:val="20"/>
                <w:color w:val="auto"/>
              </w:rPr>
            </w:pPr>
            <w:r>
              <w:rPr>
                <w:rFonts w:ascii="Times New Roman" w:cs="Times New Roman" w:eastAsia="Times New Roman" w:hAnsi="Times New Roman"/>
                <w:sz w:val="17"/>
                <w:szCs w:val="17"/>
                <w:color w:val="auto"/>
                <w:w w:val="98"/>
              </w:rPr>
              <w:t xml:space="preserve">Announced Plan </w:t>
            </w:r>
            <w:r>
              <w:rPr>
                <w:rFonts w:ascii="Times New Roman" w:cs="Times New Roman" w:eastAsia="Times New Roman" w:hAnsi="Times New Roman"/>
                <w:sz w:val="22"/>
                <w:szCs w:val="22"/>
                <w:color w:val="auto"/>
                <w:w w:val="98"/>
                <w:vertAlign w:val="superscript"/>
              </w:rPr>
              <w:t>(2)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2024 – January 31, 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5,010</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77.40</w:t>
            </w:r>
          </w:p>
        </w:tc>
        <w:tc>
          <w:tcPr>
            <w:tcW w:w="17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r>
        <w:trPr>
          <w:trHeight w:val="219"/>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2024 – February 28, 2024</w:t>
            </w:r>
          </w:p>
        </w:tc>
        <w:tc>
          <w:tcPr>
            <w:tcW w:w="21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2024 – March 31, 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16,508</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115.14</w:t>
            </w:r>
          </w:p>
        </w:tc>
        <w:tc>
          <w:tcPr>
            <w:tcW w:w="17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21,518</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106.35</w:t>
            </w:r>
          </w:p>
        </w:tc>
        <w:tc>
          <w:tcPr>
            <w:tcW w:w="172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20" w:right="320" w:hanging="385"/>
        <w:spacing w:after="0" w:line="307" w:lineRule="auto"/>
        <w:tabs>
          <w:tab w:leader="none" w:pos="56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of common stock repurchased from our employees to satisfy statutory tax withholding requirements upon the vesting of certain stock awards under the Equity Incentive Plan.</w:t>
      </w:r>
    </w:p>
    <w:p>
      <w:pPr>
        <w:ind w:left="560" w:hanging="325"/>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2022, our Board authorized a stock repurchase program for the purchase of up to $40 million of the Company’s common stock from time to time.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Arrangements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Other than as described below, during the three months ended March 31, 2024, none of the Company's directors or officers adopted, modified or terminated a “Rule 10b5-1 trading arrangement” or a “non-Rule 10b5-1 trading arrangement” as each term is defined under Item 408 of Regulation S-K.</w:t>
      </w:r>
    </w:p>
    <w:p>
      <w:pPr>
        <w:spacing w:after="0" w:line="19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On March 6, 2024, Jeffrey L. Gendell, Chairman and Chief Executive Officer of the Company, adopted a Rule 10b5-1 trading plan intended to satisfy the affirmative defense conditions of Rule 10b5-1(c) under the Exchange Act. Sales under Mr. Gendell’s plan, which provides for the potential sale of up to an aggregate of 200,000 shares of the Company’s common stock, may commence as soon as 90 calendar days from the execution date of the trading plan and shall end, subject to certain conditions, on the earlier of (a) March 7, 2025 and (b) the date that all shares subject to the plan have been sold.</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428"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Times New Roman" w:cs="Times New Roman" w:eastAsia="Times New Roman" w:hAnsi="Times New Roman"/>
                <w:sz w:val="15"/>
                <w:szCs w:val="15"/>
                <w:b w:val="1"/>
                <w:bCs w:val="1"/>
                <w:color w:val="auto"/>
                <w:w w:val="99"/>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7"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3.1 — </w:t>
      </w:r>
      <w:hyperlink r:id="rId81">
        <w:r>
          <w:rPr>
            <w:rFonts w:ascii="Times New Roman" w:cs="Times New Roman" w:eastAsia="Times New Roman" w:hAnsi="Times New Roman"/>
            <w:sz w:val="17"/>
            <w:szCs w:val="17"/>
            <w:u w:val="single" w:color="auto"/>
            <w:color w:val="0000FF"/>
          </w:rPr>
          <w:t>Second Amended and Restated Certificate of Incorporation of IES Holdings, Inc., as amended by the Certificate of Amendment thereto, effective</w:t>
        </w:r>
      </w:hyperlink>
      <w:r>
        <w:rPr>
          <w:rFonts w:ascii="Times New Roman" w:cs="Times New Roman" w:eastAsia="Times New Roman" w:hAnsi="Times New Roman"/>
          <w:sz w:val="15"/>
          <w:szCs w:val="15"/>
          <w:color w:val="auto"/>
        </w:rPr>
        <w:t xml:space="preserve"> </w:t>
      </w:r>
      <w:hyperlink r:id="rId81">
        <w:r>
          <w:rPr>
            <w:rFonts w:ascii="Times New Roman" w:cs="Times New Roman" w:eastAsia="Times New Roman" w:hAnsi="Times New Roman"/>
            <w:sz w:val="17"/>
            <w:szCs w:val="17"/>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3.2 — </w:t>
      </w:r>
      <w:hyperlink r:id="rId82">
        <w:r>
          <w:rPr>
            <w:rFonts w:ascii="Times New Roman" w:cs="Times New Roman" w:eastAsia="Times New Roman" w:hAnsi="Times New Roman"/>
            <w:sz w:val="17"/>
            <w:szCs w:val="17"/>
            <w:u w:val="single" w:color="auto"/>
            <w:color w:val="0000FF"/>
          </w:rPr>
          <w:t>Amended and Restated Bylaws of IES Holdings, Inc., effective April 28, 2021. (Incorporated by reference to Exhibit 3.3 to the Company's</w:t>
        </w:r>
      </w:hyperlink>
      <w:r>
        <w:rPr>
          <w:rFonts w:ascii="Times New Roman" w:cs="Times New Roman" w:eastAsia="Times New Roman" w:hAnsi="Times New Roman"/>
          <w:sz w:val="15"/>
          <w:szCs w:val="15"/>
          <w:color w:val="auto"/>
        </w:rPr>
        <w:t xml:space="preserve"> </w:t>
      </w:r>
      <w:hyperlink r:id="rId82">
        <w:r>
          <w:rPr>
            <w:rFonts w:ascii="Times New Roman" w:cs="Times New Roman" w:eastAsia="Times New Roman" w:hAnsi="Times New Roman"/>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94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4.1 — </w:t>
      </w:r>
      <w:hyperlink r:id="rId84">
        <w:r>
          <w:rPr>
            <w:rFonts w:ascii="Times New Roman" w:cs="Times New Roman" w:eastAsia="Times New Roman" w:hAnsi="Times New Roman"/>
            <w:sz w:val="17"/>
            <w:szCs w:val="17"/>
            <w:u w:val="single" w:color="auto"/>
            <w:color w:val="0000FF"/>
          </w:rPr>
          <w:t>Specimen common stock certificate. (Incorporated by reference to Exhibit 4.1 to the Company’s Annual Report on Form 10-K filed on December 9,</w:t>
        </w:r>
      </w:hyperlink>
    </w:p>
    <w:p>
      <w:pPr>
        <w:spacing w:after="0" w:line="36"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84">
        <w:r>
          <w:rPr>
            <w:rFonts w:ascii="Times New Roman" w:cs="Times New Roman" w:eastAsia="Times New Roman" w:hAnsi="Times New Roman"/>
            <w:sz w:val="17"/>
            <w:szCs w:val="17"/>
            <w:u w:val="single" w:color="auto"/>
            <w:color w:val="0000FF"/>
          </w:rPr>
          <w:t>2016).</w:t>
        </w:r>
      </w:hyperlink>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39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7" w:lineRule="auto"/>
        <w:rPr>
          <w:sz w:val="20"/>
          <w:szCs w:val="20"/>
          <w:color w:val="auto"/>
        </w:rPr>
      </w:pP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19" w:lineRule="auto"/>
        <w:rPr>
          <w:sz w:val="20"/>
          <w:szCs w:val="20"/>
          <w:color w:val="auto"/>
        </w:rPr>
      </w:pP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ind w:left="1000" w:hanging="611"/>
        <w:spacing w:after="0" w:line="242" w:lineRule="auto"/>
        <w:rPr>
          <w:sz w:val="20"/>
          <w:szCs w:val="20"/>
          <w:color w:val="auto"/>
        </w:rPr>
      </w:pPr>
      <w:r>
        <w:rPr>
          <w:rFonts w:ascii="Times New Roman" w:cs="Times New Roman" w:eastAsia="Times New Roman" w:hAnsi="Times New Roman"/>
          <w:sz w:val="17"/>
          <w:szCs w:val="17"/>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101.SCH XBRL Schema Document </w:t>
      </w:r>
      <w:r>
        <w:rPr>
          <w:rFonts w:ascii="Times New Roman" w:cs="Times New Roman" w:eastAsia="Times New Roman" w:hAnsi="Times New Roman"/>
          <w:sz w:val="22"/>
          <w:szCs w:val="22"/>
          <w:color w:val="auto"/>
          <w:vertAlign w:val="superscript"/>
        </w:rPr>
        <w:t>(1)</w:t>
      </w:r>
    </w:p>
    <w:p>
      <w:pPr>
        <w:ind w:left="320"/>
        <w:spacing w:after="0" w:line="208" w:lineRule="auto"/>
        <w:rPr>
          <w:sz w:val="20"/>
          <w:szCs w:val="20"/>
          <w:color w:val="auto"/>
        </w:rPr>
      </w:pPr>
      <w:r>
        <w:rPr>
          <w:rFonts w:ascii="Times New Roman" w:cs="Times New Roman" w:eastAsia="Times New Roman" w:hAnsi="Times New Roman"/>
          <w:sz w:val="17"/>
          <w:szCs w:val="17"/>
          <w:color w:val="auto"/>
        </w:rPr>
        <w:t xml:space="preserve">101.LAB XBRL Label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60"/>
        <w:spacing w:after="0" w:line="208" w:lineRule="auto"/>
        <w:rPr>
          <w:sz w:val="20"/>
          <w:szCs w:val="20"/>
          <w:color w:val="auto"/>
        </w:rPr>
      </w:pPr>
      <w:r>
        <w:rPr>
          <w:rFonts w:ascii="Times New Roman" w:cs="Times New Roman" w:eastAsia="Times New Roman" w:hAnsi="Times New Roman"/>
          <w:sz w:val="17"/>
          <w:szCs w:val="17"/>
          <w:color w:val="auto"/>
        </w:rPr>
        <w:t xml:space="preserve">101.PRE XBRL Presentation Linkbase Document </w:t>
      </w:r>
      <w:r>
        <w:rPr>
          <w:rFonts w:ascii="Times New Roman" w:cs="Times New Roman" w:eastAsia="Times New Roman" w:hAnsi="Times New Roman"/>
          <w:sz w:val="22"/>
          <w:szCs w:val="22"/>
          <w:color w:val="auto"/>
          <w:vertAlign w:val="superscript"/>
        </w:rPr>
        <w:t>(1)</w:t>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101.DEF XBRL Definition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18" w:lineRule="auto"/>
        <w:rPr>
          <w:sz w:val="20"/>
          <w:szCs w:val="20"/>
          <w:color w:val="auto"/>
        </w:rPr>
      </w:pPr>
      <w:r>
        <w:rPr>
          <w:rFonts w:ascii="Times New Roman" w:cs="Times New Roman" w:eastAsia="Times New Roman" w:hAnsi="Times New Roman"/>
          <w:sz w:val="17"/>
          <w:szCs w:val="17"/>
          <w:color w:val="auto"/>
        </w:rPr>
        <w:t xml:space="preserve">101.CAL XBRL Calculation Linkbase Document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1000" w:right="580" w:hanging="291"/>
        <w:spacing w:after="0" w:line="228" w:lineRule="auto"/>
        <w:rPr>
          <w:sz w:val="20"/>
          <w:szCs w:val="20"/>
          <w:color w:val="auto"/>
        </w:rPr>
      </w:pPr>
      <w:r>
        <w:rPr>
          <w:rFonts w:ascii="Times New Roman" w:cs="Times New Roman" w:eastAsia="Times New Roman" w:hAnsi="Times New Roman"/>
          <w:sz w:val="17"/>
          <w:szCs w:val="17"/>
          <w:color w:val="auto"/>
        </w:rPr>
        <w:t>104 Cover Page Interactive Data File - the cover page interactive data file does not appear in the Interactive Data File because its XBRL tags are embedded within the Inline XBRL document</w:t>
      </w:r>
    </w:p>
    <w:p>
      <w:pPr>
        <w:spacing w:after="0" w:line="255" w:lineRule="exact"/>
        <w:rPr>
          <w:sz w:val="20"/>
          <w:szCs w:val="20"/>
          <w:color w:val="auto"/>
        </w:rPr>
      </w:pPr>
    </w:p>
    <w:p>
      <w:pPr>
        <w:ind w:left="1000" w:hanging="234"/>
        <w:spacing w:after="0"/>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1000" w:hanging="234"/>
        <w:spacing w:after="0"/>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May 3, 2024.</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00" w:lineRule="exact"/>
        <w:rPr>
          <w:sz w:val="20"/>
          <w:szCs w:val="20"/>
          <w:color w:val="auto"/>
        </w:rPr>
      </w:pPr>
    </w:p>
    <w:p>
      <w:pPr>
        <w:spacing w:after="0" w:line="318" w:lineRule="exact"/>
        <w:rPr>
          <w:sz w:val="20"/>
          <w:szCs w:val="20"/>
          <w:color w:val="auto"/>
        </w:rPr>
      </w:pPr>
    </w:p>
    <w:tbl>
      <w:tblPr>
        <w:tblLayout w:type="fixed"/>
        <w:tblInd w:w="500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TRACY A. MCLAUCHLIN</w:t>
            </w:r>
          </w:p>
        </w:tc>
      </w:tr>
      <w:tr>
        <w:trPr>
          <w:trHeight w:val="209"/>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23"/>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Authorized Signatory)</w:t>
            </w:r>
          </w:p>
        </w:tc>
      </w:tr>
      <w:tr>
        <w:trPr>
          <w:trHeight w:val="709"/>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39</w:t>
            </w:r>
          </w:p>
        </w:tc>
      </w:tr>
    </w:tbl>
    <w:p>
      <w:pPr>
        <w:sectPr>
          <w:pgSz w:w="11900" w:h="16838" w:orient="portrait"/>
          <w:cols w:equalWidth="0" w:num="1">
            <w:col w:w="11240"/>
          </w:cols>
          <w:pgMar w:left="320" w:top="42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3, 2024</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3, 2024</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March 31, 2024 (the “Report”), I, Jeffrey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71"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May 3,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March 31, 2024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May 3,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Roman"/>
      <w:start w:val="4"/>
    </w:lvl>
  </w:abstractNum>
  <w:abstractNum w:abstractNumId="7">
    <w:nsid w:val="519B500D"/>
    <w:multiLevelType w:val="hybridMultilevel"/>
    <w:lvl w:ilvl="0">
      <w:lvlJc w:val="left"/>
      <w:lvlText w:val="&amp;"/>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3"/>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7">
    <w:nsid w:val="2443A85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8">
    <w:nsid w:val="2D1D5AE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lvl w:ilvl="1">
      <w:lvlJc w:val="left"/>
      <w:lvlText w:val="(%2)"/>
      <w:numFmt w:val="lowerLetter"/>
      <w:start w:val="2"/>
    </w:lvl>
  </w:abstractNum>
  <w:abstractNum w:abstractNumId="21">
    <w:nsid w:val="8EDBDAB"/>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22">
    <w:nsid w:val="79838CB2"/>
    <w:multiLevelType w:val="hybridMultilevel"/>
    <w:lvl w:ilvl="0">
      <w:lvlJc w:val="left"/>
      <w:lvlText w:val="(%1)"/>
      <w:numFmt w:val="lowerLetter"/>
      <w:start w:val="3"/>
    </w:lvl>
    <w:lvl w:ilvl="1">
      <w:lvlJc w:val="left"/>
      <w:lvlText w:val="(%2)"/>
      <w:numFmt w:val="lowerLetter"/>
      <w:start w:val="4"/>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lvl w:ilvl="1">
      <w:lvlJc w:val="left"/>
      <w:lvlText w:val="(%2)"/>
      <w:numFmt w:val="lowerLetter"/>
      <w:start w:val="2"/>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81" Type="http://schemas.openxmlformats.org/officeDocument/2006/relationships/hyperlink" Target="https://www.sec.gov/Archives/edgar/data/1048268/000119312516674386/d211495dex31.htm" TargetMode="External"/><Relationship Id="rId82" Type="http://schemas.openxmlformats.org/officeDocument/2006/relationships/hyperlink" Target="https://www.sec.gov/Archives/edgar/data/1048268/000104826821000065/amendedandrestatedbylawsof.htm" TargetMode="External"/><Relationship Id="rId84" Type="http://schemas.openxmlformats.org/officeDocument/2006/relationships/hyperlink" Target="https://www.sec.gov/Archives/edgar/data/1048268/000119312516789187/d31082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2024-05-03T07:07:41Z</dcterms:created>
  <dcterms:modified xsi:type="dcterms:W3CDTF">2024-05-03T07:07:41Z</dcterms:modified>
</cp:coreProperties>
</file>