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28575</wp:posOffset>
            </wp:positionV>
            <wp:extent cx="2275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09" w:lineRule="exact"/>
        <w:rPr>
          <w:sz w:val="24"/>
          <w:szCs w:val="24"/>
          <w:color w:val="auto"/>
        </w:rPr>
      </w:pPr>
    </w:p>
    <w:p>
      <w:pPr>
        <w:jc w:val="center"/>
        <w:ind w:right="10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22860</wp:posOffset>
            </wp:positionV>
            <wp:extent cx="2275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55" w:lineRule="exact"/>
        <w:rPr>
          <w:sz w:val="24"/>
          <w:szCs w:val="24"/>
          <w:color w:val="auto"/>
        </w:rPr>
      </w:pPr>
    </w:p>
    <w:p>
      <w:pPr>
        <w:ind w:left="300" w:hanging="236"/>
        <w:spacing w:after="0"/>
        <w:tabs>
          <w:tab w:leader="none" w:pos="30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8" w:lineRule="exact"/>
        <w:rPr>
          <w:rFonts w:ascii="MS PGothic" w:cs="MS PGothic" w:eastAsia="MS PGothic" w:hAnsi="MS PGothic"/>
          <w:sz w:val="19"/>
          <w:szCs w:val="19"/>
          <w:color w:val="auto"/>
        </w:rPr>
      </w:pPr>
    </w:p>
    <w:p>
      <w:pPr>
        <w:ind w:left="4320"/>
        <w:spacing w:after="0"/>
        <w:rPr>
          <w:rFonts w:ascii="MS PGothic" w:cs="MS PGothic" w:eastAsia="MS PGothic" w:hAnsi="MS PGothic"/>
          <w:sz w:val="19"/>
          <w:szCs w:val="19"/>
          <w:color w:val="auto"/>
        </w:rPr>
      </w:pPr>
      <w:r>
        <w:rPr>
          <w:rFonts w:ascii="Arial" w:cs="Arial" w:eastAsia="Arial" w:hAnsi="Arial"/>
          <w:sz w:val="15"/>
          <w:szCs w:val="15"/>
          <w:b w:val="1"/>
          <w:bCs w:val="1"/>
          <w:color w:val="auto"/>
        </w:rPr>
        <w:t>For the quarterly period ended June 30, 2023</w:t>
      </w:r>
    </w:p>
    <w:p>
      <w:pPr>
        <w:spacing w:after="0" w:line="15" w:lineRule="exact"/>
        <w:rPr>
          <w:rFonts w:ascii="MS PGothic" w:cs="MS PGothic" w:eastAsia="MS PGothic" w:hAnsi="MS PGothic"/>
          <w:sz w:val="19"/>
          <w:szCs w:val="19"/>
          <w:color w:val="auto"/>
        </w:rPr>
      </w:pPr>
    </w:p>
    <w:p>
      <w:pPr>
        <w:ind w:left="5660"/>
        <w:spacing w:after="0"/>
        <w:rPr>
          <w:rFonts w:ascii="MS PGothic" w:cs="MS PGothic" w:eastAsia="MS PGothic" w:hAnsi="MS PGothic"/>
          <w:sz w:val="19"/>
          <w:szCs w:val="19"/>
          <w:color w:val="auto"/>
        </w:rPr>
      </w:pPr>
      <w:r>
        <w:rPr>
          <w:rFonts w:ascii="Arial" w:cs="Arial" w:eastAsia="Arial" w:hAnsi="Arial"/>
          <w:sz w:val="15"/>
          <w:szCs w:val="15"/>
          <w:b w:val="1"/>
          <w:bCs w:val="1"/>
          <w:color w:val="auto"/>
        </w:rPr>
        <w:t>OR</w:t>
      </w:r>
    </w:p>
    <w:p>
      <w:pPr>
        <w:spacing w:after="0" w:line="29" w:lineRule="exact"/>
        <w:rPr>
          <w:sz w:val="24"/>
          <w:szCs w:val="24"/>
          <w:color w:val="auto"/>
        </w:rPr>
      </w:pPr>
    </w:p>
    <w:p>
      <w:pPr>
        <w:ind w:left="300" w:hanging="236"/>
        <w:spacing w:after="0"/>
        <w:tabs>
          <w:tab w:leader="none" w:pos="30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1" w:lineRule="exact"/>
        <w:rPr>
          <w:sz w:val="24"/>
          <w:szCs w:val="24"/>
          <w:color w:val="auto"/>
        </w:rPr>
      </w:pPr>
    </w:p>
    <w:p>
      <w:pPr>
        <w:ind w:left="3720"/>
        <w:spacing w:after="0"/>
        <w:tabs>
          <w:tab w:leader="none" w:pos="6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3660775</wp:posOffset>
            </wp:positionH>
            <wp:positionV relativeFrom="paragraph">
              <wp:posOffset>-1905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10"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22225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120650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IES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2204085</wp:posOffset>
            </wp:positionH>
            <wp:positionV relativeFrom="paragraph">
              <wp:posOffset>26670</wp:posOffset>
            </wp:positionV>
            <wp:extent cx="2734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2120" w:type="dxa"/>
        <w:tblCellMar>
          <w:top w:w="0" w:type="dxa"/>
          <w:left w:w="0" w:type="dxa"/>
          <w:bottom w:w="0" w:type="dxa"/>
          <w:right w:w="0" w:type="dxa"/>
        </w:tblCellMar>
      </w:tblPr>
      <w:tr>
        <w:trPr>
          <w:trHeight w:val="198"/>
        </w:trPr>
        <w:tc>
          <w:tcPr>
            <w:tcW w:w="3680" w:type="dxa"/>
            <w:vAlign w:val="bottom"/>
          </w:tcPr>
          <w:p>
            <w:pPr>
              <w:jc w:val="center"/>
              <w:ind w:right="1788"/>
              <w:spacing w:after="0"/>
              <w:rPr>
                <w:sz w:val="20"/>
                <w:szCs w:val="20"/>
                <w:color w:val="auto"/>
              </w:rPr>
            </w:pPr>
            <w:r>
              <w:rPr>
                <w:rFonts w:ascii="Arial" w:cs="Arial" w:eastAsia="Arial" w:hAnsi="Arial"/>
                <w:sz w:val="15"/>
                <w:szCs w:val="15"/>
                <w:b w:val="1"/>
                <w:bCs w:val="1"/>
                <w:color w:val="auto"/>
                <w:w w:val="94"/>
              </w:rPr>
              <w:t>Delaware</w:t>
            </w:r>
          </w:p>
        </w:tc>
        <w:tc>
          <w:tcPr>
            <w:tcW w:w="2960" w:type="dxa"/>
            <w:vAlign w:val="bottom"/>
          </w:tcPr>
          <w:p>
            <w:pPr>
              <w:jc w:val="center"/>
              <w:ind w:left="1808"/>
              <w:spacing w:after="0"/>
              <w:rPr>
                <w:sz w:val="20"/>
                <w:szCs w:val="20"/>
                <w:color w:val="auto"/>
              </w:rPr>
            </w:pPr>
            <w:r>
              <w:rPr>
                <w:rFonts w:ascii="Arial" w:cs="Arial" w:eastAsia="Arial" w:hAnsi="Arial"/>
                <w:sz w:val="15"/>
                <w:szCs w:val="15"/>
                <w:b w:val="1"/>
                <w:bCs w:val="1"/>
                <w:color w:val="auto"/>
                <w:w w:val="94"/>
              </w:rPr>
              <w:t>76-0542208</w:t>
            </w:r>
          </w:p>
        </w:tc>
      </w:tr>
      <w:tr>
        <w:trPr>
          <w:trHeight w:val="178"/>
        </w:trPr>
        <w:tc>
          <w:tcPr>
            <w:tcW w:w="3680" w:type="dxa"/>
            <w:vAlign w:val="bottom"/>
          </w:tcPr>
          <w:p>
            <w:pPr>
              <w:jc w:val="center"/>
              <w:ind w:right="1808"/>
              <w:spacing w:after="0"/>
              <w:rPr>
                <w:sz w:val="20"/>
                <w:szCs w:val="20"/>
                <w:color w:val="auto"/>
              </w:rPr>
            </w:pPr>
            <w:r>
              <w:rPr>
                <w:rFonts w:ascii="Arial" w:cs="Arial" w:eastAsia="Arial" w:hAnsi="Arial"/>
                <w:sz w:val="14"/>
                <w:szCs w:val="14"/>
                <w:b w:val="1"/>
                <w:bCs w:val="1"/>
                <w:color w:val="auto"/>
                <w:w w:val="89"/>
              </w:rPr>
              <w:t>(State or other jurisdiction of</w:t>
            </w:r>
          </w:p>
        </w:tc>
        <w:tc>
          <w:tcPr>
            <w:tcW w:w="2960" w:type="dxa"/>
            <w:vAlign w:val="bottom"/>
          </w:tcPr>
          <w:p>
            <w:pPr>
              <w:jc w:val="center"/>
              <w:ind w:left="1808"/>
              <w:spacing w:after="0"/>
              <w:rPr>
                <w:sz w:val="20"/>
                <w:szCs w:val="20"/>
                <w:color w:val="auto"/>
              </w:rPr>
            </w:pPr>
            <w:r>
              <w:rPr>
                <w:rFonts w:ascii="Arial" w:cs="Arial" w:eastAsia="Arial" w:hAnsi="Arial"/>
                <w:sz w:val="14"/>
                <w:szCs w:val="14"/>
                <w:b w:val="1"/>
                <w:bCs w:val="1"/>
                <w:color w:val="auto"/>
                <w:w w:val="93"/>
              </w:rPr>
              <w:t>(I.R.S. Employer</w:t>
            </w:r>
          </w:p>
        </w:tc>
      </w:tr>
      <w:tr>
        <w:trPr>
          <w:trHeight w:val="193"/>
        </w:trPr>
        <w:tc>
          <w:tcPr>
            <w:tcW w:w="3680" w:type="dxa"/>
            <w:vAlign w:val="bottom"/>
          </w:tcPr>
          <w:p>
            <w:pPr>
              <w:jc w:val="center"/>
              <w:ind w:right="1808"/>
              <w:spacing w:after="0"/>
              <w:rPr>
                <w:sz w:val="20"/>
                <w:szCs w:val="20"/>
                <w:color w:val="auto"/>
              </w:rPr>
            </w:pPr>
            <w:r>
              <w:rPr>
                <w:rFonts w:ascii="Arial" w:cs="Arial" w:eastAsia="Arial" w:hAnsi="Arial"/>
                <w:sz w:val="14"/>
                <w:szCs w:val="14"/>
                <w:b w:val="1"/>
                <w:bCs w:val="1"/>
                <w:color w:val="auto"/>
                <w:w w:val="90"/>
              </w:rPr>
              <w:t>incorporation or organization)</w:t>
            </w:r>
          </w:p>
        </w:tc>
        <w:tc>
          <w:tcPr>
            <w:tcW w:w="2960" w:type="dxa"/>
            <w:vAlign w:val="bottom"/>
          </w:tcPr>
          <w:p>
            <w:pPr>
              <w:jc w:val="center"/>
              <w:ind w:left="1808"/>
              <w:spacing w:after="0"/>
              <w:rPr>
                <w:sz w:val="20"/>
                <w:szCs w:val="20"/>
                <w:color w:val="auto"/>
              </w:rPr>
            </w:pPr>
            <w:r>
              <w:rPr>
                <w:rFonts w:ascii="Arial" w:cs="Arial" w:eastAsia="Arial" w:hAnsi="Arial"/>
                <w:sz w:val="14"/>
                <w:szCs w:val="14"/>
                <w:b w:val="1"/>
                <w:bCs w:val="1"/>
                <w:color w:val="auto"/>
                <w:w w:val="91"/>
              </w:rPr>
              <w:t>Identification No.)</w:t>
            </w:r>
          </w:p>
        </w:tc>
      </w:tr>
    </w:tbl>
    <w:p>
      <w:pPr>
        <w:spacing w:after="0" w:line="88" w:lineRule="exact"/>
        <w:rPr>
          <w:sz w:val="24"/>
          <w:szCs w:val="24"/>
          <w:color w:val="auto"/>
        </w:rPr>
      </w:pPr>
    </w:p>
    <w:p>
      <w:pPr>
        <w:ind w:left="4120"/>
        <w:spacing w:after="0"/>
        <w:rPr>
          <w:sz w:val="20"/>
          <w:szCs w:val="20"/>
          <w:color w:val="auto"/>
        </w:rPr>
      </w:pPr>
      <w:r>
        <w:rPr>
          <w:rFonts w:ascii="Arial" w:cs="Arial" w:eastAsia="Arial" w:hAnsi="Arial"/>
          <w:sz w:val="15"/>
          <w:szCs w:val="15"/>
          <w:b w:val="1"/>
          <w:bCs w:val="1"/>
          <w:color w:val="auto"/>
        </w:rPr>
        <w:t>2 Riverway, Suite 1730, Houston, Texas 77056</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40" w:type="dxa"/>
            <w:vAlign w:val="bottom"/>
            <w:gridSpan w:val="2"/>
            <w:vMerge w:val="restart"/>
          </w:tcPr>
          <w:p>
            <w:pPr>
              <w:ind w:left="1640"/>
              <w:spacing w:after="0"/>
              <w:rPr>
                <w:sz w:val="20"/>
                <w:szCs w:val="20"/>
                <w:color w:val="auto"/>
              </w:rPr>
            </w:pPr>
            <w:r>
              <w:rPr>
                <w:rFonts w:ascii="Arial" w:cs="Arial" w:eastAsia="Arial" w:hAnsi="Arial"/>
                <w:sz w:val="15"/>
                <w:szCs w:val="15"/>
                <w:b w:val="1"/>
                <w:bCs w:val="1"/>
                <w:color w:val="auto"/>
              </w:rPr>
              <w:t>Title of each class</w:t>
            </w:r>
          </w:p>
        </w:tc>
        <w:tc>
          <w:tcPr>
            <w:tcW w:w="3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8"/>
              </w:rPr>
              <w:t>Trading</w:t>
            </w:r>
          </w:p>
        </w:tc>
        <w:tc>
          <w:tcPr>
            <w:tcW w:w="280" w:type="dxa"/>
            <w:vAlign w:val="bottom"/>
          </w:tcPr>
          <w:p>
            <w:pPr>
              <w:spacing w:after="0"/>
              <w:rPr>
                <w:sz w:val="15"/>
                <w:szCs w:val="15"/>
                <w:color w:val="auto"/>
              </w:rPr>
            </w:pPr>
          </w:p>
        </w:tc>
        <w:tc>
          <w:tcPr>
            <w:tcW w:w="4220" w:type="dxa"/>
            <w:vAlign w:val="bottom"/>
            <w:gridSpan w:val="2"/>
            <w:vMerge w:val="restart"/>
          </w:tcPr>
          <w:p>
            <w:pPr>
              <w:ind w:left="76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440" w:type="dxa"/>
            <w:vAlign w:val="bottom"/>
            <w:tcBorders>
              <w:bottom w:val="single" w:sz="8" w:color="auto"/>
            </w:tcBorders>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Symbol</w:t>
            </w:r>
          </w:p>
        </w:tc>
        <w:tc>
          <w:tcPr>
            <w:tcW w:w="280" w:type="dxa"/>
            <w:vAlign w:val="bottom"/>
          </w:tcPr>
          <w:p>
            <w:pPr>
              <w:spacing w:after="0"/>
              <w:rPr>
                <w:sz w:val="17"/>
                <w:szCs w:val="17"/>
                <w:color w:val="auto"/>
              </w:rPr>
            </w:pPr>
          </w:p>
        </w:tc>
        <w:tc>
          <w:tcPr>
            <w:tcW w:w="42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gridSpan w:val="2"/>
          </w:tcPr>
          <w:p>
            <w:pPr>
              <w:ind w:left="760"/>
              <w:spacing w:after="0"/>
              <w:rPr>
                <w:sz w:val="20"/>
                <w:szCs w:val="20"/>
                <w:color w:val="auto"/>
              </w:rPr>
            </w:pPr>
            <w:r>
              <w:rPr>
                <w:rFonts w:ascii="Arial" w:cs="Arial" w:eastAsia="Arial" w:hAnsi="Arial"/>
                <w:sz w:val="15"/>
                <w:szCs w:val="15"/>
                <w:b w:val="1"/>
                <w:bCs w:val="1"/>
                <w:color w:val="auto"/>
              </w:rPr>
              <w:t>Common Stock, par value $0.01 per share</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rPr>
              <w:t>IESC</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80" w:type="dxa"/>
            <w:vAlign w:val="bottom"/>
          </w:tcPr>
          <w:p>
            <w:pPr>
              <w:ind w:left="440"/>
              <w:spacing w:after="0"/>
              <w:rPr>
                <w:sz w:val="20"/>
                <w:szCs w:val="20"/>
                <w:color w:val="auto"/>
              </w:rPr>
            </w:pPr>
            <w:r>
              <w:rPr>
                <w:rFonts w:ascii="Arial" w:cs="Arial" w:eastAsia="Arial" w:hAnsi="Arial"/>
                <w:sz w:val="15"/>
                <w:szCs w:val="15"/>
                <w:b w:val="1"/>
                <w:bCs w:val="1"/>
                <w:color w:val="auto"/>
              </w:rPr>
              <w:t>NASDAQ Global Market</w:t>
            </w: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8"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4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Arial" w:cs="Arial" w:eastAsia="Arial" w:hAnsi="Arial"/>
                <w:sz w:val="15"/>
                <w:szCs w:val="15"/>
                <w:color w:val="auto"/>
              </w:rPr>
              <w:t>Non-accelerated filer</w:t>
            </w:r>
          </w:p>
        </w:tc>
        <w:tc>
          <w:tcPr>
            <w:tcW w:w="274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74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67" w:lineRule="exact"/>
        <w:rPr>
          <w:sz w:val="24"/>
          <w:szCs w:val="24"/>
          <w:color w:val="auto"/>
        </w:rPr>
      </w:pPr>
    </w:p>
    <w:p>
      <w:pPr>
        <w:ind w:right="48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5" w:lineRule="exact"/>
        <w:rPr>
          <w:sz w:val="24"/>
          <w:szCs w:val="24"/>
          <w:color w:val="auto"/>
        </w:rPr>
      </w:pPr>
    </w:p>
    <w:p>
      <w:pPr>
        <w:ind w:right="3360"/>
        <w:spacing w:after="0" w:line="26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On July 31, 2023, there were 20,191,579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ind w:left="3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2740" w:type="dxa"/>
            <w:vAlign w:val="bottom"/>
            <w:tcBorders>
              <w:bottom w:val="single" w:sz="8" w:color="0000FF"/>
            </w:tcBorders>
            <w:gridSpan w:val="12"/>
          </w:tcPr>
          <w:p>
            <w:pPr>
              <w:spacing w:after="0" w:line="175" w:lineRule="exact"/>
              <w:rPr>
                <w:sz w:val="20"/>
                <w:szCs w:val="20"/>
                <w:color w:val="auto"/>
              </w:rPr>
            </w:pPr>
            <w:r>
              <w:rPr>
                <w:rFonts w:ascii="Arial" w:cs="Arial" w:eastAsia="Arial" w:hAnsi="Arial"/>
                <w:sz w:val="17"/>
                <w:szCs w:val="17"/>
                <w:color w:val="0000FF"/>
                <w:w w:val="98"/>
              </w:rPr>
              <w:t>PART I. FINANCIAL INFORMATION</w:t>
            </w:r>
          </w:p>
        </w:tc>
        <w:tc>
          <w:tcPr>
            <w:tcW w:w="7160" w:type="dxa"/>
            <w:vAlign w:val="bottom"/>
            <w:gridSpan w:val="10"/>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gridSpan w:val="21"/>
          </w:tcPr>
          <w:p>
            <w:pPr>
              <w:spacing w:after="0"/>
              <w:rPr>
                <w:sz w:val="20"/>
                <w:szCs w:val="20"/>
                <w:color w:val="auto"/>
              </w:rPr>
            </w:pPr>
            <w:r>
              <w:rPr>
                <w:rFonts w:ascii="Arial" w:cs="Arial" w:eastAsia="Arial" w:hAnsi="Arial"/>
                <w:sz w:val="17"/>
                <w:szCs w:val="17"/>
                <w:color w:val="0000FF"/>
              </w:rPr>
              <w:t>Item 1. Financial Statements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9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89"/>
              </w:rPr>
              <w:t>Condensed Consolidated Balance Sheets as of June 30, 2023 and September 30, 2022</w:t>
            </w:r>
          </w:p>
        </w:tc>
        <w:tc>
          <w:tcPr>
            <w:tcW w:w="3320" w:type="dxa"/>
            <w:vAlign w:val="bottom"/>
            <w:gridSpan w:val="5"/>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2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0"/>
              </w:rPr>
              <w:t>Condensed Consolidated Statements of Comprehensive Income for the Three and Nine Months Ended June 30, 2023 and 2022</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20" w:type="dxa"/>
            <w:vAlign w:val="bottom"/>
            <w:gridSpan w:val="19"/>
          </w:tcPr>
          <w:p>
            <w:pPr>
              <w:spacing w:after="0"/>
              <w:rPr>
                <w:sz w:val="20"/>
                <w:szCs w:val="20"/>
                <w:color w:val="auto"/>
              </w:rPr>
            </w:pPr>
            <w:r>
              <w:rPr>
                <w:rFonts w:ascii="Arial" w:cs="Arial" w:eastAsia="Arial" w:hAnsi="Arial"/>
                <w:sz w:val="17"/>
                <w:szCs w:val="17"/>
                <w:color w:val="0000FF"/>
                <w:w w:val="98"/>
              </w:rPr>
              <w:t>Condensed Consolidated Statements of Stockholders’ Equity for the Three and Nine Months Ended June 30, 2023 and 2022</w:t>
            </w:r>
          </w:p>
        </w:tc>
        <w:tc>
          <w:tcPr>
            <w:tcW w:w="1040" w:type="dxa"/>
            <w:vAlign w:val="bottom"/>
          </w:tcPr>
          <w:p>
            <w:pPr>
              <w:jc w:val="right"/>
              <w:spacing w:after="0"/>
              <w:rPr>
                <w:sz w:val="20"/>
                <w:szCs w:val="20"/>
                <w:color w:val="auto"/>
              </w:rPr>
            </w:pPr>
            <w:r>
              <w:rPr>
                <w:rFonts w:ascii="Arial" w:cs="Arial" w:eastAsia="Arial" w:hAnsi="Arial"/>
                <w:sz w:val="17"/>
                <w:szCs w:val="17"/>
                <w:color w:val="0000FF"/>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0"/>
              </w:rPr>
              <w:t>Condensed Consolidated Statements of Cash Flows for the Nine Months Ended June 30, 2023 and 2022</w:t>
            </w:r>
          </w:p>
        </w:tc>
        <w:tc>
          <w:tcPr>
            <w:tcW w:w="1360" w:type="dxa"/>
            <w:vAlign w:val="bottom"/>
            <w:tcBorders>
              <w:top w:val="single" w:sz="8" w:color="0000FF"/>
              <w:bottom w:val="single" w:sz="8" w:color="0000FF"/>
            </w:tcBorders>
            <w:vMerge w:val="restart"/>
          </w:tcPr>
          <w:p>
            <w:pPr>
              <w:spacing w:after="0"/>
              <w:rPr>
                <w:sz w:val="18"/>
                <w:szCs w:val="18"/>
                <w:color w:val="auto"/>
              </w:rPr>
            </w:pPr>
          </w:p>
        </w:tc>
        <w:tc>
          <w:tcPr>
            <w:tcW w:w="700" w:type="dxa"/>
            <w:vAlign w:val="bottom"/>
            <w:gridSpan w:val="2"/>
            <w:vMerge w:val="restart"/>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0000FF"/>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2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7"/>
                <w:szCs w:val="17"/>
                <w:color w:val="0000FF"/>
                <w:w w:val="89"/>
              </w:rPr>
              <w:t>Notes to Condensed Consolidated Financial Statements</w:t>
            </w:r>
          </w:p>
        </w:tc>
        <w:tc>
          <w:tcPr>
            <w:tcW w:w="5400" w:type="dxa"/>
            <w:vAlign w:val="bottom"/>
            <w:gridSpan w:val="8"/>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7"/>
                <w:szCs w:val="17"/>
                <w:color w:val="0000FF"/>
              </w:rPr>
              <w:t>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7"/>
                <w:szCs w:val="17"/>
                <w:color w:val="0000FF"/>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7"/>
                <w:szCs w:val="17"/>
                <w:color w:val="0000FF"/>
                <w:w w:val="93"/>
              </w:rPr>
              <w:t>Item 3. Quantitative and Qualitative Disclosures About Market Risk</w:t>
            </w:r>
          </w:p>
        </w:tc>
        <w:tc>
          <w:tcPr>
            <w:tcW w:w="1980" w:type="dxa"/>
            <w:vAlign w:val="bottom"/>
            <w:tcBorders>
              <w:top w:val="single" w:sz="8" w:color="0000FF"/>
            </w:tcBorders>
            <w:gridSpan w:val="2"/>
          </w:tcPr>
          <w:p>
            <w:pPr>
              <w:spacing w:after="0"/>
              <w:rPr>
                <w:sz w:val="17"/>
                <w:szCs w:val="17"/>
                <w:color w:val="auto"/>
              </w:rPr>
            </w:pPr>
          </w:p>
        </w:tc>
        <w:tc>
          <w:tcPr>
            <w:tcW w:w="2900" w:type="dxa"/>
            <w:vAlign w:val="bottom"/>
            <w:gridSpan w:val="4"/>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89"/>
              </w:rPr>
              <w:t>Item 4. Controls and Procedures</w:t>
            </w:r>
          </w:p>
        </w:tc>
        <w:tc>
          <w:tcPr>
            <w:tcW w:w="7360" w:type="dxa"/>
            <w:vAlign w:val="bottom"/>
            <w:gridSpan w:val="11"/>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9900" w:type="dxa"/>
            <w:vAlign w:val="bottom"/>
            <w:gridSpan w:val="22"/>
          </w:tcPr>
          <w:p>
            <w:pPr>
              <w:spacing w:after="0"/>
              <w:rPr>
                <w:sz w:val="20"/>
                <w:szCs w:val="20"/>
                <w:color w:val="auto"/>
              </w:rPr>
            </w:pPr>
            <w:r>
              <w:rPr>
                <w:rFonts w:ascii="Arial" w:cs="Arial" w:eastAsia="Arial" w:hAnsi="Arial"/>
                <w:sz w:val="17"/>
                <w:szCs w:val="17"/>
                <w:color w:val="0000FF"/>
              </w:rPr>
              <w:t>PART II. OTHER INFORMATION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Item 1. Legal Proceedings</w:t>
            </w:r>
          </w:p>
        </w:tc>
        <w:tc>
          <w:tcPr>
            <w:tcW w:w="7460" w:type="dxa"/>
            <w:vAlign w:val="bottom"/>
            <w:gridSpan w:val="1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2"/>
              </w:rPr>
              <w:t>Item 1A. Risk Factors</w:t>
            </w:r>
          </w:p>
        </w:tc>
        <w:tc>
          <w:tcPr>
            <w:tcW w:w="280" w:type="dxa"/>
            <w:vAlign w:val="bottom"/>
            <w:tcBorders>
              <w:top w:val="single" w:sz="8" w:color="0000FF"/>
            </w:tcBorders>
            <w:gridSpan w:val="2"/>
          </w:tcPr>
          <w:p>
            <w:pPr>
              <w:spacing w:after="0"/>
              <w:rPr>
                <w:sz w:val="17"/>
                <w:szCs w:val="17"/>
                <w:color w:val="auto"/>
              </w:rPr>
            </w:pPr>
          </w:p>
        </w:tc>
        <w:tc>
          <w:tcPr>
            <w:tcW w:w="7780" w:type="dxa"/>
            <w:vAlign w:val="bottom"/>
            <w:gridSpan w:val="14"/>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Arial" w:cs="Arial" w:eastAsia="Arial" w:hAnsi="Arial"/>
                <w:sz w:val="17"/>
                <w:szCs w:val="17"/>
                <w:color w:val="0000FF"/>
              </w:rPr>
              <w:t>Item 2. Unregistered Sales of Equity Securities and Use of Proceeds</w:t>
            </w:r>
          </w:p>
        </w:tc>
        <w:tc>
          <w:tcPr>
            <w:tcW w:w="1040" w:type="dxa"/>
            <w:vAlign w:val="bottom"/>
          </w:tcPr>
          <w:p>
            <w:pPr>
              <w:jc w:val="right"/>
              <w:spacing w:after="0"/>
              <w:rPr>
                <w:sz w:val="20"/>
                <w:szCs w:val="20"/>
                <w:color w:val="auto"/>
              </w:rPr>
            </w:pPr>
            <w:r>
              <w:rPr>
                <w:rFonts w:ascii="Arial" w:cs="Arial" w:eastAsia="Arial" w:hAnsi="Arial"/>
                <w:sz w:val="17"/>
                <w:szCs w:val="17"/>
                <w:color w:val="0000FF"/>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80" w:type="dxa"/>
            <w:vAlign w:val="bottom"/>
            <w:tcBorders>
              <w:top w:val="single" w:sz="8" w:color="0000FF"/>
            </w:tcBorders>
            <w:gridSpan w:val="14"/>
          </w:tcPr>
          <w:p>
            <w:pPr>
              <w:spacing w:after="0"/>
              <w:rPr>
                <w:sz w:val="20"/>
                <w:szCs w:val="20"/>
                <w:color w:val="auto"/>
              </w:rPr>
            </w:pPr>
            <w:r>
              <w:rPr>
                <w:rFonts w:ascii="Arial" w:cs="Arial" w:eastAsia="Arial" w:hAnsi="Arial"/>
                <w:sz w:val="17"/>
                <w:szCs w:val="17"/>
                <w:color w:val="0000FF"/>
              </w:rPr>
              <w:t>Item 3. Defaults Upon Senior Securities</w:t>
            </w:r>
          </w:p>
        </w:tc>
        <w:tc>
          <w:tcPr>
            <w:tcW w:w="4900" w:type="dxa"/>
            <w:vAlign w:val="bottom"/>
            <w:gridSpan w:val="7"/>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7"/>
                <w:szCs w:val="17"/>
                <w:color w:val="0000FF"/>
                <w:w w:val="92"/>
              </w:rPr>
              <w:t>Item 4. Mine Safety Disclosures</w:t>
            </w:r>
          </w:p>
        </w:tc>
        <w:tc>
          <w:tcPr>
            <w:tcW w:w="520" w:type="dxa"/>
            <w:vAlign w:val="bottom"/>
            <w:tcBorders>
              <w:top w:val="single" w:sz="8" w:color="0000FF"/>
            </w:tcBorders>
            <w:gridSpan w:val="2"/>
          </w:tcPr>
          <w:p>
            <w:pPr>
              <w:spacing w:after="0"/>
              <w:rPr>
                <w:sz w:val="17"/>
                <w:szCs w:val="17"/>
                <w:color w:val="auto"/>
              </w:rPr>
            </w:pPr>
          </w:p>
        </w:tc>
        <w:tc>
          <w:tcPr>
            <w:tcW w:w="6840" w:type="dxa"/>
            <w:vAlign w:val="bottom"/>
            <w:gridSpan w:val="9"/>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Arial" w:cs="Arial" w:eastAsia="Arial" w:hAnsi="Arial"/>
                <w:sz w:val="17"/>
                <w:szCs w:val="17"/>
                <w:color w:val="0000FF"/>
              </w:rPr>
              <w:t>Item 5. Other Information</w:t>
            </w:r>
          </w:p>
        </w:tc>
        <w:tc>
          <w:tcPr>
            <w:tcW w:w="1040" w:type="dxa"/>
            <w:vAlign w:val="bottom"/>
          </w:tcPr>
          <w:p>
            <w:pPr>
              <w:jc w:val="right"/>
              <w:spacing w:after="0"/>
              <w:rPr>
                <w:sz w:val="20"/>
                <w:szCs w:val="20"/>
                <w:color w:val="auto"/>
              </w:rPr>
            </w:pPr>
            <w:r>
              <w:rPr>
                <w:rFonts w:ascii="Arial" w:cs="Arial" w:eastAsia="Arial" w:hAnsi="Arial"/>
                <w:sz w:val="17"/>
                <w:szCs w:val="17"/>
                <w:color w:val="0000FF"/>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Item 6. Exhibits</w:t>
            </w:r>
          </w:p>
        </w:tc>
        <w:tc>
          <w:tcPr>
            <w:tcW w:w="7800" w:type="dxa"/>
            <w:vAlign w:val="bottom"/>
            <w:gridSpan w:val="15"/>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Signatures</w:t>
            </w:r>
          </w:p>
        </w:tc>
        <w:tc>
          <w:tcPr>
            <w:tcW w:w="8480" w:type="dxa"/>
            <w:vAlign w:val="bottom"/>
            <w:gridSpan w:val="17"/>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520" w:type="dxa"/>
            <w:vAlign w:val="bottom"/>
            <w:gridSpan w:val="3"/>
          </w:tcPr>
          <w:p>
            <w:pPr>
              <w:spacing w:after="0"/>
              <w:rPr>
                <w:sz w:val="24"/>
                <w:szCs w:val="24"/>
                <w:color w:val="auto"/>
              </w:rPr>
            </w:pPr>
          </w:p>
        </w:tc>
        <w:tc>
          <w:tcPr>
            <w:tcW w:w="700" w:type="dxa"/>
            <w:vAlign w:val="bottom"/>
            <w:tcBorders>
              <w:top w:val="single" w:sz="8" w:color="0000FF"/>
            </w:tcBorders>
            <w:gridSpan w:val="2"/>
          </w:tcPr>
          <w:p>
            <w:pPr>
              <w:spacing w:after="0"/>
              <w:rPr>
                <w:sz w:val="24"/>
                <w:szCs w:val="24"/>
                <w:color w:val="auto"/>
              </w:rPr>
            </w:pPr>
          </w:p>
        </w:tc>
        <w:tc>
          <w:tcPr>
            <w:tcW w:w="5540" w:type="dxa"/>
            <w:vAlign w:val="bottom"/>
            <w:gridSpan w:val="13"/>
          </w:tcPr>
          <w:p>
            <w:pPr>
              <w:jc w:val="right"/>
              <w:ind w:right="1100"/>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this Quarterly Report on Form 10-Q, the words “IES”, the “Company”, the “Registrant”, “we”, “our”, “ours” and “us” refer to IES Holdings, Inc. and, except as otherwise specified herein, to our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6"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general reduction in the demand for our products or services;</w:t>
      </w:r>
    </w:p>
    <w:p>
      <w:pPr>
        <w:spacing w:after="0" w:line="242" w:lineRule="exact"/>
        <w:rPr>
          <w:rFonts w:ascii="Arial" w:cs="Arial" w:eastAsia="Arial" w:hAnsi="Arial"/>
          <w:sz w:val="17"/>
          <w:szCs w:val="17"/>
          <w:color w:val="auto"/>
        </w:rPr>
      </w:pPr>
    </w:p>
    <w:p>
      <w:pPr>
        <w:ind w:left="620" w:right="360" w:hanging="307"/>
        <w:spacing w:after="0" w:line="26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general economic conditions, including market and macro-economic disruptions resulting from Russia's invasion of Ukraine or other geo-political events;</w:t>
      </w:r>
    </w:p>
    <w:p>
      <w:pPr>
        <w:spacing w:after="0" w:line="188" w:lineRule="exact"/>
        <w:rPr>
          <w:rFonts w:ascii="Arial" w:cs="Arial" w:eastAsia="Arial" w:hAnsi="Arial"/>
          <w:sz w:val="17"/>
          <w:szCs w:val="17"/>
          <w:color w:val="auto"/>
        </w:rPr>
      </w:pPr>
    </w:p>
    <w:p>
      <w:pPr>
        <w:ind w:left="620" w:right="1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Arial" w:cs="Arial" w:eastAsia="Arial" w:hAnsi="Arial"/>
          <w:sz w:val="17"/>
          <w:szCs w:val="17"/>
          <w:color w:val="auto"/>
        </w:rPr>
      </w:pPr>
    </w:p>
    <w:p>
      <w:pPr>
        <w:ind w:left="620" w:hanging="307"/>
        <w:spacing w:after="0" w:line="258"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94" w:lineRule="exact"/>
        <w:rPr>
          <w:rFonts w:ascii="Arial" w:cs="Arial" w:eastAsia="Arial" w:hAnsi="Arial"/>
          <w:sz w:val="17"/>
          <w:szCs w:val="17"/>
          <w:color w:val="auto"/>
        </w:rPr>
      </w:pPr>
    </w:p>
    <w:p>
      <w:pPr>
        <w:ind w:left="620" w:right="160" w:hanging="307"/>
        <w:spacing w:after="0" w:line="26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supply chain disruptions due to our suppliers' access to materials and labor, their ability to ship products timely, or credit or liquidity problems they may face;</w:t>
      </w:r>
    </w:p>
    <w:p>
      <w:pPr>
        <w:spacing w:after="0" w:line="201" w:lineRule="exact"/>
        <w:rPr>
          <w:rFonts w:ascii="Arial" w:cs="Arial" w:eastAsia="Arial" w:hAnsi="Arial"/>
          <w:sz w:val="17"/>
          <w:szCs w:val="17"/>
          <w:color w:val="auto"/>
        </w:rPr>
      </w:pPr>
    </w:p>
    <w:p>
      <w:pPr>
        <w:ind w:left="620" w:right="20" w:hanging="307"/>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coronavirus disease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200" w:lineRule="exact"/>
        <w:rPr>
          <w:rFonts w:ascii="Arial" w:cs="Arial" w:eastAsia="Arial" w:hAnsi="Arial"/>
          <w:sz w:val="17"/>
          <w:szCs w:val="17"/>
          <w:color w:val="auto"/>
        </w:rPr>
      </w:pPr>
    </w:p>
    <w:p>
      <w:pPr>
        <w:ind w:left="620" w:right="220" w:hanging="307"/>
        <w:spacing w:after="0" w:line="26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201" w:lineRule="exact"/>
        <w:rPr>
          <w:rFonts w:ascii="Arial" w:cs="Arial" w:eastAsia="Arial" w:hAnsi="Arial"/>
          <w:sz w:val="17"/>
          <w:szCs w:val="17"/>
          <w:color w:val="auto"/>
        </w:rPr>
      </w:pPr>
    </w:p>
    <w:p>
      <w:pPr>
        <w:ind w:left="620" w:right="160" w:hanging="307"/>
        <w:spacing w:after="0" w:line="295"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66" w:lineRule="exact"/>
        <w:rPr>
          <w:rFonts w:ascii="Arial" w:cs="Arial" w:eastAsia="Arial" w:hAnsi="Arial"/>
          <w:sz w:val="16"/>
          <w:szCs w:val="16"/>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and the terms of, future contracts;</w:t>
      </w:r>
    </w:p>
    <w:p>
      <w:pPr>
        <w:spacing w:after="0" w:line="242" w:lineRule="exact"/>
        <w:rPr>
          <w:rFonts w:ascii="Arial" w:cs="Arial" w:eastAsia="Arial" w:hAnsi="Arial"/>
          <w:sz w:val="17"/>
          <w:szCs w:val="17"/>
          <w:color w:val="auto"/>
        </w:rPr>
      </w:pPr>
    </w:p>
    <w:p>
      <w:pPr>
        <w:ind w:left="620" w:right="100" w:hanging="307"/>
        <w:spacing w:after="0" w:line="26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8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challenges integrating new businesses into the Company or new types of work, products or processes into our segments;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backlog that may not be realized or may not result in profits;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adequately recover on contract change orders or claims against customers;</w:t>
      </w:r>
    </w:p>
    <w:p>
      <w:pPr>
        <w:spacing w:after="0" w:line="229" w:lineRule="exact"/>
        <w:rPr>
          <w:rFonts w:ascii="Arial" w:cs="Arial" w:eastAsia="Arial" w:hAnsi="Arial"/>
          <w:sz w:val="17"/>
          <w:szCs w:val="17"/>
          <w:color w:val="auto"/>
        </w:rPr>
      </w:pPr>
    </w:p>
    <w:p>
      <w:pPr>
        <w:ind w:left="620" w:right="10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closures or sales of our facilities resulting in significant future charges, including potential warranty losses or other unexpected liabilities, or a significant disruption of our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3" w:name="page4"/>
    <w:bookmarkEnd w:id="3"/>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seasonality, adverse weather conditions, and climate change;</w:t>
      </w:r>
    </w:p>
    <w:p>
      <w:pPr>
        <w:spacing w:after="0" w:line="242" w:lineRule="exact"/>
        <w:rPr>
          <w:rFonts w:ascii="Arial" w:cs="Arial" w:eastAsia="Arial" w:hAnsi="Arial"/>
          <w:sz w:val="17"/>
          <w:szCs w:val="17"/>
          <w:color w:val="auto"/>
        </w:rPr>
      </w:pPr>
    </w:p>
    <w:p>
      <w:pPr>
        <w:ind w:left="307" w:right="6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increased cost of surety bonds affecting margins on work and the potential for our surety providers to refuse bonding or require additional collateral at their discretion;</w:t>
      </w:r>
    </w:p>
    <w:p>
      <w:pPr>
        <w:spacing w:after="0" w:line="190" w:lineRule="exact"/>
        <w:rPr>
          <w:rFonts w:ascii="Arial" w:cs="Arial" w:eastAsia="Arial" w:hAnsi="Arial"/>
          <w:sz w:val="17"/>
          <w:szCs w:val="17"/>
          <w:color w:val="auto"/>
        </w:rPr>
      </w:pPr>
    </w:p>
    <w:p>
      <w:pPr>
        <w:ind w:left="307" w:right="78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operating activity due to downturns in levels of construction or the housing market, seasonality and differing regional economic conditions;</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increases in bad debt expense and days sales outstanding due to liquidity problems faced by our customers;</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accidents resulting from the physical hazards associated with our work and the potential for accidents;</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policies at acceptable rates;</w:t>
      </w:r>
    </w:p>
    <w:p>
      <w:pPr>
        <w:spacing w:after="0" w:line="242" w:lineRule="exact"/>
        <w:rPr>
          <w:rFonts w:ascii="Arial" w:cs="Arial" w:eastAsia="Arial" w:hAnsi="Arial"/>
          <w:sz w:val="17"/>
          <w:szCs w:val="17"/>
          <w:color w:val="auto"/>
        </w:rPr>
      </w:pPr>
    </w:p>
    <w:p>
      <w:pPr>
        <w:ind w:left="307" w:right="20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of litigation, claims and contingencies, including warranty losses, damages or other latent defect claims in excess of our existing reserves and accruals;</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interruptions to our information systems and cyber security or data breaches;</w:t>
      </w:r>
    </w:p>
    <w:p>
      <w:pPr>
        <w:spacing w:after="0" w:line="229"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liabilities under existing or potential future laws and regulations, including those related to the environment and climate change;</w:t>
      </w:r>
    </w:p>
    <w:p>
      <w:pPr>
        <w:spacing w:after="0" w:line="229"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expenditures to comply with future changes in laws and regulations, including environmental laws and regulations and those relating to climate change;</w:t>
      </w:r>
    </w:p>
    <w:p>
      <w:pPr>
        <w:spacing w:after="0" w:line="265" w:lineRule="exact"/>
        <w:rPr>
          <w:rFonts w:ascii="Arial" w:cs="Arial" w:eastAsia="Arial" w:hAnsi="Arial"/>
          <w:sz w:val="15"/>
          <w:szCs w:val="15"/>
          <w:color w:val="auto"/>
        </w:rPr>
      </w:pPr>
    </w:p>
    <w:p>
      <w:pPr>
        <w:ind w:left="307" w:hanging="307"/>
        <w:spacing w:after="0"/>
        <w:tabs>
          <w:tab w:leader="none" w:pos="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of key personnel, ineffective transition of new management, or inability to transfer, renew and obtain electrical and other professional licenses;</w:t>
      </w:r>
    </w:p>
    <w:p>
      <w:pPr>
        <w:spacing w:after="0" w:line="254" w:lineRule="exact"/>
        <w:rPr>
          <w:rFonts w:ascii="Arial" w:cs="Arial" w:eastAsia="Arial" w:hAnsi="Arial"/>
          <w:sz w:val="16"/>
          <w:szCs w:val="16"/>
          <w:color w:val="auto"/>
        </w:rPr>
      </w:pPr>
    </w:p>
    <w:p>
      <w:pPr>
        <w:ind w:left="307" w:right="26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certain tax benefits of our net operating losses may be restricted or reduced as a result of a change in ownership or a decrease in the federal tax rate;</w:t>
      </w:r>
    </w:p>
    <w:p>
      <w:pPr>
        <w:spacing w:after="0" w:line="190" w:lineRule="exact"/>
        <w:rPr>
          <w:rFonts w:ascii="Arial" w:cs="Arial" w:eastAsia="Arial" w:hAnsi="Arial"/>
          <w:sz w:val="17"/>
          <w:szCs w:val="17"/>
          <w:color w:val="auto"/>
        </w:rPr>
      </w:pPr>
    </w:p>
    <w:p>
      <w:pPr>
        <w:ind w:left="307" w:right="4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tax benefits related to uncertain tax positions and the potential for disagreements with taxing authorities with regard to tax positions we have adopted;</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recognition of valuation allowances or write-downs on deferred tax assets;</w:t>
      </w:r>
    </w:p>
    <w:p>
      <w:pPr>
        <w:spacing w:after="0" w:line="242" w:lineRule="exact"/>
        <w:rPr>
          <w:rFonts w:ascii="Arial" w:cs="Arial" w:eastAsia="Arial" w:hAnsi="Arial"/>
          <w:sz w:val="17"/>
          <w:szCs w:val="17"/>
          <w:color w:val="auto"/>
        </w:rPr>
      </w:pPr>
    </w:p>
    <w:p>
      <w:pPr>
        <w:ind w:left="307" w:right="40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complete acquisitions, and service our debt;</w:t>
      </w:r>
    </w:p>
    <w:p>
      <w:pPr>
        <w:spacing w:after="0" w:line="190" w:lineRule="exact"/>
        <w:rPr>
          <w:rFonts w:ascii="Arial" w:cs="Arial" w:eastAsia="Arial" w:hAnsi="Arial"/>
          <w:sz w:val="17"/>
          <w:szCs w:val="17"/>
          <w:color w:val="auto"/>
        </w:rPr>
      </w:pPr>
    </w:p>
    <w:p>
      <w:pPr>
        <w:ind w:left="307" w:right="36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uncertainties inherent in estimating future operating results, including revenues, operating income or cash flow;</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potential goodwill, long-lived assets and other investment impairments;</w:t>
      </w:r>
    </w:p>
    <w:p>
      <w:pPr>
        <w:spacing w:after="0" w:line="242" w:lineRule="exact"/>
        <w:rPr>
          <w:rFonts w:ascii="Arial" w:cs="Arial" w:eastAsia="Arial" w:hAnsi="Arial"/>
          <w:sz w:val="17"/>
          <w:szCs w:val="17"/>
          <w:color w:val="auto"/>
        </w:rPr>
      </w:pPr>
    </w:p>
    <w:p>
      <w:pPr>
        <w:ind w:left="307" w:right="160" w:hanging="307"/>
        <w:spacing w:after="0" w:line="266"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200" w:lineRule="exact"/>
        <w:rPr>
          <w:rFonts w:ascii="Arial" w:cs="Arial" w:eastAsia="Arial" w:hAnsi="Arial"/>
          <w:sz w:val="17"/>
          <w:szCs w:val="17"/>
          <w:color w:val="auto"/>
        </w:rPr>
      </w:pPr>
    </w:p>
    <w:p>
      <w:pPr>
        <w:ind w:left="307" w:right="18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relatively low trading volume of our common stock, which may make it difficult for shareholders to sell a substantial number of shares for the same price at which shareholders could sell a smaller number of shares;</w:t>
      </w:r>
    </w:p>
    <w:p>
      <w:pPr>
        <w:spacing w:after="0" w:line="190" w:lineRule="exact"/>
        <w:rPr>
          <w:rFonts w:ascii="Arial" w:cs="Arial" w:eastAsia="Arial" w:hAnsi="Arial"/>
          <w:sz w:val="17"/>
          <w:szCs w:val="17"/>
          <w:color w:val="auto"/>
        </w:rPr>
      </w:pPr>
    </w:p>
    <w:p>
      <w:pPr>
        <w:ind w:left="307" w:right="60" w:hanging="307"/>
        <w:spacing w:after="0" w:line="279"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substantial sales of our common stock, which could adversely affect our stock price;</w:t>
      </w:r>
    </w:p>
    <w:p>
      <w:pPr>
        <w:spacing w:after="0" w:line="229" w:lineRule="exact"/>
        <w:rPr>
          <w:rFonts w:ascii="Arial" w:cs="Arial" w:eastAsia="Arial" w:hAnsi="Arial"/>
          <w:sz w:val="17"/>
          <w:szCs w:val="17"/>
          <w:color w:val="auto"/>
        </w:rPr>
      </w:pPr>
    </w:p>
    <w:p>
      <w:pPr>
        <w:ind w:left="307" w:hanging="307"/>
        <w:spacing w:after="0" w:line="264"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increasing scrutiny and changing expectations from investors and customers, or new or changing regulations, with respect to environmental, social and governance practices;</w:t>
      </w:r>
    </w:p>
    <w:p>
      <w:pPr>
        <w:sectPr>
          <w:pgSz w:w="11900" w:h="16838" w:orient="portrait"/>
          <w:cols w:equalWidth="0" w:num="1">
            <w:col w:w="10907"/>
          </w:cols>
          <w:pgMar w:left="633" w:top="4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89535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7"/>
          </w:cols>
          <w:pgMar w:left="633" w:top="424" w:right="359" w:bottom="1440" w:gutter="0" w:footer="0" w:header="0"/>
          <w:type w:val="continuous"/>
        </w:sectPr>
      </w:pPr>
    </w:p>
    <w:bookmarkStart w:id="4" w:name="page5"/>
    <w:bookmarkEnd w:id="4"/>
    <w:p>
      <w:pPr>
        <w:ind w:left="620" w:right="20" w:hanging="307"/>
        <w:spacing w:after="0" w:line="264"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 or effort required for our shareholders to bring certain claims or actions against us, resulting from our designation of the Court of Chancery of the State of Delaware as the sole and exclusive forum for certain types of actions and proceedings;</w:t>
      </w:r>
    </w:p>
    <w:p>
      <w:pPr>
        <w:spacing w:after="0" w:line="201" w:lineRule="exact"/>
        <w:rPr>
          <w:rFonts w:ascii="Arial" w:cs="Arial" w:eastAsia="Arial" w:hAnsi="Arial"/>
          <w:sz w:val="17"/>
          <w:szCs w:val="17"/>
          <w:color w:val="auto"/>
        </w:rPr>
      </w:pPr>
    </w:p>
    <w:p>
      <w:pPr>
        <w:ind w:left="620" w:right="100" w:hanging="307"/>
        <w:spacing w:after="0" w:line="279"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internal controls over financial reporting and our disclosure controls and procedures may not prevent all possible errors that could occur; and</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factors discussed elsewhere in this Quarterly Report on Form 10-Q.</w:t>
      </w:r>
    </w:p>
    <w:p>
      <w:pPr>
        <w:spacing w:after="0" w:line="24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You should understand that the foregoing, as well as other risk factors discussed in this document, including those listed in Part I, Item 1A of our Annual Report on Form 10-K for the fiscal year ended September 30, 2022,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0"/>
        </w:trPr>
        <w:tc>
          <w:tcPr>
            <w:tcW w:w="8240" w:type="dxa"/>
            <w:vAlign w:val="bottom"/>
          </w:tcPr>
          <w:p>
            <w:pPr>
              <w:jc w:val="center"/>
              <w:ind w:left="2914"/>
              <w:spacing w:after="0"/>
              <w:rPr>
                <w:sz w:val="20"/>
                <w:szCs w:val="20"/>
                <w:color w:val="auto"/>
              </w:rPr>
            </w:pPr>
            <w:r>
              <w:rPr>
                <w:rFonts w:ascii="Arial" w:cs="Arial" w:eastAsia="Arial" w:hAnsi="Arial"/>
                <w:sz w:val="17"/>
                <w:szCs w:val="17"/>
                <w:b w:val="1"/>
                <w:bCs w:val="1"/>
                <w:color w:val="auto"/>
              </w:rPr>
              <w:t>IES HOLDINGS, INC.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8240" w:type="dxa"/>
            <w:vAlign w:val="bottom"/>
          </w:tcPr>
          <w:p>
            <w:pPr>
              <w:jc w:val="center"/>
              <w:ind w:left="2914"/>
              <w:spacing w:after="0"/>
              <w:rPr>
                <w:sz w:val="20"/>
                <w:szCs w:val="20"/>
                <w:color w:val="auto"/>
              </w:rPr>
            </w:pPr>
            <w:r>
              <w:rPr>
                <w:rFonts w:ascii="Arial" w:cs="Arial" w:eastAsia="Arial" w:hAnsi="Arial"/>
                <w:sz w:val="17"/>
                <w:szCs w:val="17"/>
                <w:b w:val="1"/>
                <w:bCs w:val="1"/>
                <w:color w:val="auto"/>
                <w:w w:val="88"/>
              </w:rPr>
              <w:t>Condensed Consolidated Balance Sheets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3"/>
        </w:trPr>
        <w:tc>
          <w:tcPr>
            <w:tcW w:w="8240" w:type="dxa"/>
            <w:vAlign w:val="bottom"/>
          </w:tcPr>
          <w:p>
            <w:pPr>
              <w:jc w:val="center"/>
              <w:ind w:left="2914"/>
              <w:spacing w:after="0"/>
              <w:rPr>
                <w:sz w:val="20"/>
                <w:szCs w:val="20"/>
                <w:color w:val="auto"/>
              </w:rPr>
            </w:pPr>
            <w:r>
              <w:rPr>
                <w:rFonts w:ascii="Arial" w:cs="Arial" w:eastAsia="Arial" w:hAnsi="Arial"/>
                <w:sz w:val="17"/>
                <w:szCs w:val="17"/>
                <w:b w:val="1"/>
                <w:bCs w:val="1"/>
                <w:color w:val="auto"/>
                <w:w w:val="92"/>
              </w:rPr>
              <w:t>(In Thousands, Except Share Information)</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5"/>
        </w:trPr>
        <w:tc>
          <w:tcPr>
            <w:tcW w:w="8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right="134"/>
              <w:spacing w:after="0"/>
              <w:rPr>
                <w:sz w:val="20"/>
                <w:szCs w:val="20"/>
                <w:color w:val="auto"/>
              </w:rPr>
            </w:pPr>
            <w:r>
              <w:rPr>
                <w:rFonts w:ascii="Arial" w:cs="Arial" w:eastAsia="Arial" w:hAnsi="Arial"/>
                <w:sz w:val="17"/>
                <w:szCs w:val="17"/>
                <w:color w:val="auto"/>
                <w:w w:val="85"/>
              </w:rPr>
              <w:t>June 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w w:val="91"/>
              </w:rPr>
              <w:t>September 30,</w:t>
            </w:r>
          </w:p>
        </w:tc>
      </w:tr>
      <w:tr>
        <w:trPr>
          <w:trHeight w:val="233"/>
        </w:trPr>
        <w:tc>
          <w:tcPr>
            <w:tcW w:w="8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5"/>
              </w:rPr>
              <w:t>2023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2022</w:t>
            </w:r>
          </w:p>
        </w:tc>
      </w:tr>
      <w:tr>
        <w:trPr>
          <w:trHeight w:val="211"/>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4"/>
              <w:spacing w:after="0"/>
              <w:rPr>
                <w:sz w:val="20"/>
                <w:szCs w:val="20"/>
                <w:color w:val="auto"/>
              </w:rPr>
            </w:pPr>
            <w:r>
              <w:rPr>
                <w:rFonts w:ascii="Arial" w:cs="Arial" w:eastAsia="Arial" w:hAnsi="Arial"/>
                <w:sz w:val="17"/>
                <w:szCs w:val="17"/>
                <w:color w:val="auto"/>
                <w:w w:val="94"/>
              </w:rPr>
              <w:t>(Unaudited)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6"/>
        </w:trPr>
        <w:tc>
          <w:tcPr>
            <w:tcW w:w="8240" w:type="dxa"/>
            <w:vAlign w:val="bottom"/>
          </w:tcPr>
          <w:p>
            <w:pPr>
              <w:ind w:left="3740"/>
              <w:spacing w:after="0"/>
              <w:rPr>
                <w:sz w:val="20"/>
                <w:szCs w:val="20"/>
                <w:color w:val="auto"/>
              </w:rPr>
            </w:pPr>
            <w:r>
              <w:rPr>
                <w:rFonts w:ascii="Arial" w:cs="Arial" w:eastAsia="Arial" w:hAnsi="Arial"/>
                <w:sz w:val="17"/>
                <w:szCs w:val="17"/>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CURRENT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824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28,558</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24,848</w:t>
            </w:r>
          </w:p>
        </w:tc>
      </w:tr>
      <w:tr>
        <w:trPr>
          <w:trHeight w:val="233"/>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8"/>
        </w:trPr>
        <w:tc>
          <w:tcPr>
            <w:tcW w:w="8240" w:type="dxa"/>
            <w:vAlign w:val="bottom"/>
          </w:tcPr>
          <w:p>
            <w:pPr>
              <w:ind w:left="440"/>
              <w:spacing w:after="0"/>
              <w:rPr>
                <w:sz w:val="20"/>
                <w:szCs w:val="20"/>
                <w:color w:val="auto"/>
              </w:rPr>
            </w:pPr>
            <w:r>
              <w:rPr>
                <w:rFonts w:ascii="Arial" w:cs="Arial" w:eastAsia="Arial" w:hAnsi="Arial"/>
                <w:sz w:val="17"/>
                <w:szCs w:val="17"/>
                <w:color w:val="auto"/>
              </w:rPr>
              <w:t>Trade, net of allowance of $2,784 and $5,361, respectively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340,763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370,726</w:t>
            </w:r>
          </w:p>
        </w:tc>
      </w:tr>
      <w:tr>
        <w:trPr>
          <w:trHeight w:val="220"/>
        </w:trPr>
        <w:tc>
          <w:tcPr>
            <w:tcW w:w="82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Retainage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65,065</w:t>
            </w:r>
          </w:p>
        </w:tc>
      </w:tr>
      <w:tr>
        <w:trPr>
          <w:trHeight w:val="225"/>
        </w:trPr>
        <w:tc>
          <w:tcPr>
            <w:tcW w:w="824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102,594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96,333</w:t>
            </w: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and estimated earnings in excess of billings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52,076</w:t>
            </w:r>
          </w:p>
        </w:tc>
      </w:tr>
      <w:tr>
        <w:trPr>
          <w:trHeight w:val="218"/>
        </w:trPr>
        <w:tc>
          <w:tcPr>
            <w:tcW w:w="824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15,350</w:t>
            </w:r>
          </w:p>
        </w:tc>
      </w:tr>
      <w:tr>
        <w:trPr>
          <w:trHeight w:val="226"/>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604,467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624,398</w:t>
            </w:r>
          </w:p>
        </w:tc>
      </w:tr>
      <w:tr>
        <w:trPr>
          <w:trHeight w:val="211"/>
        </w:trPr>
        <w:tc>
          <w:tcPr>
            <w:tcW w:w="8240" w:type="dxa"/>
            <w:vAlign w:val="bottom"/>
          </w:tcPr>
          <w:p>
            <w:pPr>
              <w:ind w:left="6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54,426</w:t>
            </w:r>
          </w:p>
        </w:tc>
      </w:tr>
      <w:tr>
        <w:trPr>
          <w:trHeight w:val="220"/>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w:t>
            </w:r>
          </w:p>
        </w:tc>
      </w:tr>
      <w:tr>
        <w:trPr>
          <w:trHeight w:val="225"/>
        </w:trPr>
        <w:tc>
          <w:tcPr>
            <w:tcW w:w="8240" w:type="dxa"/>
            <w:vAlign w:val="bottom"/>
          </w:tcPr>
          <w:p>
            <w:pPr>
              <w:ind w:left="6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60,467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71,936</w:t>
            </w:r>
          </w:p>
        </w:tc>
      </w:tr>
      <w:tr>
        <w:trPr>
          <w:trHeight w:val="226"/>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Deferred tax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20,519</w:t>
            </w:r>
          </w:p>
        </w:tc>
      </w:tr>
      <w:tr>
        <w:trPr>
          <w:trHeight w:val="218"/>
        </w:trPr>
        <w:tc>
          <w:tcPr>
            <w:tcW w:w="8240" w:type="dxa"/>
            <w:vAlign w:val="bottom"/>
          </w:tcPr>
          <w:p>
            <w:pPr>
              <w:ind w:left="60"/>
              <w:spacing w:after="0"/>
              <w:rPr>
                <w:sz w:val="20"/>
                <w:szCs w:val="20"/>
                <w:color w:val="auto"/>
              </w:rPr>
            </w:pPr>
            <w:r>
              <w:rPr>
                <w:rFonts w:ascii="Arial" w:cs="Arial" w:eastAsia="Arial" w:hAnsi="Arial"/>
                <w:sz w:val="17"/>
                <w:szCs w:val="17"/>
                <w:color w:val="auto"/>
              </w:rPr>
              <w:t>Operating right of use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53,811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55,890</w:t>
            </w:r>
          </w:p>
        </w:tc>
      </w:tr>
      <w:tr>
        <w:trPr>
          <w:trHeight w:val="233"/>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non-current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17,085</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15,145</w:t>
            </w:r>
          </w:p>
        </w:tc>
      </w:tr>
      <w:tr>
        <w:trPr>
          <w:trHeight w:val="211"/>
        </w:trPr>
        <w:tc>
          <w:tcPr>
            <w:tcW w:w="8240" w:type="dxa"/>
            <w:vAlign w:val="bottom"/>
          </w:tcPr>
          <w:p>
            <w:pPr>
              <w:ind w:left="60"/>
              <w:spacing w:after="0"/>
              <w:rPr>
                <w:sz w:val="20"/>
                <w:szCs w:val="20"/>
                <w:color w:val="auto"/>
              </w:rPr>
            </w:pPr>
            <w:r>
              <w:rPr>
                <w:rFonts w:ascii="Arial" w:cs="Arial" w:eastAsia="Arial" w:hAnsi="Arial"/>
                <w:sz w:val="17"/>
                <w:szCs w:val="17"/>
                <w:color w:val="auto"/>
              </w:rPr>
              <w:t>Total assets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899,728</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934,709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8240" w:type="dxa"/>
            <w:vAlign w:val="bottom"/>
            <w:shd w:val="clear" w:color="auto" w:fill="CCEEFF"/>
          </w:tcPr>
          <w:p>
            <w:pPr>
              <w:ind w:left="2300"/>
              <w:spacing w:after="0" w:line="186" w:lineRule="exact"/>
              <w:rPr>
                <w:sz w:val="20"/>
                <w:szCs w:val="20"/>
                <w:color w:val="auto"/>
              </w:rPr>
            </w:pPr>
            <w:r>
              <w:rPr>
                <w:rFonts w:ascii="Arial" w:cs="Arial" w:eastAsia="Arial" w:hAnsi="Arial"/>
                <w:sz w:val="17"/>
                <w:szCs w:val="17"/>
                <w:color w:val="auto"/>
              </w:rPr>
              <w:t>LIABILITIES AND STOCKHOLDERS’ EQUITY</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8240" w:type="dxa"/>
            <w:vAlign w:val="bottom"/>
          </w:tcPr>
          <w:p>
            <w:pPr>
              <w:ind w:left="6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261,099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316,950</w:t>
            </w:r>
          </w:p>
        </w:tc>
      </w:tr>
      <w:tr>
        <w:trPr>
          <w:trHeight w:val="218"/>
        </w:trPr>
        <w:tc>
          <w:tcPr>
            <w:tcW w:w="8240" w:type="dxa"/>
            <w:vAlign w:val="bottom"/>
          </w:tcPr>
          <w:p>
            <w:pPr>
              <w:ind w:left="340"/>
              <w:spacing w:after="0"/>
              <w:rPr>
                <w:sz w:val="20"/>
                <w:szCs w:val="20"/>
                <w:color w:val="auto"/>
              </w:rPr>
            </w:pPr>
            <w:r>
              <w:rPr>
                <w:rFonts w:ascii="Arial" w:cs="Arial" w:eastAsia="Arial" w:hAnsi="Arial"/>
                <w:sz w:val="17"/>
                <w:szCs w:val="17"/>
                <w:color w:val="auto"/>
              </w:rPr>
              <w:t>Billings in excess of costs and estimated earnings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109,119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84,936</w:t>
            </w:r>
          </w:p>
        </w:tc>
      </w:tr>
      <w:tr>
        <w:trPr>
          <w:trHeight w:val="226"/>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370,218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401,886</w:t>
            </w:r>
          </w:p>
        </w:tc>
      </w:tr>
      <w:tr>
        <w:trPr>
          <w:trHeight w:val="211"/>
        </w:trPr>
        <w:tc>
          <w:tcPr>
            <w:tcW w:w="8240" w:type="dxa"/>
            <w:vAlign w:val="bottom"/>
          </w:tcPr>
          <w:p>
            <w:pPr>
              <w:ind w:left="60"/>
              <w:spacing w:after="0"/>
              <w:rPr>
                <w:sz w:val="20"/>
                <w:szCs w:val="20"/>
                <w:color w:val="auto"/>
              </w:rPr>
            </w:pPr>
            <w:r>
              <w:rPr>
                <w:rFonts w:ascii="Arial" w:cs="Arial" w:eastAsia="Arial" w:hAnsi="Arial"/>
                <w:sz w:val="17"/>
                <w:szCs w:val="17"/>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81,628</w:t>
            </w:r>
          </w:p>
        </w:tc>
      </w:tr>
      <w:tr>
        <w:trPr>
          <w:trHeight w:val="220"/>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long-term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38,144</w:t>
            </w:r>
          </w:p>
        </w:tc>
      </w:tr>
      <w:tr>
        <w:trPr>
          <w:trHeight w:val="225"/>
        </w:trPr>
        <w:tc>
          <w:tcPr>
            <w:tcW w:w="8240" w:type="dxa"/>
            <w:vAlign w:val="bottom"/>
          </w:tcPr>
          <w:p>
            <w:pPr>
              <w:ind w:left="60"/>
              <w:spacing w:after="0"/>
              <w:rPr>
                <w:sz w:val="20"/>
                <w:szCs w:val="20"/>
                <w:color w:val="auto"/>
              </w:rPr>
            </w:pPr>
            <w:r>
              <w:rPr>
                <w:rFonts w:ascii="Arial" w:cs="Arial" w:eastAsia="Arial" w:hAnsi="Arial"/>
                <w:sz w:val="17"/>
                <w:szCs w:val="17"/>
                <w:color w:val="auto"/>
              </w:rPr>
              <w:t>Other tax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19,240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9,893</w:t>
            </w:r>
          </w:p>
        </w:tc>
      </w:tr>
      <w:tr>
        <w:trPr>
          <w:trHeight w:val="226"/>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14,525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12,677</w:t>
            </w:r>
          </w:p>
        </w:tc>
      </w:tr>
      <w:tr>
        <w:trPr>
          <w:trHeight w:val="211"/>
        </w:trPr>
        <w:tc>
          <w:tcPr>
            <w:tcW w:w="8240" w:type="dxa"/>
            <w:vAlign w:val="bottom"/>
          </w:tcPr>
          <w:p>
            <w:pPr>
              <w:ind w:left="6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440,119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544,228</w:t>
            </w:r>
          </w:p>
        </w:tc>
      </w:tr>
      <w:tr>
        <w:trPr>
          <w:trHeight w:val="213"/>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Noncontrolling interest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29,193</w:t>
            </w:r>
          </w:p>
        </w:tc>
      </w:tr>
      <w:tr>
        <w:trPr>
          <w:trHeight w:val="225"/>
        </w:trPr>
        <w:tc>
          <w:tcPr>
            <w:tcW w:w="8240" w:type="dxa"/>
            <w:vAlign w:val="bottom"/>
          </w:tcPr>
          <w:p>
            <w:pPr>
              <w:ind w:left="6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stock, $0.01 par value, 10,000,000 shares authorized, none issued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8240" w:type="dxa"/>
            <w:vAlign w:val="bottom"/>
          </w:tcPr>
          <w:p>
            <w:pPr>
              <w:ind w:left="460"/>
              <w:spacing w:after="0"/>
              <w:rPr>
                <w:sz w:val="20"/>
                <w:szCs w:val="20"/>
                <w:color w:val="auto"/>
              </w:rPr>
            </w:pPr>
            <w:r>
              <w:rPr>
                <w:rFonts w:ascii="Arial" w:cs="Arial" w:eastAsia="Arial" w:hAnsi="Arial"/>
                <w:sz w:val="17"/>
                <w:szCs w:val="17"/>
                <w:color w:val="auto"/>
              </w:rPr>
              <w:t>and outstanding</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$0.01 par value, 100,000,000 shares authorized; 22,049,529</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8"/>
        </w:trPr>
        <w:tc>
          <w:tcPr>
            <w:tcW w:w="8240" w:type="dxa"/>
            <w:vAlign w:val="bottom"/>
          </w:tcPr>
          <w:p>
            <w:pPr>
              <w:ind w:left="440"/>
              <w:spacing w:after="0"/>
              <w:rPr>
                <w:sz w:val="20"/>
                <w:szCs w:val="20"/>
                <w:color w:val="auto"/>
              </w:rPr>
            </w:pPr>
            <w:r>
              <w:rPr>
                <w:rFonts w:ascii="Arial" w:cs="Arial" w:eastAsia="Arial" w:hAnsi="Arial"/>
                <w:sz w:val="17"/>
                <w:szCs w:val="17"/>
                <w:color w:val="auto"/>
              </w:rPr>
              <w:t>issued and 20,191,579 and 20,341,900 outstanding, respectively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220</w:t>
            </w: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Treasury stock, at cost, 1,857,950 and 1,707,629 shares, respectively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(44,000)</w:t>
            </w:r>
          </w:p>
        </w:tc>
      </w:tr>
      <w:tr>
        <w:trPr>
          <w:trHeight w:val="225"/>
        </w:trPr>
        <w:tc>
          <w:tcPr>
            <w:tcW w:w="824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202,406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201,871</w:t>
            </w:r>
          </w:p>
        </w:tc>
      </w:tr>
      <w:tr>
        <w:trPr>
          <w:trHeight w:val="226"/>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261,954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203,197</w:t>
            </w:r>
          </w:p>
        </w:tc>
      </w:tr>
      <w:tr>
        <w:trPr>
          <w:trHeight w:val="212"/>
        </w:trPr>
        <w:tc>
          <w:tcPr>
            <w:tcW w:w="8240" w:type="dxa"/>
            <w:vAlign w:val="bottom"/>
          </w:tcPr>
          <w:p>
            <w:pPr>
              <w:ind w:left="6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415,102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361,288</w:t>
            </w:r>
          </w:p>
        </w:tc>
      </w:tr>
      <w:tr>
        <w:trPr>
          <w:trHeight w:val="245"/>
        </w:trPr>
        <w:tc>
          <w:tcPr>
            <w:tcW w:w="8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899,728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934,709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color w:val="auto"/>
              </w:rPr>
              <w:t>Three Months Ended June 30,</w:t>
            </w:r>
          </w:p>
        </w:tc>
      </w:tr>
      <w:tr>
        <w:trPr>
          <w:trHeight w:val="212"/>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2022</w:t>
            </w:r>
          </w:p>
        </w:tc>
      </w:tr>
      <w:tr>
        <w:trPr>
          <w:trHeight w:val="226"/>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584,451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567,301</w:t>
            </w:r>
          </w:p>
        </w:tc>
      </w:tr>
      <w:tr>
        <w:trPr>
          <w:trHeight w:val="218"/>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476,842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484,501</w:t>
            </w:r>
          </w:p>
        </w:tc>
      </w:tr>
      <w:tr>
        <w:trPr>
          <w:trHeight w:val="213"/>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107,609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82,800</w:t>
            </w:r>
          </w:p>
        </w:tc>
      </w:tr>
      <w:tr>
        <w:trPr>
          <w:trHeight w:val="225"/>
        </w:trPr>
        <w:tc>
          <w:tcPr>
            <w:tcW w:w="7780" w:type="dxa"/>
            <w:vAlign w:val="bottom"/>
          </w:tcPr>
          <w:p>
            <w:pPr>
              <w:ind w:left="28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74,300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67,090</w:t>
            </w:r>
          </w:p>
        </w:tc>
      </w:tr>
      <w:tr>
        <w:trPr>
          <w:trHeight w:val="226"/>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8"/>
        </w:trPr>
        <w:tc>
          <w:tcPr>
            <w:tcW w:w="7780" w:type="dxa"/>
            <w:vAlign w:val="bottom"/>
          </w:tcPr>
          <w:p>
            <w:pPr>
              <w:ind w:left="280"/>
              <w:spacing w:after="0"/>
              <w:rPr>
                <w:sz w:val="20"/>
                <w:szCs w:val="20"/>
                <w:color w:val="auto"/>
              </w:rPr>
            </w:pPr>
            <w:r>
              <w:rPr>
                <w:rFonts w:ascii="Arial" w:cs="Arial" w:eastAsia="Arial" w:hAnsi="Arial"/>
                <w:sz w:val="17"/>
                <w:szCs w:val="17"/>
                <w:color w:val="auto"/>
              </w:rPr>
              <w:t>Loss (gain) on sale of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26"/>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Operating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34,319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15,637</w:t>
            </w:r>
          </w:p>
        </w:tc>
      </w:tr>
      <w:tr>
        <w:trPr>
          <w:trHeight w:val="198"/>
        </w:trPr>
        <w:tc>
          <w:tcPr>
            <w:tcW w:w="7780" w:type="dxa"/>
            <w:vAlign w:val="bottom"/>
          </w:tcPr>
          <w:p>
            <w:pPr>
              <w:ind w:left="280"/>
              <w:spacing w:after="0"/>
              <w:rPr>
                <w:sz w:val="20"/>
                <w:szCs w:val="20"/>
                <w:color w:val="auto"/>
              </w:rPr>
            </w:pPr>
            <w:r>
              <w:rPr>
                <w:rFonts w:ascii="Arial" w:cs="Arial" w:eastAsia="Arial" w:hAnsi="Arial"/>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r>
      <w:tr>
        <w:trPr>
          <w:trHeight w:val="218"/>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r>
      <w:tr>
        <w:trPr>
          <w:trHeight w:val="213"/>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14,674</w:t>
            </w:r>
          </w:p>
        </w:tc>
      </w:tr>
      <w:tr>
        <w:trPr>
          <w:trHeight w:val="218"/>
        </w:trPr>
        <w:tc>
          <w:tcPr>
            <w:tcW w:w="7780" w:type="dxa"/>
            <w:vAlign w:val="bottom"/>
          </w:tcPr>
          <w:p>
            <w:pPr>
              <w:ind w:left="28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w:t>
            </w:r>
          </w:p>
        </w:tc>
      </w:tr>
      <w:tr>
        <w:trPr>
          <w:trHeight w:val="226"/>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25,854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11,065</w:t>
            </w:r>
          </w:p>
        </w:tc>
      </w:tr>
      <w:tr>
        <w:trPr>
          <w:trHeight w:val="211"/>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(3,308)</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r>
      <w:tr>
        <w:trPr>
          <w:trHeight w:val="233"/>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Comprehensive income attributable to IES Holdings, Inc.</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22,546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780" w:type="dxa"/>
            <w:vAlign w:val="bottom"/>
          </w:tcPr>
          <w:p>
            <w:pPr>
              <w:ind w:left="56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0.82</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0.33</w:t>
            </w:r>
          </w:p>
        </w:tc>
      </w:tr>
      <w:tr>
        <w:trPr>
          <w:trHeight w:val="226"/>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780" w:type="dxa"/>
            <w:vAlign w:val="bottom"/>
          </w:tcPr>
          <w:p>
            <w:pPr>
              <w:ind w:left="56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20,181,793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20,718,195</w:t>
            </w:r>
          </w:p>
        </w:tc>
      </w:tr>
      <w:tr>
        <w:trPr>
          <w:trHeight w:val="226"/>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20,405,702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20,939,437</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color w:val="auto"/>
              </w:rPr>
              <w:t>Nine Months Ended June 30,</w:t>
            </w:r>
          </w:p>
        </w:tc>
      </w:tr>
      <w:tr>
        <w:trPr>
          <w:trHeight w:val="212"/>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2022</w:t>
            </w:r>
          </w:p>
        </w:tc>
      </w:tr>
      <w:tr>
        <w:trPr>
          <w:trHeight w:val="226"/>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1,728,206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1,549,403</w:t>
            </w:r>
          </w:p>
        </w:tc>
      </w:tr>
      <w:tr>
        <w:trPr>
          <w:trHeight w:val="218"/>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1,424,233</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1,328,369</w:t>
            </w:r>
          </w:p>
        </w:tc>
      </w:tr>
      <w:tr>
        <w:trPr>
          <w:trHeight w:val="213"/>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303,973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221,034</w:t>
            </w:r>
          </w:p>
        </w:tc>
      </w:tr>
      <w:tr>
        <w:trPr>
          <w:trHeight w:val="225"/>
        </w:trPr>
        <w:tc>
          <w:tcPr>
            <w:tcW w:w="7780" w:type="dxa"/>
            <w:vAlign w:val="bottom"/>
          </w:tcPr>
          <w:p>
            <w:pPr>
              <w:ind w:left="28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211,417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189,922</w:t>
            </w:r>
          </w:p>
        </w:tc>
      </w:tr>
      <w:tr>
        <w:trPr>
          <w:trHeight w:val="226"/>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18"/>
        </w:trPr>
        <w:tc>
          <w:tcPr>
            <w:tcW w:w="7780" w:type="dxa"/>
            <w:vAlign w:val="bottom"/>
          </w:tcPr>
          <w:p>
            <w:pPr>
              <w:ind w:left="280"/>
              <w:spacing w:after="0"/>
              <w:rPr>
                <w:sz w:val="20"/>
                <w:szCs w:val="20"/>
                <w:color w:val="auto"/>
              </w:rPr>
            </w:pPr>
            <w:r>
              <w:rPr>
                <w:rFonts w:ascii="Arial" w:cs="Arial" w:eastAsia="Arial" w:hAnsi="Arial"/>
                <w:sz w:val="17"/>
                <w:szCs w:val="17"/>
                <w:color w:val="auto"/>
              </w:rPr>
              <w:t>Gain on sale of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26"/>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Operating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106,590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30,974</w:t>
            </w:r>
          </w:p>
        </w:tc>
      </w:tr>
      <w:tr>
        <w:trPr>
          <w:trHeight w:val="198"/>
        </w:trPr>
        <w:tc>
          <w:tcPr>
            <w:tcW w:w="7780" w:type="dxa"/>
            <w:vAlign w:val="bottom"/>
          </w:tcPr>
          <w:p>
            <w:pPr>
              <w:ind w:left="280"/>
              <w:spacing w:after="0"/>
              <w:rPr>
                <w:sz w:val="20"/>
                <w:szCs w:val="20"/>
                <w:color w:val="auto"/>
              </w:rPr>
            </w:pPr>
            <w:r>
              <w:rPr>
                <w:rFonts w:ascii="Arial" w:cs="Arial" w:eastAsia="Arial" w:hAnsi="Arial"/>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r>
      <w:tr>
        <w:trPr>
          <w:trHeight w:val="218"/>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w:t>
            </w:r>
          </w:p>
        </w:tc>
      </w:tr>
      <w:tr>
        <w:trPr>
          <w:trHeight w:val="213"/>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105,228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28,391</w:t>
            </w:r>
          </w:p>
        </w:tc>
      </w:tr>
      <w:tr>
        <w:trPr>
          <w:trHeight w:val="218"/>
        </w:trPr>
        <w:tc>
          <w:tcPr>
            <w:tcW w:w="7780" w:type="dxa"/>
            <w:vAlign w:val="bottom"/>
          </w:tcPr>
          <w:p>
            <w:pPr>
              <w:ind w:left="28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26,448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6,297</w:t>
            </w:r>
          </w:p>
        </w:tc>
      </w:tr>
      <w:tr>
        <w:trPr>
          <w:trHeight w:val="226"/>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22,094</w:t>
            </w:r>
          </w:p>
        </w:tc>
      </w:tr>
      <w:tr>
        <w:trPr>
          <w:trHeight w:val="211"/>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(8,281)</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(3,577)</w:t>
            </w:r>
          </w:p>
        </w:tc>
      </w:tr>
      <w:tr>
        <w:trPr>
          <w:trHeight w:val="233"/>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Comprehensive income attributable to IES Holdings, Inc.</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70,499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780" w:type="dxa"/>
            <w:vAlign w:val="bottom"/>
          </w:tcPr>
          <w:p>
            <w:pPr>
              <w:ind w:left="56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2.91</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0.73</w:t>
            </w:r>
          </w:p>
        </w:tc>
      </w:tr>
      <w:tr>
        <w:trPr>
          <w:trHeight w:val="226"/>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780" w:type="dxa"/>
            <w:vAlign w:val="bottom"/>
          </w:tcPr>
          <w:p>
            <w:pPr>
              <w:ind w:left="56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20,198,474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20,730,900</w:t>
            </w:r>
          </w:p>
        </w:tc>
      </w:tr>
      <w:tr>
        <w:trPr>
          <w:trHeight w:val="226"/>
        </w:trPr>
        <w:tc>
          <w:tcPr>
            <w:tcW w:w="77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20,404,335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21,275,826</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Condensed Consolidated Statements of Stockholders’ Equity (unaudited)</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Information)</w:t>
      </w:r>
    </w:p>
    <w:p>
      <w:pPr>
        <w:sectPr>
          <w:pgSz w:w="11900" w:h="16838" w:orient="portrait"/>
          <w:cols w:equalWidth="0" w:num="1">
            <w:col w:w="11140"/>
          </w:cols>
          <w:pgMar w:left="400" w:top="6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right="500" w:hanging="160"/>
        <w:spacing w:after="0" w:line="278" w:lineRule="auto"/>
        <w:rPr>
          <w:sz w:val="20"/>
          <w:szCs w:val="20"/>
          <w:color w:val="auto"/>
        </w:rPr>
      </w:pPr>
      <w:r>
        <w:rPr>
          <w:rFonts w:ascii="Arial" w:cs="Arial" w:eastAsia="Arial" w:hAnsi="Arial"/>
          <w:sz w:val="14"/>
          <w:szCs w:val="14"/>
          <w:color w:val="auto"/>
        </w:rPr>
        <w:t>BALANCE, March 31, 2023 Issuances under compensation plans Acquisition of treasury stock Non-cash compensation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noncontrolling interest</w:t>
      </w:r>
    </w:p>
    <w:p>
      <w:pPr>
        <w:spacing w:after="0" w:line="32" w:lineRule="exact"/>
        <w:rPr>
          <w:sz w:val="20"/>
          <w:szCs w:val="20"/>
          <w:color w:val="auto"/>
        </w:rPr>
      </w:pPr>
    </w:p>
    <w:p>
      <w:pPr>
        <w:ind w:left="20" w:firstLine="161"/>
        <w:spacing w:after="0" w:line="365" w:lineRule="auto"/>
        <w:rPr>
          <w:sz w:val="20"/>
          <w:szCs w:val="20"/>
          <w:color w:val="auto"/>
        </w:rPr>
      </w:pPr>
      <w:r>
        <w:rPr>
          <w:rFonts w:ascii="Arial" w:cs="Arial" w:eastAsia="Arial" w:hAnsi="Arial"/>
          <w:sz w:val="14"/>
          <w:szCs w:val="14"/>
          <w:color w:val="auto"/>
        </w:rPr>
        <w:t>Net income attributable to IES Holdings, Inc. BALANCE,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March 31, 2022</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treasury stock</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Options exercised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in noncontrolling interest</w:t>
      </w:r>
    </w:p>
    <w:p>
      <w:pPr>
        <w:spacing w:after="0" w:line="32" w:lineRule="exact"/>
        <w:rPr>
          <w:sz w:val="20"/>
          <w:szCs w:val="20"/>
          <w:color w:val="auto"/>
        </w:rPr>
      </w:pPr>
    </w:p>
    <w:p>
      <w:pPr>
        <w:ind w:left="40" w:right="40" w:firstLine="105"/>
        <w:spacing w:after="0" w:line="346" w:lineRule="auto"/>
        <w:rPr>
          <w:sz w:val="20"/>
          <w:szCs w:val="20"/>
          <w:color w:val="auto"/>
        </w:rPr>
      </w:pPr>
      <w:r>
        <w:rPr>
          <w:rFonts w:ascii="Arial" w:cs="Arial" w:eastAsia="Arial" w:hAnsi="Arial"/>
          <w:sz w:val="14"/>
          <w:szCs w:val="14"/>
          <w:color w:val="auto"/>
        </w:rPr>
        <w:t>Net income attributable to IES Holdings, Inc. BALANCE,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right="540" w:hanging="146"/>
        <w:spacing w:after="0" w:line="283" w:lineRule="auto"/>
        <w:rPr>
          <w:sz w:val="20"/>
          <w:szCs w:val="20"/>
          <w:color w:val="auto"/>
        </w:rPr>
      </w:pPr>
      <w:r>
        <w:rPr>
          <w:rFonts w:ascii="Arial" w:cs="Arial" w:eastAsia="Arial" w:hAnsi="Arial"/>
          <w:sz w:val="14"/>
          <w:szCs w:val="14"/>
          <w:color w:val="auto"/>
        </w:rPr>
        <w:t>BALANCE, September 30, 2022 Issuances under compensation plans Acquisition of treasury stock Options exercised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Non-cash compensation</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in noncontrolling interest</w:t>
      </w:r>
    </w:p>
    <w:p>
      <w:pPr>
        <w:spacing w:after="0" w:line="45" w:lineRule="exact"/>
        <w:rPr>
          <w:sz w:val="20"/>
          <w:szCs w:val="20"/>
          <w:color w:val="auto"/>
        </w:rPr>
      </w:pPr>
    </w:p>
    <w:p>
      <w:pPr>
        <w:ind w:right="40" w:firstLine="147"/>
        <w:spacing w:after="0" w:line="346" w:lineRule="auto"/>
        <w:rPr>
          <w:sz w:val="20"/>
          <w:szCs w:val="20"/>
          <w:color w:val="auto"/>
        </w:rPr>
      </w:pPr>
      <w:r>
        <w:rPr>
          <w:rFonts w:ascii="Arial" w:cs="Arial" w:eastAsia="Arial" w:hAnsi="Arial"/>
          <w:sz w:val="14"/>
          <w:szCs w:val="14"/>
          <w:color w:val="auto"/>
        </w:rPr>
        <w:t>Net income attributable to IES Holdings, Inc. BALANCE,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right="520" w:hanging="132"/>
        <w:spacing w:after="0" w:line="283" w:lineRule="auto"/>
        <w:rPr>
          <w:sz w:val="20"/>
          <w:szCs w:val="20"/>
          <w:color w:val="auto"/>
        </w:rPr>
      </w:pPr>
      <w:r>
        <w:rPr>
          <w:rFonts w:ascii="Arial" w:cs="Arial" w:eastAsia="Arial" w:hAnsi="Arial"/>
          <w:sz w:val="14"/>
          <w:szCs w:val="14"/>
          <w:color w:val="auto"/>
        </w:rPr>
        <w:t>BALANCE, September 30, 2021 Issuances under compensation plans Acquisition of treasury stock Options exercised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Non-cash compensation</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noncontrolling interest</w:t>
      </w:r>
    </w:p>
    <w:p>
      <w:pPr>
        <w:spacing w:after="0" w:line="32" w:lineRule="exact"/>
        <w:rPr>
          <w:sz w:val="20"/>
          <w:szCs w:val="20"/>
          <w:color w:val="auto"/>
        </w:rPr>
      </w:pPr>
    </w:p>
    <w:p>
      <w:pPr>
        <w:ind w:left="40" w:right="20" w:firstLine="133"/>
        <w:spacing w:after="0" w:line="365" w:lineRule="auto"/>
        <w:rPr>
          <w:sz w:val="20"/>
          <w:szCs w:val="20"/>
          <w:color w:val="auto"/>
        </w:rPr>
      </w:pPr>
      <w:r>
        <w:rPr>
          <w:rFonts w:ascii="Arial" w:cs="Arial" w:eastAsia="Arial" w:hAnsi="Arial"/>
          <w:sz w:val="14"/>
          <w:szCs w:val="14"/>
          <w:color w:val="auto"/>
        </w:rPr>
        <w:t>Net income attributable to IES Holdings, Inc. BALANCE, June 30, 2022</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5050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5079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9"/>
          </w:tcPr>
          <w:p>
            <w:pPr>
              <w:ind w:left="44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13"/>
          </w:tcPr>
          <w:p>
            <w:pPr>
              <w:ind w:left="620"/>
              <w:spacing w:after="0"/>
              <w:rPr>
                <w:sz w:val="20"/>
                <w:szCs w:val="20"/>
                <w:color w:val="auto"/>
              </w:rPr>
            </w:pPr>
            <w:r>
              <w:rPr>
                <w:rFonts w:ascii="Arial" w:cs="Arial" w:eastAsia="Arial" w:hAnsi="Arial"/>
                <w:sz w:val="14"/>
                <w:szCs w:val="14"/>
                <w:color w:val="auto"/>
              </w:rPr>
              <w:t>Treasury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Additional 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color w:val="auto"/>
                <w:w w:val="92"/>
              </w:rPr>
              <w:t>Total Stockholders'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231"/>
              <w:spacing w:after="0"/>
              <w:rPr>
                <w:sz w:val="20"/>
                <w:szCs w:val="20"/>
                <w:color w:val="auto"/>
              </w:rPr>
            </w:pPr>
            <w:r>
              <w:rPr>
                <w:rFonts w:ascii="Arial" w:cs="Arial" w:eastAsia="Arial" w:hAnsi="Arial"/>
                <w:sz w:val="14"/>
                <w:szCs w:val="14"/>
                <w:color w:val="auto"/>
                <w:w w:val="91"/>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w w:val="90"/>
              </w:rPr>
              <w:t>Retained Earnings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22,049,529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(1,878,008)</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gridSpan w:val="3"/>
          </w:tcPr>
          <w:p>
            <w:pPr>
              <w:jc w:val="right"/>
              <w:ind w:right="5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(49,751)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245,324</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397,751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32,040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(11,982)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22,049,529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(1,857,950)</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gridSpan w:val="3"/>
          </w:tcPr>
          <w:p>
            <w:pPr>
              <w:jc w:val="right"/>
              <w:ind w:right="5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(49,478)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261,954</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415,102</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14"/>
          </w:tcPr>
          <w:p>
            <w:pPr>
              <w:jc w:val="right"/>
              <w:ind w:right="411"/>
              <w:spacing w:after="0"/>
              <w:rPr>
                <w:sz w:val="20"/>
                <w:szCs w:val="20"/>
                <w:color w:val="auto"/>
              </w:rPr>
            </w:pPr>
            <w:r>
              <w:rPr>
                <w:rFonts w:ascii="Arial" w:cs="Arial" w:eastAsia="Arial" w:hAnsi="Arial"/>
                <w:sz w:val="14"/>
                <w:szCs w:val="14"/>
                <w:color w:val="auto"/>
                <w:w w:val="86"/>
              </w:rPr>
              <w:t>Three Months Ended June 30, 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9"/>
          </w:tcPr>
          <w:p>
            <w:pPr>
              <w:ind w:left="46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13"/>
          </w:tcPr>
          <w:p>
            <w:pPr>
              <w:ind w:left="640"/>
              <w:spacing w:after="0"/>
              <w:rPr>
                <w:sz w:val="20"/>
                <w:szCs w:val="20"/>
                <w:color w:val="auto"/>
              </w:rPr>
            </w:pPr>
            <w:r>
              <w:rPr>
                <w:rFonts w:ascii="Arial" w:cs="Arial" w:eastAsia="Arial" w:hAnsi="Arial"/>
                <w:sz w:val="14"/>
                <w:szCs w:val="14"/>
                <w:color w:val="auto"/>
              </w:rPr>
              <w:t>Treasury Stock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w w:val="91"/>
              </w:rPr>
              <w:t>Additional Paid -In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color w:val="auto"/>
                <w:w w:val="92"/>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color w:val="auto"/>
                <w:w w:val="90"/>
              </w:rPr>
              <w:t>Retained Earnings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(1,264,031)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(30,587)</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200,159</w:t>
            </w:r>
          </w:p>
        </w:tc>
        <w:tc>
          <w:tcPr>
            <w:tcW w:w="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181,256</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351,048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(185,887)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(5,570)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9,000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(2,534)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9,465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9,465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22,049,529</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(1,440,918)</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(35,939)</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200,993</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188,187</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353,461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3"/>
          </w:tcPr>
          <w:p>
            <w:pPr>
              <w:jc w:val="right"/>
              <w:ind w:right="411"/>
              <w:spacing w:after="0"/>
              <w:rPr>
                <w:sz w:val="20"/>
                <w:szCs w:val="20"/>
                <w:color w:val="auto"/>
              </w:rPr>
            </w:pPr>
            <w:r>
              <w:rPr>
                <w:rFonts w:ascii="Arial" w:cs="Arial" w:eastAsia="Arial" w:hAnsi="Arial"/>
                <w:sz w:val="14"/>
                <w:szCs w:val="14"/>
                <w:color w:val="auto"/>
                <w:w w:val="89"/>
              </w:rPr>
              <w:t>Nine Months Ended June 30, 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9"/>
          </w:tcPr>
          <w:p>
            <w:pPr>
              <w:ind w:left="46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13"/>
          </w:tcPr>
          <w:p>
            <w:pPr>
              <w:ind w:left="620"/>
              <w:spacing w:after="0"/>
              <w:rPr>
                <w:sz w:val="20"/>
                <w:szCs w:val="20"/>
                <w:color w:val="auto"/>
              </w:rPr>
            </w:pPr>
            <w:r>
              <w:rPr>
                <w:rFonts w:ascii="Arial" w:cs="Arial" w:eastAsia="Arial" w:hAnsi="Arial"/>
                <w:sz w:val="14"/>
                <w:szCs w:val="14"/>
                <w:color w:val="auto"/>
              </w:rPr>
              <w:t>Treasury Stock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w w:val="91"/>
              </w:rPr>
              <w:t>Additional Paid -In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color w:val="auto"/>
                <w:w w:val="91"/>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color w:val="auto"/>
                <w:w w:val="92"/>
              </w:rPr>
              <w:t>Retained Earnings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ind w:left="22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211"/>
              <w:spacing w:after="0"/>
              <w:rPr>
                <w:sz w:val="20"/>
                <w:szCs w:val="20"/>
                <w:color w:val="auto"/>
              </w:rPr>
            </w:pPr>
            <w:r>
              <w:rPr>
                <w:rFonts w:ascii="Arial" w:cs="Arial" w:eastAsia="Arial" w:hAnsi="Arial"/>
                <w:sz w:val="14"/>
                <w:szCs w:val="14"/>
                <w:color w:val="auto"/>
                <w:w w:val="87"/>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gridSpan w:val="2"/>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22,049,529</w:t>
            </w:r>
          </w:p>
        </w:tc>
        <w:tc>
          <w:tcPr>
            <w:tcW w:w="40" w:type="dxa"/>
            <w:vAlign w:val="bottom"/>
            <w:tcBorders>
              <w:top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(1,707,629)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4"/>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201,871</w:t>
            </w: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203,197</w:t>
            </w: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361,288</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ind w:right="11"/>
              <w:spacing w:after="0"/>
              <w:rPr>
                <w:sz w:val="20"/>
                <w:szCs w:val="20"/>
                <w:color w:val="auto"/>
              </w:rPr>
            </w:pPr>
            <w:r>
              <w:rPr>
                <w:rFonts w:ascii="Arial" w:cs="Arial" w:eastAsia="Arial" w:hAnsi="Arial"/>
                <w:sz w:val="14"/>
                <w:szCs w:val="14"/>
                <w:color w:val="auto"/>
              </w:rPr>
              <w:t>103,053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2,692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(255,374)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(8,223)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ind w:right="11"/>
              <w:spacing w:after="0"/>
              <w:rPr>
                <w:sz w:val="20"/>
                <w:szCs w:val="20"/>
                <w:color w:val="auto"/>
              </w:rPr>
            </w:pPr>
            <w:r>
              <w:rPr>
                <w:rFonts w:ascii="Arial" w:cs="Arial" w:eastAsia="Arial" w:hAnsi="Arial"/>
                <w:sz w:val="14"/>
                <w:szCs w:val="14"/>
                <w:color w:val="auto"/>
              </w:rPr>
              <w:t>2,000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(11,742)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70,499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4"/>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0" w:type="dxa"/>
            <w:vAlign w:val="bottom"/>
            <w:gridSpan w:val="2"/>
          </w:tcPr>
          <w:p>
            <w:pPr>
              <w:spacing w:after="0"/>
              <w:rPr>
                <w:sz w:val="14"/>
                <w:szCs w:val="14"/>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22,049,529</w:t>
            </w:r>
          </w:p>
        </w:tc>
        <w:tc>
          <w:tcPr>
            <w:tcW w:w="40" w:type="dxa"/>
            <w:vAlign w:val="bottom"/>
            <w:tcBorders>
              <w:top w:val="single" w:sz="8" w:color="auto"/>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(1,857,950)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gridSpan w:val="4"/>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(49,478)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202,406</w:t>
            </w:r>
          </w:p>
        </w:tc>
        <w:tc>
          <w:tcPr>
            <w:tcW w:w="100" w:type="dxa"/>
            <w:vAlign w:val="bottom"/>
            <w:gridSpan w:val="2"/>
          </w:tcPr>
          <w:p>
            <w:pPr>
              <w:spacing w:after="0"/>
              <w:rPr>
                <w:sz w:val="14"/>
                <w:szCs w:val="14"/>
                <w:color w:val="auto"/>
              </w:rPr>
            </w:pPr>
          </w:p>
        </w:tc>
        <w:tc>
          <w:tcPr>
            <w:tcW w:w="3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261,954</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415,102</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3"/>
          </w:tcPr>
          <w:p>
            <w:pPr>
              <w:jc w:val="right"/>
              <w:ind w:right="411"/>
              <w:spacing w:after="0"/>
              <w:rPr>
                <w:sz w:val="20"/>
                <w:szCs w:val="20"/>
                <w:color w:val="auto"/>
              </w:rPr>
            </w:pPr>
            <w:r>
              <w:rPr>
                <w:rFonts w:ascii="Arial" w:cs="Arial" w:eastAsia="Arial" w:hAnsi="Arial"/>
                <w:sz w:val="14"/>
                <w:szCs w:val="14"/>
                <w:color w:val="auto"/>
                <w:w w:val="89"/>
              </w:rPr>
              <w:t>Nine Months Ended June 30, 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gridSpan w:val="4"/>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9"/>
          </w:tcPr>
          <w:p>
            <w:pPr>
              <w:jc w:val="right"/>
              <w:ind w:right="391"/>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13"/>
          </w:tcPr>
          <w:p>
            <w:pPr>
              <w:ind w:left="660"/>
              <w:spacing w:after="0"/>
              <w:rPr>
                <w:sz w:val="20"/>
                <w:szCs w:val="20"/>
                <w:color w:val="auto"/>
              </w:rPr>
            </w:pPr>
            <w:r>
              <w:rPr>
                <w:rFonts w:ascii="Arial" w:cs="Arial" w:eastAsia="Arial" w:hAnsi="Arial"/>
                <w:sz w:val="14"/>
                <w:szCs w:val="14"/>
                <w:color w:val="auto"/>
              </w:rPr>
              <w:t>Treasury Stock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w w:val="91"/>
              </w:rPr>
              <w:t>Additional Paid -In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color w:val="auto"/>
                <w:w w:val="92"/>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color w:val="auto"/>
                <w:w w:val="90"/>
              </w:rPr>
              <w:t>Retained Earnings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ind w:right="171"/>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71"/>
              <w:spacing w:after="0"/>
              <w:rPr>
                <w:sz w:val="20"/>
                <w:szCs w:val="20"/>
                <w:color w:val="auto"/>
              </w:rPr>
            </w:pPr>
            <w:r>
              <w:rPr>
                <w:rFonts w:ascii="Arial" w:cs="Arial" w:eastAsia="Arial" w:hAnsi="Arial"/>
                <w:sz w:val="14"/>
                <w:szCs w:val="14"/>
                <w:color w:val="auto"/>
                <w:w w:val="99"/>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ind w:left="28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91"/>
              <w:spacing w:after="0"/>
              <w:rPr>
                <w:sz w:val="20"/>
                <w:szCs w:val="20"/>
                <w:color w:val="auto"/>
              </w:rPr>
            </w:pPr>
            <w:r>
              <w:rPr>
                <w:rFonts w:ascii="Arial" w:cs="Arial" w:eastAsia="Arial" w:hAnsi="Arial"/>
                <w:sz w:val="14"/>
                <w:szCs w:val="14"/>
                <w:color w:val="auto"/>
                <w:w w:val="91"/>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gridSpan w:val="3"/>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Borders>
              <w:top w:val="single" w:sz="8" w:color="auto"/>
            </w:tcBorders>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tcBorders>
          </w:tcPr>
          <w:p>
            <w:pPr>
              <w:spacing w:after="0"/>
              <w:rPr>
                <w:sz w:val="15"/>
                <w:szCs w:val="15"/>
                <w:color w:val="auto"/>
              </w:rPr>
            </w:pPr>
          </w:p>
        </w:tc>
        <w:tc>
          <w:tcPr>
            <w:tcW w:w="140" w:type="dxa"/>
            <w:vAlign w:val="bottom"/>
            <w:gridSpan w:val="4"/>
          </w:tcPr>
          <w:p>
            <w:pPr>
              <w:spacing w:after="0"/>
              <w:rPr>
                <w:sz w:val="15"/>
                <w:szCs w:val="15"/>
                <w:color w:val="auto"/>
              </w:rPr>
            </w:pPr>
          </w:p>
        </w:tc>
        <w:tc>
          <w:tcPr>
            <w:tcW w:w="9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(1,316,998)</w:t>
            </w:r>
          </w:p>
        </w:tc>
        <w:tc>
          <w:tcPr>
            <w:tcW w:w="20" w:type="dxa"/>
            <w:vAlign w:val="bottom"/>
            <w:tcBorders>
              <w:top w:val="single" w:sz="8" w:color="auto"/>
            </w:tcBorders>
          </w:tcPr>
          <w:p>
            <w:pPr>
              <w:spacing w:after="0"/>
              <w:rPr>
                <w:sz w:val="15"/>
                <w:szCs w:val="15"/>
                <w:color w:val="auto"/>
              </w:rPr>
            </w:pPr>
          </w:p>
        </w:tc>
        <w:tc>
          <w:tcPr>
            <w:tcW w:w="120" w:type="dxa"/>
            <w:vAlign w:val="bottom"/>
            <w:gridSpan w:val="4"/>
          </w:tcPr>
          <w:p>
            <w:pPr>
              <w:spacing w:after="0"/>
              <w:rPr>
                <w:sz w:val="15"/>
                <w:szCs w:val="15"/>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(29,300)</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201,899</w:t>
            </w: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173,134</w:t>
            </w:r>
          </w:p>
        </w:tc>
        <w:tc>
          <w:tcPr>
            <w:tcW w:w="2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345,953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157,167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8"/>
          </w:tcPr>
          <w:p>
            <w:pPr>
              <w:jc w:val="right"/>
              <w:ind w:right="20"/>
              <w:spacing w:after="0"/>
              <w:rPr>
                <w:sz w:val="20"/>
                <w:szCs w:val="20"/>
                <w:color w:val="auto"/>
              </w:rPr>
            </w:pPr>
            <w:r>
              <w:rPr>
                <w:rFonts w:ascii="Arial" w:cs="Arial" w:eastAsia="Arial" w:hAnsi="Arial"/>
                <w:sz w:val="14"/>
                <w:szCs w:val="14"/>
                <w:color w:val="auto"/>
              </w:rPr>
              <w:t>(290,087)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(10,495)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(10,495)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6"/>
          </w:tcPr>
          <w:p>
            <w:pPr>
              <w:jc w:val="right"/>
              <w:spacing w:after="0"/>
              <w:rPr>
                <w:sz w:val="20"/>
                <w:szCs w:val="20"/>
                <w:color w:val="auto"/>
              </w:rPr>
            </w:pPr>
            <w:r>
              <w:rPr>
                <w:rFonts w:ascii="Arial" w:cs="Arial" w:eastAsia="Arial" w:hAnsi="Arial"/>
                <w:sz w:val="14"/>
                <w:szCs w:val="14"/>
                <w:color w:val="auto"/>
              </w:rPr>
              <w:t>9,000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gridSpan w:val="4"/>
          </w:tcPr>
          <w:p>
            <w:pPr>
              <w:spacing w:after="0"/>
              <w:rPr>
                <w:sz w:val="2"/>
                <w:szCs w:val="2"/>
                <w:color w:val="auto"/>
              </w:rPr>
            </w:pPr>
          </w:p>
        </w:tc>
        <w:tc>
          <w:tcPr>
            <w:tcW w:w="320" w:type="dxa"/>
            <w:vAlign w:val="bottom"/>
            <w:gridSpan w:val="7"/>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gridSpan w:val="8"/>
          </w:tcPr>
          <w:p>
            <w:pPr>
              <w:spacing w:after="0"/>
              <w:rPr>
                <w:sz w:val="2"/>
                <w:szCs w:val="2"/>
                <w:color w:val="auto"/>
              </w:rPr>
            </w:pPr>
          </w:p>
        </w:tc>
        <w:tc>
          <w:tcPr>
            <w:tcW w:w="340" w:type="dxa"/>
            <w:vAlign w:val="bottom"/>
            <w:gridSpan w:val="6"/>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0" w:type="dxa"/>
            <w:vAlign w:val="bottom"/>
            <w:gridSpan w:val="3"/>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Borders>
              <w:top w:val="single" w:sz="8" w:color="auto"/>
              <w:bottom w:val="single" w:sz="8" w:color="auto"/>
            </w:tcBorders>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gridSpan w:val="4"/>
          </w:tcPr>
          <w:p>
            <w:pPr>
              <w:spacing w:after="0"/>
              <w:rPr>
                <w:sz w:val="14"/>
                <w:szCs w:val="14"/>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(1,440,918)</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gridSpan w:val="4"/>
          </w:tcPr>
          <w:p>
            <w:pPr>
              <w:spacing w:after="0"/>
              <w:rPr>
                <w:sz w:val="14"/>
                <w:szCs w:val="1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(35,939)</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200,993</w:t>
            </w:r>
          </w:p>
        </w:tc>
        <w:tc>
          <w:tcPr>
            <w:tcW w:w="100" w:type="dxa"/>
            <w:vAlign w:val="bottom"/>
            <w:gridSpan w:val="2"/>
          </w:tcPr>
          <w:p>
            <w:pPr>
              <w:spacing w:after="0"/>
              <w:rPr>
                <w:sz w:val="14"/>
                <w:szCs w:val="14"/>
                <w:color w:val="auto"/>
              </w:rPr>
            </w:pPr>
          </w:p>
        </w:tc>
        <w:tc>
          <w:tcPr>
            <w:tcW w:w="3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188,187</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2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353,461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-5672455</wp:posOffset>
            </wp:positionV>
            <wp:extent cx="708914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225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-5426710</wp:posOffset>
            </wp:positionV>
            <wp:extent cx="7089140"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225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-5189220</wp:posOffset>
            </wp:positionV>
            <wp:extent cx="7089140"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225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-4944110</wp:posOffset>
            </wp:positionV>
            <wp:extent cx="708914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-4157980</wp:posOffset>
            </wp:positionV>
            <wp:extent cx="7056755"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-3912235</wp:posOffset>
            </wp:positionV>
            <wp:extent cx="7056755"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-3667125</wp:posOffset>
            </wp:positionV>
            <wp:extent cx="7056755"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6755" cy="11430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-3429635</wp:posOffset>
            </wp:positionV>
            <wp:extent cx="7056755"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6755" cy="13906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-2635250</wp:posOffset>
            </wp:positionV>
            <wp:extent cx="710565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-2397760</wp:posOffset>
            </wp:positionV>
            <wp:extent cx="7105650"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-2152650</wp:posOffset>
            </wp:positionV>
            <wp:extent cx="710565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11430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-1915160</wp:posOffset>
            </wp:positionV>
            <wp:extent cx="7105650"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-998220</wp:posOffset>
            </wp:positionV>
            <wp:extent cx="705675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-760730</wp:posOffset>
            </wp:positionV>
            <wp:extent cx="7056755"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-514985</wp:posOffset>
            </wp:positionV>
            <wp:extent cx="7056755"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6755" cy="11430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-277495</wp:posOffset>
            </wp:positionV>
            <wp:extent cx="7056755"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6755" cy="12255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2680" w:space="500"/>
            <w:col w:w="7960"/>
          </w:cols>
          <w:pgMar w:left="400" w:top="624" w:right="359" w:bottom="1440" w:gutter="0" w:footer="0" w:header="0"/>
          <w:type w:val="continuous"/>
        </w:sectPr>
      </w:pPr>
    </w:p>
    <w:p>
      <w:pPr>
        <w:spacing w:after="0" w:line="38"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400" w:top="624"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color w:val="auto"/>
              </w:rPr>
              <w:t>Nine Months Ended June 30,</w:t>
            </w:r>
          </w:p>
        </w:tc>
      </w:tr>
      <w:tr>
        <w:trPr>
          <w:trHeight w:val="212"/>
        </w:trPr>
        <w:tc>
          <w:tcPr>
            <w:tcW w:w="7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8"/>
        </w:trPr>
        <w:tc>
          <w:tcPr>
            <w:tcW w:w="7960" w:type="dxa"/>
            <w:vAlign w:val="bottom"/>
          </w:tcPr>
          <w:p>
            <w:pPr>
              <w:ind w:left="30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78,780</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22,094</w:t>
            </w:r>
          </w:p>
        </w:tc>
      </w:tr>
      <w:tr>
        <w:trPr>
          <w:trHeight w:val="233"/>
        </w:trPr>
        <w:tc>
          <w:tcPr>
            <w:tcW w:w="7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8"/>
        </w:trPr>
        <w:tc>
          <w:tcPr>
            <w:tcW w:w="7960" w:type="dxa"/>
            <w:vAlign w:val="bottom"/>
          </w:tcPr>
          <w:p>
            <w:pPr>
              <w:ind w:left="560"/>
              <w:spacing w:after="0"/>
              <w:rPr>
                <w:sz w:val="20"/>
                <w:szCs w:val="20"/>
                <w:color w:val="auto"/>
              </w:rPr>
            </w:pPr>
            <w:r>
              <w:rPr>
                <w:rFonts w:ascii="Arial" w:cs="Arial" w:eastAsia="Arial" w:hAnsi="Arial"/>
                <w:sz w:val="17"/>
                <w:szCs w:val="17"/>
                <w:color w:val="auto"/>
              </w:rPr>
              <w:t>Bad debt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2,716</w:t>
            </w:r>
          </w:p>
        </w:tc>
      </w:tr>
      <w:tr>
        <w:trPr>
          <w:trHeight w:val="220"/>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25"/>
        </w:trPr>
        <w:tc>
          <w:tcPr>
            <w:tcW w:w="7960" w:type="dxa"/>
            <w:vAlign w:val="bottom"/>
          </w:tcPr>
          <w:p>
            <w:pPr>
              <w:ind w:left="5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18,740</w:t>
            </w:r>
          </w:p>
        </w:tc>
      </w:tr>
      <w:tr>
        <w:trPr>
          <w:trHeight w:val="226"/>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8"/>
        </w:trPr>
        <w:tc>
          <w:tcPr>
            <w:tcW w:w="7960" w:type="dxa"/>
            <w:vAlign w:val="bottom"/>
          </w:tcPr>
          <w:p>
            <w:pPr>
              <w:ind w:left="560"/>
              <w:spacing w:after="0"/>
              <w:rPr>
                <w:sz w:val="20"/>
                <w:szCs w:val="20"/>
                <w:color w:val="auto"/>
              </w:rPr>
            </w:pPr>
            <w:r>
              <w:rPr>
                <w:rFonts w:ascii="Arial" w:cs="Arial" w:eastAsia="Arial" w:hAnsi="Arial"/>
                <w:sz w:val="17"/>
                <w:szCs w:val="17"/>
                <w:color w:val="auto"/>
              </w:rPr>
              <w:t>Non-cash compensation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2,897</w:t>
            </w:r>
          </w:p>
        </w:tc>
      </w:tr>
      <w:tr>
        <w:trPr>
          <w:trHeight w:val="233"/>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Deferred income tax expense</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r>
      <w:tr>
        <w:trPr>
          <w:trHeight w:val="218"/>
        </w:trPr>
        <w:tc>
          <w:tcPr>
            <w:tcW w:w="7960" w:type="dxa"/>
            <w:vAlign w:val="bottom"/>
          </w:tcPr>
          <w:p>
            <w:pPr>
              <w:ind w:left="30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(60,879)</w:t>
            </w:r>
          </w:p>
        </w:tc>
      </w:tr>
      <w:tr>
        <w:trPr>
          <w:trHeight w:val="225"/>
        </w:trPr>
        <w:tc>
          <w:tcPr>
            <w:tcW w:w="7960" w:type="dxa"/>
            <w:vAlign w:val="bottom"/>
          </w:tcPr>
          <w:p>
            <w:pPr>
              <w:ind w:left="560"/>
              <w:spacing w:after="0"/>
              <w:rPr>
                <w:sz w:val="20"/>
                <w:szCs w:val="20"/>
                <w:color w:val="auto"/>
              </w:rPr>
            </w:pPr>
            <w:r>
              <w:rPr>
                <w:rFonts w:ascii="Arial" w:cs="Arial" w:eastAsia="Arial" w:hAnsi="Arial"/>
                <w:sz w:val="17"/>
                <w:szCs w:val="17"/>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(8,081)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(24,188)</w:t>
            </w:r>
          </w:p>
        </w:tc>
      </w:tr>
      <w:tr>
        <w:trPr>
          <w:trHeight w:val="226"/>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Costs and estimated earnings in excess of billings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(15,339)</w:t>
            </w:r>
          </w:p>
        </w:tc>
      </w:tr>
      <w:tr>
        <w:trPr>
          <w:trHeight w:val="218"/>
        </w:trPr>
        <w:tc>
          <w:tcPr>
            <w:tcW w:w="7960" w:type="dxa"/>
            <w:vAlign w:val="bottom"/>
          </w:tcPr>
          <w:p>
            <w:pPr>
              <w:ind w:left="56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(13,412)</w:t>
            </w:r>
          </w:p>
        </w:tc>
      </w:tr>
      <w:tr>
        <w:trPr>
          <w:trHeight w:val="233"/>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Other non-current assets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w:t>
            </w:r>
          </w:p>
        </w:tc>
      </w:tr>
      <w:tr>
        <w:trPr>
          <w:trHeight w:val="218"/>
        </w:trPr>
        <w:tc>
          <w:tcPr>
            <w:tcW w:w="7960" w:type="dxa"/>
            <w:vAlign w:val="bottom"/>
          </w:tcPr>
          <w:p>
            <w:pPr>
              <w:ind w:left="56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(44,848)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41,449</w:t>
            </w:r>
          </w:p>
        </w:tc>
      </w:tr>
      <w:tr>
        <w:trPr>
          <w:trHeight w:val="220"/>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Billings in excess of costs and estimated earnings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8,911</w:t>
            </w:r>
          </w:p>
        </w:tc>
      </w:tr>
      <w:tr>
        <w:trPr>
          <w:trHeight w:val="231"/>
        </w:trPr>
        <w:tc>
          <w:tcPr>
            <w:tcW w:w="796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Other non-current liabilities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r>
      <w:tr>
        <w:trPr>
          <w:trHeight w:val="212"/>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96,622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(17,799)</w:t>
            </w:r>
          </w:p>
        </w:tc>
      </w:tr>
      <w:tr>
        <w:trPr>
          <w:trHeight w:val="212"/>
        </w:trPr>
        <w:tc>
          <w:tcPr>
            <w:tcW w:w="796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Purchases of property and equipment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(26,609)</w:t>
            </w:r>
          </w:p>
        </w:tc>
      </w:tr>
      <w:tr>
        <w:trPr>
          <w:trHeight w:val="225"/>
        </w:trPr>
        <w:tc>
          <w:tcPr>
            <w:tcW w:w="7960" w:type="dxa"/>
            <w:vAlign w:val="bottom"/>
          </w:tcPr>
          <w:p>
            <w:pPr>
              <w:ind w:left="300"/>
              <w:spacing w:after="0"/>
              <w:rPr>
                <w:sz w:val="20"/>
                <w:szCs w:val="20"/>
                <w:color w:val="auto"/>
              </w:rPr>
            </w:pPr>
            <w:r>
              <w:rPr>
                <w:rFonts w:ascii="Arial" w:cs="Arial" w:eastAsia="Arial" w:hAnsi="Arial"/>
                <w:sz w:val="17"/>
                <w:szCs w:val="17"/>
                <w:color w:val="auto"/>
              </w:rPr>
              <w:t>Proceeds from sale of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20,433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13"/>
        </w:trPr>
        <w:tc>
          <w:tcPr>
            <w:tcW w:w="7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Cash paid in conjunction with equity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(26,934)</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8"/>
        </w:trPr>
        <w:tc>
          <w:tcPr>
            <w:tcW w:w="7960" w:type="dxa"/>
            <w:vAlign w:val="bottom"/>
          </w:tcPr>
          <w:p>
            <w:pPr>
              <w:ind w:left="300"/>
              <w:spacing w:after="0"/>
              <w:rPr>
                <w:sz w:val="20"/>
                <w:szCs w:val="20"/>
                <w:color w:val="auto"/>
              </w:rPr>
            </w:pPr>
            <w:r>
              <w:rPr>
                <w:rFonts w:ascii="Arial" w:cs="Arial" w:eastAsia="Arial" w:hAnsi="Arial"/>
                <w:sz w:val="17"/>
                <w:szCs w:val="17"/>
                <w:color w:val="auto"/>
              </w:rPr>
              <w:t>Borrowings of debt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1,758,982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1,383,745</w:t>
            </w:r>
          </w:p>
        </w:tc>
      </w:tr>
      <w:tr>
        <w:trPr>
          <w:trHeight w:val="220"/>
        </w:trPr>
        <w:tc>
          <w:tcPr>
            <w:tcW w:w="7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(1,841,641)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(1,327,209)</w:t>
            </w:r>
          </w:p>
        </w:tc>
      </w:tr>
      <w:tr>
        <w:trPr>
          <w:trHeight w:val="225"/>
        </w:trPr>
        <w:tc>
          <w:tcPr>
            <w:tcW w:w="7960" w:type="dxa"/>
            <w:vAlign w:val="bottom"/>
          </w:tcPr>
          <w:p>
            <w:pPr>
              <w:ind w:left="300"/>
              <w:spacing w:after="0"/>
              <w:rPr>
                <w:sz w:val="20"/>
                <w:szCs w:val="20"/>
                <w:color w:val="auto"/>
              </w:rPr>
            </w:pPr>
            <w:r>
              <w:rPr>
                <w:rFonts w:ascii="Arial" w:cs="Arial" w:eastAsia="Arial" w:hAnsi="Arial"/>
                <w:sz w:val="17"/>
                <w:szCs w:val="17"/>
                <w:color w:val="auto"/>
              </w:rPr>
              <w:t>Cash paid for finance leases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(1,055)</w:t>
            </w:r>
          </w:p>
        </w:tc>
      </w:tr>
      <w:tr>
        <w:trPr>
          <w:trHeight w:val="226"/>
        </w:trPr>
        <w:tc>
          <w:tcPr>
            <w:tcW w:w="7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Distribution to noncontrolling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w:t>
            </w:r>
          </w:p>
        </w:tc>
      </w:tr>
      <w:tr>
        <w:trPr>
          <w:trHeight w:val="218"/>
        </w:trPr>
        <w:tc>
          <w:tcPr>
            <w:tcW w:w="7960" w:type="dxa"/>
            <w:vAlign w:val="bottom"/>
          </w:tcPr>
          <w:p>
            <w:pPr>
              <w:ind w:left="300"/>
              <w:spacing w:after="0"/>
              <w:rPr>
                <w:sz w:val="20"/>
                <w:szCs w:val="20"/>
                <w:color w:val="auto"/>
              </w:rPr>
            </w:pPr>
            <w:r>
              <w:rPr>
                <w:rFonts w:ascii="Arial" w:cs="Arial" w:eastAsia="Arial" w:hAnsi="Arial"/>
                <w:sz w:val="17"/>
                <w:szCs w:val="17"/>
                <w:color w:val="auto"/>
              </w:rPr>
              <w:t>Purchase of treasury stock</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(10,495)</w:t>
            </w:r>
          </w:p>
        </w:tc>
      </w:tr>
      <w:tr>
        <w:trPr>
          <w:trHeight w:val="220"/>
        </w:trPr>
        <w:tc>
          <w:tcPr>
            <w:tcW w:w="7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Options exercised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2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(101,894)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38,687</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w:t>
            </w:r>
          </w:p>
        </w:tc>
      </w:tr>
      <w:tr>
        <w:trPr>
          <w:trHeight w:val="219"/>
        </w:trPr>
        <w:tc>
          <w:tcPr>
            <w:tcW w:w="7960" w:type="dxa"/>
            <w:vAlign w:val="bottom"/>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24,848</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23,105</w:t>
            </w:r>
          </w:p>
        </w:tc>
      </w:tr>
      <w:tr>
        <w:trPr>
          <w:trHeight w:val="271"/>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21"/>
                <w:szCs w:val="2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960" w:type="dxa"/>
            <w:vAlign w:val="bottom"/>
          </w:tcPr>
          <w:p>
            <w:pPr>
              <w:ind w:left="560"/>
              <w:spacing w:after="0"/>
              <w:rPr>
                <w:sz w:val="20"/>
                <w:szCs w:val="20"/>
                <w:color w:val="auto"/>
              </w:rPr>
            </w:pPr>
            <w:r>
              <w:rPr>
                <w:rFonts w:ascii="Arial" w:cs="Arial" w:eastAsia="Arial" w:hAnsi="Arial"/>
                <w:sz w:val="17"/>
                <w:szCs w:val="17"/>
                <w:color w:val="auto"/>
              </w:rPr>
              <w:t>Cash paid for interest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1,932</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1,917</w:t>
            </w:r>
          </w:p>
        </w:tc>
      </w:tr>
      <w:tr>
        <w:trPr>
          <w:trHeight w:val="226"/>
        </w:trPr>
        <w:tc>
          <w:tcPr>
            <w:tcW w:w="7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Cash paid for income taxes (net)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3,023</w:t>
            </w:r>
          </w:p>
        </w:tc>
      </w:tr>
    </w:tbl>
    <w:p>
      <w:pPr>
        <w:spacing w:after="0" w:line="310"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7"/>
          <w:szCs w:val="17"/>
          <w:b w:val="1"/>
          <w:bCs w:val="1"/>
          <w:color w:val="auto"/>
        </w:rPr>
        <w:t>IES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Amounts in Thousands Except Share Amounts)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ACCOUNTING POLICIES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 of the Business</w:t>
      </w:r>
    </w:p>
    <w:p>
      <w:pPr>
        <w:spacing w:after="0" w:line="24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201" w:lineRule="exact"/>
        <w:rPr>
          <w:sz w:val="20"/>
          <w:szCs w:val="20"/>
          <w:color w:val="auto"/>
        </w:rPr>
      </w:pPr>
    </w:p>
    <w:p>
      <w:pPr>
        <w:ind w:left="620" w:right="500" w:hanging="307"/>
        <w:spacing w:after="0" w:line="294"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Communications</w:t>
      </w:r>
      <w:r>
        <w:rPr>
          <w:rFonts w:ascii="Arial" w:cs="Arial" w:eastAsia="Arial" w:hAnsi="Arial"/>
          <w:sz w:val="15"/>
          <w:szCs w:val="15"/>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20" w:hanging="307"/>
        <w:spacing w:after="0" w:line="253"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80" w:hanging="307"/>
        <w:spacing w:after="0" w:line="253"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Infrastructure Solutions</w:t>
      </w:r>
      <w:r>
        <w:rPr>
          <w:rFonts w:ascii="Arial" w:cs="Arial" w:eastAsia="Arial" w:hAnsi="Arial"/>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40" w:hanging="307"/>
        <w:spacing w:after="0" w:line="298"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words “IES”, the “Company”, “we”, “our”, and “us” refer to IES Holdings, Inc. and, except as otherwise specified herein, to our consolidated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 and Quarterly Fluctuations</w:t>
      </w:r>
    </w:p>
    <w:p>
      <w:pPr>
        <w:spacing w:after="0" w:line="24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Financial Statement Preparation</w:t>
      </w: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2022.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810 and the redemption amounts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11" w:name="page12"/>
    <w:bookmarkEnd w:id="11"/>
    <w:p>
      <w:pPr>
        <w:ind w:right="180"/>
        <w:spacing w:after="0" w:line="279" w:lineRule="auto"/>
        <w:rPr>
          <w:sz w:val="20"/>
          <w:szCs w:val="20"/>
          <w:color w:val="auto"/>
        </w:rPr>
      </w:pPr>
      <w:r>
        <w:rPr>
          <w:rFonts w:ascii="Arial" w:cs="Arial" w:eastAsia="Arial" w:hAnsi="Arial"/>
          <w:sz w:val="17"/>
          <w:szCs w:val="17"/>
          <w:color w:val="auto"/>
        </w:rPr>
        <w:t>assuming the noncontrolling interests were redeemable at the balance sheet date. If all of the noncontrolling interests remaining outstanding at June 30, 2023 had been redeemable at that date, the redemption amount would have been $44,507.</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43"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4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 xml:space="preserve">Other (Income) Expense, Net includes primarily unrealized gains or losses on equity securities, including those related to our Executive Deferred Compensation Plan. These securities are recorded at fair value (Level 1) at the end of each reporting period. Please refer to </w:t>
      </w:r>
      <w:r>
        <w:rPr>
          <w:rFonts w:ascii="Arial" w:cs="Arial" w:eastAsia="Arial" w:hAnsi="Arial"/>
          <w:sz w:val="17"/>
          <w:szCs w:val="17"/>
          <w:i w:val="1"/>
          <w:iCs w:val="1"/>
          <w:color w:val="auto"/>
        </w:rPr>
        <w:t>Note 8 - Fair Value Measurements</w:t>
      </w:r>
      <w:r>
        <w:rPr>
          <w:rFonts w:ascii="Arial" w:cs="Arial" w:eastAsia="Arial" w:hAnsi="Arial"/>
          <w:sz w:val="17"/>
          <w:szCs w:val="17"/>
          <w:color w:val="auto"/>
        </w:rPr>
        <w:t xml:space="preserve"> for further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CONTROLLING STOCKHOLDER</w:t>
      </w:r>
    </w:p>
    <w:p>
      <w:pPr>
        <w:spacing w:after="0" w:line="24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Tontine Associates, L.L.C. (“Tontine Associates”), together with its affiliates (collectively, “Tontine”), is the Company’s controlling stockholder, owning approximately 58 percent of the Company’s outstanding common stock based on Amendment No. 26 to the Schedule 13D filed by Tontine with the SEC on December 16, 2022 and the Company's shares outstanding as of July 31, 2023. Accordingly, Tontine has the ability to exercise significant control over our affairs, including the election of directors and most actions requiring the approval of stockholders.</w:t>
      </w:r>
    </w:p>
    <w:p>
      <w:pPr>
        <w:spacing w:after="0" w:line="204"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spacing w:after="0" w:line="20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is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w:t>
      </w:r>
    </w:p>
    <w:p>
      <w:pPr>
        <w:spacing w:after="0" w:line="20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ind w:right="500"/>
        <w:spacing w:after="0" w:line="279" w:lineRule="auto"/>
        <w:rPr>
          <w:sz w:val="20"/>
          <w:szCs w:val="20"/>
          <w:color w:val="auto"/>
        </w:rPr>
      </w:pPr>
      <w:r>
        <w:rPr>
          <w:rFonts w:ascii="Arial" w:cs="Arial" w:eastAsia="Arial" w:hAnsi="Arial"/>
          <w:sz w:val="17"/>
          <w:szCs w:val="17"/>
          <w:color w:val="auto"/>
        </w:rPr>
        <w:t>incurred in his or her capacity as a Board Observer and such rights to coverage under the Company’s directors’ and officers’ liability insurance policy as are available to the Company’s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w:t>
      </w:r>
    </w:p>
    <w:p>
      <w:pPr>
        <w:spacing w:after="0" w:line="24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We account for a contract when: (i) it has approval and commitment from both parties, (ii) the rights of the parties are identified, (iii) payment terms are identified,</w:t>
      </w:r>
    </w:p>
    <w:p>
      <w:pPr>
        <w:spacing w:after="0" w:line="45" w:lineRule="exact"/>
        <w:rPr>
          <w:sz w:val="20"/>
          <w:szCs w:val="20"/>
          <w:color w:val="auto"/>
        </w:rPr>
      </w:pPr>
    </w:p>
    <w:p>
      <w:pPr>
        <w:ind w:right="60" w:firstLine="3"/>
        <w:spacing w:after="0" w:line="266" w:lineRule="auto"/>
        <w:tabs>
          <w:tab w:leader="none" w:pos="2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Obligations</w:t>
      </w:r>
    </w:p>
    <w:p>
      <w:pPr>
        <w:spacing w:after="0" w:line="24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96"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Consideration</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Disaggregation of Revenue</w:t>
      </w:r>
    </w:p>
    <w:p>
      <w:pPr>
        <w:spacing w:after="0" w:line="24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nine months ended June 30, 2023 and 2022 was derived from the following activities. See details in the following tables: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7"/>
                <w:szCs w:val="17"/>
                <w:color w:val="auto"/>
              </w:rPr>
              <w:t>Three Months Ended June 30,</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ind w:left="80"/>
              <w:spacing w:after="0"/>
              <w:rPr>
                <w:sz w:val="20"/>
                <w:szCs w:val="20"/>
                <w:color w:val="auto"/>
              </w:rPr>
            </w:pPr>
            <w:r>
              <w:rPr>
                <w:rFonts w:ascii="Arial" w:cs="Arial" w:eastAsia="Arial" w:hAnsi="Arial"/>
                <w:sz w:val="17"/>
                <w:szCs w:val="17"/>
                <w:color w:val="auto"/>
              </w:rPr>
              <w:t>Nine Months Ended June 30,</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2022</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Communications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7"/>
              </w:rPr>
              <w:t>141,615</w:t>
            </w:r>
          </w:p>
        </w:tc>
        <w:tc>
          <w:tcPr>
            <w:tcW w:w="960" w:type="dxa"/>
            <w:vAlign w:val="bottom"/>
            <w:gridSpan w:val="2"/>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144,748</w:t>
            </w:r>
          </w:p>
        </w:tc>
        <w:tc>
          <w:tcPr>
            <w:tcW w:w="64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402,776</w:t>
            </w:r>
          </w:p>
        </w:tc>
        <w:tc>
          <w:tcPr>
            <w:tcW w:w="0" w:type="dxa"/>
            <w:vAlign w:val="bottom"/>
          </w:tcPr>
          <w:p>
            <w:pPr>
              <w:spacing w:after="0"/>
              <w:rPr>
                <w:sz w:val="1"/>
                <w:szCs w:val="1"/>
                <w:color w:val="auto"/>
              </w:rPr>
            </w:pPr>
          </w:p>
        </w:tc>
      </w:tr>
      <w:tr>
        <w:trPr>
          <w:trHeight w:val="218"/>
        </w:trPr>
        <w:tc>
          <w:tcPr>
            <w:tcW w:w="3580" w:type="dxa"/>
            <w:vAlign w:val="bottom"/>
          </w:tcPr>
          <w:p>
            <w:pPr>
              <w:ind w:left="60"/>
              <w:spacing w:after="0"/>
              <w:rPr>
                <w:sz w:val="20"/>
                <w:szCs w:val="20"/>
                <w:color w:val="auto"/>
              </w:rPr>
            </w:pPr>
            <w:r>
              <w:rPr>
                <w:rFonts w:ascii="Arial" w:cs="Arial" w:eastAsia="Arial" w:hAnsi="Arial"/>
                <w:sz w:val="17"/>
                <w:szCs w:val="17"/>
                <w:color w:val="auto"/>
              </w:rPr>
              <w:t>Residential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Single-family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7"/>
              </w:rPr>
              <w:t>228,637</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224,556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666,891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590,453</w:t>
            </w:r>
          </w:p>
        </w:tc>
        <w:tc>
          <w:tcPr>
            <w:tcW w:w="0" w:type="dxa"/>
            <w:vAlign w:val="bottom"/>
          </w:tcPr>
          <w:p>
            <w:pPr>
              <w:spacing w:after="0"/>
              <w:rPr>
                <w:sz w:val="1"/>
                <w:szCs w:val="1"/>
                <w:color w:val="auto"/>
              </w:rPr>
            </w:pPr>
          </w:p>
        </w:tc>
      </w:tr>
      <w:tr>
        <w:trPr>
          <w:trHeight w:val="218"/>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Multi-family and Other</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89,374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77,207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213,492</w:t>
            </w: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Residential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7"/>
              </w:rPr>
              <w:t>318,011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301,763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942,201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803,945</w:t>
            </w:r>
          </w:p>
        </w:tc>
        <w:tc>
          <w:tcPr>
            <w:tcW w:w="0" w:type="dxa"/>
            <w:vAlign w:val="bottom"/>
          </w:tcPr>
          <w:p>
            <w:pPr>
              <w:spacing w:after="0"/>
              <w:rPr>
                <w:sz w:val="1"/>
                <w:szCs w:val="1"/>
                <w:color w:val="auto"/>
              </w:rPr>
            </w:pPr>
          </w:p>
        </w:tc>
      </w:tr>
      <w:tr>
        <w:trPr>
          <w:trHeight w:val="225"/>
        </w:trPr>
        <w:tc>
          <w:tcPr>
            <w:tcW w:w="3580" w:type="dxa"/>
            <w:vAlign w:val="bottom"/>
          </w:tcPr>
          <w:p>
            <w:pPr>
              <w:ind w:left="60"/>
              <w:spacing w:after="0"/>
              <w:rPr>
                <w:sz w:val="20"/>
                <w:szCs w:val="20"/>
                <w:color w:val="auto"/>
              </w:rPr>
            </w:pPr>
            <w:r>
              <w:rPr>
                <w:rFonts w:ascii="Arial" w:cs="Arial" w:eastAsia="Arial" w:hAnsi="Arial"/>
                <w:sz w:val="17"/>
                <w:szCs w:val="17"/>
                <w:color w:val="auto"/>
              </w:rPr>
              <w:t>Infrastructure Solutions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Industrial Services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11,312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45,970</w:t>
            </w:r>
          </w:p>
        </w:tc>
        <w:tc>
          <w:tcPr>
            <w:tcW w:w="0" w:type="dxa"/>
            <w:vAlign w:val="bottom"/>
          </w:tcPr>
          <w:p>
            <w:pPr>
              <w:spacing w:after="0"/>
              <w:rPr>
                <w:sz w:val="1"/>
                <w:szCs w:val="1"/>
                <w:color w:val="auto"/>
              </w:rPr>
            </w:pPr>
          </w:p>
        </w:tc>
      </w:tr>
      <w:tr>
        <w:trPr>
          <w:trHeight w:val="218"/>
        </w:trPr>
        <w:tc>
          <w:tcPr>
            <w:tcW w:w="3580" w:type="dxa"/>
            <w:vAlign w:val="bottom"/>
          </w:tcPr>
          <w:p>
            <w:pPr>
              <w:ind w:left="220"/>
              <w:spacing w:after="0"/>
              <w:rPr>
                <w:sz w:val="20"/>
                <w:szCs w:val="20"/>
                <w:color w:val="auto"/>
              </w:rPr>
            </w:pPr>
            <w:r>
              <w:rPr>
                <w:rFonts w:ascii="Arial" w:cs="Arial" w:eastAsia="Arial" w:hAnsi="Arial"/>
                <w:sz w:val="17"/>
                <w:szCs w:val="17"/>
                <w:color w:val="auto"/>
              </w:rPr>
              <w:t>Custom Power Solutions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45,745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24,520</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125,129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77,696</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Infrastructure Solutions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57,057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123,666</w:t>
            </w:r>
          </w:p>
        </w:tc>
        <w:tc>
          <w:tcPr>
            <w:tcW w:w="0" w:type="dxa"/>
            <w:vAlign w:val="bottom"/>
          </w:tcPr>
          <w:p>
            <w:pPr>
              <w:spacing w:after="0"/>
              <w:rPr>
                <w:sz w:val="1"/>
                <w:szCs w:val="1"/>
                <w:color w:val="auto"/>
              </w:rPr>
            </w:pPr>
          </w:p>
        </w:tc>
      </w:tr>
      <w:tr>
        <w:trPr>
          <w:trHeight w:val="218"/>
        </w:trPr>
        <w:tc>
          <w:tcPr>
            <w:tcW w:w="35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Commercial &amp; Industrial</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67,768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80,953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197,068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219,016</w:t>
            </w:r>
          </w:p>
        </w:tc>
        <w:tc>
          <w:tcPr>
            <w:tcW w:w="0" w:type="dxa"/>
            <w:vAlign w:val="bottom"/>
          </w:tcPr>
          <w:p>
            <w:pPr>
              <w:spacing w:after="0"/>
              <w:rPr>
                <w:sz w:val="1"/>
                <w:szCs w:val="1"/>
                <w:color w:val="auto"/>
              </w:rPr>
            </w:pPr>
          </w:p>
        </w:tc>
      </w:tr>
      <w:tr>
        <w:trPr>
          <w:trHeight w:val="233"/>
        </w:trPr>
        <w:tc>
          <w:tcPr>
            <w:tcW w:w="3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87"/>
              </w:rPr>
              <w:t>584,451</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567,301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1,728,206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1,549,403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left="75"/>
              <w:spacing w:after="0"/>
              <w:rPr>
                <w:sz w:val="20"/>
                <w:szCs w:val="20"/>
                <w:color w:val="auto"/>
              </w:rPr>
            </w:pPr>
            <w:r>
              <w:rPr>
                <w:rFonts w:ascii="Arial" w:cs="Arial" w:eastAsia="Arial" w:hAnsi="Arial"/>
                <w:sz w:val="17"/>
                <w:szCs w:val="17"/>
                <w:color w:val="auto"/>
                <w:w w:val="89"/>
              </w:rPr>
              <w:t>Three Months Ended June 30, 2023</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4"/>
          </w:tcPr>
          <w:p>
            <w:pPr>
              <w:jc w:val="center"/>
              <w:ind w:right="60"/>
              <w:spacing w:after="0" w:line="175" w:lineRule="exact"/>
              <w:rPr>
                <w:sz w:val="20"/>
                <w:szCs w:val="20"/>
                <w:color w:val="auto"/>
              </w:rPr>
            </w:pPr>
            <w:r>
              <w:rPr>
                <w:rFonts w:ascii="Arial" w:cs="Arial" w:eastAsia="Arial" w:hAnsi="Arial"/>
                <w:sz w:val="17"/>
                <w:szCs w:val="17"/>
                <w:color w:val="auto"/>
                <w:w w:val="93"/>
              </w:rPr>
              <w:t>Infrastructure</w:t>
            </w:r>
          </w:p>
        </w:tc>
        <w:tc>
          <w:tcPr>
            <w:tcW w:w="120" w:type="dxa"/>
            <w:vAlign w:val="bottom"/>
          </w:tcPr>
          <w:p>
            <w:pPr>
              <w:spacing w:after="0"/>
              <w:rPr>
                <w:sz w:val="15"/>
                <w:szCs w:val="15"/>
                <w:color w:val="auto"/>
              </w:rPr>
            </w:pPr>
          </w:p>
        </w:tc>
        <w:tc>
          <w:tcPr>
            <w:tcW w:w="1340" w:type="dxa"/>
            <w:vAlign w:val="bottom"/>
            <w:gridSpan w:val="5"/>
          </w:tcPr>
          <w:p>
            <w:pPr>
              <w:jc w:val="center"/>
              <w:spacing w:after="0" w:line="175" w:lineRule="exact"/>
              <w:rPr>
                <w:sz w:val="20"/>
                <w:szCs w:val="20"/>
                <w:color w:val="auto"/>
              </w:rPr>
            </w:pPr>
            <w:r>
              <w:rPr>
                <w:rFonts w:ascii="Arial" w:cs="Arial" w:eastAsia="Arial" w:hAnsi="Arial"/>
                <w:sz w:val="17"/>
                <w:szCs w:val="17"/>
                <w:color w:val="auto"/>
                <w:w w:val="95"/>
              </w:rPr>
              <w:t>Commercial &amp;</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color w:val="auto"/>
                <w:w w:val="93"/>
              </w:rPr>
              <w:t>Communications</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color w:val="auto"/>
              </w:rPr>
              <w:t>Residential</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color w:val="auto"/>
                <w:w w:val="94"/>
              </w:rPr>
              <w:t>Solutions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34"/>
              <w:spacing w:after="0"/>
              <w:rPr>
                <w:sz w:val="20"/>
                <w:szCs w:val="20"/>
                <w:color w:val="auto"/>
              </w:rPr>
            </w:pPr>
            <w:r>
              <w:rPr>
                <w:rFonts w:ascii="Arial" w:cs="Arial" w:eastAsia="Arial" w:hAnsi="Arial"/>
                <w:sz w:val="17"/>
                <w:szCs w:val="17"/>
                <w:color w:val="auto"/>
                <w:w w:val="95"/>
              </w:rPr>
              <w:t>Industrial</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98,027</w:t>
            </w:r>
          </w:p>
        </w:tc>
        <w:tc>
          <w:tcPr>
            <w:tcW w:w="62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318,011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55,409</w:t>
            </w: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61,351</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532,798</w:t>
            </w:r>
          </w:p>
        </w:tc>
        <w:tc>
          <w:tcPr>
            <w:tcW w:w="0" w:type="dxa"/>
            <w:vAlign w:val="bottom"/>
          </w:tcPr>
          <w:p>
            <w:pPr>
              <w:spacing w:after="0"/>
              <w:rPr>
                <w:sz w:val="1"/>
                <w:szCs w:val="1"/>
                <w:color w:val="auto"/>
              </w:rPr>
            </w:pPr>
          </w:p>
        </w:tc>
      </w:tr>
      <w:tr>
        <w:trPr>
          <w:trHeight w:val="231"/>
        </w:trPr>
        <w:tc>
          <w:tcPr>
            <w:tcW w:w="35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Time-and-material</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43,588</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1,648</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6,417</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51,653</w:t>
            </w:r>
          </w:p>
        </w:tc>
        <w:tc>
          <w:tcPr>
            <w:tcW w:w="0" w:type="dxa"/>
            <w:vAlign w:val="bottom"/>
          </w:tcPr>
          <w:p>
            <w:pPr>
              <w:spacing w:after="0"/>
              <w:rPr>
                <w:sz w:val="1"/>
                <w:szCs w:val="1"/>
                <w:color w:val="auto"/>
              </w:rPr>
            </w:pPr>
          </w:p>
        </w:tc>
      </w:tr>
      <w:tr>
        <w:trPr>
          <w:trHeight w:val="233"/>
        </w:trPr>
        <w:tc>
          <w:tcPr>
            <w:tcW w:w="3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141,615</w:t>
            </w:r>
          </w:p>
        </w:tc>
        <w:tc>
          <w:tcPr>
            <w:tcW w:w="80" w:type="dxa"/>
            <w:vAlign w:val="bottom"/>
            <w:tcBorders>
              <w:bottom w:val="single" w:sz="8" w:color="auto"/>
            </w:tcBorders>
            <w:gridSpan w:val="2"/>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318,011</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57,057</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67,768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584,451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left="75"/>
              <w:spacing w:after="0"/>
              <w:rPr>
                <w:sz w:val="20"/>
                <w:szCs w:val="20"/>
                <w:color w:val="auto"/>
              </w:rPr>
            </w:pPr>
            <w:r>
              <w:rPr>
                <w:rFonts w:ascii="Arial" w:cs="Arial" w:eastAsia="Arial" w:hAnsi="Arial"/>
                <w:sz w:val="17"/>
                <w:szCs w:val="17"/>
                <w:color w:val="auto"/>
                <w:w w:val="89"/>
              </w:rPr>
              <w:t>Three Months Ended June 30, 2022</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right"/>
              <w:ind w:right="54"/>
              <w:spacing w:after="0"/>
              <w:rPr>
                <w:sz w:val="20"/>
                <w:szCs w:val="20"/>
                <w:color w:val="auto"/>
              </w:rPr>
            </w:pPr>
            <w:r>
              <w:rPr>
                <w:rFonts w:ascii="Arial" w:cs="Arial" w:eastAsia="Arial" w:hAnsi="Arial"/>
                <w:sz w:val="17"/>
                <w:szCs w:val="17"/>
                <w:color w:val="auto"/>
                <w:w w:val="93"/>
              </w:rPr>
              <w:t>Communications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vMerge w:val="restart"/>
          </w:tcPr>
          <w:p>
            <w:pPr>
              <w:jc w:val="right"/>
              <w:ind w:right="480"/>
              <w:spacing w:after="0"/>
              <w:rPr>
                <w:sz w:val="20"/>
                <w:szCs w:val="20"/>
                <w:color w:val="auto"/>
              </w:rPr>
            </w:pPr>
            <w:r>
              <w:rPr>
                <w:rFonts w:ascii="Arial" w:cs="Arial" w:eastAsia="Arial" w:hAnsi="Arial"/>
                <w:sz w:val="17"/>
                <w:szCs w:val="17"/>
                <w:color w:val="auto"/>
              </w:rPr>
              <w:t>Residential</w:t>
            </w:r>
          </w:p>
        </w:tc>
        <w:tc>
          <w:tcPr>
            <w:tcW w:w="1320" w:type="dxa"/>
            <w:vAlign w:val="bottom"/>
            <w:gridSpan w:val="4"/>
          </w:tcPr>
          <w:p>
            <w:pPr>
              <w:jc w:val="center"/>
              <w:ind w:right="60"/>
              <w:spacing w:after="0" w:line="162" w:lineRule="exact"/>
              <w:rPr>
                <w:sz w:val="20"/>
                <w:szCs w:val="20"/>
                <w:color w:val="auto"/>
              </w:rPr>
            </w:pPr>
            <w:r>
              <w:rPr>
                <w:rFonts w:ascii="Arial" w:cs="Arial" w:eastAsia="Arial" w:hAnsi="Arial"/>
                <w:sz w:val="17"/>
                <w:szCs w:val="17"/>
                <w:color w:val="auto"/>
                <w:w w:val="93"/>
              </w:rPr>
              <w:t>Infrastructure</w:t>
            </w:r>
          </w:p>
        </w:tc>
        <w:tc>
          <w:tcPr>
            <w:tcW w:w="120" w:type="dxa"/>
            <w:vAlign w:val="bottom"/>
          </w:tcPr>
          <w:p>
            <w:pPr>
              <w:spacing w:after="0"/>
              <w:rPr>
                <w:sz w:val="14"/>
                <w:szCs w:val="14"/>
                <w:color w:val="auto"/>
              </w:rPr>
            </w:pPr>
          </w:p>
        </w:tc>
        <w:tc>
          <w:tcPr>
            <w:tcW w:w="1340" w:type="dxa"/>
            <w:vAlign w:val="bottom"/>
            <w:gridSpan w:val="5"/>
          </w:tcPr>
          <w:p>
            <w:pPr>
              <w:jc w:val="center"/>
              <w:spacing w:after="0" w:line="162" w:lineRule="exact"/>
              <w:rPr>
                <w:sz w:val="20"/>
                <w:szCs w:val="20"/>
                <w:color w:val="auto"/>
              </w:rPr>
            </w:pPr>
            <w:r>
              <w:rPr>
                <w:rFonts w:ascii="Arial" w:cs="Arial" w:eastAsia="Arial" w:hAnsi="Arial"/>
                <w:sz w:val="17"/>
                <w:szCs w:val="17"/>
                <w:color w:val="auto"/>
                <w:w w:val="95"/>
              </w:rPr>
              <w:t>Commercial &amp;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3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vMerge w:val="continue"/>
          </w:tcPr>
          <w:p>
            <w:pPr>
              <w:spacing w:after="0"/>
              <w:rPr>
                <w:sz w:val="19"/>
                <w:szCs w:val="19"/>
                <w:color w:val="auto"/>
              </w:rPr>
            </w:pPr>
          </w:p>
        </w:tc>
        <w:tc>
          <w:tcPr>
            <w:tcW w:w="13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color w:val="auto"/>
                <w:w w:val="94"/>
              </w:rPr>
              <w:t>Solutions</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4"/>
              <w:spacing w:after="0"/>
              <w:rPr>
                <w:sz w:val="20"/>
                <w:szCs w:val="20"/>
                <w:color w:val="auto"/>
              </w:rPr>
            </w:pPr>
            <w:r>
              <w:rPr>
                <w:rFonts w:ascii="Arial" w:cs="Arial" w:eastAsia="Arial" w:hAnsi="Arial"/>
                <w:sz w:val="17"/>
                <w:szCs w:val="17"/>
                <w:color w:val="auto"/>
                <w:w w:val="95"/>
              </w:rPr>
              <w:t>Industrial</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94,109</w:t>
            </w:r>
          </w:p>
        </w:tc>
        <w:tc>
          <w:tcPr>
            <w:tcW w:w="62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301,763</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38,126</w:t>
            </w: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75,779</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509,777</w:t>
            </w:r>
          </w:p>
        </w:tc>
        <w:tc>
          <w:tcPr>
            <w:tcW w:w="0" w:type="dxa"/>
            <w:vAlign w:val="bottom"/>
          </w:tcPr>
          <w:p>
            <w:pPr>
              <w:spacing w:after="0"/>
              <w:rPr>
                <w:sz w:val="1"/>
                <w:szCs w:val="1"/>
                <w:color w:val="auto"/>
              </w:rPr>
            </w:pPr>
          </w:p>
        </w:tc>
      </w:tr>
      <w:tr>
        <w:trPr>
          <w:trHeight w:val="218"/>
        </w:trPr>
        <w:tc>
          <w:tcPr>
            <w:tcW w:w="3580" w:type="dxa"/>
            <w:vAlign w:val="bottom"/>
          </w:tcPr>
          <w:p>
            <w:pPr>
              <w:ind w:left="60"/>
              <w:spacing w:after="0"/>
              <w:rPr>
                <w:sz w:val="20"/>
                <w:szCs w:val="20"/>
                <w:color w:val="auto"/>
              </w:rPr>
            </w:pPr>
            <w:r>
              <w:rPr>
                <w:rFonts w:ascii="Arial" w:cs="Arial" w:eastAsia="Arial" w:hAnsi="Arial"/>
                <w:sz w:val="17"/>
                <w:szCs w:val="17"/>
                <w:color w:val="auto"/>
              </w:rPr>
              <w:t>Time-and-material</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50,639</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1,711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5,174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57,524</w:t>
            </w:r>
          </w:p>
        </w:tc>
        <w:tc>
          <w:tcPr>
            <w:tcW w:w="0" w:type="dxa"/>
            <w:vAlign w:val="bottom"/>
          </w:tcPr>
          <w:p>
            <w:pPr>
              <w:spacing w:after="0"/>
              <w:rPr>
                <w:sz w:val="1"/>
                <w:szCs w:val="1"/>
                <w:color w:val="auto"/>
              </w:rPr>
            </w:pPr>
          </w:p>
        </w:tc>
      </w:tr>
      <w:tr>
        <w:trPr>
          <w:trHeight w:val="246"/>
        </w:trPr>
        <w:tc>
          <w:tcPr>
            <w:tcW w:w="3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144,748</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301,763</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39,837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80,953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567,301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left="55"/>
              <w:spacing w:after="0"/>
              <w:rPr>
                <w:sz w:val="20"/>
                <w:szCs w:val="20"/>
                <w:color w:val="auto"/>
              </w:rPr>
            </w:pPr>
            <w:r>
              <w:rPr>
                <w:rFonts w:ascii="Arial" w:cs="Arial" w:eastAsia="Arial" w:hAnsi="Arial"/>
                <w:sz w:val="17"/>
                <w:szCs w:val="17"/>
                <w:color w:val="auto"/>
                <w:w w:val="90"/>
              </w:rPr>
              <w:t>Nine Months Ended June 30, 2023</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right"/>
              <w:ind w:right="54"/>
              <w:spacing w:after="0"/>
              <w:rPr>
                <w:sz w:val="20"/>
                <w:szCs w:val="20"/>
                <w:color w:val="auto"/>
              </w:rPr>
            </w:pPr>
            <w:r>
              <w:rPr>
                <w:rFonts w:ascii="Arial" w:cs="Arial" w:eastAsia="Arial" w:hAnsi="Arial"/>
                <w:sz w:val="17"/>
                <w:szCs w:val="17"/>
                <w:color w:val="auto"/>
                <w:w w:val="93"/>
              </w:rPr>
              <w:t>Communications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jc w:val="right"/>
              <w:ind w:right="215"/>
              <w:spacing w:after="0"/>
              <w:rPr>
                <w:sz w:val="20"/>
                <w:szCs w:val="20"/>
                <w:color w:val="auto"/>
              </w:rPr>
            </w:pPr>
            <w:r>
              <w:rPr>
                <w:rFonts w:ascii="Arial" w:cs="Arial" w:eastAsia="Arial" w:hAnsi="Arial"/>
                <w:sz w:val="17"/>
                <w:szCs w:val="17"/>
                <w:color w:val="auto"/>
              </w:rPr>
              <w:t>Residential</w:t>
            </w:r>
          </w:p>
        </w:tc>
        <w:tc>
          <w:tcPr>
            <w:tcW w:w="1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320" w:type="dxa"/>
            <w:vAlign w:val="bottom"/>
            <w:gridSpan w:val="4"/>
          </w:tcPr>
          <w:p>
            <w:pPr>
              <w:jc w:val="center"/>
              <w:ind w:right="60"/>
              <w:spacing w:after="0" w:line="168" w:lineRule="exact"/>
              <w:rPr>
                <w:sz w:val="20"/>
                <w:szCs w:val="20"/>
                <w:color w:val="auto"/>
              </w:rPr>
            </w:pPr>
            <w:r>
              <w:rPr>
                <w:rFonts w:ascii="Arial" w:cs="Arial" w:eastAsia="Arial" w:hAnsi="Arial"/>
                <w:sz w:val="17"/>
                <w:szCs w:val="17"/>
                <w:color w:val="auto"/>
                <w:w w:val="93"/>
              </w:rPr>
              <w:t>Infrastructure</w:t>
            </w:r>
          </w:p>
        </w:tc>
        <w:tc>
          <w:tcPr>
            <w:tcW w:w="120" w:type="dxa"/>
            <w:vAlign w:val="bottom"/>
          </w:tcPr>
          <w:p>
            <w:pPr>
              <w:spacing w:after="0"/>
              <w:rPr>
                <w:sz w:val="14"/>
                <w:szCs w:val="14"/>
                <w:color w:val="auto"/>
              </w:rPr>
            </w:pPr>
          </w:p>
        </w:tc>
        <w:tc>
          <w:tcPr>
            <w:tcW w:w="1340" w:type="dxa"/>
            <w:vAlign w:val="bottom"/>
            <w:gridSpan w:val="5"/>
          </w:tcPr>
          <w:p>
            <w:pPr>
              <w:jc w:val="center"/>
              <w:ind w:right="20"/>
              <w:spacing w:after="0" w:line="168" w:lineRule="exact"/>
              <w:rPr>
                <w:sz w:val="20"/>
                <w:szCs w:val="20"/>
                <w:color w:val="auto"/>
              </w:rPr>
            </w:pPr>
            <w:r>
              <w:rPr>
                <w:rFonts w:ascii="Arial" w:cs="Arial" w:eastAsia="Arial" w:hAnsi="Arial"/>
                <w:sz w:val="17"/>
                <w:szCs w:val="17"/>
                <w:color w:val="auto"/>
                <w:w w:val="97"/>
              </w:rPr>
              <w:t>Commercial &amp;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41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Solutions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34"/>
              <w:spacing w:after="0"/>
              <w:rPr>
                <w:sz w:val="20"/>
                <w:szCs w:val="20"/>
                <w:color w:val="auto"/>
              </w:rPr>
            </w:pPr>
            <w:r>
              <w:rPr>
                <w:rFonts w:ascii="Arial" w:cs="Arial" w:eastAsia="Arial" w:hAnsi="Arial"/>
                <w:sz w:val="17"/>
                <w:szCs w:val="17"/>
                <w:color w:val="auto"/>
                <w:w w:val="95"/>
              </w:rPr>
              <w:t>Industrial</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277,693</w:t>
            </w:r>
          </w:p>
        </w:tc>
        <w:tc>
          <w:tcPr>
            <w:tcW w:w="62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942,201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153,906</w:t>
            </w: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178,902</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1,552,702</w:t>
            </w:r>
          </w:p>
        </w:tc>
        <w:tc>
          <w:tcPr>
            <w:tcW w:w="0" w:type="dxa"/>
            <w:vAlign w:val="bottom"/>
          </w:tcPr>
          <w:p>
            <w:pPr>
              <w:spacing w:after="0"/>
              <w:rPr>
                <w:sz w:val="1"/>
                <w:szCs w:val="1"/>
                <w:color w:val="auto"/>
              </w:rPr>
            </w:pPr>
          </w:p>
        </w:tc>
      </w:tr>
      <w:tr>
        <w:trPr>
          <w:trHeight w:val="231"/>
        </w:trPr>
        <w:tc>
          <w:tcPr>
            <w:tcW w:w="35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Time-and-material</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152,287</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5,051</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18,166</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175,504</w:t>
            </w:r>
          </w:p>
        </w:tc>
        <w:tc>
          <w:tcPr>
            <w:tcW w:w="0" w:type="dxa"/>
            <w:vAlign w:val="bottom"/>
          </w:tcPr>
          <w:p>
            <w:pPr>
              <w:spacing w:after="0"/>
              <w:rPr>
                <w:sz w:val="1"/>
                <w:szCs w:val="1"/>
                <w:color w:val="auto"/>
              </w:rPr>
            </w:pPr>
          </w:p>
        </w:tc>
      </w:tr>
      <w:tr>
        <w:trPr>
          <w:trHeight w:val="233"/>
        </w:trPr>
        <w:tc>
          <w:tcPr>
            <w:tcW w:w="3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429,980</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942,201</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158,957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197,068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1,728,206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left="55"/>
              <w:spacing w:after="0"/>
              <w:rPr>
                <w:sz w:val="20"/>
                <w:szCs w:val="20"/>
                <w:color w:val="auto"/>
              </w:rPr>
            </w:pPr>
            <w:r>
              <w:rPr>
                <w:rFonts w:ascii="Arial" w:cs="Arial" w:eastAsia="Arial" w:hAnsi="Arial"/>
                <w:sz w:val="17"/>
                <w:szCs w:val="17"/>
                <w:color w:val="auto"/>
                <w:w w:val="90"/>
              </w:rPr>
              <w:t>Nine Months Ended June 30, 2022</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right"/>
              <w:ind w:right="54"/>
              <w:spacing w:after="0"/>
              <w:rPr>
                <w:sz w:val="20"/>
                <w:szCs w:val="20"/>
                <w:color w:val="auto"/>
              </w:rPr>
            </w:pPr>
            <w:r>
              <w:rPr>
                <w:rFonts w:ascii="Arial" w:cs="Arial" w:eastAsia="Arial" w:hAnsi="Arial"/>
                <w:sz w:val="17"/>
                <w:szCs w:val="17"/>
                <w:color w:val="auto"/>
                <w:w w:val="93"/>
              </w:rPr>
              <w:t>Communications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jc w:val="right"/>
              <w:ind w:right="215"/>
              <w:spacing w:after="0"/>
              <w:rPr>
                <w:sz w:val="20"/>
                <w:szCs w:val="20"/>
                <w:color w:val="auto"/>
              </w:rPr>
            </w:pPr>
            <w:r>
              <w:rPr>
                <w:rFonts w:ascii="Arial" w:cs="Arial" w:eastAsia="Arial" w:hAnsi="Arial"/>
                <w:sz w:val="17"/>
                <w:szCs w:val="17"/>
                <w:color w:val="auto"/>
              </w:rPr>
              <w:t>Residential</w:t>
            </w:r>
          </w:p>
        </w:tc>
        <w:tc>
          <w:tcPr>
            <w:tcW w:w="1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320" w:type="dxa"/>
            <w:vAlign w:val="bottom"/>
            <w:gridSpan w:val="4"/>
          </w:tcPr>
          <w:p>
            <w:pPr>
              <w:jc w:val="center"/>
              <w:ind w:right="60"/>
              <w:spacing w:after="0" w:line="162" w:lineRule="exact"/>
              <w:rPr>
                <w:sz w:val="20"/>
                <w:szCs w:val="20"/>
                <w:color w:val="auto"/>
              </w:rPr>
            </w:pPr>
            <w:r>
              <w:rPr>
                <w:rFonts w:ascii="Arial" w:cs="Arial" w:eastAsia="Arial" w:hAnsi="Arial"/>
                <w:sz w:val="17"/>
                <w:szCs w:val="17"/>
                <w:color w:val="auto"/>
                <w:w w:val="93"/>
              </w:rPr>
              <w:t>Infrastructure</w:t>
            </w:r>
          </w:p>
        </w:tc>
        <w:tc>
          <w:tcPr>
            <w:tcW w:w="120" w:type="dxa"/>
            <w:vAlign w:val="bottom"/>
          </w:tcPr>
          <w:p>
            <w:pPr>
              <w:spacing w:after="0"/>
              <w:rPr>
                <w:sz w:val="14"/>
                <w:szCs w:val="14"/>
                <w:color w:val="auto"/>
              </w:rPr>
            </w:pPr>
          </w:p>
        </w:tc>
        <w:tc>
          <w:tcPr>
            <w:tcW w:w="1340" w:type="dxa"/>
            <w:vAlign w:val="bottom"/>
            <w:gridSpan w:val="5"/>
          </w:tcPr>
          <w:p>
            <w:pPr>
              <w:jc w:val="center"/>
              <w:ind w:right="20"/>
              <w:spacing w:after="0" w:line="162" w:lineRule="exact"/>
              <w:rPr>
                <w:sz w:val="20"/>
                <w:szCs w:val="20"/>
                <w:color w:val="auto"/>
              </w:rPr>
            </w:pPr>
            <w:r>
              <w:rPr>
                <w:rFonts w:ascii="Arial" w:cs="Arial" w:eastAsia="Arial" w:hAnsi="Arial"/>
                <w:sz w:val="17"/>
                <w:szCs w:val="17"/>
                <w:color w:val="auto"/>
                <w:w w:val="97"/>
              </w:rPr>
              <w:t>Commercial &amp;</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41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Solutions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4"/>
              <w:spacing w:after="0"/>
              <w:rPr>
                <w:sz w:val="20"/>
                <w:szCs w:val="20"/>
                <w:color w:val="auto"/>
              </w:rPr>
            </w:pPr>
            <w:r>
              <w:rPr>
                <w:rFonts w:ascii="Arial" w:cs="Arial" w:eastAsia="Arial" w:hAnsi="Arial"/>
                <w:sz w:val="17"/>
                <w:szCs w:val="17"/>
                <w:color w:val="auto"/>
                <w:w w:val="95"/>
              </w:rPr>
              <w:t>Industrial</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268,253</w:t>
            </w:r>
          </w:p>
        </w:tc>
        <w:tc>
          <w:tcPr>
            <w:tcW w:w="62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803,945</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118,503</w:t>
            </w: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204,985</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1,395,686</w:t>
            </w:r>
          </w:p>
        </w:tc>
        <w:tc>
          <w:tcPr>
            <w:tcW w:w="0" w:type="dxa"/>
            <w:vAlign w:val="bottom"/>
          </w:tcPr>
          <w:p>
            <w:pPr>
              <w:spacing w:after="0"/>
              <w:rPr>
                <w:sz w:val="1"/>
                <w:szCs w:val="1"/>
                <w:color w:val="auto"/>
              </w:rPr>
            </w:pPr>
          </w:p>
        </w:tc>
      </w:tr>
      <w:tr>
        <w:trPr>
          <w:trHeight w:val="219"/>
        </w:trPr>
        <w:tc>
          <w:tcPr>
            <w:tcW w:w="3580" w:type="dxa"/>
            <w:vAlign w:val="bottom"/>
          </w:tcPr>
          <w:p>
            <w:pPr>
              <w:ind w:left="60"/>
              <w:spacing w:after="0"/>
              <w:rPr>
                <w:sz w:val="20"/>
                <w:szCs w:val="20"/>
                <w:color w:val="auto"/>
              </w:rPr>
            </w:pPr>
            <w:r>
              <w:rPr>
                <w:rFonts w:ascii="Arial" w:cs="Arial" w:eastAsia="Arial" w:hAnsi="Arial"/>
                <w:sz w:val="17"/>
                <w:szCs w:val="17"/>
                <w:color w:val="auto"/>
              </w:rPr>
              <w:t>Time-and-material</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134,523</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14,031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153,717</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402,776</w:t>
            </w:r>
          </w:p>
        </w:tc>
        <w:tc>
          <w:tcPr>
            <w:tcW w:w="62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803,945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123,666</w:t>
            </w:r>
          </w:p>
        </w:tc>
        <w:tc>
          <w:tcPr>
            <w:tcW w:w="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219,016</w:t>
            </w:r>
          </w:p>
        </w:tc>
        <w:tc>
          <w:tcPr>
            <w:tcW w:w="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1,549,403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and Allowance for Credit Losses</w:t>
      </w:r>
    </w:p>
    <w:p>
      <w:pPr>
        <w:spacing w:after="0" w:line="24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Accounts receivable include amounts that we have billed or have an unconditional right to bill our customers. As of June 30, 2023, Accounts receivable included $9,753 of unbilled receivables for which we have an unconditional right to bill.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line="279" w:lineRule="auto"/>
        <w:rPr>
          <w:sz w:val="20"/>
          <w:szCs w:val="20"/>
          <w:color w:val="auto"/>
        </w:rPr>
      </w:pPr>
      <w:r>
        <w:rPr>
          <w:rFonts w:ascii="Arial" w:cs="Arial" w:eastAsia="Arial" w:hAnsi="Arial"/>
          <w:sz w:val="17"/>
          <w:szCs w:val="17"/>
          <w:color w:val="auto"/>
        </w:rPr>
        <w:t>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190"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Other than trade receivables due in one year or less, we do not have any other financial assets that are past due or are on non-accrual status.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243"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18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During the nine months ended June 30, 2023 and 2022, we recognized revenue of $78,263 and $46,703 related to our contract liabilities at October 1, 2022 and 2021,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2023, we had remaining performance obligations of $1,071,605. The Company expects to recognize revenue on approximately $856,542 of the remaining performance obligations over the next 12 months, with the remainder recognized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June 30, 2023, net revenue recognized from our performance obligations satisfied in previous periods was not material.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3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are a party to the Third Amended and Restated Credit and Security Agreement (the "Amended Credit Agreement"), which provides for a maximum borrowing amount of $150,000 under our revolving credit facility. The Amended Credit Agreement, which matures on September 30, 2026, contains customary affirmative, negative and financial covenants as disclosed in Item 7 of our Annual Report on Form 10-K for the fiscal year ended September 30, 2022. As of June 30, 2023, the Company was in compliance with the financial covenants under the Amended Credit Agreement.</w:t>
      </w:r>
    </w:p>
    <w:p>
      <w:pPr>
        <w:spacing w:after="0" w:line="204" w:lineRule="exact"/>
        <w:rPr>
          <w:sz w:val="20"/>
          <w:szCs w:val="20"/>
          <w:color w:val="auto"/>
        </w:rPr>
      </w:pPr>
    </w:p>
    <w:p>
      <w:pPr>
        <w:jc w:val="both"/>
        <w:ind w:right="320"/>
        <w:spacing w:after="0" w:line="266" w:lineRule="auto"/>
        <w:rPr>
          <w:sz w:val="20"/>
          <w:szCs w:val="20"/>
          <w:color w:val="auto"/>
        </w:rPr>
      </w:pPr>
      <w:r>
        <w:rPr>
          <w:rFonts w:ascii="Arial" w:cs="Arial" w:eastAsia="Arial" w:hAnsi="Arial"/>
          <w:sz w:val="17"/>
          <w:szCs w:val="17"/>
          <w:color w:val="auto"/>
        </w:rPr>
        <w:t>At June 30, 2023, we had no outstanding borrowings under our revolving credit facility, and at September 30, 2022, we had outstanding borrowings under our revolving credit facility of $82,659. At June 30, 2023, we also had $4,166 in outstanding letters of credit and total availability of $143,396 under our revolving credit facility without triggering the financial covenants under the Amended Credit Facility.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20"/>
                <w:szCs w:val="20"/>
                <w:color w:val="auto"/>
              </w:rPr>
            </w:pPr>
            <w:r>
              <w:rPr>
                <w:rFonts w:ascii="Arial" w:cs="Arial" w:eastAsia="Arial" w:hAnsi="Arial"/>
                <w:sz w:val="17"/>
                <w:szCs w:val="17"/>
                <w:b w:val="1"/>
                <w:bCs w:val="1"/>
                <w:color w:val="auto"/>
              </w:rPr>
              <w:t>5. PER SHARE INFORMATION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8"/>
        </w:trPr>
        <w:tc>
          <w:tcPr>
            <w:tcW w:w="10220" w:type="dxa"/>
            <w:vAlign w:val="bottom"/>
            <w:gridSpan w:val="5"/>
          </w:tcPr>
          <w:p>
            <w:pPr>
              <w:spacing w:after="0"/>
              <w:rPr>
                <w:sz w:val="20"/>
                <w:szCs w:val="20"/>
                <w:color w:val="auto"/>
              </w:rPr>
            </w:pPr>
            <w:r>
              <w:rPr>
                <w:rFonts w:ascii="Arial" w:cs="Arial" w:eastAsia="Arial" w:hAnsi="Arial"/>
                <w:sz w:val="17"/>
                <w:szCs w:val="17"/>
                <w:color w:val="auto"/>
                <w:w w:val="91"/>
              </w:rPr>
              <w:t>The following tables reconcile the components of basic and diluted earnings per share for the three and nine months ended June 30, 2023 and 2022:</w:t>
            </w:r>
          </w:p>
        </w:tc>
        <w:tc>
          <w:tcPr>
            <w:tcW w:w="1020" w:type="dxa"/>
            <w:vAlign w:val="bottom"/>
          </w:tcPr>
          <w:p>
            <w:pPr>
              <w:spacing w:after="0"/>
              <w:rPr>
                <w:sz w:val="24"/>
                <w:szCs w:val="24"/>
                <w:color w:val="auto"/>
              </w:rPr>
            </w:pPr>
          </w:p>
        </w:tc>
      </w:tr>
      <w:tr>
        <w:trPr>
          <w:trHeight w:val="246"/>
        </w:trPr>
        <w:tc>
          <w:tcPr>
            <w:tcW w:w="8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7"/>
                <w:szCs w:val="17"/>
                <w:color w:val="auto"/>
                <w:w w:val="99"/>
              </w:rPr>
              <w:t>Three Months Ended June 30,</w:t>
            </w:r>
          </w:p>
        </w:tc>
      </w:tr>
      <w:tr>
        <w:trPr>
          <w:trHeight w:val="219"/>
        </w:trPr>
        <w:tc>
          <w:tcPr>
            <w:tcW w:w="8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22,546</w:t>
            </w: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9,465</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in noncontrolling interest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Net income attributable to restricted stockholders of IES Holdings, Inc.</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4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stockholders of IES Holdings, Inc.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20,181,793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20,718,195</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dilutive stock options and non-vested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223,909</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221,242</w:t>
            </w:r>
          </w:p>
        </w:tc>
      </w:tr>
      <w:tr>
        <w:trPr>
          <w:trHeight w:val="224"/>
        </w:trPr>
        <w:tc>
          <w:tcPr>
            <w:tcW w:w="8020" w:type="dxa"/>
            <w:vAlign w:val="bottom"/>
          </w:tcPr>
          <w:p>
            <w:pPr>
              <w:ind w:left="20"/>
              <w:spacing w:after="0"/>
              <w:rPr>
                <w:sz w:val="20"/>
                <w:szCs w:val="20"/>
                <w:color w:val="auto"/>
              </w:rPr>
            </w:pPr>
            <w:r>
              <w:rPr>
                <w:rFonts w:ascii="Arial" w:cs="Arial" w:eastAsia="Arial" w:hAnsi="Arial"/>
                <w:sz w:val="17"/>
                <w:szCs w:val="17"/>
                <w:color w:val="auto"/>
              </w:rPr>
              <w:t>Weighted average common and common equivalent shares outstanding — diluted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20,405,702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20,939,437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2"/>
        </w:trPr>
        <w:tc>
          <w:tcPr>
            <w:tcW w:w="8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r>
      <w:tr>
        <w:trPr>
          <w:trHeight w:val="218"/>
        </w:trPr>
        <w:tc>
          <w:tcPr>
            <w:tcW w:w="8020" w:type="dxa"/>
            <w:vAlign w:val="bottom"/>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0.81</w:t>
            </w: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0.33</w:t>
            </w:r>
          </w:p>
        </w:tc>
      </w:tr>
      <w:tr>
        <w:trPr>
          <w:trHeight w:val="497"/>
        </w:trPr>
        <w:tc>
          <w:tcPr>
            <w:tcW w:w="8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7"/>
                <w:szCs w:val="17"/>
                <w:color w:val="auto"/>
              </w:rPr>
              <w:t>Nine Months Ended June 30,</w:t>
            </w:r>
          </w:p>
        </w:tc>
      </w:tr>
      <w:tr>
        <w:trPr>
          <w:trHeight w:val="218"/>
        </w:trPr>
        <w:tc>
          <w:tcPr>
            <w:tcW w:w="8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70,499</w:t>
            </w: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18,517</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in noncontrolling interest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w:t>
            </w:r>
          </w:p>
        </w:tc>
      </w:tr>
      <w:tr>
        <w:trPr>
          <w:trHeight w:val="23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restricted stockholders of IES Holdings, Inc.</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stockholders of IES Holdings, Inc.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58,748</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20,198,474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20,730,900</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stock options and non-vested securities</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205,861</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544,926</w:t>
            </w:r>
          </w:p>
        </w:tc>
      </w:tr>
      <w:tr>
        <w:trPr>
          <w:trHeight w:val="213"/>
        </w:trPr>
        <w:tc>
          <w:tcPr>
            <w:tcW w:w="8020" w:type="dxa"/>
            <w:vAlign w:val="bottom"/>
          </w:tcPr>
          <w:p>
            <w:pPr>
              <w:ind w:left="20"/>
              <w:spacing w:after="0"/>
              <w:rPr>
                <w:sz w:val="20"/>
                <w:szCs w:val="20"/>
                <w:color w:val="auto"/>
              </w:rPr>
            </w:pPr>
            <w:r>
              <w:rPr>
                <w:rFonts w:ascii="Arial" w:cs="Arial" w:eastAsia="Arial" w:hAnsi="Arial"/>
                <w:sz w:val="17"/>
                <w:szCs w:val="17"/>
                <w:color w:val="auto"/>
              </w:rPr>
              <w:t>Weighted average common and common equivalent shares outstanding — diluted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20,404,335</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21,275,826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1"/>
        </w:trPr>
        <w:tc>
          <w:tcPr>
            <w:tcW w:w="8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r>
      <w:tr>
        <w:trPr>
          <w:trHeight w:val="218"/>
        </w:trPr>
        <w:tc>
          <w:tcPr>
            <w:tcW w:w="8020" w:type="dxa"/>
            <w:vAlign w:val="bottom"/>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2.88</w:t>
            </w: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0.71</w:t>
            </w:r>
          </w:p>
        </w:tc>
      </w:tr>
    </w:tbl>
    <w:p>
      <w:pPr>
        <w:spacing w:after="0" w:line="234"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For the three and nine months ended June 30, 2023 and 2022, the average price of our common shares exceeded the exercise price of all of our outstanding stock options; therefore, all of our outstanding stock options were included in the computation of diluted earnings per share. For the three months ended June 30, 2023 and the three and nine months ended June 30, 2022, all potentially dilutive unvested performance awards were included in the calculation of diluted earnings per share. For the nine months ended June 30, 2023, the computation of diluted earnings per share excluded certain unvested performance awards as the inclusion of such instruments would have been anti-dilutive.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OPERATING SEGMENTS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We manage and measure performance of our business in four distinct operating segments: Communications, Residential, Infrastructure Solutions, and Commercial</w:t>
      </w:r>
    </w:p>
    <w:p>
      <w:pPr>
        <w:spacing w:after="0" w:line="45" w:lineRule="exact"/>
        <w:rPr>
          <w:sz w:val="20"/>
          <w:szCs w:val="20"/>
          <w:color w:val="auto"/>
        </w:rPr>
      </w:pPr>
    </w:p>
    <w:p>
      <w:pPr>
        <w:ind w:right="520" w:firstLine="3"/>
        <w:spacing w:after="0" w:line="266" w:lineRule="auto"/>
        <w:tabs>
          <w:tab w:leader="none" w:pos="177"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6" w:name="page17"/>
    <w:bookmarkEnd w:id="16"/>
    <w:p>
      <w:pPr>
        <w:ind w:right="40"/>
        <w:spacing w:after="0" w:line="266" w:lineRule="auto"/>
        <w:rPr>
          <w:sz w:val="20"/>
          <w:szCs w:val="20"/>
          <w:color w:val="auto"/>
        </w:rPr>
      </w:pPr>
      <w:r>
        <w:rPr>
          <w:rFonts w:ascii="Arial" w:cs="Arial" w:eastAsia="Arial" w:hAnsi="Arial"/>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the three and nine months ended June 30, 2023 and 2022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ind w:left="40"/>
              <w:spacing w:after="0"/>
              <w:rPr>
                <w:sz w:val="20"/>
                <w:szCs w:val="20"/>
                <w:color w:val="auto"/>
              </w:rPr>
            </w:pPr>
            <w:r>
              <w:rPr>
                <w:rFonts w:ascii="Arial" w:cs="Arial" w:eastAsia="Arial" w:hAnsi="Arial"/>
                <w:sz w:val="15"/>
                <w:szCs w:val="15"/>
                <w:color w:val="auto"/>
              </w:rPr>
              <w:t>Three Months Ended June 30, 2023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163"/>
              <w:spacing w:after="0"/>
              <w:rPr>
                <w:sz w:val="20"/>
                <w:szCs w:val="20"/>
                <w:color w:val="auto"/>
              </w:rPr>
            </w:pPr>
            <w:r>
              <w:rPr>
                <w:rFonts w:ascii="Arial" w:cs="Arial" w:eastAsia="Arial" w:hAnsi="Arial"/>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03"/>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43"/>
              <w:spacing w:after="0" w:line="156" w:lineRule="exact"/>
              <w:rPr>
                <w:sz w:val="20"/>
                <w:szCs w:val="20"/>
                <w:color w:val="auto"/>
              </w:rPr>
            </w:pPr>
            <w:r>
              <w:rPr>
                <w:rFonts w:ascii="Arial" w:cs="Arial" w:eastAsia="Arial" w:hAnsi="Arial"/>
                <w:sz w:val="15"/>
                <w:szCs w:val="15"/>
                <w:color w:val="auto"/>
                <w:w w:val="97"/>
              </w:rPr>
              <w:t>Commercial &amp;</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5"/>
                <w:szCs w:val="15"/>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Solutions</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8"/>
              </w:rPr>
              <w:t>Industrial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141,615</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318,011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57,057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67,768</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584,451</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Cost of services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260,679</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42,851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58,872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476,842</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27,175</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57,332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14,206</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8,896</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107,609</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13,680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41,939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7,066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6,284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5,331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74,300</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Gain on sale of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13,496</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15,379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8,150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34,319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5"/>
                <w:szCs w:val="15"/>
                <w:color w:val="auto"/>
              </w:rPr>
              <w:t>Other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1,300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6,878</w:t>
            </w:r>
          </w:p>
        </w:tc>
        <w:tc>
          <w:tcPr>
            <w:tcW w:w="0" w:type="dxa"/>
            <w:vAlign w:val="bottom"/>
          </w:tcPr>
          <w:p>
            <w:pPr>
              <w:spacing w:after="0"/>
              <w:rPr>
                <w:sz w:val="1"/>
                <w:szCs w:val="1"/>
                <w:color w:val="auto"/>
              </w:rPr>
            </w:pPr>
          </w:p>
        </w:tc>
      </w:tr>
      <w:tr>
        <w:trPr>
          <w:trHeight w:val="203"/>
        </w:trPr>
        <w:tc>
          <w:tcPr>
            <w:tcW w:w="3180" w:type="dxa"/>
            <w:vAlign w:val="bottom"/>
          </w:tcPr>
          <w:p>
            <w:pPr>
              <w:ind w:left="16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261</w:t>
            </w:r>
          </w:p>
        </w:tc>
        <w:tc>
          <w:tcPr>
            <w:tcW w:w="3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2,461</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918</w:t>
            </w:r>
          </w:p>
        </w:tc>
        <w:tc>
          <w:tcPr>
            <w:tcW w:w="2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800</w:t>
            </w:r>
          </w:p>
        </w:tc>
        <w:tc>
          <w:tcPr>
            <w:tcW w:w="34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169</w:t>
            </w:r>
          </w:p>
        </w:tc>
        <w:tc>
          <w:tcPr>
            <w:tcW w:w="40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4,609</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182,117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381,840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179,363</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84,101</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72,307</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899,728</w:t>
            </w:r>
          </w:p>
        </w:tc>
        <w:tc>
          <w:tcPr>
            <w:tcW w:w="0" w:type="dxa"/>
            <w:vAlign w:val="bottom"/>
          </w:tcPr>
          <w:p>
            <w:pPr>
              <w:spacing w:after="0"/>
              <w:rPr>
                <w:sz w:val="1"/>
                <w:szCs w:val="1"/>
                <w:color w:val="auto"/>
              </w:rPr>
            </w:pPr>
          </w:p>
        </w:tc>
      </w:tr>
      <w:tr>
        <w:trPr>
          <w:trHeight w:val="320"/>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40"/>
              <w:spacing w:after="0"/>
              <w:rPr>
                <w:sz w:val="20"/>
                <w:szCs w:val="20"/>
                <w:color w:val="auto"/>
              </w:rPr>
            </w:pPr>
            <w:r>
              <w:rPr>
                <w:rFonts w:ascii="Arial" w:cs="Arial" w:eastAsia="Arial" w:hAnsi="Arial"/>
                <w:sz w:val="15"/>
                <w:szCs w:val="15"/>
                <w:color w:val="auto"/>
              </w:rPr>
              <w:t>Three Months Ended June 30, 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163"/>
              <w:spacing w:after="0"/>
              <w:rPr>
                <w:sz w:val="20"/>
                <w:szCs w:val="20"/>
                <w:color w:val="auto"/>
              </w:rPr>
            </w:pPr>
            <w:r>
              <w:rPr>
                <w:rFonts w:ascii="Arial" w:cs="Arial" w:eastAsia="Arial" w:hAnsi="Arial"/>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3"/>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3"/>
              <w:spacing w:after="0" w:line="156" w:lineRule="exact"/>
              <w:rPr>
                <w:sz w:val="20"/>
                <w:szCs w:val="20"/>
                <w:color w:val="auto"/>
              </w:rPr>
            </w:pPr>
            <w:r>
              <w:rPr>
                <w:rFonts w:ascii="Arial" w:cs="Arial" w:eastAsia="Arial" w:hAnsi="Arial"/>
                <w:sz w:val="15"/>
                <w:szCs w:val="15"/>
                <w:color w:val="auto"/>
                <w:w w:val="97"/>
              </w:rPr>
              <w:t>Commercial &amp;</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83"/>
              <w:spacing w:after="0"/>
              <w:rPr>
                <w:sz w:val="20"/>
                <w:szCs w:val="20"/>
                <w:color w:val="auto"/>
              </w:rPr>
            </w:pPr>
            <w:r>
              <w:rPr>
                <w:rFonts w:ascii="Arial" w:cs="Arial" w:eastAsia="Arial" w:hAnsi="Arial"/>
                <w:sz w:val="15"/>
                <w:szCs w:val="15"/>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4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3"/>
              </w:rPr>
              <w:t>Solutions</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color w:val="auto"/>
                <w:w w:val="98"/>
              </w:rPr>
              <w:t>Industrial</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144,748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301,763</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39,837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80,953</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567,301</w:t>
            </w:r>
          </w:p>
        </w:tc>
        <w:tc>
          <w:tcPr>
            <w:tcW w:w="0" w:type="dxa"/>
            <w:vAlign w:val="bottom"/>
          </w:tcPr>
          <w:p>
            <w:pPr>
              <w:spacing w:after="0"/>
              <w:rPr>
                <w:sz w:val="1"/>
                <w:szCs w:val="1"/>
                <w:color w:val="auto"/>
              </w:rPr>
            </w:pPr>
          </w:p>
        </w:tc>
      </w:tr>
      <w:tr>
        <w:trPr>
          <w:trHeight w:val="20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128,952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248,928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33,726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72,895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484,501</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15,796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52,835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82,800</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11,544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37,237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6,484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7,788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67,090</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Loss (gain) on sale of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15,522</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(4,037)</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15,637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Other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3,863</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6,372</w:t>
            </w:r>
          </w:p>
        </w:tc>
        <w:tc>
          <w:tcPr>
            <w:tcW w:w="0" w:type="dxa"/>
            <w:vAlign w:val="bottom"/>
          </w:tcPr>
          <w:p>
            <w:pPr>
              <w:spacing w:after="0"/>
              <w:rPr>
                <w:sz w:val="1"/>
                <w:szCs w:val="1"/>
                <w:color w:val="auto"/>
              </w:rPr>
            </w:pPr>
          </w:p>
        </w:tc>
      </w:tr>
      <w:tr>
        <w:trPr>
          <w:trHeight w:val="203"/>
        </w:trPr>
        <w:tc>
          <w:tcPr>
            <w:tcW w:w="3180" w:type="dxa"/>
            <w:vAlign w:val="bottom"/>
          </w:tcPr>
          <w:p>
            <w:pPr>
              <w:ind w:left="16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424</w:t>
            </w:r>
          </w:p>
        </w:tc>
        <w:tc>
          <w:tcPr>
            <w:tcW w:w="3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1,115</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3,071</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372</w:t>
            </w:r>
          </w:p>
        </w:tc>
        <w:tc>
          <w:tcPr>
            <w:tcW w:w="34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4,982</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196,520</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376,328</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152,405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111,782</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47,357</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884,392</w:t>
            </w:r>
          </w:p>
        </w:tc>
        <w:tc>
          <w:tcPr>
            <w:tcW w:w="0" w:type="dxa"/>
            <w:vAlign w:val="bottom"/>
          </w:tcPr>
          <w:p>
            <w:pPr>
              <w:spacing w:after="0"/>
              <w:rPr>
                <w:sz w:val="1"/>
                <w:szCs w:val="1"/>
                <w:color w:val="auto"/>
              </w:rPr>
            </w:pPr>
          </w:p>
        </w:tc>
      </w:tr>
      <w:tr>
        <w:trPr>
          <w:trHeight w:val="539"/>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5"/>
                <w:szCs w:val="15"/>
                <w:color w:val="auto"/>
                <w:w w:val="95"/>
              </w:rPr>
              <w:t>Nine Months Ended June 30, 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163"/>
              <w:spacing w:after="0"/>
              <w:rPr>
                <w:sz w:val="20"/>
                <w:szCs w:val="20"/>
                <w:color w:val="auto"/>
              </w:rPr>
            </w:pPr>
            <w:r>
              <w:rPr>
                <w:rFonts w:ascii="Arial" w:cs="Arial" w:eastAsia="Arial" w:hAnsi="Arial"/>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3"/>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3"/>
              <w:spacing w:after="0" w:line="156" w:lineRule="exact"/>
              <w:rPr>
                <w:sz w:val="20"/>
                <w:szCs w:val="20"/>
                <w:color w:val="auto"/>
              </w:rPr>
            </w:pPr>
            <w:r>
              <w:rPr>
                <w:rFonts w:ascii="Arial" w:cs="Arial" w:eastAsia="Arial" w:hAnsi="Arial"/>
                <w:sz w:val="15"/>
                <w:szCs w:val="15"/>
                <w:color w:val="auto"/>
                <w:w w:val="97"/>
              </w:rPr>
              <w:t>Commercial &amp;</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203"/>
              <w:spacing w:after="0"/>
              <w:rPr>
                <w:sz w:val="20"/>
                <w:szCs w:val="20"/>
                <w:color w:val="auto"/>
              </w:rPr>
            </w:pPr>
            <w:r>
              <w:rPr>
                <w:rFonts w:ascii="Arial" w:cs="Arial" w:eastAsia="Arial" w:hAnsi="Arial"/>
                <w:sz w:val="15"/>
                <w:szCs w:val="15"/>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4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7"/>
              </w:rPr>
              <w:t>Solutions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color w:val="auto"/>
                <w:w w:val="98"/>
              </w:rPr>
              <w:t>Industrial</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429,980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942,201</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158,957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197,068</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1,728,206</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Cost of services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355,904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770,419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120,089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177,821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1,424,233</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74,076</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171,782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38,868</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19,247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303,973</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39,363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118,989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18,817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18,373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15,875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211,417</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Gain on sale of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(13,147)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(14,242)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52,647</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21,080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14,021</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(15,875)</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106,590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Other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13,310</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20,130</w:t>
            </w:r>
          </w:p>
        </w:tc>
        <w:tc>
          <w:tcPr>
            <w:tcW w:w="0" w:type="dxa"/>
            <w:vAlign w:val="bottom"/>
          </w:tcPr>
          <w:p>
            <w:pPr>
              <w:spacing w:after="0"/>
              <w:rPr>
                <w:sz w:val="1"/>
                <w:szCs w:val="1"/>
                <w:color w:val="auto"/>
              </w:rPr>
            </w:pPr>
          </w:p>
        </w:tc>
      </w:tr>
      <w:tr>
        <w:trPr>
          <w:trHeight w:val="203"/>
        </w:trPr>
        <w:tc>
          <w:tcPr>
            <w:tcW w:w="3180" w:type="dxa"/>
            <w:vAlign w:val="bottom"/>
          </w:tcPr>
          <w:p>
            <w:pPr>
              <w:ind w:left="16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1,383</w:t>
            </w:r>
          </w:p>
        </w:tc>
        <w:tc>
          <w:tcPr>
            <w:tcW w:w="3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5,548</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2,117</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2,069</w:t>
            </w:r>
          </w:p>
        </w:tc>
        <w:tc>
          <w:tcPr>
            <w:tcW w:w="34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169</w:t>
            </w:r>
          </w:p>
        </w:tc>
        <w:tc>
          <w:tcPr>
            <w:tcW w:w="40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11,286</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182,117</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381,840</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179,363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84,101</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72,307</w:t>
            </w:r>
          </w:p>
        </w:tc>
        <w:tc>
          <w:tcPr>
            <w:tcW w:w="4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899,728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9"/>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jc w:val="right"/>
              <w:ind w:right="223"/>
              <w:spacing w:after="0"/>
              <w:rPr>
                <w:sz w:val="20"/>
                <w:szCs w:val="20"/>
                <w:color w:val="auto"/>
              </w:rPr>
            </w:pPr>
            <w:r>
              <w:rPr>
                <w:rFonts w:ascii="Arial" w:cs="Arial" w:eastAsia="Arial" w:hAnsi="Arial"/>
                <w:sz w:val="15"/>
                <w:szCs w:val="15"/>
                <w:color w:val="auto"/>
                <w:w w:val="95"/>
              </w:rPr>
              <w:t>Nine Months Ended June 30, 2022</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163"/>
              <w:spacing w:after="0"/>
              <w:rPr>
                <w:sz w:val="20"/>
                <w:szCs w:val="20"/>
                <w:color w:val="auto"/>
              </w:rPr>
            </w:pPr>
            <w:r>
              <w:rPr>
                <w:rFonts w:ascii="Arial" w:cs="Arial" w:eastAsia="Arial" w:hAnsi="Arial"/>
                <w:sz w:val="15"/>
                <w:szCs w:val="15"/>
                <w:color w:val="auto"/>
              </w:rPr>
              <w:t>Residential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03"/>
              <w:spacing w:after="0" w:line="156" w:lineRule="exact"/>
              <w:rPr>
                <w:sz w:val="20"/>
                <w:szCs w:val="20"/>
                <w:color w:val="auto"/>
              </w:rPr>
            </w:pPr>
            <w:r>
              <w:rPr>
                <w:rFonts w:ascii="Arial" w:cs="Arial" w:eastAsia="Arial" w:hAnsi="Arial"/>
                <w:sz w:val="15"/>
                <w:szCs w:val="15"/>
                <w:color w:val="auto"/>
                <w:w w:val="97"/>
              </w:rPr>
              <w:t>Infrastructure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43"/>
              <w:spacing w:after="0" w:line="156" w:lineRule="exact"/>
              <w:rPr>
                <w:sz w:val="20"/>
                <w:szCs w:val="20"/>
                <w:color w:val="auto"/>
              </w:rPr>
            </w:pPr>
            <w:r>
              <w:rPr>
                <w:rFonts w:ascii="Arial" w:cs="Arial" w:eastAsia="Arial" w:hAnsi="Arial"/>
                <w:sz w:val="15"/>
                <w:szCs w:val="15"/>
                <w:color w:val="auto"/>
                <w:w w:val="99"/>
              </w:rPr>
              <w:t>Commercial &amp;</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5"/>
                <w:szCs w:val="15"/>
                <w:color w:val="auto"/>
              </w:rPr>
              <w:t>Corporate</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Solutions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Industrial</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402,776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803,945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219,016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1,549,403</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Cost of services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355,360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662,928</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102,774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207,307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1,328,369</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47,416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141,017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20,892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11,709</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221,034</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33,907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101,808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18,933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23,504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189,922</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Loss (gain) on sale of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(11,770)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30,974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Other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18,742</w:t>
            </w:r>
          </w:p>
        </w:tc>
        <w:tc>
          <w:tcPr>
            <w:tcW w:w="0" w:type="dxa"/>
            <w:vAlign w:val="bottom"/>
          </w:tcPr>
          <w:p>
            <w:pPr>
              <w:spacing w:after="0"/>
              <w:rPr>
                <w:sz w:val="1"/>
                <w:szCs w:val="1"/>
                <w:color w:val="auto"/>
              </w:rPr>
            </w:pPr>
          </w:p>
        </w:tc>
      </w:tr>
      <w:tr>
        <w:trPr>
          <w:trHeight w:val="203"/>
        </w:trPr>
        <w:tc>
          <w:tcPr>
            <w:tcW w:w="3180" w:type="dxa"/>
            <w:vAlign w:val="bottom"/>
          </w:tcPr>
          <w:p>
            <w:pPr>
              <w:ind w:left="16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1,768</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9,006</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14,210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1,457</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168</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26,609</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884,392</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Incentive Plan</w:t>
      </w:r>
    </w:p>
    <w:p>
      <w:pPr>
        <w:spacing w:after="0" w:line="243"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618,222 shares were available for issuance at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2015, our Board authorized a stock repurchase program for the purchase from time to time of up to 1.5 million shares of the Company’s common stock, and in 2019 authorized the repurchase from time to time of up to an additional 1.0 million shares under the program. In December 2022, our Board terminated the remaining authorization under this program, and approved a new $40,000 share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234 and 224,013 shares, respectively, of our common stock during the three and nine months ended June 30, 2023 in open market transactions at an average price of $40.00 and $31.06, respectively, per share. During the three and nine months ended June 30, 2022, we repurchased 185,887 and 244,889 shares, respectively, of our common stock in open market transactions at an average price of $29.94 and $34.01, respectively, per share.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During the nine months ended June 30, 2023, we issued 103,053 shares of common stock from treasury stock to employees and repurchased 31,095 shares of common stock from our employees to satisfy statutory tax withholding requirements upon the vesting of certain performance phantom stock units under the Equity Incentive Plan. In addition, 266 restricted shares were forfeited and returned to treasury stock. During the nine months ended June 30, 2023, we issued 2,000 unrestricted shares to satisfy the exercise of outstanding options.</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During the nine months ended June 30, 2022, we issued 73,627 shares of common stock from treasury stock to employees and repurchased 45,198 shares of common stock from our employees to satisfy statutory tax withholding requirements upon the vesting of certain performance phantom stock units under the Equity Incentive Plan. In addition, we issued 83,540 shares from treasury stock to satisfy the vesting of Director PSUs (as defined below) in conjunction with the departure of a Board member.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granted no restricted shares to executives during the nine months ended June 30, 2023. Of the awards previously granted, 13,373 shares vested and 266 shares were forfeited. We did not recognize any compensation expense related to restricted stock awards during the three months ended June 30, 2023, and during the three months ended June 30, 2022 we recognized $36 in compensation expense related to restricted stock awards. During the nine months ended June 30, 2023 and 2022, we recognized $25 and $107,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80" w:right="339" w:bottom="1440" w:gutter="0" w:footer="0" w:header="0"/>
        </w:sectPr>
      </w:pPr>
    </w:p>
    <w:bookmarkStart w:id="18" w:name="page19"/>
    <w:bookmarkEnd w:id="18"/>
    <w:p>
      <w:pPr>
        <w:ind w:right="200"/>
        <w:spacing w:after="0" w:line="279" w:lineRule="auto"/>
        <w:rPr>
          <w:sz w:val="20"/>
          <w:szCs w:val="20"/>
          <w:color w:val="auto"/>
        </w:rPr>
      </w:pPr>
      <w:r>
        <w:rPr>
          <w:rFonts w:ascii="Arial" w:cs="Arial" w:eastAsia="Arial" w:hAnsi="Arial"/>
          <w:sz w:val="17"/>
          <w:szCs w:val="17"/>
          <w:color w:val="auto"/>
        </w:rPr>
        <w:t>in compensation expense related to restricted stock awards. At June 30, 2023, we had no remaining unvested restricted shares or unamortized compensation cost related to outstanding unvested restricted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Phantom Stock Units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We recognized compensation expense related to these grants of $99 and $96 during the three months ended June 30, 2023 and 2022, respectively, and $289 and $289 during the nine months ended June 30, 2023 and 2022,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Phantom Stock Units</w:t>
      </w:r>
    </w:p>
    <w:p>
      <w:pPr>
        <w:spacing w:after="0" w:line="24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of June 30, 2023, the Company had outstanding Employee PSUs, which, subject to the achievement of certain performance metrics, could result in the issuance of 330,660 shares of common stock. During the nine months ended June 30, 2023, we granted 130,739 Employee PSUs, 12,987 were forfeited, and 103,053 vested. During the three months ended June 30, 2023 and 2022, we recognized $1,200 and $866, respectively, in compensation expense related to Employee PSU grants. During the nine months ended June 30, 2023 and 2022, we recognized $2,941 and $2,498, respectively, in compensation expense related to Employee PSU grants.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FAIR VALUE MEASUREMENTS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 Accounting</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Fair value is considered the price to sell an asset, or transfer a liability, between market participants on the measurement date. Fair value measurements assume that</w:t>
      </w:r>
    </w:p>
    <w:p>
      <w:pPr>
        <w:spacing w:after="0" w:line="45" w:lineRule="exact"/>
        <w:rPr>
          <w:sz w:val="20"/>
          <w:szCs w:val="20"/>
          <w:color w:val="auto"/>
        </w:rPr>
      </w:pPr>
    </w:p>
    <w:p>
      <w:pPr>
        <w:ind w:right="120" w:firstLine="3"/>
        <w:spacing w:after="0" w:line="255" w:lineRule="auto"/>
        <w:tabs>
          <w:tab w:leader="none" w:pos="24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1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At June 30, 2023, financial assets and liabilities measured at fair value on a recurring basis were limited to our Executive Deferred Compensation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20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Financial assets and liabilities measured at fair value on a recurring basis as of June 30, 2023 and September 30, 2022,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June 30, 2023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74"/>
              <w:spacing w:after="0" w:line="175" w:lineRule="exact"/>
              <w:rPr>
                <w:sz w:val="20"/>
                <w:szCs w:val="20"/>
                <w:color w:val="auto"/>
              </w:rPr>
            </w:pPr>
            <w:r>
              <w:rPr>
                <w:rFonts w:ascii="Arial" w:cs="Arial" w:eastAsia="Arial" w:hAnsi="Arial"/>
                <w:sz w:val="17"/>
                <w:szCs w:val="17"/>
                <w:color w:val="auto"/>
              </w:rPr>
              <w:t>Significant</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7"/>
                <w:szCs w:val="17"/>
                <w:color w:val="auto"/>
              </w:rPr>
              <w:t>Total Fair Value</w:t>
            </w:r>
          </w:p>
        </w:tc>
        <w:tc>
          <w:tcPr>
            <w:tcW w:w="220" w:type="dxa"/>
            <w:vAlign w:val="bottom"/>
          </w:tcPr>
          <w:p>
            <w:pPr>
              <w:spacing w:after="0"/>
              <w:rPr>
                <w:sz w:val="14"/>
                <w:szCs w:val="14"/>
                <w:color w:val="auto"/>
              </w:rPr>
            </w:pPr>
          </w:p>
        </w:tc>
        <w:tc>
          <w:tcPr>
            <w:tcW w:w="1540" w:type="dxa"/>
            <w:vAlign w:val="bottom"/>
            <w:gridSpan w:val="2"/>
          </w:tcPr>
          <w:p>
            <w:pPr>
              <w:jc w:val="center"/>
              <w:ind w:right="140"/>
              <w:spacing w:after="0" w:line="167" w:lineRule="exact"/>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Arial" w:cs="Arial" w:eastAsia="Arial" w:hAnsi="Arial"/>
                <w:sz w:val="17"/>
                <w:szCs w:val="17"/>
                <w:color w:val="auto"/>
                <w:w w:val="92"/>
              </w:rPr>
              <w:t>Unobservable Inputs</w:t>
            </w:r>
          </w:p>
        </w:tc>
        <w:tc>
          <w:tcPr>
            <w:tcW w:w="0" w:type="dxa"/>
            <w:vAlign w:val="bottom"/>
          </w:tcPr>
          <w:p>
            <w:pPr>
              <w:spacing w:after="0"/>
              <w:rPr>
                <w:sz w:val="1"/>
                <w:szCs w:val="1"/>
                <w:color w:val="auto"/>
              </w:rPr>
            </w:pPr>
          </w:p>
        </w:tc>
      </w:tr>
      <w:tr>
        <w:trPr>
          <w:trHeight w:val="218"/>
        </w:trPr>
        <w:tc>
          <w:tcPr>
            <w:tcW w:w="3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savings plan assets</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Executive savings plan liabilities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consideration liability</w:t>
            </w:r>
          </w:p>
        </w:tc>
        <w:tc>
          <w:tcPr>
            <w:tcW w:w="1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(4,429)</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(4,429)</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Arial" w:cs="Arial" w:eastAsia="Arial" w:hAnsi="Arial"/>
                <w:sz w:val="17"/>
                <w:szCs w:val="17"/>
                <w:color w:val="auto"/>
              </w:rPr>
              <w:t>Total</w:t>
            </w:r>
          </w:p>
        </w:tc>
        <w:tc>
          <w:tcPr>
            <w:tcW w:w="23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(4,302)</w:t>
            </w:r>
          </w:p>
        </w:tc>
        <w:tc>
          <w:tcPr>
            <w:tcW w:w="14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(4,429)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60" w:type="dxa"/>
            <w:vAlign w:val="bottom"/>
            <w:vMerge w:val="restart"/>
          </w:tcPr>
          <w:p>
            <w:pPr>
              <w:jc w:val="right"/>
              <w:ind w:right="114"/>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39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4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8"/>
        </w:trPr>
        <w:tc>
          <w:tcPr>
            <w:tcW w:w="5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September 30, 2022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74"/>
              <w:spacing w:after="0" w:line="175" w:lineRule="exact"/>
              <w:rPr>
                <w:sz w:val="20"/>
                <w:szCs w:val="20"/>
                <w:color w:val="auto"/>
              </w:rPr>
            </w:pPr>
            <w:r>
              <w:rPr>
                <w:rFonts w:ascii="Arial" w:cs="Arial" w:eastAsia="Arial" w:hAnsi="Arial"/>
                <w:sz w:val="17"/>
                <w:szCs w:val="17"/>
                <w:color w:val="auto"/>
              </w:rPr>
              <w:t>Significant</w:t>
            </w:r>
          </w:p>
        </w:tc>
        <w:tc>
          <w:tcPr>
            <w:tcW w:w="0" w:type="dxa"/>
            <w:vAlign w:val="bottom"/>
          </w:tcPr>
          <w:p>
            <w:pPr>
              <w:spacing w:after="0"/>
              <w:rPr>
                <w:sz w:val="1"/>
                <w:szCs w:val="1"/>
                <w:color w:val="auto"/>
              </w:rPr>
            </w:pPr>
          </w:p>
        </w:tc>
      </w:tr>
      <w:tr>
        <w:trPr>
          <w:trHeight w:val="168"/>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7"/>
                <w:szCs w:val="17"/>
                <w:color w:val="auto"/>
              </w:rPr>
              <w:t>Total 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40"/>
              <w:spacing w:after="0" w:line="167" w:lineRule="exact"/>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Arial" w:cs="Arial" w:eastAsia="Arial" w:hAnsi="Arial"/>
                <w:sz w:val="17"/>
                <w:szCs w:val="17"/>
                <w:color w:val="auto"/>
                <w:w w:val="92"/>
              </w:rPr>
              <w:t>Unobservable Inputs</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savings plan assets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1,937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savings plan liabilities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 liability</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(4,323)</w:t>
            </w:r>
          </w:p>
        </w:tc>
        <w:tc>
          <w:tcPr>
            <w:tcW w:w="0" w:type="dxa"/>
            <w:vAlign w:val="bottom"/>
          </w:tcPr>
          <w:p>
            <w:pPr>
              <w:spacing w:after="0"/>
              <w:rPr>
                <w:sz w:val="1"/>
                <w:szCs w:val="1"/>
                <w:color w:val="auto"/>
              </w:rPr>
            </w:pPr>
          </w:p>
        </w:tc>
      </w:tr>
      <w:tr>
        <w:trPr>
          <w:trHeight w:val="23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fiscal year 2021, we entered into a contingent consideration arrangement related to the acquisition of Bayonet. At June 30, 2023, we estimated the fair value of this contingent consideration liability at $4,429. The table below presents the change in fair value of this obligation, which used significant unobservable inputs (Level 3).</w:t>
      </w:r>
    </w:p>
    <w:p>
      <w:pPr>
        <w:spacing w:after="0" w:line="134" w:lineRule="exact"/>
        <w:rPr>
          <w:sz w:val="20"/>
          <w:szCs w:val="20"/>
          <w:color w:val="auto"/>
        </w:rPr>
      </w:pPr>
    </w:p>
    <w:tbl>
      <w:tblPr>
        <w:tblLayout w:type="fixed"/>
        <w:tblInd w:w="234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w w:val="92"/>
              </w:rPr>
              <w:t>Contingent Consideration</w:t>
            </w:r>
          </w:p>
        </w:tc>
      </w:tr>
      <w:tr>
        <w:trPr>
          <w:trHeight w:val="218"/>
        </w:trPr>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jc w:val="right"/>
              <w:ind w:right="414"/>
              <w:spacing w:after="0"/>
              <w:rPr>
                <w:sz w:val="20"/>
                <w:szCs w:val="20"/>
                <w:color w:val="auto"/>
              </w:rPr>
            </w:pPr>
            <w:r>
              <w:rPr>
                <w:rFonts w:ascii="Arial" w:cs="Arial" w:eastAsia="Arial" w:hAnsi="Arial"/>
                <w:sz w:val="17"/>
                <w:szCs w:val="17"/>
                <w:color w:val="auto"/>
              </w:rPr>
              <w:t>Agreements</w:t>
            </w:r>
          </w:p>
        </w:tc>
      </w:tr>
      <w:tr>
        <w:trPr>
          <w:trHeight w:val="233"/>
        </w:trPr>
        <w:tc>
          <w:tcPr>
            <w:tcW w:w="3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Fair value at September 30, 2022</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w:t>
            </w:r>
          </w:p>
        </w:tc>
      </w:tr>
      <w:tr>
        <w:trPr>
          <w:trHeight w:val="218"/>
        </w:trPr>
        <w:tc>
          <w:tcPr>
            <w:tcW w:w="34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adjustments to fair value</w:t>
            </w:r>
          </w:p>
        </w:tc>
        <w:tc>
          <w:tcPr>
            <w:tcW w:w="13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r>
        <w:trPr>
          <w:trHeight w:val="238"/>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Fair value at June 30, 2023</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INVENTORY</w:t>
      </w:r>
    </w:p>
    <w:p>
      <w:pPr>
        <w:sectPr>
          <w:pgSz w:w="11900" w:h="16838" w:orient="portrait"/>
          <w:cols w:equalWidth="0" w:num="1">
            <w:col w:w="11240"/>
          </w:cols>
          <w:pgMar w:left="320" w:top="475" w:right="3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Inventories consist of the following components:</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Raw materials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 in process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Finished goods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Parts and supplies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1440" w:type="dxa"/>
            <w:vAlign w:val="bottom"/>
          </w:tcPr>
          <w:p>
            <w:pPr>
              <w:jc w:val="right"/>
              <w:ind w:right="534"/>
              <w:spacing w:after="0"/>
              <w:rPr>
                <w:sz w:val="20"/>
                <w:szCs w:val="20"/>
                <w:color w:val="auto"/>
              </w:rPr>
            </w:pPr>
            <w:r>
              <w:rPr>
                <w:rFonts w:ascii="Arial" w:cs="Arial" w:eastAsia="Arial" w:hAnsi="Arial"/>
                <w:sz w:val="17"/>
                <w:szCs w:val="17"/>
                <w:color w:val="auto"/>
              </w:rPr>
              <w:t>June 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September 30,</w:t>
            </w:r>
          </w:p>
        </w:tc>
      </w:tr>
      <w:tr>
        <w:trPr>
          <w:trHeight w:val="220"/>
        </w:trPr>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2022</w:t>
            </w:r>
          </w:p>
        </w:tc>
      </w:tr>
      <w:tr>
        <w:trPr>
          <w:trHeight w:val="211"/>
        </w:trPr>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14,387</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12,504</w:t>
            </w:r>
          </w:p>
        </w:tc>
      </w:tr>
      <w:tr>
        <w:trPr>
          <w:trHeight w:val="219"/>
        </w:trPr>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12,010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8,218</w:t>
            </w:r>
          </w:p>
        </w:tc>
      </w:tr>
      <w:tr>
        <w:trPr>
          <w:trHeight w:val="232"/>
        </w:trPr>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2,748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2,129</w:t>
            </w:r>
          </w:p>
        </w:tc>
      </w:tr>
      <w:tr>
        <w:trPr>
          <w:trHeight w:val="220"/>
        </w:trPr>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73,449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73,482</w:t>
            </w:r>
          </w:p>
        </w:tc>
      </w:tr>
      <w:tr>
        <w:trPr>
          <w:trHeight w:val="219"/>
        </w:trPr>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102,594</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96,333</w:t>
            </w:r>
          </w:p>
        </w:tc>
      </w:tr>
      <w:tr>
        <w:trPr>
          <w:trHeight w:val="26"/>
        </w:trPr>
        <w:tc>
          <w:tcPr>
            <w:tcW w:w="36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-752475</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-466090</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-179705</wp:posOffset>
            </wp:positionV>
            <wp:extent cx="7138670" cy="163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20"/>
          </w:cols>
          <w:pgMar w:left="320" w:top="475" w:right="3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GOODWILL AND INTANGIBLE ASSETS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carrying value of goodwill by segment at June 30, 2023, which was unchanged from September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Infrastructure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5"/>
          </w:tcPr>
          <w:p>
            <w:pPr>
              <w:jc w:val="center"/>
              <w:ind w:right="500"/>
              <w:spacing w:after="0"/>
              <w:rPr>
                <w:sz w:val="20"/>
                <w:szCs w:val="20"/>
                <w:color w:val="auto"/>
              </w:rPr>
            </w:pPr>
            <w:r>
              <w:rPr>
                <w:rFonts w:ascii="Arial" w:cs="Arial" w:eastAsia="Arial" w:hAnsi="Arial"/>
                <w:sz w:val="17"/>
                <w:szCs w:val="17"/>
                <w:color w:val="auto"/>
                <w:w w:val="95"/>
              </w:rPr>
              <w:t>Commercial &amp;</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94"/>
              </w:rPr>
              <w:t>Communications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color w:val="auto"/>
              </w:rPr>
              <w:t>Residential</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Solutions</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7"/>
                <w:szCs w:val="17"/>
                <w:color w:val="auto"/>
                <w:w w:val="95"/>
              </w:rPr>
              <w:t>Industrial</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 at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51,370</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38,209</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ind w:left="740"/>
              <w:spacing w:after="0"/>
              <w:rPr>
                <w:sz w:val="20"/>
                <w:szCs w:val="20"/>
                <w:color w:val="auto"/>
              </w:rPr>
            </w:pPr>
            <w:r>
              <w:rPr>
                <w:rFonts w:ascii="Arial" w:cs="Arial" w:eastAsia="Arial" w:hAnsi="Arial"/>
                <w:sz w:val="17"/>
                <w:szCs w:val="17"/>
                <w:color w:val="auto"/>
              </w:rPr>
              <w:t>—   $</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960" w:type="dxa"/>
            <w:vAlign w:val="bottom"/>
          </w:tcPr>
          <w:p>
            <w:pPr>
              <w:spacing w:after="0"/>
              <w:rPr>
                <w:sz w:val="20"/>
                <w:szCs w:val="20"/>
                <w:color w:val="auto"/>
              </w:rPr>
            </w:pPr>
            <w:r>
              <w:rPr>
                <w:rFonts w:ascii="Arial" w:cs="Arial" w:eastAsia="Arial" w:hAnsi="Arial"/>
                <w:sz w:val="17"/>
                <w:szCs w:val="17"/>
                <w:color w:val="auto"/>
                <w:w w:val="95"/>
              </w:rPr>
              <w:t>Intangible assets consist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7"/>
                <w:szCs w:val="17"/>
                <w:color w:val="auto"/>
                <w:w w:val="89"/>
              </w:rPr>
              <w:t>June 30, 2023</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4"/>
          </w:tcPr>
          <w:p>
            <w:pPr>
              <w:jc w:val="center"/>
              <w:ind w:right="20"/>
              <w:spacing w:after="0" w:line="176" w:lineRule="exact"/>
              <w:rPr>
                <w:sz w:val="20"/>
                <w:szCs w:val="20"/>
                <w:color w:val="auto"/>
              </w:rPr>
            </w:pPr>
            <w:r>
              <w:rPr>
                <w:rFonts w:ascii="Arial" w:cs="Arial" w:eastAsia="Arial" w:hAnsi="Arial"/>
                <w:sz w:val="17"/>
                <w:szCs w:val="17"/>
                <w:color w:val="auto"/>
                <w:w w:val="93"/>
              </w:rPr>
              <w:t>Estimated Useful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line="176" w:lineRule="exact"/>
              <w:rPr>
                <w:sz w:val="20"/>
                <w:szCs w:val="20"/>
                <w:color w:val="auto"/>
              </w:rPr>
            </w:pPr>
            <w:r>
              <w:rPr>
                <w:rFonts w:ascii="Arial" w:cs="Arial" w:eastAsia="Arial" w:hAnsi="Arial"/>
                <w:sz w:val="17"/>
                <w:szCs w:val="17"/>
                <w:color w:val="auto"/>
              </w:rPr>
              <w:t>Gross Carrying</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4"/>
          </w:tcPr>
          <w:p>
            <w:pPr>
              <w:ind w:left="60"/>
              <w:spacing w:after="0" w:line="176" w:lineRule="exact"/>
              <w:rPr>
                <w:sz w:val="20"/>
                <w:szCs w:val="20"/>
                <w:color w:val="auto"/>
              </w:rPr>
            </w:pPr>
            <w:r>
              <w:rPr>
                <w:rFonts w:ascii="Arial" w:cs="Arial" w:eastAsia="Arial" w:hAnsi="Arial"/>
                <w:sz w:val="17"/>
                <w:szCs w:val="17"/>
                <w:color w:val="auto"/>
              </w:rPr>
              <w:t>Accumulated</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Lives (in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Amount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rPr>
              <w:t>Amortization</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Trademarks/trade names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w:t>
            </w: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(5,417)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w:t>
            </w:r>
          </w:p>
        </w:tc>
        <w:tc>
          <w:tcPr>
            <w:tcW w:w="0" w:type="dxa"/>
            <w:vAlign w:val="bottom"/>
          </w:tcPr>
          <w:p>
            <w:pPr>
              <w:spacing w:after="0"/>
              <w:rPr>
                <w:sz w:val="1"/>
                <w:szCs w:val="1"/>
                <w:color w:val="auto"/>
              </w:rPr>
            </w:pPr>
          </w:p>
        </w:tc>
      </w:tr>
      <w:tr>
        <w:trPr>
          <w:trHeight w:val="225"/>
        </w:trPr>
        <w:tc>
          <w:tcPr>
            <w:tcW w:w="2960" w:type="dxa"/>
            <w:vAlign w:val="bottom"/>
          </w:tcPr>
          <w:p>
            <w:pPr>
              <w:ind w:left="60"/>
              <w:spacing w:after="0"/>
              <w:rPr>
                <w:sz w:val="20"/>
                <w:szCs w:val="20"/>
                <w:color w:val="auto"/>
              </w:rPr>
            </w:pPr>
            <w:r>
              <w:rPr>
                <w:rFonts w:ascii="Arial" w:cs="Arial" w:eastAsia="Arial" w:hAnsi="Arial"/>
                <w:sz w:val="17"/>
                <w:szCs w:val="17"/>
                <w:color w:val="auto"/>
              </w:rPr>
              <w:t>Technical library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jc w:val="center"/>
              <w:ind w:left="14"/>
              <w:spacing w:after="0"/>
              <w:rPr>
                <w:sz w:val="20"/>
                <w:szCs w:val="20"/>
                <w:color w:val="auto"/>
              </w:rPr>
            </w:pPr>
            <w:r>
              <w:rPr>
                <w:rFonts w:ascii="Arial" w:cs="Arial" w:eastAsia="Arial" w:hAnsi="Arial"/>
                <w:sz w:val="17"/>
                <w:szCs w:val="17"/>
                <w:color w:val="auto"/>
                <w:w w:val="84"/>
              </w:rPr>
              <w:t>20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91,426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(40,368)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51,058</w:t>
            </w:r>
          </w:p>
        </w:tc>
        <w:tc>
          <w:tcPr>
            <w:tcW w:w="0" w:type="dxa"/>
            <w:vAlign w:val="bottom"/>
          </w:tcPr>
          <w:p>
            <w:pPr>
              <w:spacing w:after="0"/>
              <w:rPr>
                <w:sz w:val="1"/>
                <w:szCs w:val="1"/>
                <w:color w:val="auto"/>
              </w:rPr>
            </w:pPr>
          </w:p>
        </w:tc>
      </w:tr>
      <w:tr>
        <w:trPr>
          <w:trHeight w:val="218"/>
        </w:trPr>
        <w:tc>
          <w:tcPr>
            <w:tcW w:w="2960" w:type="dxa"/>
            <w:vAlign w:val="bottom"/>
          </w:tcPr>
          <w:p>
            <w:pPr>
              <w:ind w:left="60"/>
              <w:spacing w:after="0"/>
              <w:rPr>
                <w:sz w:val="20"/>
                <w:szCs w:val="20"/>
                <w:color w:val="auto"/>
              </w:rPr>
            </w:pPr>
            <w:r>
              <w:rPr>
                <w:rFonts w:ascii="Arial" w:cs="Arial" w:eastAsia="Arial" w:hAnsi="Arial"/>
                <w:sz w:val="17"/>
                <w:szCs w:val="17"/>
                <w:color w:val="auto"/>
              </w:rPr>
              <w:t>Non-competition arrangements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center"/>
              <w:ind w:left="14"/>
              <w:spacing w:after="0"/>
              <w:rPr>
                <w:sz w:val="20"/>
                <w:szCs w:val="20"/>
                <w:color w:val="auto"/>
              </w:rPr>
            </w:pPr>
            <w:r>
              <w:rPr>
                <w:rFonts w:ascii="Arial" w:cs="Arial" w:eastAsia="Arial" w:hAnsi="Arial"/>
                <w:sz w:val="17"/>
                <w:szCs w:val="17"/>
                <w:color w:val="auto"/>
                <w:w w:val="84"/>
              </w:rPr>
              <w:t>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 and construction contracts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w w:val="84"/>
              </w:rPr>
              <w:t>1</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4,958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(4,958)</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Arial" w:cs="Arial" w:eastAsia="Arial" w:hAnsi="Arial"/>
                <w:sz w:val="17"/>
                <w:szCs w:val="17"/>
                <w:color w:val="auto"/>
              </w:rPr>
              <w:t>Total intangible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111,445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(50,978)</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60,467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vMerge w:val="restart"/>
          </w:tcPr>
          <w:p>
            <w:pPr>
              <w:jc w:val="right"/>
              <w:ind w:right="394"/>
              <w:spacing w:after="0"/>
              <w:rPr>
                <w:sz w:val="20"/>
                <w:szCs w:val="20"/>
                <w:color w:val="auto"/>
              </w:rPr>
            </w:pPr>
            <w:r>
              <w:rPr>
                <w:rFonts w:ascii="Arial" w:cs="Arial" w:eastAsia="Arial" w:hAnsi="Arial"/>
                <w:sz w:val="17"/>
                <w:szCs w:val="17"/>
                <w:color w:val="auto"/>
              </w:rPr>
              <w:t>20</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9"/>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7"/>
                <w:szCs w:val="17"/>
                <w:color w:val="auto"/>
                <w:w w:val="90"/>
              </w:rPr>
              <w:t>September 30, 2022</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480" w:type="dxa"/>
            <w:vAlign w:val="bottom"/>
            <w:gridSpan w:val="4"/>
          </w:tcPr>
          <w:p>
            <w:pPr>
              <w:ind w:left="80"/>
              <w:spacing w:after="0" w:line="175" w:lineRule="exact"/>
              <w:rPr>
                <w:sz w:val="20"/>
                <w:szCs w:val="20"/>
                <w:color w:val="auto"/>
              </w:rPr>
            </w:pPr>
            <w:r>
              <w:rPr>
                <w:rFonts w:ascii="Arial" w:cs="Arial" w:eastAsia="Arial" w:hAnsi="Arial"/>
                <w:sz w:val="17"/>
                <w:szCs w:val="17"/>
                <w:color w:val="auto"/>
              </w:rPr>
              <w:t>Estimated Useful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54"/>
              <w:spacing w:after="0" w:line="175" w:lineRule="exact"/>
              <w:rPr>
                <w:sz w:val="20"/>
                <w:szCs w:val="20"/>
                <w:color w:val="auto"/>
              </w:rPr>
            </w:pPr>
            <w:r>
              <w:rPr>
                <w:rFonts w:ascii="Arial" w:cs="Arial" w:eastAsia="Arial" w:hAnsi="Arial"/>
                <w:sz w:val="17"/>
                <w:szCs w:val="17"/>
                <w:color w:val="auto"/>
                <w:w w:val="96"/>
              </w:rPr>
              <w:t>Gross Carrying</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134"/>
              <w:spacing w:after="0" w:line="175" w:lineRule="exact"/>
              <w:rPr>
                <w:sz w:val="20"/>
                <w:szCs w:val="20"/>
                <w:color w:val="auto"/>
              </w:rPr>
            </w:pPr>
            <w:r>
              <w:rPr>
                <w:rFonts w:ascii="Arial" w:cs="Arial" w:eastAsia="Arial" w:hAnsi="Arial"/>
                <w:sz w:val="17"/>
                <w:szCs w:val="17"/>
                <w:color w:val="auto"/>
                <w:w w:val="97"/>
              </w:rPr>
              <w:t>Accumulated</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8"/>
        </w:trPr>
        <w:tc>
          <w:tcPr>
            <w:tcW w:w="482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Lives (in Years)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Amount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Amortization</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Trademarks/trade names</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25"/>
        </w:trPr>
        <w:tc>
          <w:tcPr>
            <w:tcW w:w="4820" w:type="dxa"/>
            <w:vAlign w:val="bottom"/>
          </w:tcPr>
          <w:p>
            <w:pPr>
              <w:ind w:left="60"/>
              <w:spacing w:after="0"/>
              <w:rPr>
                <w:sz w:val="20"/>
                <w:szCs w:val="20"/>
                <w:color w:val="auto"/>
              </w:rPr>
            </w:pPr>
            <w:r>
              <w:rPr>
                <w:rFonts w:ascii="Arial" w:cs="Arial" w:eastAsia="Arial" w:hAnsi="Arial"/>
                <w:sz w:val="17"/>
                <w:szCs w:val="17"/>
                <w:color w:val="auto"/>
              </w:rPr>
              <w:t>Technical library</w:t>
            </w:r>
          </w:p>
        </w:tc>
        <w:tc>
          <w:tcPr>
            <w:tcW w:w="4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61,037</w:t>
            </w:r>
          </w:p>
        </w:tc>
        <w:tc>
          <w:tcPr>
            <w:tcW w:w="0" w:type="dxa"/>
            <w:vAlign w:val="bottom"/>
          </w:tcPr>
          <w:p>
            <w:pPr>
              <w:spacing w:after="0"/>
              <w:rPr>
                <w:sz w:val="1"/>
                <w:szCs w:val="1"/>
                <w:color w:val="auto"/>
              </w:rPr>
            </w:pPr>
          </w:p>
        </w:tc>
      </w:tr>
      <w:tr>
        <w:trPr>
          <w:trHeight w:val="218"/>
        </w:trPr>
        <w:tc>
          <w:tcPr>
            <w:tcW w:w="4820" w:type="dxa"/>
            <w:vAlign w:val="bottom"/>
          </w:tcPr>
          <w:p>
            <w:pPr>
              <w:ind w:left="60"/>
              <w:spacing w:after="0"/>
              <w:rPr>
                <w:sz w:val="20"/>
                <w:szCs w:val="20"/>
                <w:color w:val="auto"/>
              </w:rPr>
            </w:pPr>
            <w:r>
              <w:rPr>
                <w:rFonts w:ascii="Arial" w:cs="Arial" w:eastAsia="Arial" w:hAnsi="Arial"/>
                <w:sz w:val="17"/>
                <w:szCs w:val="17"/>
                <w:color w:val="auto"/>
              </w:rPr>
              <w:t>Non-competition arrangements</w:t>
            </w:r>
          </w:p>
        </w:tc>
        <w:tc>
          <w:tcPr>
            <w:tcW w:w="4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 and construction contracts</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4,958</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(4,958)</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820" w:type="dxa"/>
            <w:vAlign w:val="bottom"/>
          </w:tcPr>
          <w:p>
            <w:pPr>
              <w:ind w:left="60"/>
              <w:spacing w:after="0"/>
              <w:rPr>
                <w:sz w:val="20"/>
                <w:szCs w:val="20"/>
                <w:color w:val="auto"/>
              </w:rPr>
            </w:pPr>
            <w:r>
              <w:rPr>
                <w:rFonts w:ascii="Arial" w:cs="Arial" w:eastAsia="Arial" w:hAnsi="Arial"/>
                <w:sz w:val="17"/>
                <w:szCs w:val="17"/>
                <w:color w:val="auto"/>
              </w:rPr>
              <w:t>Total intangible assets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117,359</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(45,423)</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71,936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Matters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At September 30, 2022, we had an aggregate $10,451 of trade accounts receivable where payment had been delayed as a result of contractual disputes and against which we had recorded a reserve of $3,095. During the nine months ended June 30, 2023, we collected $5,619 related to these receivables. We believe that we are contractually entitled to the remaining amounts owed to us, and intend to vigorously pursue recovery. At June 30, 2023, the remaining book value of receivables and retainage related to these contractual disputes, net of associated reserves, was $1,300.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Management</w:t>
      </w:r>
    </w:p>
    <w:p>
      <w:pPr>
        <w:spacing w:after="0" w:line="24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June 30, 2023 and September 30, 2022, we had $8,009 and $7,693,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8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2023 and September 30, 2022, $4,166 and $3,878, respectively, of our outstanding letters of credit was utilized to collateralize our insurance program.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Surety</w:t>
      </w:r>
    </w:p>
    <w:p>
      <w:pPr>
        <w:spacing w:after="0" w:line="243"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As of June 30, 2023, the estimated cost to complete our bonded projects was approximately $170,440.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color w:val="auto"/>
        </w:rPr>
        <w:t>Other Commitments and Contingencies</w:t>
      </w:r>
    </w:p>
    <w:p>
      <w:pPr>
        <w:spacing w:after="0" w:line="24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201"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2023, we did not have any such commitments to purchase materials outstanding.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LEASES</w:t>
      </w:r>
    </w:p>
    <w:p>
      <w:pPr>
        <w:spacing w:after="0" w:line="232"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Current operating and finance lease liabilities of $17,454 and $4,275, respectively, as of June 30, 2023, and $17,319 and $2,928, respectively, as of September 30, 2022,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The maturities of our lease liabilities as of June 30, 2023 are as follows: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00"/>
        </w:trPr>
        <w:tc>
          <w:tcPr>
            <w:tcW w:w="6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9"/>
              </w:rPr>
              <w:t>Operating Leases</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3"/>
              </w:rPr>
              <w:t>Finance Leases</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Total</w:t>
            </w: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5,907</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16,997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4,395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21,392</w:t>
            </w:r>
          </w:p>
        </w:tc>
      </w:tr>
      <w:tr>
        <w:trPr>
          <w:trHeight w:val="22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17,495</w:t>
            </w:r>
          </w:p>
        </w:tc>
      </w:tr>
      <w:tr>
        <w:trPr>
          <w:trHeight w:val="225"/>
        </w:trPr>
        <w:tc>
          <w:tcPr>
            <w:tcW w:w="612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9,737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3,297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13,034</w:t>
            </w: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8,718</w:t>
            </w:r>
          </w:p>
        </w:tc>
      </w:tr>
      <w:tr>
        <w:trPr>
          <w:trHeight w:val="226"/>
        </w:trPr>
        <w:tc>
          <w:tcPr>
            <w:tcW w:w="6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undiscounted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59,999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74,655</w:t>
            </w:r>
          </w:p>
        </w:tc>
      </w:tr>
      <w:tr>
        <w:trPr>
          <w:trHeight w:val="211"/>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1,484</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7,893</w:t>
            </w:r>
          </w:p>
        </w:tc>
      </w:tr>
      <w:tr>
        <w:trPr>
          <w:trHeight w:val="233"/>
        </w:trPr>
        <w:tc>
          <w:tcPr>
            <w:tcW w:w="6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53,590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66,762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total future undiscounted cash flows related to lease agreements committed to but not yet commenced as of June 30, 2023 is $14,384.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Lease cost recognized in our Condensed Consolidated Statements of Comprehensive Income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7"/>
                <w:szCs w:val="17"/>
                <w:color w:val="auto"/>
              </w:rPr>
              <w:t>Three Months Ended</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7"/>
                <w:szCs w:val="17"/>
                <w:color w:val="auto"/>
              </w:rPr>
              <w:t>Nine Months Ended</w:t>
            </w:r>
          </w:p>
        </w:tc>
      </w:tr>
      <w:tr>
        <w:trPr>
          <w:trHeight w:val="219"/>
        </w:trPr>
        <w:tc>
          <w:tcPr>
            <w:tcW w:w="4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6"/>
              </w:rPr>
              <w:t>June 30, 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98"/>
              </w:rPr>
              <w:t>June 30, 2022</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8"/>
              </w:rPr>
              <w:t>June 30, 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8"/>
              </w:rPr>
              <w:t>June 30, 2022</w:t>
            </w:r>
          </w:p>
        </w:tc>
      </w:tr>
      <w:tr>
        <w:trPr>
          <w:trHeight w:val="219"/>
        </w:trPr>
        <w:tc>
          <w:tcPr>
            <w:tcW w:w="4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lease cost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$0</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12,107</w:t>
            </w:r>
          </w:p>
        </w:tc>
      </w:tr>
      <w:tr>
        <w:trPr>
          <w:trHeight w:val="218"/>
        </w:trPr>
        <w:tc>
          <w:tcPr>
            <w:tcW w:w="4260" w:type="dxa"/>
            <w:vAlign w:val="bottom"/>
          </w:tcPr>
          <w:p>
            <w:pPr>
              <w:ind w:left="60"/>
              <w:spacing w:after="0"/>
              <w:rPr>
                <w:sz w:val="20"/>
                <w:szCs w:val="20"/>
                <w:color w:val="auto"/>
              </w:rPr>
            </w:pPr>
            <w:r>
              <w:rPr>
                <w:rFonts w:ascii="Arial" w:cs="Arial" w:eastAsia="Arial" w:hAnsi="Arial"/>
                <w:sz w:val="17"/>
                <w:szCs w:val="17"/>
                <w:color w:val="auto"/>
              </w:rPr>
              <w:t>Finance lease cost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3"/>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lease assets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r>
      <w:tr>
        <w:trPr>
          <w:trHeight w:val="218"/>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on lease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r>
      <w:tr>
        <w:trPr>
          <w:trHeight w:val="213"/>
        </w:trPr>
        <w:tc>
          <w:tcPr>
            <w:tcW w:w="42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Finance lease cost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r>
      <w:tr>
        <w:trPr>
          <w:trHeight w:val="225"/>
        </w:trPr>
        <w:tc>
          <w:tcPr>
            <w:tcW w:w="4260" w:type="dxa"/>
            <w:vAlign w:val="bottom"/>
          </w:tcPr>
          <w:p>
            <w:pPr>
              <w:ind w:left="60"/>
              <w:spacing w:after="0"/>
              <w:rPr>
                <w:sz w:val="20"/>
                <w:szCs w:val="20"/>
                <w:color w:val="auto"/>
              </w:rPr>
            </w:pPr>
            <w:r>
              <w:rPr>
                <w:rFonts w:ascii="Arial" w:cs="Arial" w:eastAsia="Arial" w:hAnsi="Arial"/>
                <w:sz w:val="17"/>
                <w:szCs w:val="17"/>
                <w:color w:val="auto"/>
              </w:rPr>
              <w:t>Short-term lease cost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1,097</w:t>
            </w:r>
          </w:p>
        </w:tc>
      </w:tr>
      <w:tr>
        <w:trPr>
          <w:trHeight w:val="226"/>
        </w:trPr>
        <w:tc>
          <w:tcPr>
            <w:tcW w:w="4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Variable lease cost</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r>
      <w:tr>
        <w:trPr>
          <w:trHeight w:val="213"/>
        </w:trPr>
        <w:tc>
          <w:tcPr>
            <w:tcW w:w="4260" w:type="dxa"/>
            <w:vAlign w:val="bottom"/>
          </w:tcPr>
          <w:p>
            <w:pPr>
              <w:ind w:left="60"/>
              <w:spacing w:after="0"/>
              <w:rPr>
                <w:sz w:val="20"/>
                <w:szCs w:val="20"/>
                <w:color w:val="auto"/>
              </w:rPr>
            </w:pPr>
            <w:r>
              <w:rPr>
                <w:rFonts w:ascii="Arial" w:cs="Arial" w:eastAsia="Arial" w:hAnsi="Arial"/>
                <w:sz w:val="17"/>
                <w:szCs w:val="17"/>
                <w:color w:val="auto"/>
              </w:rPr>
              <w:t>Total lease cost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6,980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5,257</w:t>
            </w:r>
          </w:p>
        </w:tc>
        <w:tc>
          <w:tcPr>
            <w:tcW w:w="26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20,541</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15,857</w:t>
            </w:r>
          </w:p>
        </w:tc>
      </w:tr>
      <w:tr>
        <w:trPr>
          <w:trHeight w:val="20"/>
        </w:trPr>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Other information about lease amounts recognized in our Condensed Consolidated Financial Statements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jc w:val="right"/>
              <w:ind w:right="894"/>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jc w:val="right"/>
              <w:ind w:right="934"/>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19"/>
        </w:trPr>
        <w:tc>
          <w:tcPr>
            <w:tcW w:w="4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June 30, 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color w:val="auto"/>
                <w:w w:val="98"/>
              </w:rPr>
              <w:t>June 30, 2022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7"/>
                <w:szCs w:val="17"/>
                <w:color w:val="auto"/>
              </w:rPr>
              <w:t>June 30, 2023</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June 30, 2022</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cash flows used for operating leases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17,674</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14,307</w:t>
            </w:r>
          </w:p>
        </w:tc>
        <w:tc>
          <w:tcPr>
            <w:tcW w:w="0" w:type="dxa"/>
            <w:vAlign w:val="bottom"/>
          </w:tcPr>
          <w:p>
            <w:pPr>
              <w:spacing w:after="0"/>
              <w:rPr>
                <w:sz w:val="1"/>
                <w:szCs w:val="1"/>
                <w:color w:val="auto"/>
              </w:rPr>
            </w:pPr>
          </w:p>
        </w:tc>
      </w:tr>
      <w:tr>
        <w:trPr>
          <w:trHeight w:val="218"/>
        </w:trPr>
        <w:tc>
          <w:tcPr>
            <w:tcW w:w="4320" w:type="dxa"/>
            <w:vAlign w:val="bottom"/>
          </w:tcPr>
          <w:p>
            <w:pPr>
              <w:ind w:left="60"/>
              <w:spacing w:after="0"/>
              <w:rPr>
                <w:sz w:val="20"/>
                <w:szCs w:val="20"/>
                <w:color w:val="auto"/>
              </w:rPr>
            </w:pPr>
            <w:r>
              <w:rPr>
                <w:rFonts w:ascii="Arial" w:cs="Arial" w:eastAsia="Arial" w:hAnsi="Arial"/>
                <w:sz w:val="17"/>
                <w:szCs w:val="17"/>
                <w:color w:val="auto"/>
              </w:rPr>
              <w:t>Operating cash flows used for finance leases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546</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60"/>
              <w:spacing w:after="0" w:line="182" w:lineRule="exact"/>
              <w:rPr>
                <w:sz w:val="20"/>
                <w:szCs w:val="20"/>
                <w:color w:val="auto"/>
              </w:rPr>
            </w:pPr>
            <w:r>
              <w:rPr>
                <w:rFonts w:ascii="Arial" w:cs="Arial" w:eastAsia="Arial" w:hAnsi="Arial"/>
                <w:sz w:val="17"/>
                <w:szCs w:val="17"/>
                <w:color w:val="auto"/>
                <w:w w:val="94"/>
              </w:rPr>
              <w:t>Right-of-use assets obtained in exchange for new operating</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lease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14,310</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14,289</w:t>
            </w:r>
          </w:p>
        </w:tc>
        <w:tc>
          <w:tcPr>
            <w:tcW w:w="0" w:type="dxa"/>
            <w:vAlign w:val="bottom"/>
          </w:tcPr>
          <w:p>
            <w:pPr>
              <w:spacing w:after="0"/>
              <w:rPr>
                <w:sz w:val="1"/>
                <w:szCs w:val="1"/>
                <w:color w:val="auto"/>
              </w:rPr>
            </w:pPr>
          </w:p>
        </w:tc>
      </w:tr>
      <w:tr>
        <w:trPr>
          <w:trHeight w:val="168"/>
        </w:trPr>
        <w:tc>
          <w:tcPr>
            <w:tcW w:w="4320" w:type="dxa"/>
            <w:vAlign w:val="bottom"/>
          </w:tcPr>
          <w:p>
            <w:pPr>
              <w:ind w:left="60"/>
              <w:spacing w:after="0" w:line="168" w:lineRule="exact"/>
              <w:rPr>
                <w:sz w:val="20"/>
                <w:szCs w:val="20"/>
                <w:color w:val="auto"/>
              </w:rPr>
            </w:pPr>
            <w:r>
              <w:rPr>
                <w:rFonts w:ascii="Arial" w:cs="Arial" w:eastAsia="Arial" w:hAnsi="Arial"/>
                <w:sz w:val="17"/>
                <w:szCs w:val="17"/>
                <w:color w:val="auto"/>
                <w:w w:val="97"/>
              </w:rPr>
              <w:t>Right-of-use assets obtained in exchange for new finance</w:t>
            </w:r>
          </w:p>
        </w:tc>
        <w:tc>
          <w:tcPr>
            <w:tcW w:w="2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981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auto"/>
              </w:rPr>
              <w:t>1,686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5,807</w:t>
            </w:r>
          </w:p>
        </w:tc>
        <w:tc>
          <w:tcPr>
            <w:tcW w:w="3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4,268</w:t>
            </w:r>
          </w:p>
        </w:tc>
        <w:tc>
          <w:tcPr>
            <w:tcW w:w="0" w:type="dxa"/>
            <w:vAlign w:val="bottom"/>
          </w:tcPr>
          <w:p>
            <w:pPr>
              <w:spacing w:after="0"/>
              <w:rPr>
                <w:sz w:val="1"/>
                <w:szCs w:val="1"/>
                <w:color w:val="auto"/>
              </w:rPr>
            </w:pPr>
          </w:p>
        </w:tc>
      </w:tr>
      <w:tr>
        <w:trPr>
          <w:trHeight w:val="217"/>
        </w:trPr>
        <w:tc>
          <w:tcPr>
            <w:tcW w:w="4320" w:type="dxa"/>
            <w:vAlign w:val="bottom"/>
          </w:tcPr>
          <w:p>
            <w:pPr>
              <w:ind w:left="60"/>
              <w:spacing w:after="0"/>
              <w:rPr>
                <w:sz w:val="20"/>
                <w:szCs w:val="20"/>
                <w:color w:val="auto"/>
              </w:rPr>
            </w:pPr>
            <w:r>
              <w:rPr>
                <w:rFonts w:ascii="Arial" w:cs="Arial" w:eastAsia="Arial" w:hAnsi="Arial"/>
                <w:sz w:val="17"/>
                <w:szCs w:val="17"/>
                <w:color w:val="auto"/>
              </w:rPr>
              <w:t>lease liabilities</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7"/>
        </w:trPr>
        <w:tc>
          <w:tcPr>
            <w:tcW w:w="4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color w:val="auto"/>
              </w:rPr>
              <w:t>June 30, 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7"/>
                <w:szCs w:val="17"/>
                <w:color w:val="auto"/>
                <w:w w:val="92"/>
              </w:rPr>
              <w:t>September 30, 2022</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Weighted-average remaining lease term - operating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4.5 years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years</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7"/>
                <w:szCs w:val="17"/>
                <w:color w:val="auto"/>
              </w:rPr>
              <w:t>Weighted-average remaining lease term - finance leases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7"/>
                <w:szCs w:val="17"/>
                <w:color w:val="auto"/>
              </w:rPr>
              <w:t>3.6 years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3.9 years</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 - operating leases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7"/>
                <w:szCs w:val="17"/>
                <w:color w:val="auto"/>
              </w:rPr>
              <w:t>Weighted-average discount rate - finance leases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BUSINESS COMBINATIONS AND DIVESTITURES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We completed no acquisitions during the nine months ended June 30, 2023 or during the year ended September 30, 2022.</w:t>
      </w:r>
    </w:p>
    <w:p>
      <w:pPr>
        <w:spacing w:after="0" w:line="24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Condensed Consolidated Statements of Comprehensive Income for the nine months ended June 30, 2023. The disposition of STR, which had operated as part of our Commercial &amp; Industrial segment, will not have a material impact on our ongoing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The following discussion and analysis should be read in conjunction with our Consolidated Financial Statements and the notes thereto, set forth in Part II, Item 8. </w:t>
      </w:r>
      <w:r>
        <w:rPr>
          <w:rFonts w:ascii="Arial" w:cs="Arial" w:eastAsia="Arial" w:hAnsi="Arial"/>
          <w:sz w:val="17"/>
          <w:szCs w:val="17"/>
          <w:i w:val="1"/>
          <w:iCs w:val="1"/>
          <w:color w:val="auto"/>
        </w:rPr>
        <w:t xml:space="preserve">“Financial Statements and Supplementary Data” </w:t>
      </w:r>
      <w:r>
        <w:rPr>
          <w:rFonts w:ascii="Arial" w:cs="Arial" w:eastAsia="Arial" w:hAnsi="Arial"/>
          <w:sz w:val="17"/>
          <w:szCs w:val="17"/>
          <w:color w:val="auto"/>
        </w:rPr>
        <w:t>as set forth in our Annual Report on Form 10-K for the fiscal year ended September 30, 2022,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Arial" w:cs="Arial" w:eastAsia="Arial" w:hAnsi="Arial"/>
          <w:sz w:val="17"/>
          <w:szCs w:val="17"/>
          <w:i w:val="1"/>
          <w:iCs w:val="1"/>
          <w:color w:val="auto"/>
        </w:rPr>
        <w:t>“Disclosure Regarding Forward Looking Statements”</w:t>
      </w:r>
      <w:r>
        <w:rPr>
          <w:rFonts w:ascii="Arial" w:cs="Arial" w:eastAsia="Arial" w:hAnsi="Arial"/>
          <w:sz w:val="17"/>
          <w:szCs w:val="17"/>
          <w:color w:val="auto"/>
        </w:rPr>
        <w:t xml:space="preserve"> in Part I of this Quarterly Report on Form 10-Q.</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Please refer to Part I,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of our Annual Report on Form 10-K for the fiscal year ended September 30, 2022,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Market and Operating Conditions</w:t>
      </w:r>
    </w:p>
    <w:p>
      <w:pPr>
        <w:spacing w:after="0" w:line="236"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The Federal Reserve raised the target federal funds rate throughout calendar year 2022 and the first half of calendar year 2023, and has announced an expectation that it will continue to raise the target rate later in calendar year 2023. This has resulted in higher mortgage rates, which when combined with elevated materials and labor costs, have had a substantial impact on the affordability of housing. There continue to be several trends, such as rising household formation and population growth in our key markets, that we expect will drive long-term demand for our services in the single-family housing market. However, as calendar year 2023 progressed, decreased housing affordability has led to uncertainty around near-term demand for our services in this market. Within the various other end markets we serve, our customers' capital budgets for new construction projects may be impacted by broader economic, technological or other factors.</w:t>
      </w:r>
    </w:p>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recent years, the COVID-19 pandemic and its impact on markets, the supply chain and the labor force influenced trends affecting our business. While commodity prices for some of the materials we procure have become less volatile through the first half of calendar year 2023, certain components still have long lead times for delivery, and procurement and the supply chain remain areas of focus for us. We have also experienced in the past, and may again experience in the future, workforce disruptions related to exposure to, or illness from, COVID-19, resulting in production inefficiencies and delays, higher overtime costs, and the need to outsource activities or use more expensive contract labor. An inability to procure materials in a timely manner, to complete work on schedule, and to reflect higher materials or labor costs in our pricing to customers has had, and could continue to have, a significant impact on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Please refer to Part I. Item 1A. </w:t>
      </w:r>
      <w:r>
        <w:rPr>
          <w:rFonts w:ascii="Arial" w:cs="Arial" w:eastAsia="Arial" w:hAnsi="Arial"/>
          <w:sz w:val="16"/>
          <w:szCs w:val="16"/>
          <w:i w:val="1"/>
          <w:iCs w:val="1"/>
          <w:color w:val="000000"/>
        </w:rPr>
        <w:t>“</w:t>
      </w:r>
      <w:r>
        <w:rPr>
          <w:rFonts w:ascii="Arial" w:cs="Arial" w:eastAsia="Arial" w:hAnsi="Arial"/>
          <w:sz w:val="16"/>
          <w:szCs w:val="16"/>
          <w:i w:val="1"/>
          <w:iCs w:val="1"/>
          <w:color w:val="212529"/>
        </w:rPr>
        <w:t>Risk Factors</w:t>
      </w:r>
      <w:r>
        <w:rPr>
          <w:rFonts w:ascii="Arial" w:cs="Arial" w:eastAsia="Arial" w:hAnsi="Arial"/>
          <w:sz w:val="16"/>
          <w:szCs w:val="16"/>
          <w:i w:val="1"/>
          <w:iCs w:val="1"/>
          <w:color w:val="000000"/>
        </w:rPr>
        <w:t>”</w:t>
      </w:r>
      <w:r>
        <w:rPr>
          <w:rFonts w:ascii="Arial" w:cs="Arial" w:eastAsia="Arial" w:hAnsi="Arial"/>
          <w:sz w:val="16"/>
          <w:szCs w:val="16"/>
          <w:color w:val="212529"/>
        </w:rPr>
        <w:t xml:space="preserve"> of our Annual Report on Form 10-K for the fiscal year ended </w:t>
      </w:r>
      <w:r>
        <w:rPr>
          <w:rFonts w:ascii="Arial" w:cs="Arial" w:eastAsia="Arial" w:hAnsi="Arial"/>
          <w:sz w:val="16"/>
          <w:szCs w:val="16"/>
          <w:color w:val="000000"/>
        </w:rPr>
        <w:t>September 30, 2022</w:t>
      </w:r>
      <w:r>
        <w:rPr>
          <w:rFonts w:ascii="Arial" w:cs="Arial" w:eastAsia="Arial" w:hAnsi="Arial"/>
          <w:sz w:val="16"/>
          <w:szCs w:val="16"/>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7"/>
                <w:szCs w:val="17"/>
                <w:color w:val="auto"/>
                <w:w w:val="90"/>
              </w:rPr>
              <w:t>Three Months Ended June 30,</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2023</w:t>
            </w: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2022</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8"/>
        </w:trPr>
        <w:tc>
          <w:tcPr>
            <w:tcW w:w="5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40" w:type="dxa"/>
            <w:vAlign w:val="bottom"/>
            <w:gridSpan w:val="9"/>
          </w:tcPr>
          <w:p>
            <w:pPr>
              <w:jc w:val="center"/>
              <w:ind w:right="300"/>
              <w:spacing w:after="0"/>
              <w:rPr>
                <w:sz w:val="20"/>
                <w:szCs w:val="20"/>
                <w:color w:val="auto"/>
              </w:rPr>
            </w:pPr>
            <w:r>
              <w:rPr>
                <w:rFonts w:ascii="Arial" w:cs="Arial" w:eastAsia="Arial" w:hAnsi="Arial"/>
                <w:sz w:val="15"/>
                <w:szCs w:val="15"/>
                <w:color w:val="auto"/>
                <w:w w:val="92"/>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476,842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81.6</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484,501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85.4</w:t>
            </w:r>
          </w:p>
        </w:tc>
        <w:tc>
          <w:tcPr>
            <w:tcW w:w="280" w:type="dxa"/>
            <w:vAlign w:val="bottom"/>
            <w:tcBorders>
              <w:bottom w:val="single" w:sz="8" w:color="auto"/>
            </w:tcBorders>
          </w:tcPr>
          <w:p>
            <w:pPr>
              <w:spacing w:after="0"/>
              <w:rPr>
                <w:sz w:val="20"/>
                <w:szCs w:val="20"/>
                <w:color w:val="auto"/>
              </w:rPr>
            </w:pPr>
          </w:p>
        </w:tc>
      </w:tr>
      <w:tr>
        <w:trPr>
          <w:trHeight w:val="213"/>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14.6</w:t>
            </w:r>
          </w:p>
        </w:tc>
        <w:tc>
          <w:tcPr>
            <w:tcW w:w="280" w:type="dxa"/>
            <w:vAlign w:val="bottom"/>
            <w:shd w:val="clear" w:color="auto" w:fill="CCEEFF"/>
          </w:tcPr>
          <w:p>
            <w:pPr>
              <w:spacing w:after="0"/>
              <w:rPr>
                <w:sz w:val="18"/>
                <w:szCs w:val="18"/>
                <w:color w:val="auto"/>
              </w:rPr>
            </w:pPr>
          </w:p>
        </w:tc>
      </w:tr>
      <w:tr>
        <w:trPr>
          <w:trHeight w:val="218"/>
        </w:trPr>
        <w:tc>
          <w:tcPr>
            <w:tcW w:w="5700" w:type="dxa"/>
            <w:vAlign w:val="bottom"/>
          </w:tcPr>
          <w:p>
            <w:pPr>
              <w:ind w:left="38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12.7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67,090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auto"/>
              </w:rPr>
              <w:t>11.8</w:t>
            </w:r>
          </w:p>
        </w:tc>
        <w:tc>
          <w:tcPr>
            <w:tcW w:w="280" w:type="dxa"/>
            <w:vAlign w:val="bottom"/>
          </w:tcPr>
          <w:p>
            <w:pPr>
              <w:spacing w:after="0"/>
              <w:rPr>
                <w:sz w:val="18"/>
                <w:szCs w:val="18"/>
                <w:color w:val="auto"/>
              </w:rPr>
            </w:pPr>
          </w:p>
        </w:tc>
      </w:tr>
      <w:tr>
        <w:trPr>
          <w:trHeight w:val="233"/>
        </w:trPr>
        <w:tc>
          <w:tcPr>
            <w:tcW w:w="5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r>
      <w:tr>
        <w:trPr>
          <w:trHeight w:val="218"/>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Loss (gain) on sale of assets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5.9</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2.8</w:t>
            </w:r>
          </w:p>
        </w:tc>
        <w:tc>
          <w:tcPr>
            <w:tcW w:w="280" w:type="dxa"/>
            <w:vAlign w:val="bottom"/>
            <w:tcBorders>
              <w:bottom w:val="single" w:sz="8" w:color="auto"/>
            </w:tcBorders>
            <w:shd w:val="clear" w:color="auto" w:fill="CCEEFF"/>
          </w:tcPr>
          <w:p>
            <w:pPr>
              <w:spacing w:after="0"/>
              <w:rPr>
                <w:sz w:val="18"/>
                <w:szCs w:val="18"/>
                <w:color w:val="auto"/>
              </w:rPr>
            </w:pPr>
          </w:p>
        </w:tc>
      </w:tr>
      <w:tr>
        <w:trPr>
          <w:trHeight w:val="225"/>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auto"/>
            </w:tcBorders>
          </w:tcPr>
          <w:p>
            <w:pPr>
              <w:spacing w:after="0"/>
              <w:rPr>
                <w:sz w:val="19"/>
                <w:szCs w:val="19"/>
                <w:color w:val="auto"/>
              </w:rPr>
            </w:pPr>
          </w:p>
        </w:tc>
      </w:tr>
      <w:tr>
        <w:trPr>
          <w:trHeight w:val="213"/>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spacing w:after="0"/>
              <w:rPr>
                <w:sz w:val="18"/>
                <w:szCs w:val="18"/>
                <w:color w:val="auto"/>
              </w:rPr>
            </w:pPr>
          </w:p>
        </w:tc>
      </w:tr>
      <w:tr>
        <w:trPr>
          <w:trHeight w:val="218"/>
        </w:trPr>
        <w:tc>
          <w:tcPr>
            <w:tcW w:w="5700" w:type="dxa"/>
            <w:vAlign w:val="bottom"/>
          </w:tcPr>
          <w:p>
            <w:pPr>
              <w:ind w:left="38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1.4</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0.6</w:t>
            </w:r>
          </w:p>
        </w:tc>
        <w:tc>
          <w:tcPr>
            <w:tcW w:w="280" w:type="dxa"/>
            <w:vAlign w:val="bottom"/>
            <w:tcBorders>
              <w:bottom w:val="single" w:sz="8" w:color="auto"/>
            </w:tcBorders>
          </w:tcPr>
          <w:p>
            <w:pPr>
              <w:spacing w:after="0"/>
              <w:rPr>
                <w:sz w:val="18"/>
                <w:szCs w:val="18"/>
                <w:color w:val="auto"/>
              </w:rPr>
            </w:pPr>
          </w:p>
        </w:tc>
      </w:tr>
      <w:tr>
        <w:trPr>
          <w:trHeight w:val="226"/>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4.4</w:t>
            </w: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1"/>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80" w:type="dxa"/>
            <w:vAlign w:val="bottom"/>
            <w:tcBorders>
              <w:bottom w:val="single" w:sz="8" w:color="auto"/>
            </w:tcBorders>
          </w:tcPr>
          <w:p>
            <w:pPr>
              <w:spacing w:after="0"/>
              <w:rPr>
                <w:sz w:val="18"/>
                <w:szCs w:val="18"/>
                <w:color w:val="auto"/>
              </w:rPr>
            </w:pPr>
          </w:p>
        </w:tc>
      </w:tr>
      <w:tr>
        <w:trPr>
          <w:trHeight w:val="233"/>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Consolidated revenues for the three months ended June 30, 2023, were $17.2 million higher than for the three months ended June 30, 2022, an increase of 3.0%, with increases at our Residential and Infrastructure Solutions operating segments, partially offset by decreases at our Communications and Commercial &amp; Industrial segments. See further discussion below of changes in revenues for our individual segments.</w:t>
      </w:r>
    </w:p>
    <w:p>
      <w:pPr>
        <w:spacing w:after="0" w:line="201" w:lineRule="exact"/>
        <w:rPr>
          <w:sz w:val="20"/>
          <w:szCs w:val="20"/>
          <w:color w:val="auto"/>
        </w:rPr>
      </w:pPr>
    </w:p>
    <w:p>
      <w:pPr>
        <w:jc w:val="both"/>
        <w:ind w:right="60"/>
        <w:spacing w:after="0" w:line="318" w:lineRule="auto"/>
        <w:rPr>
          <w:sz w:val="20"/>
          <w:szCs w:val="20"/>
          <w:color w:val="auto"/>
        </w:rPr>
      </w:pPr>
      <w:r>
        <w:rPr>
          <w:rFonts w:ascii="Arial" w:cs="Arial" w:eastAsia="Arial" w:hAnsi="Arial"/>
          <w:sz w:val="15"/>
          <w:szCs w:val="15"/>
          <w:color w:val="auto"/>
        </w:rPr>
        <w:t>Consolidated gross profit for the three months ended June 30, 2023 increased $24.8 million compared to the three months ended June 30, 2022. Our overall gross profit percentage was 18.4% during the three months ended June 30, 2023, as compared to 14.6% during the three months ended June 30, 2022. Gross profit as a percentage of revenue increased at all four of our operating segments. See further discussion below of changes in gross margin for our individual segments.</w:t>
      </w:r>
    </w:p>
    <w:p>
      <w:pPr>
        <w:spacing w:after="0" w:line="165" w:lineRule="exact"/>
        <w:rPr>
          <w:sz w:val="20"/>
          <w:szCs w:val="20"/>
          <w:color w:val="auto"/>
        </w:rPr>
      </w:pPr>
    </w:p>
    <w:p>
      <w:pPr>
        <w:ind w:right="300"/>
        <w:spacing w:after="0" w:line="307" w:lineRule="auto"/>
        <w:rPr>
          <w:sz w:val="20"/>
          <w:szCs w:val="20"/>
          <w:color w:val="auto"/>
        </w:rPr>
      </w:pPr>
      <w:r>
        <w:rPr>
          <w:rFonts w:ascii="Arial" w:cs="Arial" w:eastAsia="Arial" w:hAnsi="Arial"/>
          <w:sz w:val="15"/>
          <w:szCs w:val="15"/>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During the three months ended June 30, 2023, our selling, general and administrative expenses were $74.3 million, an increase of $7.2 million, or 10.7%, over the three months ended June 30, 2022, driven largely by increased personnel costs at our Residential and Communications operating segments, including higher incentive compensation at the division level as a result of higher earnings. Additionally, our Residential segment recorded severance charges of $3.6 million in connection with a reorganization of its management structure. Selling, general and administrative expenses as a percentage of revenue increased from 11.8% for the three months ended June 30, 2022 to 12.7% for the three months ended June 30, 2023.</w:t>
      </w:r>
    </w:p>
    <w:p>
      <w:pPr>
        <w:spacing w:after="0" w:line="1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Gain on Sale of Asset</w:t>
      </w:r>
      <w:r>
        <w:rPr>
          <w:rFonts w:ascii="Arial" w:cs="Arial" w:eastAsia="Arial" w:hAnsi="Arial"/>
          <w:sz w:val="17"/>
          <w:szCs w:val="17"/>
          <w:color w:val="auto"/>
        </w:rPr>
        <w:t>s. Our results for the three months ended June 30, 2023 include a $1.0 million pretax gain from the sale of excess land at our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segment.</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430" w:right="419" w:bottom="1440" w:gutter="0" w:footer="0" w:header="0"/>
        </w:sectPr>
      </w:pPr>
    </w:p>
    <w:bookmarkStart w:id="25" w:name="page26"/>
    <w:bookmarkEnd w:id="25"/>
    <w:tbl>
      <w:tblPr>
        <w:tblLayout w:type="fixed"/>
        <w:tblInd w:w="100" w:type="dxa"/>
        <w:tblCellMar>
          <w:top w:w="0" w:type="dxa"/>
          <w:left w:w="0" w:type="dxa"/>
          <w:bottom w:w="0" w:type="dxa"/>
          <w:right w:w="0" w:type="dxa"/>
        </w:tblCellMar>
      </w:tblPr>
      <w:tr>
        <w:trPr>
          <w:trHeight w:val="218"/>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7"/>
                <w:szCs w:val="17"/>
                <w:color w:val="auto"/>
                <w:w w:val="91"/>
              </w:rPr>
              <w:t>Nine Months Ended June 30,</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2023</w:t>
            </w: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2022</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8"/>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r>
      <w:tr>
        <w:trPr>
          <w:trHeight w:val="205"/>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00" w:type="dxa"/>
            <w:vAlign w:val="bottom"/>
            <w:gridSpan w:val="10"/>
          </w:tcPr>
          <w:p>
            <w:pPr>
              <w:jc w:val="center"/>
              <w:ind w:left="555"/>
              <w:spacing w:after="0"/>
              <w:rPr>
                <w:sz w:val="20"/>
                <w:szCs w:val="20"/>
                <w:color w:val="auto"/>
              </w:rPr>
            </w:pPr>
            <w:r>
              <w:rPr>
                <w:rFonts w:ascii="Arial" w:cs="Arial" w:eastAsia="Arial" w:hAnsi="Arial"/>
                <w:sz w:val="15"/>
                <w:szCs w:val="15"/>
                <w:color w:val="auto"/>
                <w:w w:val="92"/>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Revenues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Cost of services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1,424,233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82.4</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1,328,369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tcPr>
          <w:p>
            <w:pPr>
              <w:spacing w:after="0"/>
              <w:rPr>
                <w:sz w:val="20"/>
                <w:szCs w:val="20"/>
                <w:color w:val="auto"/>
              </w:rPr>
            </w:pPr>
          </w:p>
        </w:tc>
      </w:tr>
      <w:tr>
        <w:trPr>
          <w:trHeight w:val="213"/>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303,973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14.3</w:t>
            </w:r>
          </w:p>
        </w:tc>
        <w:tc>
          <w:tcPr>
            <w:tcW w:w="280" w:type="dxa"/>
            <w:vAlign w:val="bottom"/>
            <w:shd w:val="clear" w:color="auto" w:fill="CCEEFF"/>
          </w:tcPr>
          <w:p>
            <w:pPr>
              <w:spacing w:after="0"/>
              <w:rPr>
                <w:sz w:val="18"/>
                <w:szCs w:val="18"/>
                <w:color w:val="auto"/>
              </w:rPr>
            </w:pPr>
          </w:p>
        </w:tc>
      </w:tr>
      <w:tr>
        <w:trPr>
          <w:trHeight w:val="218"/>
        </w:trPr>
        <w:tc>
          <w:tcPr>
            <w:tcW w:w="5700" w:type="dxa"/>
            <w:vAlign w:val="bottom"/>
          </w:tcPr>
          <w:p>
            <w:pPr>
              <w:ind w:left="38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211,417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189,922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auto"/>
              </w:rPr>
              <w:t>12.3</w:t>
            </w:r>
          </w:p>
        </w:tc>
        <w:tc>
          <w:tcPr>
            <w:tcW w:w="280" w:type="dxa"/>
            <w:vAlign w:val="bottom"/>
          </w:tcPr>
          <w:p>
            <w:pPr>
              <w:spacing w:after="0"/>
              <w:rPr>
                <w:sz w:val="18"/>
                <w:szCs w:val="18"/>
                <w:color w:val="auto"/>
              </w:rPr>
            </w:pPr>
          </w:p>
        </w:tc>
      </w:tr>
      <w:tr>
        <w:trPr>
          <w:trHeight w:val="233"/>
        </w:trPr>
        <w:tc>
          <w:tcPr>
            <w:tcW w:w="5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Contingent consideration</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r>
      <w:tr>
        <w:trPr>
          <w:trHeight w:val="218"/>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Gain on sale of assets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6.2</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w:t>
            </w:r>
          </w:p>
        </w:tc>
        <w:tc>
          <w:tcPr>
            <w:tcW w:w="280" w:type="dxa"/>
            <w:vAlign w:val="bottom"/>
            <w:tcBorders>
              <w:bottom w:val="single" w:sz="8" w:color="auto"/>
            </w:tcBorders>
            <w:shd w:val="clear" w:color="auto" w:fill="CCEEFF"/>
          </w:tcPr>
          <w:p>
            <w:pPr>
              <w:spacing w:after="0"/>
              <w:rPr>
                <w:sz w:val="18"/>
                <w:szCs w:val="18"/>
                <w:color w:val="auto"/>
              </w:rPr>
            </w:pPr>
          </w:p>
        </w:tc>
      </w:tr>
      <w:tr>
        <w:trPr>
          <w:trHeight w:val="225"/>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Interest and other expense,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auto"/>
            </w:tcBorders>
          </w:tcPr>
          <w:p>
            <w:pPr>
              <w:spacing w:after="0"/>
              <w:rPr>
                <w:sz w:val="19"/>
                <w:szCs w:val="19"/>
                <w:color w:val="auto"/>
              </w:rPr>
            </w:pPr>
          </w:p>
        </w:tc>
      </w:tr>
      <w:tr>
        <w:trPr>
          <w:trHeight w:val="213"/>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from operations before income taxes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CEEFF"/>
          </w:tcPr>
          <w:p>
            <w:pPr>
              <w:spacing w:after="0"/>
              <w:rPr>
                <w:sz w:val="18"/>
                <w:szCs w:val="18"/>
                <w:color w:val="auto"/>
              </w:rPr>
            </w:pPr>
          </w:p>
        </w:tc>
      </w:tr>
      <w:tr>
        <w:trPr>
          <w:trHeight w:val="218"/>
        </w:trPr>
        <w:tc>
          <w:tcPr>
            <w:tcW w:w="5700" w:type="dxa"/>
            <w:vAlign w:val="bottom"/>
          </w:tcPr>
          <w:p>
            <w:pPr>
              <w:ind w:left="38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26,448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0.4</w:t>
            </w:r>
          </w:p>
        </w:tc>
        <w:tc>
          <w:tcPr>
            <w:tcW w:w="280" w:type="dxa"/>
            <w:vAlign w:val="bottom"/>
            <w:tcBorders>
              <w:bottom w:val="single" w:sz="8" w:color="auto"/>
            </w:tcBorders>
          </w:tcPr>
          <w:p>
            <w:pPr>
              <w:spacing w:after="0"/>
              <w:rPr>
                <w:sz w:val="18"/>
                <w:szCs w:val="18"/>
                <w:color w:val="auto"/>
              </w:rPr>
            </w:pPr>
          </w:p>
        </w:tc>
      </w:tr>
      <w:tr>
        <w:trPr>
          <w:trHeight w:val="226"/>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4.6</w:t>
            </w: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1"/>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Net income attributable to noncontrolling interest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auto"/>
            </w:tcBorders>
          </w:tcPr>
          <w:p>
            <w:pPr>
              <w:spacing w:after="0"/>
              <w:rPr>
                <w:sz w:val="18"/>
                <w:szCs w:val="18"/>
                <w:color w:val="auto"/>
              </w:rPr>
            </w:pPr>
          </w:p>
        </w:tc>
      </w:tr>
      <w:tr>
        <w:trPr>
          <w:trHeight w:val="233"/>
        </w:trPr>
        <w:tc>
          <w:tcPr>
            <w:tcW w:w="57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 attributable to IES Holdings, Inc.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70,499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Consolidated revenues for the nine months ended June 30, 2023, were $178.8 million higher than for the nine months ended June 30, 2022, an increase of 11.5%, with increases at our Communications, Residential and Infrastructure Solutions operating segments, partially offset by a decrease at our Commercial &amp; Industrial segment. See further discussion below of changes in revenues for our individual segments.</w:t>
      </w:r>
    </w:p>
    <w:p>
      <w:pPr>
        <w:spacing w:after="0" w:line="20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overall gross profit percentage increased to 17.6% during the nine months ended June 30, 2023, as compared to 14.3% during the nine months ended June 30, 2022. Gross profit as a percentage of revenue increased at all four of our operating segments. See further discussion below of changes in gross margin for our individual segments.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During the nine months ended June 30, 2023, our selling, general and administrative expenses were $211.4 million, an increase of $21.5 million, or 11.3%, over the nine months ended June 30, 2022, driven by increased personnel costs, primarily at our Residential operating segment in connection with its growth, including higher incentive compensation at the division level as a result of higher earnings, as well as the severance charges mentioned above. Selling, general and administrative expenses as a percentage of revenue decreased slightly to 12.2% for the nine months ended June 30, 2023, compared to 12.3% for the nine months ended June 30, 2022.</w:t>
      </w:r>
    </w:p>
    <w:p>
      <w:pPr>
        <w:spacing w:after="0" w:line="209"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Gain on Sale of Asset</w:t>
      </w:r>
      <w:r>
        <w:rPr>
          <w:rFonts w:ascii="Arial" w:cs="Arial" w:eastAsia="Arial" w:hAnsi="Arial"/>
          <w:sz w:val="17"/>
          <w:szCs w:val="17"/>
          <w:color w:val="auto"/>
        </w:rPr>
        <w:t>s. Our results for the nine months ended June 30, 2023 include a pretax gain on sale of $1.0 million at our Infrastructure Solutions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above and a pretax gain on sale of $13.0 million from the sale of STR Mechanical, LLC (“STR”) on October 7, 2022. STR previously operated as part of our Commercial &amp; Industrial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ind w:left="40"/>
              <w:spacing w:after="0"/>
              <w:rPr>
                <w:sz w:val="20"/>
                <w:szCs w:val="20"/>
                <w:color w:val="auto"/>
              </w:rPr>
            </w:pPr>
            <w:r>
              <w:rPr>
                <w:rFonts w:ascii="Arial" w:cs="Arial" w:eastAsia="Arial" w:hAnsi="Arial"/>
                <w:sz w:val="17"/>
                <w:szCs w:val="17"/>
                <w:b w:val="1"/>
                <w:bCs w:val="1"/>
                <w:color w:val="auto"/>
              </w:rPr>
              <w:t>Communications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6"/>
        </w:trPr>
        <w:tc>
          <w:tcPr>
            <w:tcW w:w="5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7"/>
                <w:szCs w:val="17"/>
                <w:color w:val="auto"/>
                <w:w w:val="90"/>
              </w:rPr>
              <w:t>Three Months Ended June 30,</w:t>
            </w: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9"/>
        </w:trPr>
        <w:tc>
          <w:tcPr>
            <w:tcW w:w="5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7"/>
                <w:szCs w:val="17"/>
                <w:color w:val="auto"/>
              </w:rPr>
              <w:t>2023</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7"/>
                <w:szCs w:val="17"/>
                <w:color w:val="auto"/>
              </w:rPr>
              <w:t>2022</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8"/>
        </w:trPr>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7"/>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8"/>
          </w:tcPr>
          <w:p>
            <w:pPr>
              <w:jc w:val="center"/>
              <w:ind w:right="460"/>
              <w:spacing w:after="0"/>
              <w:rPr>
                <w:sz w:val="20"/>
                <w:szCs w:val="20"/>
                <w:color w:val="auto"/>
              </w:rPr>
            </w:pPr>
            <w:r>
              <w:rPr>
                <w:rFonts w:ascii="Arial" w:cs="Arial" w:eastAsia="Arial" w:hAnsi="Arial"/>
                <w:sz w:val="15"/>
                <w:szCs w:val="15"/>
                <w:color w:val="auto"/>
                <w:w w:val="91"/>
              </w:rPr>
              <w:t>(Dollars in thousands, Percentage of revenues)</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144,748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32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114,440</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128,952</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89.1</w:t>
            </w:r>
          </w:p>
        </w:tc>
        <w:tc>
          <w:tcPr>
            <w:tcW w:w="300" w:type="dxa"/>
            <w:vAlign w:val="bottom"/>
            <w:tcBorders>
              <w:bottom w:val="single" w:sz="8" w:color="auto"/>
            </w:tcBorders>
          </w:tcPr>
          <w:p>
            <w:pPr>
              <w:spacing w:after="0"/>
              <w:rPr>
                <w:sz w:val="20"/>
                <w:szCs w:val="20"/>
                <w:color w:val="auto"/>
              </w:rPr>
            </w:pPr>
          </w:p>
        </w:tc>
      </w:tr>
      <w:tr>
        <w:trPr>
          <w:trHeight w:val="213"/>
        </w:trPr>
        <w:tc>
          <w:tcPr>
            <w:tcW w:w="5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10.9</w:t>
            </w:r>
          </w:p>
        </w:tc>
        <w:tc>
          <w:tcPr>
            <w:tcW w:w="300" w:type="dxa"/>
            <w:vAlign w:val="bottom"/>
            <w:shd w:val="clear" w:color="auto" w:fill="CCEEFF"/>
          </w:tcPr>
          <w:p>
            <w:pPr>
              <w:spacing w:after="0"/>
              <w:rPr>
                <w:sz w:val="18"/>
                <w:szCs w:val="18"/>
                <w:color w:val="auto"/>
              </w:rPr>
            </w:pPr>
          </w:p>
        </w:tc>
      </w:tr>
      <w:tr>
        <w:trPr>
          <w:trHeight w:val="218"/>
        </w:trPr>
        <w:tc>
          <w:tcPr>
            <w:tcW w:w="532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11,544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8.0</w:t>
            </w:r>
          </w:p>
        </w:tc>
        <w:tc>
          <w:tcPr>
            <w:tcW w:w="300" w:type="dxa"/>
            <w:vAlign w:val="bottom"/>
          </w:tcPr>
          <w:p>
            <w:pPr>
              <w:spacing w:after="0"/>
              <w:rPr>
                <w:sz w:val="18"/>
                <w:szCs w:val="18"/>
                <w:color w:val="auto"/>
              </w:rPr>
            </w:pPr>
          </w:p>
        </w:tc>
      </w:tr>
      <w:tr>
        <w:trPr>
          <w:trHeight w:val="233"/>
        </w:trPr>
        <w:tc>
          <w:tcPr>
            <w:tcW w:w="5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4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r>
      <w:tr>
        <w:trPr>
          <w:trHeight w:val="210"/>
        </w:trPr>
        <w:tc>
          <w:tcPr>
            <w:tcW w:w="532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13,496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9.5</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4,253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Our Communications segment’s revenues decreased by $3.1 million during the three months ended June 30, 2023, or 2.2%,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2022. The decrease primarily resulted from a reduction in work on e-commerce distribution centers, largely offset by an increase in demand from high-tech manufacturing customers.</w:t>
      </w:r>
    </w:p>
    <w:p>
      <w:pPr>
        <w:spacing w:after="0" w:line="20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Communications segment’s gross profit during the three months ended June 30, 2023 increased by $11.4 million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2022. Gross profit as a percentage of revenue increased from 10.9% to 19.2%. During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26" w:name="page27"/>
    <w:bookmarkEnd w:id="26"/>
    <w:p>
      <w:pPr>
        <w:spacing w:after="0" w:line="290" w:lineRule="auto"/>
        <w:rPr>
          <w:sz w:val="20"/>
          <w:szCs w:val="20"/>
          <w:color w:val="auto"/>
        </w:rPr>
      </w:pPr>
      <w:r>
        <w:rPr>
          <w:rFonts w:ascii="Arial" w:cs="Arial" w:eastAsia="Arial" w:hAnsi="Arial"/>
          <w:sz w:val="16"/>
          <w:szCs w:val="16"/>
          <w:color w:val="auto"/>
        </w:rPr>
        <w:t>the three months ended June 30, 2022, we recorded $7.8 million of losses in the quarter ended June 30, 2022 as a result of execution issues relating to an expansion into a new, adjacent service area. Although these projects continued to negatively impact our results throughout fiscal 2022, we have since completed all such projects, and are no longer working in this service area. We did not incur any similar losses during the three months ended June 30, 2023.</w:t>
      </w:r>
    </w:p>
    <w:p>
      <w:pPr>
        <w:spacing w:after="0" w:line="184"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Our Communications segment’s selling, general and administrative expenses increased by $2.1 million, or 18.5%,</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three months ended June 30, 2023, compared to the three months ended June 30, 2022. The increase is primarily a result of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 in the Communications segment were 9.7% during the three months ended June 30, 2023, compared to 8.0% for the three months ended June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right"/>
              <w:ind w:right="920"/>
              <w:spacing w:after="0"/>
              <w:rPr>
                <w:sz w:val="20"/>
                <w:szCs w:val="20"/>
                <w:color w:val="auto"/>
              </w:rPr>
            </w:pPr>
            <w:r>
              <w:rPr>
                <w:rFonts w:ascii="Arial" w:cs="Arial" w:eastAsia="Arial" w:hAnsi="Arial"/>
                <w:sz w:val="17"/>
                <w:szCs w:val="17"/>
                <w:color w:val="auto"/>
                <w:w w:val="98"/>
              </w:rPr>
              <w:t>Nine Months Ended June 30,</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9"/>
        </w:trPr>
        <w:tc>
          <w:tcPr>
            <w:tcW w:w="5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2023</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2022</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8"/>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7"/>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560" w:type="dxa"/>
            <w:vAlign w:val="bottom"/>
            <w:gridSpan w:val="9"/>
          </w:tcPr>
          <w:p>
            <w:pPr>
              <w:jc w:val="right"/>
              <w:ind w:right="640"/>
              <w:spacing w:after="0"/>
              <w:rPr>
                <w:sz w:val="20"/>
                <w:szCs w:val="20"/>
                <w:color w:val="auto"/>
              </w:rPr>
            </w:pPr>
            <w:r>
              <w:rPr>
                <w:rFonts w:ascii="Arial" w:cs="Arial" w:eastAsia="Arial" w:hAnsi="Arial"/>
                <w:sz w:val="15"/>
                <w:szCs w:val="15"/>
                <w:color w:val="auto"/>
                <w:w w:val="92"/>
              </w:rPr>
              <w:t>(Dollars in thousands, Percentage of revenues)</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4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429,980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402,776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3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355,904</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82.8</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355,360</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88.2</w:t>
            </w:r>
          </w:p>
        </w:tc>
        <w:tc>
          <w:tcPr>
            <w:tcW w:w="300" w:type="dxa"/>
            <w:vAlign w:val="bottom"/>
            <w:tcBorders>
              <w:bottom w:val="single" w:sz="8" w:color="auto"/>
            </w:tcBorders>
          </w:tcPr>
          <w:p>
            <w:pPr>
              <w:spacing w:after="0"/>
              <w:rPr>
                <w:sz w:val="20"/>
                <w:szCs w:val="20"/>
                <w:color w:val="auto"/>
              </w:rPr>
            </w:pPr>
          </w:p>
        </w:tc>
      </w:tr>
      <w:tr>
        <w:trPr>
          <w:trHeight w:val="213"/>
        </w:trPr>
        <w:tc>
          <w:tcPr>
            <w:tcW w:w="53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74,076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11.8</w:t>
            </w:r>
          </w:p>
        </w:tc>
        <w:tc>
          <w:tcPr>
            <w:tcW w:w="300" w:type="dxa"/>
            <w:vAlign w:val="bottom"/>
            <w:shd w:val="clear" w:color="auto" w:fill="CCEEFF"/>
          </w:tcPr>
          <w:p>
            <w:pPr>
              <w:spacing w:after="0"/>
              <w:rPr>
                <w:sz w:val="18"/>
                <w:szCs w:val="18"/>
                <w:color w:val="auto"/>
              </w:rPr>
            </w:pPr>
          </w:p>
        </w:tc>
      </w:tr>
      <w:tr>
        <w:trPr>
          <w:trHeight w:val="218"/>
        </w:trPr>
        <w:tc>
          <w:tcPr>
            <w:tcW w:w="534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39,363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33,907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8.4</w:t>
            </w:r>
          </w:p>
        </w:tc>
        <w:tc>
          <w:tcPr>
            <w:tcW w:w="300" w:type="dxa"/>
            <w:vAlign w:val="bottom"/>
          </w:tcPr>
          <w:p>
            <w:pPr>
              <w:spacing w:after="0"/>
              <w:rPr>
                <w:sz w:val="18"/>
                <w:szCs w:val="18"/>
                <w:color w:val="auto"/>
              </w:rPr>
            </w:pPr>
          </w:p>
        </w:tc>
      </w:tr>
      <w:tr>
        <w:trPr>
          <w:trHeight w:val="233"/>
        </w:trPr>
        <w:tc>
          <w:tcPr>
            <w:tcW w:w="53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4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r>
      <w:tr>
        <w:trPr>
          <w:trHeight w:val="210"/>
        </w:trPr>
        <w:tc>
          <w:tcPr>
            <w:tcW w:w="534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34,717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8.1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13,523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3.4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ind w:right="520"/>
        <w:spacing w:after="0" w:line="349"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Our Communications segment's revenues increased by $27.2 million during the nine months ended June 30, 2023, or 6.8%, compared to the nine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2022. The increase primarily resulted from increased demand from our data center and high-tech manufacturing customers.</w:t>
      </w:r>
    </w:p>
    <w:p>
      <w:pPr>
        <w:spacing w:after="0" w:line="14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Communications segment’s gross profit during the nine months ended June 30, 2023 increased $26.7 million, or 56.2%, as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2022. Gross profit as a percentage of revenue increased from 11.8% to 17.2%. The increase in gross profit and gross profit as a percentage of revenue primarily reflects the impact of $17.1 million of project losses incurred in the nine months ended June 30, 2022 resulting from the expansion into the new service area discussed above. We did not incur any similar losses during the nine months ended June 30, 2023.</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$5.5 million, or 16.1%,</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June 30, 2023, compared to the nine months ended June 30, 2022. The increase is a result of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revenues in the Communications segment increased from 8.4% during the nine months ended June 30, 2022 to 9.2% during the nine months ended June 30, 2023.</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Residential</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6"/>
        </w:trPr>
        <w:tc>
          <w:tcPr>
            <w:tcW w:w="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7"/>
                <w:szCs w:val="17"/>
                <w:color w:val="auto"/>
                <w:w w:val="90"/>
              </w:rPr>
              <w:t>Three Months Ended June 30,</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2023</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2022</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03"/>
        </w:trPr>
        <w:tc>
          <w:tcPr>
            <w:tcW w:w="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20" w:type="dxa"/>
            <w:vAlign w:val="bottom"/>
            <w:gridSpan w:val="9"/>
          </w:tcPr>
          <w:p>
            <w:pPr>
              <w:jc w:val="center"/>
              <w:ind w:right="300"/>
              <w:spacing w:after="0"/>
              <w:rPr>
                <w:sz w:val="20"/>
                <w:szCs w:val="20"/>
                <w:color w:val="auto"/>
              </w:rPr>
            </w:pPr>
            <w:r>
              <w:rPr>
                <w:rFonts w:ascii="Arial" w:cs="Arial" w:eastAsia="Arial" w:hAnsi="Arial"/>
                <w:sz w:val="15"/>
                <w:szCs w:val="15"/>
                <w:color w:val="auto"/>
                <w:w w:val="91"/>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301,763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260,679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82.0</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248,928</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82.5</w:t>
            </w:r>
          </w:p>
        </w:tc>
        <w:tc>
          <w:tcPr>
            <w:tcW w:w="300" w:type="dxa"/>
            <w:vAlign w:val="bottom"/>
            <w:tcBorders>
              <w:bottom w:val="single" w:sz="8" w:color="auto"/>
            </w:tcBorders>
          </w:tcPr>
          <w:p>
            <w:pPr>
              <w:spacing w:after="0"/>
              <w:rPr>
                <w:sz w:val="18"/>
                <w:szCs w:val="18"/>
                <w:color w:val="auto"/>
              </w:rPr>
            </w:pPr>
          </w:p>
        </w:tc>
      </w:tr>
      <w:tr>
        <w:trPr>
          <w:trHeight w:val="226"/>
        </w:trPr>
        <w:tc>
          <w:tcPr>
            <w:tcW w:w="60" w:type="dxa"/>
            <w:vAlign w:val="bottom"/>
          </w:tcPr>
          <w:p>
            <w:pPr>
              <w:spacing w:after="0"/>
              <w:rPr>
                <w:sz w:val="19"/>
                <w:szCs w:val="19"/>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18.0</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17.5</w:t>
            </w:r>
          </w:p>
        </w:tc>
        <w:tc>
          <w:tcPr>
            <w:tcW w:w="300" w:type="dxa"/>
            <w:vAlign w:val="bottom"/>
            <w:shd w:val="clear" w:color="auto" w:fill="CCEEFF"/>
          </w:tcPr>
          <w:p>
            <w:pPr>
              <w:spacing w:after="0"/>
              <w:rPr>
                <w:sz w:val="19"/>
                <w:szCs w:val="19"/>
                <w:color w:val="auto"/>
              </w:rPr>
            </w:pPr>
          </w:p>
        </w:tc>
      </w:tr>
      <w:tr>
        <w:trPr>
          <w:trHeight w:val="218"/>
        </w:trPr>
        <w:tc>
          <w:tcPr>
            <w:tcW w:w="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41,939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37,237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12.3</w:t>
            </w:r>
          </w:p>
        </w:tc>
        <w:tc>
          <w:tcPr>
            <w:tcW w:w="30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r>
      <w:tr>
        <w:trPr>
          <w:trHeight w:val="231"/>
        </w:trPr>
        <w:tc>
          <w:tcPr>
            <w:tcW w:w="60" w:type="dxa"/>
            <w:vAlign w:val="bottom"/>
          </w:tcPr>
          <w:p>
            <w:pPr>
              <w:spacing w:after="0"/>
              <w:rPr>
                <w:sz w:val="20"/>
                <w:szCs w:val="20"/>
                <w:color w:val="auto"/>
              </w:rPr>
            </w:pPr>
          </w:p>
        </w:tc>
        <w:tc>
          <w:tcPr>
            <w:tcW w:w="53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(Gain) loss on sale of assets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r>
      <w:tr>
        <w:trPr>
          <w:trHeight w:val="213"/>
        </w:trPr>
        <w:tc>
          <w:tcPr>
            <w:tcW w:w="60" w:type="dxa"/>
            <w:vAlign w:val="bottom"/>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Our Residential segment’s revenues increased by $16.2 million, or 5.4%, during the three months ended June 30, 2023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2022. The increase was driven by continued strong demand, particularly in the multi-</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right="200"/>
        <w:spacing w:after="0" w:line="279" w:lineRule="auto"/>
        <w:rPr>
          <w:sz w:val="20"/>
          <w:szCs w:val="20"/>
          <w:color w:val="auto"/>
        </w:rPr>
      </w:pPr>
      <w:r>
        <w:rPr>
          <w:rFonts w:ascii="Arial" w:cs="Arial" w:eastAsia="Arial" w:hAnsi="Arial"/>
          <w:sz w:val="17"/>
          <w:szCs w:val="17"/>
          <w:color w:val="auto"/>
        </w:rPr>
        <w:t>family and Florida single-family markets. Single-family revenues increased by $4.1 million and multi-family and other revenues increased $12.2 million for the three months ended June 30, 2023 compared to the prior year period.</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During the three months ended June 30, 2023, our Residential segment's gross profit increased by $4.5 million, or 8.5%,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2022. The increase in gross profit was driven primarily by increased activity, as well as an easing of supply chain challenges that impacted prior year efficiency. Gross profit as a percentage of revenue increased to 18.0% during the three months ended June 30, 2023, from 17.5% for the three months ended June 30, 2022, as prior year gross margins were negatively impacted by higher labor and material costs, but improved incrementally throughout fiscal year 2022 as pricing actions were implemented.</w:t>
      </w:r>
    </w:p>
    <w:p>
      <w:pPr>
        <w:spacing w:after="0" w:line="4"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Our Residential segment's selling, general and administrative expenses increased by $4.7 million, or 12.6%, during</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June 30, 2023, compared to the three months ended June 30, 2022. The increase was driven by higher personnel costs in connection with business growth, including incentive profit sharing for division management. Selling, general and administrative expenses for the three months ended June 30, 2023 also included $3.6 million of severance charges, as we reorganized the segment's management structure. In connection with this reorganization, we also began combining multiple administrative facilities into a single location and consolidating several underperforming branches, resulting in higher administrative expenses in the three months ended June 30, 2023 as these steps were implemented. Selling, general and administrative expenses as a percentage of revenue in the Residential segment increased to 13.2% during the three months ended June 30, 2023, compared to 12.3% in the three months ended June 30, 2022.</w:t>
      </w:r>
    </w:p>
    <w:p>
      <w:pPr>
        <w:spacing w:after="0" w:line="200" w:lineRule="exact"/>
        <w:rPr>
          <w:sz w:val="20"/>
          <w:szCs w:val="20"/>
          <w:color w:val="auto"/>
        </w:rPr>
      </w:pP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5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7"/>
                <w:szCs w:val="17"/>
                <w:color w:val="auto"/>
                <w:w w:val="91"/>
              </w:rPr>
              <w:t>Nine Months Ended June 30,</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9"/>
        </w:trPr>
        <w:tc>
          <w:tcPr>
            <w:tcW w:w="5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7"/>
                <w:szCs w:val="17"/>
                <w:color w:val="auto"/>
              </w:rPr>
              <w:t>2023</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2022</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8"/>
        </w:trPr>
        <w:tc>
          <w:tcPr>
            <w:tcW w:w="5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7"/>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8"/>
          </w:tcPr>
          <w:p>
            <w:pPr>
              <w:jc w:val="center"/>
              <w:ind w:right="380"/>
              <w:spacing w:after="0"/>
              <w:rPr>
                <w:sz w:val="20"/>
                <w:szCs w:val="20"/>
                <w:color w:val="auto"/>
              </w:rPr>
            </w:pPr>
            <w:r>
              <w:rPr>
                <w:rFonts w:ascii="Arial" w:cs="Arial" w:eastAsia="Arial" w:hAnsi="Arial"/>
                <w:sz w:val="15"/>
                <w:szCs w:val="15"/>
                <w:color w:val="auto"/>
                <w:w w:val="91"/>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942,201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803,945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3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770,419</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662,928</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82.5</w:t>
            </w:r>
          </w:p>
        </w:tc>
        <w:tc>
          <w:tcPr>
            <w:tcW w:w="300" w:type="dxa"/>
            <w:vAlign w:val="bottom"/>
            <w:tcBorders>
              <w:bottom w:val="single" w:sz="8" w:color="auto"/>
            </w:tcBorders>
          </w:tcPr>
          <w:p>
            <w:pPr>
              <w:spacing w:after="0"/>
              <w:rPr>
                <w:sz w:val="20"/>
                <w:szCs w:val="20"/>
                <w:color w:val="auto"/>
              </w:rPr>
            </w:pPr>
          </w:p>
        </w:tc>
      </w:tr>
      <w:tr>
        <w:trPr>
          <w:trHeight w:val="213"/>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171,782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17.5</w:t>
            </w:r>
          </w:p>
        </w:tc>
        <w:tc>
          <w:tcPr>
            <w:tcW w:w="300" w:type="dxa"/>
            <w:vAlign w:val="bottom"/>
            <w:shd w:val="clear" w:color="auto" w:fill="CCEEFF"/>
          </w:tcPr>
          <w:p>
            <w:pPr>
              <w:spacing w:after="0"/>
              <w:rPr>
                <w:sz w:val="18"/>
                <w:szCs w:val="18"/>
                <w:color w:val="auto"/>
              </w:rPr>
            </w:pPr>
          </w:p>
        </w:tc>
      </w:tr>
      <w:tr>
        <w:trPr>
          <w:trHeight w:val="218"/>
        </w:trPr>
        <w:tc>
          <w:tcPr>
            <w:tcW w:w="536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118,989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101,808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12.7</w:t>
            </w:r>
          </w:p>
        </w:tc>
        <w:tc>
          <w:tcPr>
            <w:tcW w:w="300" w:type="dxa"/>
            <w:vAlign w:val="bottom"/>
          </w:tcPr>
          <w:p>
            <w:pPr>
              <w:spacing w:after="0"/>
              <w:rPr>
                <w:sz w:val="18"/>
                <w:szCs w:val="18"/>
                <w:color w:val="auto"/>
              </w:rPr>
            </w:pPr>
          </w:p>
        </w:tc>
      </w:tr>
      <w:tr>
        <w:trPr>
          <w:trHeight w:val="233"/>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Contingent consideration</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300" w:type="dxa"/>
            <w:vAlign w:val="bottom"/>
            <w:shd w:val="clear" w:color="auto" w:fill="CCEEFF"/>
          </w:tcPr>
          <w:p>
            <w:pPr>
              <w:spacing w:after="0"/>
              <w:rPr>
                <w:sz w:val="20"/>
                <w:szCs w:val="20"/>
                <w:color w:val="auto"/>
              </w:rPr>
            </w:pPr>
          </w:p>
        </w:tc>
      </w:tr>
      <w:tr>
        <w:trPr>
          <w:trHeight w:val="218"/>
        </w:trPr>
        <w:tc>
          <w:tcPr>
            <w:tcW w:w="53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(Gain) loss on sale of assets</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213"/>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income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Our Residential segment's revenues increased by $138.3 million, or 17.2%, during the nine months ended June 30, 2023, compared to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2022. The increase was driven by the impact of price increases in connection with higher materials costs and continued strong demand, particularly in the multi-family and Florida single-family markets. Revenue in our single-family business increased by $76.4 million and multi-family and other revenue increased by $61.8 million for the nine months ended June 30, 2023 compared to the prior year period.</w:t>
      </w:r>
    </w:p>
    <w:p>
      <w:pPr>
        <w:spacing w:after="0" w:line="20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During the nine months ended June 30, 2023, our Residential segment's gross profit increased by $30.8 million, or 21.8%, as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2022. The increase in gross profit was driven primarily by increased activity, as well as the impact of price increases and an easing of supply chain challenges that impacted prior year efficiency. Gross margin as a percentage of revenue increased to 18.2% during the nine months ended June 30, 2023, from 17.5% during the nine months ended June 30, 2022, as prior year gross margins were negatively impacted by higher labor and material costs, but improved incrementally throughout fiscal year 2022 as pricing actions were implemented.</w:t>
      </w:r>
    </w:p>
    <w:p>
      <w:pPr>
        <w:spacing w:after="0" w:line="3"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Residential segment's selling, general and administrative expenses increased by $17.2 million, or 16.9%,</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June 30, 2023, compared to the nine months ended June 30, 2022. The increase was driven by higher personnel costs in connection with business growth, including incentive profit sharing for division management. Selling, general and administrative expenses for the nine months ended June 30, 2023 also included the $3.6 million of severance charges related to the reorganization of the segment's management structure mentioned above. Selling, general and administrative expenses as a percentage of revenue in the Residential segment decreased slightly to 12.6% during the nine months ended June 30, 2023, as compared to 12.7% during the nine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3"/>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Infrastructure Solutions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7"/>
                <w:szCs w:val="17"/>
                <w:color w:val="auto"/>
                <w:w w:val="95"/>
              </w:rPr>
              <w:t>Three Months Ended June 30,</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9"/>
        </w:trPr>
        <w:tc>
          <w:tcPr>
            <w:tcW w:w="5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2023</w:t>
            </w: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2022</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8"/>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gridSpan w:val="10"/>
          </w:tcPr>
          <w:p>
            <w:pPr>
              <w:jc w:val="right"/>
              <w:ind w:right="600"/>
              <w:spacing w:after="0"/>
              <w:rPr>
                <w:sz w:val="20"/>
                <w:szCs w:val="20"/>
                <w:color w:val="auto"/>
              </w:rPr>
            </w:pPr>
            <w:r>
              <w:rPr>
                <w:rFonts w:ascii="Arial" w:cs="Arial" w:eastAsia="Arial" w:hAnsi="Arial"/>
                <w:sz w:val="15"/>
                <w:szCs w:val="15"/>
                <w:color w:val="auto"/>
              </w:rPr>
              <w:t>(Dollars in thousands,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4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42,851</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75.1</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33,726</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84.7</w:t>
            </w:r>
          </w:p>
        </w:tc>
        <w:tc>
          <w:tcPr>
            <w:tcW w:w="280" w:type="dxa"/>
            <w:vAlign w:val="bottom"/>
            <w:tcBorders>
              <w:bottom w:val="single" w:sz="8" w:color="auto"/>
            </w:tcBorders>
          </w:tcPr>
          <w:p>
            <w:pPr>
              <w:spacing w:after="0"/>
              <w:rPr>
                <w:sz w:val="20"/>
                <w:szCs w:val="20"/>
                <w:color w:val="auto"/>
              </w:rPr>
            </w:pPr>
          </w:p>
        </w:tc>
      </w:tr>
      <w:tr>
        <w:trPr>
          <w:trHeight w:val="213"/>
        </w:trPr>
        <w:tc>
          <w:tcPr>
            <w:tcW w:w="5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15.3</w:t>
            </w:r>
          </w:p>
        </w:tc>
        <w:tc>
          <w:tcPr>
            <w:tcW w:w="280" w:type="dxa"/>
            <w:vAlign w:val="bottom"/>
            <w:shd w:val="clear" w:color="auto" w:fill="CCEEFF"/>
          </w:tcPr>
          <w:p>
            <w:pPr>
              <w:spacing w:after="0"/>
              <w:rPr>
                <w:sz w:val="18"/>
                <w:szCs w:val="18"/>
                <w:color w:val="auto"/>
              </w:rPr>
            </w:pPr>
          </w:p>
        </w:tc>
      </w:tr>
      <w:tr>
        <w:trPr>
          <w:trHeight w:val="218"/>
        </w:trPr>
        <w:tc>
          <w:tcPr>
            <w:tcW w:w="54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6,484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16.3</w:t>
            </w:r>
          </w:p>
        </w:tc>
        <w:tc>
          <w:tcPr>
            <w:tcW w:w="280" w:type="dxa"/>
            <w:vAlign w:val="bottom"/>
          </w:tcPr>
          <w:p>
            <w:pPr>
              <w:spacing w:after="0"/>
              <w:rPr>
                <w:sz w:val="18"/>
                <w:szCs w:val="18"/>
                <w:color w:val="auto"/>
              </w:rPr>
            </w:pPr>
          </w:p>
        </w:tc>
      </w:tr>
      <w:tr>
        <w:trPr>
          <w:trHeight w:val="233"/>
        </w:trPr>
        <w:tc>
          <w:tcPr>
            <w:tcW w:w="5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r>
      <w:tr>
        <w:trPr>
          <w:trHeight w:val="210"/>
        </w:trPr>
        <w:tc>
          <w:tcPr>
            <w:tcW w:w="548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8,150</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14.3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 our Infrastructure Solutions segment increased $17.2 million during the three months ended June 30, 2023, an increase of 43.2%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30, 2022, driven primarily by continued strong demand in our generator enclosures business.</w:t>
      </w:r>
    </w:p>
    <w:p>
      <w:pPr>
        <w:spacing w:after="0" w:line="19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three months ended June 30, 2023 increased $8.1 million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2022. Gross profit for the three months ended June 30, 2022 was negatively affected by the impact of supply chain disruptions, COVID-19 related labor inefficiencies, and operating inefficiencies in connection with the relocation of our Tulsa, Oklahoma operation to a new, larger facility in order to accommodate increased demand for our generator enclosure products. Gross profit as a percentage of revenue increased from 15.3% to 24.9%.</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Our Infrastructure Solutions segment’s selling, general and administrative expenses during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June 30, 2023 increased $0.6 million when compared to the three months ended June 30, 2022, primarily as a result of increased employee compensation cost.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as a percentage of revenue decreased from 16.3% to 12.4% as we benefited from the scale of our operations.</w:t>
      </w:r>
    </w:p>
    <w:p>
      <w:pPr>
        <w:spacing w:after="0" w:line="2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Gain on Sale of Assets. </w:t>
      </w:r>
      <w:r>
        <w:rPr>
          <w:rFonts w:ascii="Arial" w:cs="Arial" w:eastAsia="Arial" w:hAnsi="Arial"/>
          <w:sz w:val="17"/>
          <w:szCs w:val="17"/>
          <w:color w:val="auto"/>
        </w:rPr>
        <w:t>Our results for the three months ended June 30, 2023 included a $1.0 million gain from the sale of a portion of the property on which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operating facilities is located. The sale of this excess land will have no impact on the operations of the facility.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7"/>
                <w:szCs w:val="17"/>
                <w:color w:val="auto"/>
                <w:w w:val="91"/>
              </w:rPr>
              <w:t>Nine Months Ended June 30,</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2023</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2022</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9"/>
        </w:trPr>
        <w:tc>
          <w:tcPr>
            <w:tcW w:w="5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03"/>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9"/>
          </w:tcPr>
          <w:p>
            <w:pPr>
              <w:jc w:val="center"/>
              <w:ind w:right="340"/>
              <w:spacing w:after="0"/>
              <w:rPr>
                <w:sz w:val="20"/>
                <w:szCs w:val="20"/>
                <w:color w:val="auto"/>
              </w:rPr>
            </w:pPr>
            <w:r>
              <w:rPr>
                <w:rFonts w:ascii="Arial" w:cs="Arial" w:eastAsia="Arial" w:hAnsi="Arial"/>
                <w:sz w:val="15"/>
                <w:szCs w:val="15"/>
                <w:color w:val="auto"/>
                <w:w w:val="91"/>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123,666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480" w:type="dxa"/>
            <w:vAlign w:val="bottom"/>
          </w:tcPr>
          <w:p>
            <w:pPr>
              <w:ind w:left="6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120,089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75.5</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102,774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83.1</w:t>
            </w:r>
          </w:p>
        </w:tc>
        <w:tc>
          <w:tcPr>
            <w:tcW w:w="300" w:type="dxa"/>
            <w:vAlign w:val="bottom"/>
            <w:tcBorders>
              <w:bottom w:val="single" w:sz="8" w:color="auto"/>
            </w:tcBorders>
          </w:tcPr>
          <w:p>
            <w:pPr>
              <w:spacing w:after="0"/>
              <w:rPr>
                <w:sz w:val="18"/>
                <w:szCs w:val="18"/>
                <w:color w:val="auto"/>
              </w:rPr>
            </w:pPr>
          </w:p>
        </w:tc>
      </w:tr>
      <w:tr>
        <w:trPr>
          <w:trHeight w:val="226"/>
        </w:trPr>
        <w:tc>
          <w:tcPr>
            <w:tcW w:w="5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16.9</w:t>
            </w:r>
          </w:p>
        </w:tc>
        <w:tc>
          <w:tcPr>
            <w:tcW w:w="300" w:type="dxa"/>
            <w:vAlign w:val="bottom"/>
            <w:shd w:val="clear" w:color="auto" w:fill="CCEEFF"/>
          </w:tcPr>
          <w:p>
            <w:pPr>
              <w:spacing w:after="0"/>
              <w:rPr>
                <w:sz w:val="19"/>
                <w:szCs w:val="19"/>
                <w:color w:val="auto"/>
              </w:rPr>
            </w:pPr>
          </w:p>
        </w:tc>
      </w:tr>
      <w:tr>
        <w:trPr>
          <w:trHeight w:val="218"/>
        </w:trPr>
        <w:tc>
          <w:tcPr>
            <w:tcW w:w="54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18,817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18,933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15.3</w:t>
            </w:r>
          </w:p>
        </w:tc>
        <w:tc>
          <w:tcPr>
            <w:tcW w:w="300" w:type="dxa"/>
            <w:vAlign w:val="bottom"/>
          </w:tcPr>
          <w:p>
            <w:pPr>
              <w:spacing w:after="0"/>
              <w:rPr>
                <w:sz w:val="18"/>
                <w:szCs w:val="18"/>
                <w:color w:val="auto"/>
              </w:rPr>
            </w:pPr>
          </w:p>
        </w:tc>
      </w:tr>
      <w:tr>
        <w:trPr>
          <w:trHeight w:val="219"/>
        </w:trPr>
        <w:tc>
          <w:tcPr>
            <w:tcW w:w="5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r>
      <w:tr>
        <w:trPr>
          <w:trHeight w:val="211"/>
        </w:trPr>
        <w:tc>
          <w:tcPr>
            <w:tcW w:w="548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21,080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13.3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1,987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 our Infrastructure Solutions segment increased $35.3 million, or 28.5%, during the nine months ended June 30, 2023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2022. The increase in revenue was driven primarily by increased demand at our generator enclosure business.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Infrastructure Solutions segment’s gross profit during the nine months ended June 30, 2023 increased $18.0 million as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2022. Gross profit for the nine months ended June 30, 2022 was negatively impacted by supply chain disruptions in our generator enclosure business, COVID-19 related labor inefficiencies, and operating inefficiencies in connection with the relocation of our Tulsa operation to a new, larger facility as discussed above. Gross profit as a percentage of revenues increased to 24.5% for the nine months ended June 30, 2023 compared to 16.9% for the nine months ended June 30, 2022.</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Infrastructure Solutions segment’s selling, general and administrative expenses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2023 decreased $0.1 million compared to the nine months ended June 30, 2022. Selling, general and administrative expenses as a percentage of revenue decreased from 15.3% for the nine months ended June 30, 2022 to 11.8% for the nine months ended June 30, 2023, as we benefited from the scale of our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 xml:space="preserve">Gain on Sale of Assets. </w:t>
      </w:r>
      <w:r>
        <w:rPr>
          <w:rFonts w:ascii="Arial" w:cs="Arial" w:eastAsia="Arial" w:hAnsi="Arial"/>
          <w:sz w:val="16"/>
          <w:szCs w:val="16"/>
          <w:color w:val="auto"/>
        </w:rPr>
        <w:t>Our results for the three months ended June 30, 2023 included the $1.0 million gain from the sale of excess land discussed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ind w:left="40"/>
              <w:spacing w:after="0"/>
              <w:rPr>
                <w:sz w:val="20"/>
                <w:szCs w:val="20"/>
                <w:color w:val="auto"/>
              </w:rPr>
            </w:pPr>
            <w:r>
              <w:rPr>
                <w:rFonts w:ascii="Arial" w:cs="Arial" w:eastAsia="Arial" w:hAnsi="Arial"/>
                <w:sz w:val="17"/>
                <w:szCs w:val="17"/>
                <w:b w:val="1"/>
                <w:bCs w:val="1"/>
                <w:color w:val="auto"/>
              </w:rPr>
              <w:t>Commercial &amp; Industrial</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6"/>
        </w:trPr>
        <w:tc>
          <w:tcPr>
            <w:tcW w:w="5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7"/>
                <w:szCs w:val="17"/>
                <w:color w:val="auto"/>
                <w:w w:val="90"/>
              </w:rPr>
              <w:t>Three Months Ended June 30,</w:t>
            </w: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9"/>
        </w:trPr>
        <w:tc>
          <w:tcPr>
            <w:tcW w:w="5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7"/>
                <w:szCs w:val="17"/>
                <w:color w:val="auto"/>
              </w:rPr>
              <w:t>2023</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7"/>
                <w:szCs w:val="17"/>
                <w:color w:val="auto"/>
              </w:rPr>
              <w:t>2022</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8"/>
        </w:trPr>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7"/>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8"/>
          </w:tcPr>
          <w:p>
            <w:pPr>
              <w:jc w:val="center"/>
              <w:ind w:right="460"/>
              <w:spacing w:after="0"/>
              <w:rPr>
                <w:sz w:val="20"/>
                <w:szCs w:val="20"/>
                <w:color w:val="auto"/>
              </w:rPr>
            </w:pPr>
            <w:r>
              <w:rPr>
                <w:rFonts w:ascii="Arial" w:cs="Arial" w:eastAsia="Arial" w:hAnsi="Arial"/>
                <w:sz w:val="15"/>
                <w:szCs w:val="15"/>
                <w:color w:val="auto"/>
                <w:w w:val="91"/>
              </w:rPr>
              <w:t>(Dollars in thousands, Percentage of revenues)</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80,953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532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58,872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86.9</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72,895</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90.0</w:t>
            </w:r>
          </w:p>
        </w:tc>
        <w:tc>
          <w:tcPr>
            <w:tcW w:w="300" w:type="dxa"/>
            <w:vAlign w:val="bottom"/>
            <w:tcBorders>
              <w:bottom w:val="single" w:sz="8" w:color="auto"/>
            </w:tcBorders>
          </w:tcPr>
          <w:p>
            <w:pPr>
              <w:spacing w:after="0"/>
              <w:rPr>
                <w:sz w:val="20"/>
                <w:szCs w:val="20"/>
                <w:color w:val="auto"/>
              </w:rPr>
            </w:pPr>
          </w:p>
        </w:tc>
      </w:tr>
      <w:tr>
        <w:trPr>
          <w:trHeight w:val="213"/>
        </w:trPr>
        <w:tc>
          <w:tcPr>
            <w:tcW w:w="5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w:t>
            </w:r>
          </w:p>
        </w:tc>
        <w:tc>
          <w:tcPr>
            <w:tcW w:w="300" w:type="dxa"/>
            <w:vAlign w:val="bottom"/>
            <w:shd w:val="clear" w:color="auto" w:fill="CCEEFF"/>
          </w:tcPr>
          <w:p>
            <w:pPr>
              <w:spacing w:after="0"/>
              <w:rPr>
                <w:sz w:val="18"/>
                <w:szCs w:val="18"/>
                <w:color w:val="auto"/>
              </w:rPr>
            </w:pPr>
          </w:p>
        </w:tc>
      </w:tr>
      <w:tr>
        <w:trPr>
          <w:trHeight w:val="218"/>
        </w:trPr>
        <w:tc>
          <w:tcPr>
            <w:tcW w:w="532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7,788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9.6</w:t>
            </w:r>
          </w:p>
        </w:tc>
        <w:tc>
          <w:tcPr>
            <w:tcW w:w="300" w:type="dxa"/>
            <w:vAlign w:val="bottom"/>
          </w:tcPr>
          <w:p>
            <w:pPr>
              <w:spacing w:after="0"/>
              <w:rPr>
                <w:sz w:val="18"/>
                <w:szCs w:val="18"/>
                <w:color w:val="auto"/>
              </w:rPr>
            </w:pPr>
          </w:p>
        </w:tc>
      </w:tr>
      <w:tr>
        <w:trPr>
          <w:trHeight w:val="233"/>
        </w:trPr>
        <w:tc>
          <w:tcPr>
            <w:tcW w:w="5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4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r>
      <w:tr>
        <w:trPr>
          <w:trHeight w:val="210"/>
        </w:trPr>
        <w:tc>
          <w:tcPr>
            <w:tcW w:w="532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3.9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0.3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 our Commercial &amp; Industrial segment decreased $13.2 million, or 16.3%, during the three months ended June 30,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2022. The decrease is primarily due to a planned reduction in activity at an underperforming branch where we incurred substantial losses in fiscal 2022. As a result of limitations placed on the size and duration of its new projects, revenue at this branch decreased by $12.2 million for the three months ended June 30, 2023, compared to the three months ended June 30, 2022. Additionally, our STR business, which we sold on October 7, 2022, contributed revenue of $4.5 million for the quarter ended June 30, 2022. The markets in which we operate remain highly competitive.</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Commercial &amp; Industrial segment’s gross profit during the three months ended June 30, 2023, increased by $0.8 million,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2022. Gross profit as a percentage of revenue increased from 10.0% for the quarter ended June 30, 2022 to 13.1% for the quarter ended June 30, 2023. Our results for the quarter ended June 30, 2022 were impacted by continuing project inefficiencies at one of our branches which had incurred substantial losses earlier in fiscal 2022.</w:t>
      </w:r>
    </w:p>
    <w:p>
      <w:pPr>
        <w:spacing w:after="0" w:line="20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Commercial &amp; Industrial segment’s selling, general and administrative expenses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2023 decreased $1.5 million, or 19.3%, compared to the three months ended June 30, 2022. Selling, general and administrative expenses for the three months ended June 30, 2022 included $0.9 million of reserves in connection with legal matters related to certain contractual disputes, as well as $1.0 million of branch level expenses at our divested STR business. The elimination of these expenses was partly offset by an increase in legal expenses in the three months ended June 30, 2023. Selling, general and administrative expenses as a percentage of revenue decreased from 9.6% to 9.3% for the three months ended June 30, 2023 compared to the three months ended June 30,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right"/>
              <w:ind w:right="920"/>
              <w:spacing w:after="0"/>
              <w:rPr>
                <w:sz w:val="20"/>
                <w:szCs w:val="20"/>
                <w:color w:val="auto"/>
              </w:rPr>
            </w:pPr>
            <w:r>
              <w:rPr>
                <w:rFonts w:ascii="Arial" w:cs="Arial" w:eastAsia="Arial" w:hAnsi="Arial"/>
                <w:sz w:val="17"/>
                <w:szCs w:val="17"/>
                <w:color w:val="auto"/>
                <w:w w:val="98"/>
              </w:rPr>
              <w:t>Nine Months Ended June 30,</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2"/>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2023</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2022</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19"/>
        </w:trPr>
        <w:tc>
          <w:tcPr>
            <w:tcW w:w="5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9"/>
                <w:szCs w:val="19"/>
                <w:color w:val="auto"/>
              </w:rPr>
            </w:pPr>
          </w:p>
        </w:tc>
      </w:tr>
      <w:tr>
        <w:trPr>
          <w:trHeight w:val="203"/>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560" w:type="dxa"/>
            <w:vAlign w:val="bottom"/>
            <w:gridSpan w:val="9"/>
          </w:tcPr>
          <w:p>
            <w:pPr>
              <w:jc w:val="right"/>
              <w:ind w:right="640"/>
              <w:spacing w:after="0"/>
              <w:rPr>
                <w:sz w:val="20"/>
                <w:szCs w:val="20"/>
                <w:color w:val="auto"/>
              </w:rPr>
            </w:pPr>
            <w:r>
              <w:rPr>
                <w:rFonts w:ascii="Arial" w:cs="Arial" w:eastAsia="Arial" w:hAnsi="Arial"/>
                <w:sz w:val="15"/>
                <w:szCs w:val="15"/>
                <w:color w:val="auto"/>
                <w:w w:val="92"/>
              </w:rPr>
              <w:t>(Dollars in thousands, Percentage of revenues)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1"/>
        </w:trPr>
        <w:tc>
          <w:tcPr>
            <w:tcW w:w="534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197,068</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21"/>
                <w:szCs w:val="21"/>
                <w:color w:val="auto"/>
                <w:w w:val="85"/>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219,016</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r>
      <w:tr>
        <w:trPr>
          <w:trHeight w:val="218"/>
        </w:trPr>
        <w:tc>
          <w:tcPr>
            <w:tcW w:w="53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177,821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207,307</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w:t>
            </w:r>
          </w:p>
        </w:tc>
        <w:tc>
          <w:tcPr>
            <w:tcW w:w="360" w:type="dxa"/>
            <w:vAlign w:val="bottom"/>
            <w:tcBorders>
              <w:bottom w:val="single" w:sz="8" w:color="auto"/>
            </w:tcBorders>
          </w:tcPr>
          <w:p>
            <w:pPr>
              <w:spacing w:after="0"/>
              <w:rPr>
                <w:sz w:val="18"/>
                <w:szCs w:val="18"/>
                <w:color w:val="auto"/>
              </w:rPr>
            </w:pPr>
          </w:p>
        </w:tc>
      </w:tr>
      <w:tr>
        <w:trPr>
          <w:trHeight w:val="213"/>
        </w:trPr>
        <w:tc>
          <w:tcPr>
            <w:tcW w:w="53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360" w:type="dxa"/>
            <w:vAlign w:val="bottom"/>
            <w:shd w:val="clear" w:color="auto" w:fill="CCEEFF"/>
          </w:tcPr>
          <w:p>
            <w:pPr>
              <w:spacing w:after="0"/>
              <w:rPr>
                <w:sz w:val="18"/>
                <w:szCs w:val="18"/>
                <w:color w:val="auto"/>
              </w:rPr>
            </w:pPr>
          </w:p>
        </w:tc>
      </w:tr>
      <w:tr>
        <w:trPr>
          <w:trHeight w:val="225"/>
        </w:trPr>
        <w:tc>
          <w:tcPr>
            <w:tcW w:w="534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23,504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w:t>
            </w:r>
          </w:p>
        </w:tc>
        <w:tc>
          <w:tcPr>
            <w:tcW w:w="360" w:type="dxa"/>
            <w:vAlign w:val="bottom"/>
          </w:tcPr>
          <w:p>
            <w:pPr>
              <w:spacing w:after="0"/>
              <w:rPr>
                <w:sz w:val="19"/>
                <w:szCs w:val="19"/>
                <w:color w:val="auto"/>
              </w:rPr>
            </w:pPr>
          </w:p>
        </w:tc>
      </w:tr>
      <w:tr>
        <w:trPr>
          <w:trHeight w:val="226"/>
        </w:trPr>
        <w:tc>
          <w:tcPr>
            <w:tcW w:w="53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r>
      <w:tr>
        <w:trPr>
          <w:trHeight w:val="244"/>
        </w:trPr>
        <w:tc>
          <w:tcPr>
            <w:tcW w:w="5340" w:type="dxa"/>
            <w:vAlign w:val="bottom"/>
          </w:tcPr>
          <w:p>
            <w:pPr>
              <w:ind w:left="6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14,021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w:t>
            </w:r>
          </w:p>
        </w:tc>
        <w:tc>
          <w:tcPr>
            <w:tcW w:w="320" w:type="dxa"/>
            <w:vAlign w:val="bottom"/>
          </w:tcPr>
          <w:p>
            <w:pPr>
              <w:jc w:val="right"/>
              <w:ind w:right="37"/>
              <w:spacing w:after="0"/>
              <w:rPr>
                <w:sz w:val="20"/>
                <w:szCs w:val="20"/>
                <w:color w:val="auto"/>
              </w:rPr>
            </w:pPr>
            <w:r>
              <w:rPr>
                <w:rFonts w:ascii="Arial" w:cs="Arial" w:eastAsia="Arial" w:hAnsi="Arial"/>
                <w:sz w:val="21"/>
                <w:szCs w:val="21"/>
                <w:color w:val="auto"/>
                <w:w w:val="85"/>
              </w:rPr>
              <w:t>%</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(11,753)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34"/>
              <w:spacing w:after="0"/>
              <w:rPr>
                <w:sz w:val="20"/>
                <w:szCs w:val="20"/>
                <w:color w:val="auto"/>
              </w:rPr>
            </w:pPr>
            <w:r>
              <w:rPr>
                <w:rFonts w:ascii="Arial" w:cs="Arial" w:eastAsia="Arial" w:hAnsi="Arial"/>
                <w:sz w:val="17"/>
                <w:szCs w:val="17"/>
                <w:color w:val="auto"/>
              </w:rPr>
              <w:t>(5.4) %</w:t>
            </w:r>
          </w:p>
        </w:tc>
      </w:tr>
    </w:tbl>
    <w:p>
      <w:pPr>
        <w:spacing w:after="0" w:line="304" w:lineRule="exact"/>
        <w:rPr>
          <w:sz w:val="20"/>
          <w:szCs w:val="20"/>
          <w:color w:val="auto"/>
        </w:rPr>
      </w:pPr>
    </w:p>
    <w:p>
      <w:pPr>
        <w:jc w:val="both"/>
        <w:ind w:right="240"/>
        <w:spacing w:after="0" w:line="290"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 our Commercial &amp; Industrial segment decreased $21.9 million during the nine months ended June 30, 2023, or 10.0%,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June 30, 2022. The decrease is primarily due to a planned reduction in activity at the underperforming branch discussed above. Additionally, our STR business, which we sold in October 2022, contributed revenue of $13.7 million for the nine months ended June 30, 2022.</w:t>
      </w:r>
    </w:p>
    <w:p>
      <w:pPr>
        <w:spacing w:after="0" w:line="18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Commercial &amp; Industrial segment’s gross profit during the nine months ended June 30, 2023 increased by $7.5 million, or 64.4%,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June 30, 2022. Gross profit for the nine months ended June 30, 2022 was reduced by $13.2 million due to execution issues on two projects at one underperforming branch. The benefit of improved project execution was partially offset by the sale of STR, which contributed gross profit of $3.5 million for the nine months ended June 30,</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auto"/>
        </w:rPr>
        <w:t>2022. Gross profit as a percentage of revenue increased from 5.3% for the nine months ended June 30, 2022 to 9.8% for the nine months ended June 30, 2023.</w:t>
      </w:r>
    </w:p>
    <w:p>
      <w:pPr>
        <w:spacing w:after="0" w:line="26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Commercial &amp; Industrial segment’s selling, general and administrative expenses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2023 decreased $5.1 million, or 21.8%, compared to the nine months ended June 30, 2022. The decrease was driven primarily by the sale of STR, which recorded branch level selling, general and administrative expense of $3.2 million for the nine months ended June 30, 2022. Additionally, selling, general and administrative expenses for the nine months ended June 30, 2023 reflected reduced headcount and a reduction in legal reserves as compared with the nine months ended June 30, 2022. Selling, general and administrative expenses as a percentage of revenue decreased from 10.7% for the nine months ended June 30, 2022 to 9.3% for the nine months ended June 30, 2023.</w:t>
      </w:r>
    </w:p>
    <w:p>
      <w:pPr>
        <w:spacing w:after="0" w:line="20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Gain on Sale of Assets</w:t>
      </w:r>
      <w:r>
        <w:rPr>
          <w:rFonts w:ascii="Arial" w:cs="Arial" w:eastAsia="Arial" w:hAnsi="Arial"/>
          <w:sz w:val="17"/>
          <w:szCs w:val="17"/>
          <w:color w:val="auto"/>
        </w:rPr>
        <w:t>. As discussed above, our results for the nine months ended June 30, 2023 include a pretax gain on sale of $13.0 million from the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STR in October 2022.</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5480" w:type="dxa"/>
            <w:vAlign w:val="bottom"/>
            <w:gridSpan w:val="2"/>
          </w:tcPr>
          <w:p>
            <w:pPr>
              <w:jc w:val="right"/>
              <w:ind w:right="1514"/>
              <w:spacing w:after="0"/>
              <w:rPr>
                <w:sz w:val="20"/>
                <w:szCs w:val="20"/>
                <w:color w:val="auto"/>
              </w:rPr>
            </w:pPr>
            <w:r>
              <w:rPr>
                <w:rFonts w:ascii="Arial" w:cs="Arial" w:eastAsia="Arial" w:hAnsi="Arial"/>
                <w:sz w:val="17"/>
                <w:szCs w:val="17"/>
                <w:b w:val="1"/>
                <w:bCs w:val="1"/>
                <w:color w:val="auto"/>
              </w:rPr>
              <w:t>INTEREST AND OTHER EXPENSE, NET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46"/>
        </w:trPr>
        <w:tc>
          <w:tcPr>
            <w:tcW w:w="3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8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7"/>
                <w:szCs w:val="17"/>
                <w:color w:val="auto"/>
              </w:rPr>
              <w:t>Three Months Ended June 30,</w:t>
            </w:r>
          </w:p>
        </w:tc>
        <w:tc>
          <w:tcPr>
            <w:tcW w:w="460" w:type="dxa"/>
            <w:vAlign w:val="bottom"/>
            <w:tcBorders>
              <w:bottom w:val="single" w:sz="8" w:color="auto"/>
            </w:tcBorders>
          </w:tcPr>
          <w:p>
            <w:pPr>
              <w:spacing w:after="0"/>
              <w:rPr>
                <w:sz w:val="21"/>
                <w:szCs w:val="21"/>
                <w:color w:val="auto"/>
              </w:rPr>
            </w:pPr>
          </w:p>
        </w:tc>
      </w:tr>
      <w:tr>
        <w:trPr>
          <w:trHeight w:val="219"/>
        </w:trPr>
        <w:tc>
          <w:tcPr>
            <w:tcW w:w="3160" w:type="dxa"/>
            <w:vAlign w:val="bottom"/>
          </w:tcPr>
          <w:p>
            <w:pPr>
              <w:spacing w:after="0"/>
              <w:rPr>
                <w:sz w:val="19"/>
                <w:szCs w:val="19"/>
                <w:color w:val="auto"/>
              </w:rPr>
            </w:pPr>
          </w:p>
        </w:tc>
        <w:tc>
          <w:tcPr>
            <w:tcW w:w="5480" w:type="dxa"/>
            <w:vAlign w:val="bottom"/>
            <w:gridSpan w:val="2"/>
          </w:tcPr>
          <w:p>
            <w:pPr>
              <w:jc w:val="right"/>
              <w:ind w:right="14"/>
              <w:spacing w:after="0"/>
              <w:rPr>
                <w:sz w:val="20"/>
                <w:szCs w:val="20"/>
                <w:color w:val="auto"/>
              </w:rPr>
            </w:pPr>
            <w:r>
              <w:rPr>
                <w:rFonts w:ascii="Arial" w:cs="Arial" w:eastAsia="Arial" w:hAnsi="Arial"/>
                <w:sz w:val="17"/>
                <w:szCs w:val="17"/>
                <w:color w:val="auto"/>
              </w:rPr>
              <w:t>2023</w:t>
            </w:r>
          </w:p>
        </w:tc>
        <w:tc>
          <w:tcPr>
            <w:tcW w:w="5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2022</w:t>
            </w:r>
          </w:p>
        </w:tc>
        <w:tc>
          <w:tcPr>
            <w:tcW w:w="460" w:type="dxa"/>
            <w:vAlign w:val="bottom"/>
          </w:tcPr>
          <w:p>
            <w:pPr>
              <w:spacing w:after="0"/>
              <w:rPr>
                <w:sz w:val="19"/>
                <w:szCs w:val="19"/>
                <w:color w:val="auto"/>
              </w:rPr>
            </w:pPr>
          </w:p>
        </w:tc>
      </w:tr>
      <w:tr>
        <w:trPr>
          <w:trHeight w:val="203"/>
        </w:trPr>
        <w:tc>
          <w:tcPr>
            <w:tcW w:w="31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5"/>
                <w:szCs w:val="15"/>
                <w:color w:val="auto"/>
              </w:rPr>
              <w:t>(In thousands)</w:t>
            </w:r>
          </w:p>
        </w:tc>
        <w:tc>
          <w:tcPr>
            <w:tcW w:w="460" w:type="dxa"/>
            <w:vAlign w:val="bottom"/>
            <w:tcBorders>
              <w:top w:val="single" w:sz="8" w:color="auto"/>
            </w:tcBorders>
          </w:tcPr>
          <w:p>
            <w:pPr>
              <w:spacing w:after="0"/>
              <w:rPr>
                <w:sz w:val="17"/>
                <w:szCs w:val="17"/>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548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6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Deferred financing charges</w:t>
            </w:r>
          </w:p>
        </w:tc>
        <w:tc>
          <w:tcPr>
            <w:tcW w:w="44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4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r>
      <w:tr>
        <w:trPr>
          <w:trHeight w:val="21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44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r>
      <w:tr>
        <w:trPr>
          <w:trHeight w:val="23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and other expense, net</w:t>
            </w:r>
          </w:p>
        </w:tc>
        <w:tc>
          <w:tcPr>
            <w:tcW w:w="548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6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During the three months ended June 30, 2023, we incurred interest expense of $0.4 million primarily comprised of interest expense from our revolving credit facility, which had an average outstanding balance of $2.5 million, in addition to fees on an average letter of credit balance of $4.3 million under our revolving credit facility and an average unused line of credit balance of $142.9 million. This compares to interest expense of $0.8 million for the three months ended June 30, 2022, primarily comprised of interest expense from our revolving credit facility, which had an average outstanding balance of $92.8 million, in addition to fees on an average letter of credit balance of $4.2 million under our revolving credit facility and an average unused line of credit balance of $51.4 million. The decrease in interest expense in the three months ended June 30, 2023 compared to the three months ended June 30, 2022 was a result of a decrease in average outstanding borrowings under our revolving credit facility, partly offset by higher borrowing rates.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improvement in other (income) expense, net for the three months ended June 30, 2023 as compared with June 30, 2022 is primarily the result of gains on investments in equity securities of $0.1 million during the three months ended June 30, 2023, compared with unrealized losses on investments in equity securities of $0.3 million during the three months ended June 30,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color w:val="auto"/>
              </w:rPr>
              <w:t>Nine Months Ended June 30,</w:t>
            </w:r>
          </w:p>
        </w:tc>
        <w:tc>
          <w:tcPr>
            <w:tcW w:w="540" w:type="dxa"/>
            <w:vAlign w:val="bottom"/>
            <w:tcBorders>
              <w:bottom w:val="single" w:sz="8" w:color="auto"/>
            </w:tcBorders>
          </w:tcPr>
          <w:p>
            <w:pPr>
              <w:spacing w:after="0"/>
              <w:rPr>
                <w:sz w:val="18"/>
                <w:szCs w:val="18"/>
                <w:color w:val="auto"/>
              </w:rPr>
            </w:pPr>
          </w:p>
        </w:tc>
      </w:tr>
      <w:tr>
        <w:trPr>
          <w:trHeight w:val="219"/>
        </w:trPr>
        <w:tc>
          <w:tcPr>
            <w:tcW w:w="79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2022</w:t>
            </w:r>
          </w:p>
        </w:tc>
        <w:tc>
          <w:tcPr>
            <w:tcW w:w="540" w:type="dxa"/>
            <w:vAlign w:val="bottom"/>
            <w:tcBorders>
              <w:bottom w:val="single" w:sz="8" w:color="auto"/>
            </w:tcBorders>
          </w:tcPr>
          <w:p>
            <w:pPr>
              <w:spacing w:after="0"/>
              <w:rPr>
                <w:sz w:val="19"/>
                <w:szCs w:val="19"/>
                <w:color w:val="auto"/>
              </w:rPr>
            </w:pPr>
          </w:p>
        </w:tc>
      </w:tr>
      <w:tr>
        <w:trPr>
          <w:trHeight w:val="203"/>
        </w:trPr>
        <w:tc>
          <w:tcPr>
            <w:tcW w:w="7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5"/>
                <w:szCs w:val="15"/>
                <w:color w:val="auto"/>
              </w:rPr>
              <w:t>(In thousands)</w:t>
            </w:r>
          </w:p>
        </w:tc>
        <w:tc>
          <w:tcPr>
            <w:tcW w:w="540" w:type="dxa"/>
            <w:vAlign w:val="bottom"/>
          </w:tcPr>
          <w:p>
            <w:pPr>
              <w:spacing w:after="0"/>
              <w:rPr>
                <w:sz w:val="17"/>
                <w:szCs w:val="17"/>
                <w:color w:val="auto"/>
              </w:rPr>
            </w:pPr>
          </w:p>
        </w:tc>
      </w:tr>
      <w:tr>
        <w:trPr>
          <w:trHeight w:val="222"/>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118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Deferred financing charges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r>
      <w:tr>
        <w:trPr>
          <w:trHeight w:val="21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(1,262)</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and other expense, net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118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r>
    </w:tbl>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During the nine months ended June 30, 2023, we incurred interest expense of $2.6 million primarily comprised of interest expense from our revolving credit facility, which had an average outstanding balance of $35.5 million, in addition to fees on an average letter of credit balance of $4.9 million under our revolving credit facility and an average unused line of credit balance of $108.9 million. This compares to interest expense of $1.7 million for the nine months ended June 30, 2022, primarily comprised of interest expense from our revolving credit facility, which had an average outstanding balance of $76.8 million, in addition to fees on an average letter of credit balance of $4.7 million under our revolving credit facility and an average unused line of credit balance of $46.8 million. The increase in interest expense in the nine months ended June 30, 2023 compared to the nine months ended June 30, 2022 was a result of higher borrowing rates, partly offset by a decrease in average outstanding borrowings under our revolving credit facility.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jc w:val="both"/>
        <w:ind w:right="440"/>
        <w:spacing w:after="0" w:line="266" w:lineRule="auto"/>
        <w:rPr>
          <w:sz w:val="20"/>
          <w:szCs w:val="20"/>
          <w:color w:val="auto"/>
        </w:rPr>
      </w:pPr>
      <w:r>
        <w:rPr>
          <w:rFonts w:ascii="Arial" w:cs="Arial" w:eastAsia="Arial" w:hAnsi="Arial"/>
          <w:sz w:val="17"/>
          <w:szCs w:val="17"/>
          <w:color w:val="auto"/>
        </w:rPr>
        <w:t>The improvement in other (income) expense, net for the nine months ended June 30, 2023 as compared with June 30, 2022 is primarily the result of gains on investments in equity securities of $1.0 million in the nine months ended June 30, 2023, compared to unrealized losses on investments in equity securities of $1.0 million in the nine months ended June 30, 2022.</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recorded income tax expense of $8.3 million for the three months ended June 30, 2023, compared to $3.6 million for the three months ended June 30, 2022, driven by increased pretax income.</w:t>
      </w:r>
    </w:p>
    <w:p>
      <w:pPr>
        <w:spacing w:after="0" w:line="19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recorded income tax expense of $26.4 million for the nine months ended June 30, 2023, compared to $6.3 million for the nine months ended June 30, 2022, driven by increased pretax income.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2022. Some of the more significant estimates include revenue recognition, business combinations, valuation allowance for deferred tax assets and income taxes.</w:t>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There have been no significant changes to our accounting policies as disclosed in our Annual Report on Form 10-K for the fiscal year ended September 30, 2022.</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REMAINING PERFORMANCE OBLIGATIONS AND BACKLOG</w:t>
      </w:r>
    </w:p>
    <w:p>
      <w:pPr>
        <w:spacing w:after="0" w:line="24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(in thousands):</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14"/>
              <w:spacing w:after="0"/>
              <w:rPr>
                <w:sz w:val="20"/>
                <w:szCs w:val="20"/>
                <w:color w:val="auto"/>
              </w:rPr>
            </w:pPr>
            <w:r>
              <w:rPr>
                <w:rFonts w:ascii="Arial" w:cs="Arial" w:eastAsia="Arial" w:hAnsi="Arial"/>
                <w:sz w:val="17"/>
                <w:szCs w:val="17"/>
                <w:color w:val="auto"/>
              </w:rPr>
              <w:t>June 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14"/>
              <w:spacing w:after="0"/>
              <w:rPr>
                <w:sz w:val="20"/>
                <w:szCs w:val="20"/>
                <w:color w:val="auto"/>
              </w:rPr>
            </w:pPr>
            <w:r>
              <w:rPr>
                <w:rFonts w:ascii="Arial" w:cs="Arial" w:eastAsia="Arial" w:hAnsi="Arial"/>
                <w:sz w:val="17"/>
                <w:szCs w:val="17"/>
                <w:color w:val="auto"/>
              </w:rPr>
              <w:t>March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74"/>
              <w:spacing w:after="0"/>
              <w:rPr>
                <w:sz w:val="20"/>
                <w:szCs w:val="20"/>
                <w:color w:val="auto"/>
              </w:rPr>
            </w:pPr>
            <w:r>
              <w:rPr>
                <w:rFonts w:ascii="Arial" w:cs="Arial" w:eastAsia="Arial" w:hAnsi="Arial"/>
                <w:sz w:val="17"/>
                <w:szCs w:val="17"/>
                <w:color w:val="auto"/>
                <w:w w:val="93"/>
              </w:rPr>
              <w:t>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4"/>
              <w:spacing w:after="0"/>
              <w:rPr>
                <w:sz w:val="20"/>
                <w:szCs w:val="20"/>
                <w:color w:val="auto"/>
              </w:rPr>
            </w:pPr>
            <w:r>
              <w:rPr>
                <w:rFonts w:ascii="Arial" w:cs="Arial" w:eastAsia="Arial" w:hAnsi="Arial"/>
                <w:sz w:val="17"/>
                <w:szCs w:val="17"/>
                <w:color w:val="auto"/>
                <w:w w:val="93"/>
              </w:rPr>
              <w:t>September 30,</w:t>
            </w:r>
          </w:p>
        </w:tc>
      </w:tr>
      <w:tr>
        <w:trPr>
          <w:trHeight w:val="227"/>
        </w:trPr>
        <w:tc>
          <w:tcPr>
            <w:tcW w:w="4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r>
      <w:tr>
        <w:trPr>
          <w:trHeight w:val="219"/>
        </w:trPr>
        <w:tc>
          <w:tcPr>
            <w:tcW w:w="4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Remaining performance obligations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1,071,605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1,012,111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1,011,018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967,001</w:t>
            </w:r>
          </w:p>
        </w:tc>
      </w:tr>
      <w:tr>
        <w:trPr>
          <w:trHeight w:val="245"/>
        </w:trPr>
        <w:tc>
          <w:tcPr>
            <w:tcW w:w="4720" w:type="dxa"/>
            <w:vAlign w:val="bottom"/>
          </w:tcPr>
          <w:p>
            <w:pPr>
              <w:ind w:left="60"/>
              <w:spacing w:after="0" w:line="245" w:lineRule="exact"/>
              <w:rPr>
                <w:sz w:val="20"/>
                <w:szCs w:val="20"/>
                <w:color w:val="auto"/>
              </w:rPr>
            </w:pPr>
            <w:r>
              <w:rPr>
                <w:rFonts w:ascii="Arial" w:cs="Arial" w:eastAsia="Arial" w:hAnsi="Arial"/>
                <w:sz w:val="17"/>
                <w:szCs w:val="17"/>
                <w:color w:val="auto"/>
              </w:rPr>
              <w:t xml:space="preserve">Agreements without an enforceable obligation </w:t>
            </w:r>
            <w:r>
              <w:rPr>
                <w:rFonts w:ascii="Arial" w:cs="Arial" w:eastAsia="Arial" w:hAnsi="Arial"/>
                <w:sz w:val="22"/>
                <w:szCs w:val="22"/>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458,057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376,948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316,385</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319,448</w:t>
            </w:r>
          </w:p>
        </w:tc>
      </w:tr>
      <w:tr>
        <w:trPr>
          <w:trHeight w:val="245"/>
        </w:trPr>
        <w:tc>
          <w:tcPr>
            <w:tcW w:w="4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1,529,662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1,389,059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1,327,403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1,286,449</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120" w:right="420" w:firstLine="9"/>
        <w:spacing w:after="0" w:line="247" w:lineRule="auto"/>
        <w:tabs>
          <w:tab w:leader="none" w:pos="339"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During the nine months ended June 30, 2023, working capital exclusive of cash increased by $8.0 million from September 30, 2022, reflecting a $31.7 million decrease in current liabilities partially offset by a $23.7 million decrease in current assets excluding cash during the period.</w:t>
      </w:r>
    </w:p>
    <w:p>
      <w:pPr>
        <w:spacing w:after="0" w:line="19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During the nine months ended June 30, 2023, our current assets exclusive of cash decreased to $575.9 million, as compared to $599.6 million as of September 30, 2022. A decrease in activity at our Commercial &amp; Industrial business, which generally has longer customer payment terms than our other operating segments, as well as the collection of $5.6 million of aged receivables related to</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669" w:right="359" w:bottom="1440" w:gutter="0" w:footer="0" w:header="0"/>
        </w:sectPr>
      </w:pPr>
    </w:p>
    <w:bookmarkStart w:id="32" w:name="page33"/>
    <w:bookmarkEnd w:id="32"/>
    <w:p>
      <w:pPr>
        <w:ind w:right="40"/>
        <w:spacing w:after="0" w:line="279" w:lineRule="auto"/>
        <w:rPr>
          <w:sz w:val="20"/>
          <w:szCs w:val="20"/>
          <w:color w:val="auto"/>
        </w:rPr>
      </w:pPr>
      <w:r>
        <w:rPr>
          <w:rFonts w:ascii="Arial" w:cs="Arial" w:eastAsia="Arial" w:hAnsi="Arial"/>
          <w:sz w:val="16"/>
          <w:szCs w:val="16"/>
          <w:color w:val="auto"/>
        </w:rPr>
        <w:t>prior year contractual disputes, drove a $30.0 million decrease in trade accounts receivable. Days sales outstanding decreased from 58 at September 30, 2022 to 53 at June 30, 2023. While the rate of collections may vary, our typically secured position, resulting from our ability in general to secure liens against our customers’ overdue receivables, offers some protection that collection will occur eventually to the extent that our security retains value. The decrease in trade accounts receivable was partly offset by a $10.4 million increase in retainage, driven by increased activity in our Residential multi-family business, and a $6.3 million increase in inventories as a result of an increase in activity for custom power solutions in our Infrastructure Solutions business.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During the nine months ended June 30, 2023, our total current liabilities decreased by $31.7 million to $370.2 million, compared to $401.9 million as of September 30, 2022, driven by a decrease in business activity at our Commercial &amp; Industrial business, the timing of payments by our Residential and Communications segments, and remittance of all remaining payroll taxes deferred under the Coronavirus Aid, Relief and Economic Security Act.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Surety</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bonding capacity provided by our sureties is adequate for our current operations and will be adequate for our operations for the foreseeable future.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the estimated cost to complete our bonded projects was approximately $170.4 million.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Revolving Credit Facility</w:t>
      </w:r>
    </w:p>
    <w:p>
      <w:pPr>
        <w:spacing w:after="0" w:line="24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a party to the Third Amended and Restated Credit and Security Agreement (the "Amended Credit Agreement"), which provides for a maximum borrowing amount of $150 million. The Amended Credit Agreement contains customary affirmative, negative and financial covenants and events of default.</w:t>
      </w:r>
    </w:p>
    <w:p>
      <w:pPr>
        <w:spacing w:after="0" w:line="16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Borrowings under the Amended Credit Agreement may not exceed a Borrowing Base, as defined in the Amended Credit Agreement, that is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tcPr>
          <w:p>
            <w:pPr>
              <w:ind w:left="20"/>
              <w:spacing w:after="0"/>
              <w:rPr>
                <w:sz w:val="20"/>
                <w:szCs w:val="20"/>
                <w:color w:val="auto"/>
              </w:rPr>
            </w:pPr>
            <w:r>
              <w:rPr>
                <w:rFonts w:ascii="Arial" w:cs="Arial" w:eastAsia="Arial" w:hAnsi="Arial"/>
                <w:sz w:val="17"/>
                <w:szCs w:val="17"/>
                <w:color w:val="auto"/>
              </w:rPr>
              <w:t>Level</w:t>
            </w:r>
          </w:p>
        </w:tc>
        <w:tc>
          <w:tcPr>
            <w:tcW w:w="140" w:type="dxa"/>
            <w:vAlign w:val="bottom"/>
          </w:tcPr>
          <w:p>
            <w:pPr>
              <w:spacing w:after="0"/>
              <w:rPr>
                <w:sz w:val="18"/>
                <w:szCs w:val="18"/>
                <w:color w:val="auto"/>
              </w:rPr>
            </w:pPr>
          </w:p>
        </w:tc>
        <w:tc>
          <w:tcPr>
            <w:tcW w:w="8040" w:type="dxa"/>
            <w:vAlign w:val="bottom"/>
          </w:tcPr>
          <w:p>
            <w:pPr>
              <w:ind w:left="3640"/>
              <w:spacing w:after="0"/>
              <w:rPr>
                <w:sz w:val="20"/>
                <w:szCs w:val="20"/>
                <w:color w:val="auto"/>
              </w:rPr>
            </w:pPr>
            <w:r>
              <w:rPr>
                <w:rFonts w:ascii="Arial" w:cs="Arial" w:eastAsia="Arial" w:hAnsi="Arial"/>
                <w:sz w:val="17"/>
                <w:szCs w:val="17"/>
                <w:color w:val="auto"/>
              </w:rPr>
              <w:t>Thresholds</w:t>
            </w:r>
          </w:p>
        </w:tc>
        <w:tc>
          <w:tcPr>
            <w:tcW w:w="140" w:type="dxa"/>
            <w:vAlign w:val="bottom"/>
          </w:tcPr>
          <w:p>
            <w:pPr>
              <w:spacing w:after="0"/>
              <w:rPr>
                <w:sz w:val="18"/>
                <w:szCs w:val="18"/>
                <w:color w:val="auto"/>
              </w:rPr>
            </w:pPr>
          </w:p>
        </w:tc>
        <w:tc>
          <w:tcPr>
            <w:tcW w:w="2140" w:type="dxa"/>
            <w:vAlign w:val="bottom"/>
          </w:tcPr>
          <w:p>
            <w:pPr>
              <w:ind w:left="360"/>
              <w:spacing w:after="0"/>
              <w:rPr>
                <w:sz w:val="20"/>
                <w:szCs w:val="20"/>
                <w:color w:val="auto"/>
              </w:rPr>
            </w:pPr>
            <w:r>
              <w:rPr>
                <w:rFonts w:ascii="Arial" w:cs="Arial" w:eastAsia="Arial" w:hAnsi="Arial"/>
                <w:sz w:val="17"/>
                <w:szCs w:val="17"/>
                <w:color w:val="auto"/>
              </w:rPr>
              <w:t>Interest Rate Margin</w:t>
            </w:r>
          </w:p>
        </w:tc>
      </w:tr>
      <w:tr>
        <w:trPr>
          <w:trHeight w:val="27"/>
        </w:trPr>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7"/>
        </w:trPr>
        <w:tc>
          <w:tcPr>
            <w:tcW w:w="780" w:type="dxa"/>
            <w:vAlign w:val="bottom"/>
          </w:tcPr>
          <w:p>
            <w:pPr>
              <w:ind w:left="20"/>
              <w:spacing w:after="0" w:line="187" w:lineRule="exact"/>
              <w:rPr>
                <w:sz w:val="20"/>
                <w:szCs w:val="20"/>
                <w:color w:val="auto"/>
              </w:rPr>
            </w:pPr>
            <w:r>
              <w:rPr>
                <w:rFonts w:ascii="Arial" w:cs="Arial" w:eastAsia="Arial" w:hAnsi="Arial"/>
                <w:sz w:val="17"/>
                <w:szCs w:val="17"/>
                <w:color w:val="auto"/>
              </w:rPr>
              <w:t>I</w:t>
            </w:r>
          </w:p>
        </w:tc>
        <w:tc>
          <w:tcPr>
            <w:tcW w:w="140" w:type="dxa"/>
            <w:vAlign w:val="bottom"/>
          </w:tcPr>
          <w:p>
            <w:pPr>
              <w:spacing w:after="0"/>
              <w:rPr>
                <w:sz w:val="16"/>
                <w:szCs w:val="16"/>
                <w:color w:val="auto"/>
              </w:rPr>
            </w:pPr>
          </w:p>
        </w:tc>
        <w:tc>
          <w:tcPr>
            <w:tcW w:w="8040" w:type="dxa"/>
            <w:vAlign w:val="bottom"/>
          </w:tcPr>
          <w:p>
            <w:pPr>
              <w:ind w:left="20"/>
              <w:spacing w:after="0" w:line="187" w:lineRule="exact"/>
              <w:rPr>
                <w:sz w:val="20"/>
                <w:szCs w:val="20"/>
                <w:color w:val="auto"/>
              </w:rPr>
            </w:pPr>
            <w:r>
              <w:rPr>
                <w:rFonts w:ascii="Arial" w:cs="Arial" w:eastAsia="Arial" w:hAnsi="Arial"/>
                <w:sz w:val="17"/>
                <w:szCs w:val="17"/>
                <w:color w:val="auto"/>
              </w:rPr>
              <w:t>If Liquidity is less than 35% of the Maximum Revolver Amount (each as defined in the Amended Credit</w:t>
            </w:r>
          </w:p>
        </w:tc>
        <w:tc>
          <w:tcPr>
            <w:tcW w:w="140" w:type="dxa"/>
            <w:vAlign w:val="bottom"/>
          </w:tcPr>
          <w:p>
            <w:pPr>
              <w:spacing w:after="0"/>
              <w:rPr>
                <w:sz w:val="16"/>
                <w:szCs w:val="16"/>
                <w:color w:val="auto"/>
              </w:rPr>
            </w:pPr>
          </w:p>
        </w:tc>
        <w:tc>
          <w:tcPr>
            <w:tcW w:w="2140" w:type="dxa"/>
            <w:vAlign w:val="bottom"/>
          </w:tcPr>
          <w:p>
            <w:pPr>
              <w:ind w:left="20"/>
              <w:spacing w:after="0" w:line="187" w:lineRule="exact"/>
              <w:rPr>
                <w:sz w:val="20"/>
                <w:szCs w:val="20"/>
                <w:color w:val="auto"/>
              </w:rPr>
            </w:pPr>
            <w:r>
              <w:rPr>
                <w:rFonts w:ascii="Arial" w:cs="Arial" w:eastAsia="Arial" w:hAnsi="Arial"/>
                <w:sz w:val="17"/>
                <w:szCs w:val="17"/>
                <w:color w:val="auto"/>
              </w:rPr>
              <w:t>2.00 percentage points</w:t>
            </w:r>
          </w:p>
        </w:tc>
      </w:tr>
      <w:tr>
        <w:trPr>
          <w:trHeight w:val="217"/>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7"/>
                <w:szCs w:val="17"/>
                <w:color w:val="auto"/>
              </w:rPr>
              <w:t>Agreement) at any time during the period</w:t>
            </w: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73"/>
        </w:trPr>
        <w:tc>
          <w:tcPr>
            <w:tcW w:w="780" w:type="dxa"/>
            <w:vAlign w:val="bottom"/>
          </w:tcPr>
          <w:p>
            <w:pPr>
              <w:ind w:left="20"/>
              <w:spacing w:after="0"/>
              <w:rPr>
                <w:sz w:val="20"/>
                <w:szCs w:val="20"/>
                <w:color w:val="auto"/>
              </w:rPr>
            </w:pPr>
            <w:r>
              <w:rPr>
                <w:rFonts w:ascii="Arial" w:cs="Arial" w:eastAsia="Arial" w:hAnsi="Arial"/>
                <w:sz w:val="17"/>
                <w:szCs w:val="17"/>
                <w:color w:val="auto"/>
              </w:rPr>
              <w:t>II</w:t>
            </w:r>
          </w:p>
        </w:tc>
        <w:tc>
          <w:tcPr>
            <w:tcW w:w="140" w:type="dxa"/>
            <w:vAlign w:val="bottom"/>
          </w:tcPr>
          <w:p>
            <w:pPr>
              <w:spacing w:after="0"/>
              <w:rPr>
                <w:sz w:val="23"/>
                <w:szCs w:val="23"/>
                <w:color w:val="auto"/>
              </w:rPr>
            </w:pPr>
          </w:p>
        </w:tc>
        <w:tc>
          <w:tcPr>
            <w:tcW w:w="8040" w:type="dxa"/>
            <w:vAlign w:val="bottom"/>
          </w:tcPr>
          <w:p>
            <w:pPr>
              <w:ind w:left="20"/>
              <w:spacing w:after="0"/>
              <w:rPr>
                <w:sz w:val="20"/>
                <w:szCs w:val="20"/>
                <w:color w:val="auto"/>
              </w:rPr>
            </w:pPr>
            <w:r>
              <w:rPr>
                <w:rFonts w:ascii="Arial" w:cs="Arial" w:eastAsia="Arial" w:hAnsi="Arial"/>
                <w:sz w:val="17"/>
                <w:szCs w:val="17"/>
                <w:color w:val="auto"/>
                <w:w w:val="96"/>
              </w:rPr>
              <w:t>If Liquidity is greater than or equal to 35% of the Maximum Revolver Amount at all times during the period and</w:t>
            </w:r>
          </w:p>
        </w:tc>
        <w:tc>
          <w:tcPr>
            <w:tcW w:w="14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1.75 percentage points</w:t>
            </w:r>
          </w:p>
        </w:tc>
      </w:tr>
      <w:tr>
        <w:trPr>
          <w:trHeight w:val="217"/>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7"/>
                <w:szCs w:val="17"/>
                <w:color w:val="auto"/>
              </w:rPr>
              <w:t>less than 50% of the Maximum Revolver Amount at any time during the period</w:t>
            </w: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97"/>
        </w:trPr>
        <w:tc>
          <w:tcPr>
            <w:tcW w:w="780" w:type="dxa"/>
            <w:vAlign w:val="bottom"/>
          </w:tcPr>
          <w:p>
            <w:pPr>
              <w:ind w:left="20"/>
              <w:spacing w:after="0"/>
              <w:rPr>
                <w:sz w:val="20"/>
                <w:szCs w:val="20"/>
                <w:color w:val="auto"/>
              </w:rPr>
            </w:pPr>
            <w:r>
              <w:rPr>
                <w:rFonts w:ascii="Arial" w:cs="Arial" w:eastAsia="Arial" w:hAnsi="Arial"/>
                <w:sz w:val="17"/>
                <w:szCs w:val="17"/>
                <w:color w:val="auto"/>
              </w:rPr>
              <w:t>III</w:t>
            </w:r>
          </w:p>
        </w:tc>
        <w:tc>
          <w:tcPr>
            <w:tcW w:w="14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7"/>
                <w:szCs w:val="17"/>
                <w:color w:val="auto"/>
              </w:rPr>
              <w:t>If Liquidity is greater than or equal to 50% of the Maximum Revolver Amount at all times during the period</w:t>
            </w:r>
          </w:p>
        </w:tc>
        <w:tc>
          <w:tcPr>
            <w:tcW w:w="14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1.50 percentage points</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are charged monthly in arrears for (1) an unused commitment fee of 0.25% per annum, (2) a collateral monitoring fee of $5 thousand per quarter,</w:t>
      </w:r>
    </w:p>
    <w:p>
      <w:pPr>
        <w:spacing w:after="0" w:line="45" w:lineRule="exact"/>
        <w:rPr>
          <w:sz w:val="20"/>
          <w:szCs w:val="20"/>
          <w:color w:val="auto"/>
        </w:rPr>
      </w:pPr>
    </w:p>
    <w:p>
      <w:pPr>
        <w:ind w:right="20" w:firstLine="3"/>
        <w:spacing w:after="0" w:line="266" w:lineRule="auto"/>
        <w:tabs>
          <w:tab w:leader="none" w:pos="2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letter of credit fee based on the then-applicable interest rate margin (4) appraisal fees, costs and expenses and (5) certain other fees and charges as specified in the Amended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we were in compliance with the financial covenants under the Amended Credit Agreement, requiring that we maintain:</w:t>
      </w:r>
    </w:p>
    <w:p>
      <w:pPr>
        <w:spacing w:after="0" w:line="217" w:lineRule="exact"/>
        <w:rPr>
          <w:sz w:val="20"/>
          <w:szCs w:val="20"/>
          <w:color w:val="auto"/>
        </w:rPr>
      </w:pPr>
    </w:p>
    <w:p>
      <w:pPr>
        <w:ind w:left="1480" w:right="100" w:hanging="317"/>
        <w:spacing w:after="0" w:line="279" w:lineRule="auto"/>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Fixed Charge Coverage Ratio (as defined in the Amended Credit Agreement), measured quarterly on a trailing four-quarter basis at the end of each quarter, of at least 1.1 to 1.0; and</w:t>
      </w:r>
    </w:p>
    <w:p>
      <w:pPr>
        <w:spacing w:after="0" w:line="164" w:lineRule="exact"/>
        <w:rPr>
          <w:rFonts w:ascii="Arial" w:cs="Arial" w:eastAsia="Arial" w:hAnsi="Arial"/>
          <w:sz w:val="17"/>
          <w:szCs w:val="17"/>
          <w:color w:val="auto"/>
        </w:rPr>
      </w:pPr>
    </w:p>
    <w:p>
      <w:pPr>
        <w:ind w:left="1480" w:right="100" w:hanging="317"/>
        <w:spacing w:after="0" w:line="279" w:lineRule="auto"/>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90"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At June 30, 2023, our Liquidity was $172.0 million, our Excess Availability was $143.4 million (or greater than 50% of minimum Liquidity), and our Fixed Charge Coverage Ratio was 4.1:1.0.</w:t>
      </w:r>
    </w:p>
    <w:p>
      <w:pPr>
        <w:spacing w:after="0" w:line="19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20"/>
        <w:spacing w:after="0" w:line="279" w:lineRule="auto"/>
        <w:rPr>
          <w:sz w:val="20"/>
          <w:szCs w:val="20"/>
          <w:color w:val="auto"/>
        </w:rPr>
      </w:pPr>
      <w:r>
        <w:rPr>
          <w:rFonts w:ascii="Arial" w:cs="Arial" w:eastAsia="Arial" w:hAnsi="Arial"/>
          <w:sz w:val="17"/>
          <w:szCs w:val="17"/>
          <w:color w:val="auto"/>
        </w:rPr>
        <w:t>other agreements under the Amended Credit Agreement, it would result in an event of default under the Amended Credit Agreement, which could result in some or all of our then-outstanding indebtedness becoming immediately due and payable.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At June 30, 2023, we had $4.2 million in outstanding letters of credit and no outstanding borrowings under our revolving credit facility.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43"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elevated commodity prices, and the steps taken to mitigate the impact of supply chain disruptions.</w:t>
      </w:r>
    </w:p>
    <w:p>
      <w:pPr>
        <w:spacing w:after="0" w:line="19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Net cash provided by operating activities was $96.6 million during the nine months ended June 30, 2023, as compared to $17.8 million of net cash used in operating activities in the nine months ended June 30, 2022. The increase in operating cash flow resulted from increased earnings and a reduction in cash used in working capital during the nine months ended June 30, 2023 as compared with the nine months ended June 30,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Net cash provided by investing activities was $9.0 million for the nine months ended June 30, 2023, compared to $26.9 million used in investing activities in the nine months ended June 30, 2022. During the nine months ended June 30, 2023, the sale of assets, including the sale of STR, provided cash of $20.4 million, which was partially offset by $11.3 million used for capital expenditures. During the nine months ended June 30, 2022, we used $26.6 million for capital expenditures primarily related to the acquisition of a new operating facility for our Wedlake business, as well as an additional facility to support the growth of our Residential business in Florida.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43"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Net cash used in financing activities for the nine months ended June 30, 2023 was $101.9 million, compared to $38.7 million provided by financing activities for the nine months ended June 30, 2022. Net cash used in financing activities for the nine months ended June 30, 2023 included net repayments on our credit facility of $82.7 million and $8.2 million used for repurchases of our common stock, including repurchases to satisfy statutory withholding requirements upon the vesting of employee stock compensation. Additionally, we distributed $8.5 million to noncontrolling interests under operating agreements in connection with certain acquisitions. Net cash provided by financing activities for the nine months ended June 30, 2022 included net borrowings on our credit facility of $56.5 million, partly offset by $10.5 million used to repurchase our common stock, including repurchases to satisfy statutory withholding requirements upon the vesting of employee stock compensation, and distributions of $6.4 million to noncontrolling interests under operating agreements in connection with certain acquisitions.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2015, our Board authorized a stock repurchase program for the purchase from time to time of up to 1.5 million shares of the Company’s common stock, and in 2019 authorized the repurchase from time to time of up to an additional 1.0 million shares under the program. In December 2022, our Board terminated the remaining authorization under this program, and approved a new $40.0 million share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224,013 shares pursuant to our repurchase programs during the nine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7"/>
          <w:szCs w:val="17"/>
          <w:b w:val="1"/>
          <w:bCs w:val="1"/>
          <w:color w:val="auto"/>
        </w:rPr>
        <w:t>MATERIAL CASH REQUIREMENTS</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2023, we did not have any such commitments to purchase materials outstanding. There have been no other material changes in our material cash requirements from those disclosed in our Annual Report on Form 10-K for the fiscal year ended September 30, 2022.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430" w:right="4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Arial" w:cs="Arial" w:eastAsia="Arial" w:hAnsi="Arial"/>
          <w:sz w:val="17"/>
          <w:szCs w:val="17"/>
          <w:i w:val="1"/>
          <w:iCs w:val="1"/>
          <w:color w:val="auto"/>
        </w:rPr>
        <w:t>“Disclosure Regarding Forward-Looking Statements”</w:t>
      </w:r>
      <w:r>
        <w:rPr>
          <w:rFonts w:ascii="Arial" w:cs="Arial" w:eastAsia="Arial" w:hAnsi="Arial"/>
          <w:sz w:val="17"/>
          <w:szCs w:val="17"/>
          <w:color w:val="auto"/>
        </w:rPr>
        <w:t xml:space="preserve"> in Part I of this Quarterly Report on Form 10-Q and our risk factors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fiscal year ended September 30, 2022.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Risk</w:t>
      </w:r>
    </w:p>
    <w:p>
      <w:pPr>
        <w:spacing w:after="0" w:line="2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June 30, 2023.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4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2023,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0"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49"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For information regarding legal proceedings, see Note 11,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3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There have been no material changes to the risk factors disclosed under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fiscal year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60"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28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Total Number of</w:t>
            </w:r>
          </w:p>
        </w:tc>
        <w:tc>
          <w:tcPr>
            <w:tcW w:w="160" w:type="dxa"/>
            <w:vAlign w:val="bottom"/>
          </w:tcPr>
          <w:p>
            <w:pPr>
              <w:spacing w:after="0"/>
              <w:rPr>
                <w:sz w:val="16"/>
                <w:szCs w:val="16"/>
                <w:color w:val="auto"/>
              </w:rPr>
            </w:pPr>
          </w:p>
        </w:tc>
        <w:tc>
          <w:tcPr>
            <w:tcW w:w="2020" w:type="dxa"/>
            <w:vAlign w:val="bottom"/>
          </w:tcPr>
          <w:p>
            <w:pPr>
              <w:jc w:val="center"/>
              <w:ind w:right="34"/>
              <w:spacing w:after="0"/>
              <w:rPr>
                <w:sz w:val="20"/>
                <w:szCs w:val="20"/>
                <w:color w:val="auto"/>
              </w:rPr>
            </w:pPr>
            <w:r>
              <w:rPr>
                <w:rFonts w:ascii="Arial" w:cs="Arial" w:eastAsia="Arial" w:hAnsi="Arial"/>
                <w:sz w:val="17"/>
                <w:szCs w:val="17"/>
                <w:color w:val="auto"/>
                <w:w w:val="95"/>
              </w:rPr>
              <w:t>Maximum Dollar Value of</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tcPr>
          <w:p>
            <w:pPr>
              <w:jc w:val="center"/>
              <w:spacing w:after="0" w:line="180" w:lineRule="exact"/>
              <w:rPr>
                <w:sz w:val="20"/>
                <w:szCs w:val="20"/>
                <w:color w:val="auto"/>
              </w:rPr>
            </w:pPr>
            <w:r>
              <w:rPr>
                <w:rFonts w:ascii="Arial" w:cs="Arial" w:eastAsia="Arial" w:hAnsi="Arial"/>
                <w:sz w:val="17"/>
                <w:szCs w:val="17"/>
                <w:color w:val="auto"/>
                <w:w w:val="86"/>
              </w:rPr>
              <w:t>Shares Purchased as</w:t>
            </w:r>
          </w:p>
        </w:tc>
        <w:tc>
          <w:tcPr>
            <w:tcW w:w="160" w:type="dxa"/>
            <w:vAlign w:val="bottom"/>
          </w:tcPr>
          <w:p>
            <w:pPr>
              <w:spacing w:after="0"/>
              <w:rPr>
                <w:sz w:val="15"/>
                <w:szCs w:val="15"/>
                <w:color w:val="auto"/>
              </w:rPr>
            </w:pPr>
          </w:p>
        </w:tc>
        <w:tc>
          <w:tcPr>
            <w:tcW w:w="2020" w:type="dxa"/>
            <w:vAlign w:val="bottom"/>
          </w:tcPr>
          <w:p>
            <w:pPr>
              <w:jc w:val="center"/>
              <w:ind w:right="54"/>
              <w:spacing w:after="0" w:line="180" w:lineRule="exact"/>
              <w:rPr>
                <w:sz w:val="20"/>
                <w:szCs w:val="20"/>
                <w:color w:val="auto"/>
              </w:rPr>
            </w:pPr>
            <w:r>
              <w:rPr>
                <w:rFonts w:ascii="Arial" w:cs="Arial" w:eastAsia="Arial" w:hAnsi="Arial"/>
                <w:sz w:val="17"/>
                <w:szCs w:val="17"/>
                <w:color w:val="auto"/>
                <w:w w:val="90"/>
              </w:rPr>
              <w:t>Shares That May Yet Be</w:t>
            </w:r>
          </w:p>
        </w:tc>
        <w:tc>
          <w:tcPr>
            <w:tcW w:w="0" w:type="dxa"/>
            <w:vAlign w:val="bottom"/>
          </w:tcPr>
          <w:p>
            <w:pPr>
              <w:spacing w:after="0"/>
              <w:rPr>
                <w:sz w:val="1"/>
                <w:szCs w:val="1"/>
                <w:color w:val="auto"/>
              </w:rPr>
            </w:pPr>
          </w:p>
        </w:tc>
      </w:tr>
      <w:tr>
        <w:trPr>
          <w:trHeight w:val="167"/>
        </w:trPr>
        <w:tc>
          <w:tcPr>
            <w:tcW w:w="2800" w:type="dxa"/>
            <w:vAlign w:val="bottom"/>
            <w:vMerge w:val="restart"/>
          </w:tcPr>
          <w:p>
            <w:pPr>
              <w:spacing w:after="0"/>
              <w:rPr>
                <w:sz w:val="20"/>
                <w:szCs w:val="20"/>
                <w:color w:val="auto"/>
              </w:rPr>
            </w:pPr>
            <w:r>
              <w:rPr>
                <w:rFonts w:ascii="Arial" w:cs="Arial" w:eastAsia="Arial" w:hAnsi="Arial"/>
                <w:sz w:val="17"/>
                <w:szCs w:val="17"/>
                <w:color w:val="auto"/>
              </w:rPr>
              <w:t>Date</w:t>
            </w:r>
          </w:p>
        </w:tc>
        <w:tc>
          <w:tcPr>
            <w:tcW w:w="2100" w:type="dxa"/>
            <w:vAlign w:val="bottom"/>
          </w:tcPr>
          <w:p>
            <w:pPr>
              <w:jc w:val="right"/>
              <w:ind w:right="54"/>
              <w:spacing w:after="0" w:line="167" w:lineRule="exact"/>
              <w:rPr>
                <w:sz w:val="20"/>
                <w:szCs w:val="20"/>
                <w:color w:val="auto"/>
              </w:rPr>
            </w:pPr>
            <w:r>
              <w:rPr>
                <w:rFonts w:ascii="Arial" w:cs="Arial" w:eastAsia="Arial" w:hAnsi="Arial"/>
                <w:sz w:val="17"/>
                <w:szCs w:val="17"/>
                <w:color w:val="auto"/>
              </w:rPr>
              <w:t>Total Number of</w:t>
            </w:r>
          </w:p>
        </w:tc>
        <w:tc>
          <w:tcPr>
            <w:tcW w:w="1540" w:type="dxa"/>
            <w:vAlign w:val="bottom"/>
            <w:gridSpan w:val="2"/>
          </w:tcPr>
          <w:p>
            <w:pPr>
              <w:jc w:val="right"/>
              <w:ind w:right="34"/>
              <w:spacing w:after="0" w:line="167" w:lineRule="exact"/>
              <w:rPr>
                <w:sz w:val="20"/>
                <w:szCs w:val="20"/>
                <w:color w:val="auto"/>
              </w:rPr>
            </w:pPr>
            <w:r>
              <w:rPr>
                <w:rFonts w:ascii="Arial" w:cs="Arial" w:eastAsia="Arial" w:hAnsi="Arial"/>
                <w:sz w:val="17"/>
                <w:szCs w:val="17"/>
                <w:color w:val="auto"/>
                <w:w w:val="96"/>
              </w:rPr>
              <w:t>Average Price Paid</w:t>
            </w:r>
          </w:p>
        </w:tc>
        <w:tc>
          <w:tcPr>
            <w:tcW w:w="1560" w:type="dxa"/>
            <w:vAlign w:val="bottom"/>
          </w:tcPr>
          <w:p>
            <w:pPr>
              <w:jc w:val="center"/>
              <w:spacing w:after="0" w:line="167" w:lineRule="exact"/>
              <w:rPr>
                <w:sz w:val="20"/>
                <w:szCs w:val="20"/>
                <w:color w:val="auto"/>
              </w:rPr>
            </w:pPr>
            <w:r>
              <w:rPr>
                <w:rFonts w:ascii="Arial" w:cs="Arial" w:eastAsia="Arial" w:hAnsi="Arial"/>
                <w:sz w:val="17"/>
                <w:szCs w:val="17"/>
                <w:color w:val="auto"/>
                <w:w w:val="94"/>
              </w:rPr>
              <w:t>Part of a Publicly</w:t>
            </w:r>
          </w:p>
        </w:tc>
        <w:tc>
          <w:tcPr>
            <w:tcW w:w="2180" w:type="dxa"/>
            <w:vAlign w:val="bottom"/>
            <w:gridSpan w:val="2"/>
          </w:tcPr>
          <w:p>
            <w:pPr>
              <w:jc w:val="center"/>
              <w:spacing w:after="0" w:line="167" w:lineRule="exact"/>
              <w:rPr>
                <w:sz w:val="20"/>
                <w:szCs w:val="20"/>
                <w:color w:val="auto"/>
              </w:rPr>
            </w:pPr>
            <w:r>
              <w:rPr>
                <w:rFonts w:ascii="Arial" w:cs="Arial" w:eastAsia="Arial" w:hAnsi="Arial"/>
                <w:sz w:val="17"/>
                <w:szCs w:val="17"/>
                <w:color w:val="auto"/>
                <w:w w:val="91"/>
              </w:rPr>
              <w:t>Purchased Under the Publicly</w:t>
            </w:r>
          </w:p>
        </w:tc>
        <w:tc>
          <w:tcPr>
            <w:tcW w:w="0" w:type="dxa"/>
            <w:vAlign w:val="bottom"/>
          </w:tcPr>
          <w:p>
            <w:pPr>
              <w:spacing w:after="0"/>
              <w:rPr>
                <w:sz w:val="1"/>
                <w:szCs w:val="1"/>
                <w:color w:val="auto"/>
              </w:rPr>
            </w:pPr>
          </w:p>
        </w:tc>
      </w:tr>
      <w:tr>
        <w:trPr>
          <w:trHeight w:val="219"/>
        </w:trPr>
        <w:tc>
          <w:tcPr>
            <w:tcW w:w="2800" w:type="dxa"/>
            <w:vAlign w:val="bottom"/>
            <w:vMerge w:val="continue"/>
          </w:tcPr>
          <w:p>
            <w:pPr>
              <w:spacing w:after="0"/>
              <w:rPr>
                <w:sz w:val="19"/>
                <w:szCs w:val="19"/>
                <w:color w:val="auto"/>
              </w:rPr>
            </w:pPr>
          </w:p>
        </w:tc>
        <w:tc>
          <w:tcPr>
            <w:tcW w:w="2100" w:type="dxa"/>
            <w:vAlign w:val="bottom"/>
          </w:tcPr>
          <w:p>
            <w:pPr>
              <w:jc w:val="right"/>
              <w:spacing w:after="0" w:line="219" w:lineRule="exact"/>
              <w:rPr>
                <w:sz w:val="20"/>
                <w:szCs w:val="20"/>
                <w:color w:val="auto"/>
              </w:rPr>
            </w:pPr>
            <w:r>
              <w:rPr>
                <w:rFonts w:ascii="Arial" w:cs="Arial" w:eastAsia="Arial" w:hAnsi="Arial"/>
                <w:sz w:val="17"/>
                <w:szCs w:val="17"/>
                <w:color w:val="auto"/>
              </w:rPr>
              <w:t xml:space="preserve">Shares Purchased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Arial" w:cs="Arial" w:eastAsia="Arial" w:hAnsi="Arial"/>
                <w:sz w:val="17"/>
                <w:szCs w:val="17"/>
                <w:color w:val="auto"/>
              </w:rPr>
              <w:t>Per Share</w:t>
            </w: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Announced Plan</w:t>
            </w:r>
          </w:p>
        </w:tc>
        <w:tc>
          <w:tcPr>
            <w:tcW w:w="160" w:type="dxa"/>
            <w:vAlign w:val="bottom"/>
          </w:tcPr>
          <w:p>
            <w:pPr>
              <w:spacing w:after="0"/>
              <w:rPr>
                <w:sz w:val="19"/>
                <w:szCs w:val="19"/>
                <w:color w:val="auto"/>
              </w:rPr>
            </w:pPr>
          </w:p>
        </w:tc>
        <w:tc>
          <w:tcPr>
            <w:tcW w:w="2020" w:type="dxa"/>
            <w:vAlign w:val="bottom"/>
          </w:tcPr>
          <w:p>
            <w:pPr>
              <w:jc w:val="center"/>
              <w:ind w:right="54"/>
              <w:spacing w:after="0" w:line="219" w:lineRule="exact"/>
              <w:rPr>
                <w:sz w:val="20"/>
                <w:szCs w:val="20"/>
                <w:color w:val="auto"/>
              </w:rPr>
            </w:pPr>
            <w:r>
              <w:rPr>
                <w:rFonts w:ascii="Arial" w:cs="Arial" w:eastAsia="Arial" w:hAnsi="Arial"/>
                <w:sz w:val="17"/>
                <w:szCs w:val="17"/>
                <w:color w:val="auto"/>
                <w:w w:val="89"/>
              </w:rPr>
              <w:t xml:space="preserve">Announced Plan </w:t>
            </w:r>
            <w:r>
              <w:rPr>
                <w:rFonts w:ascii="Arial" w:cs="Arial" w:eastAsia="Arial" w:hAnsi="Arial"/>
                <w:sz w:val="22"/>
                <w:szCs w:val="22"/>
                <w:color w:val="auto"/>
                <w:w w:val="89"/>
                <w:vertAlign w:val="superscript"/>
              </w:rPr>
              <w:t>(2)</w:t>
            </w: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April 1, 2023 – April 30, 2023</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40.00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37,588,964</w:t>
            </w:r>
          </w:p>
        </w:tc>
        <w:tc>
          <w:tcPr>
            <w:tcW w:w="0" w:type="dxa"/>
            <w:vAlign w:val="bottom"/>
          </w:tcPr>
          <w:p>
            <w:pPr>
              <w:spacing w:after="0"/>
              <w:rPr>
                <w:sz w:val="1"/>
                <w:szCs w:val="1"/>
                <w:color w:val="auto"/>
              </w:rPr>
            </w:pPr>
          </w:p>
        </w:tc>
      </w:tr>
      <w:tr>
        <w:trPr>
          <w:trHeight w:val="218"/>
        </w:trPr>
        <w:tc>
          <w:tcPr>
            <w:tcW w:w="2800" w:type="dxa"/>
            <w:vAlign w:val="bottom"/>
          </w:tcPr>
          <w:p>
            <w:pPr>
              <w:spacing w:after="0"/>
              <w:rPr>
                <w:sz w:val="20"/>
                <w:szCs w:val="20"/>
                <w:color w:val="auto"/>
              </w:rPr>
            </w:pPr>
            <w:r>
              <w:rPr>
                <w:rFonts w:ascii="Arial" w:cs="Arial" w:eastAsia="Arial" w:hAnsi="Arial"/>
                <w:sz w:val="17"/>
                <w:szCs w:val="17"/>
                <w:color w:val="auto"/>
              </w:rPr>
              <w:t>May 1, 2023 – May 31, 2023</w:t>
            </w:r>
          </w:p>
        </w:tc>
        <w:tc>
          <w:tcPr>
            <w:tcW w:w="2100" w:type="dxa"/>
            <w:vAlign w:val="bottom"/>
          </w:tcPr>
          <w:p>
            <w:pPr>
              <w:jc w:val="right"/>
              <w:spacing w:after="0"/>
              <w:rPr>
                <w:sz w:val="20"/>
                <w:szCs w:val="20"/>
                <w:color w:val="auto"/>
              </w:rPr>
            </w:pPr>
            <w:r>
              <w:rPr>
                <w:rFonts w:ascii="Arial" w:cs="Arial" w:eastAsia="Arial" w:hAnsi="Arial"/>
                <w:sz w:val="17"/>
                <w:szCs w:val="17"/>
                <w:color w:val="auto"/>
              </w:rPr>
              <w:t>11,748</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48.25</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2020" w:type="dxa"/>
            <w:vAlign w:val="bottom"/>
          </w:tcPr>
          <w:p>
            <w:pPr>
              <w:jc w:val="right"/>
              <w:ind w:right="34"/>
              <w:spacing w:after="0"/>
              <w:rPr>
                <w:sz w:val="20"/>
                <w:szCs w:val="20"/>
                <w:color w:val="auto"/>
              </w:rPr>
            </w:pPr>
            <w:r>
              <w:rPr>
                <w:rFonts w:ascii="Arial" w:cs="Arial" w:eastAsia="Arial" w:hAnsi="Arial"/>
                <w:sz w:val="17"/>
                <w:szCs w:val="17"/>
                <w:color w:val="auto"/>
              </w:rPr>
              <w:t>37,588,964</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June 1, 2023 – June 30, 2023</w:t>
            </w:r>
          </w:p>
        </w:tc>
        <w:tc>
          <w:tcPr>
            <w:tcW w:w="2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37,588,964</w:t>
            </w:r>
          </w:p>
        </w:tc>
        <w:tc>
          <w:tcPr>
            <w:tcW w:w="0" w:type="dxa"/>
            <w:vAlign w:val="bottom"/>
          </w:tcPr>
          <w:p>
            <w:pPr>
              <w:spacing w:after="0"/>
              <w:rPr>
                <w:sz w:val="1"/>
                <w:szCs w:val="1"/>
                <w:color w:val="auto"/>
              </w:rPr>
            </w:pPr>
          </w:p>
        </w:tc>
      </w:tr>
      <w:tr>
        <w:trPr>
          <w:trHeight w:val="218"/>
        </w:trPr>
        <w:tc>
          <w:tcPr>
            <w:tcW w:w="2800" w:type="dxa"/>
            <w:vAlign w:val="bottom"/>
          </w:tcPr>
          <w:p>
            <w:pPr>
              <w:spacing w:after="0"/>
              <w:rPr>
                <w:sz w:val="20"/>
                <w:szCs w:val="20"/>
                <w:color w:val="auto"/>
              </w:rPr>
            </w:pPr>
            <w:r>
              <w:rPr>
                <w:rFonts w:ascii="Arial" w:cs="Arial" w:eastAsia="Arial" w:hAnsi="Arial"/>
                <w:sz w:val="17"/>
                <w:szCs w:val="17"/>
                <w:color w:val="auto"/>
              </w:rPr>
              <w:t>Total</w:t>
            </w:r>
          </w:p>
        </w:tc>
        <w:tc>
          <w:tcPr>
            <w:tcW w:w="2100" w:type="dxa"/>
            <w:vAlign w:val="bottom"/>
          </w:tcPr>
          <w:p>
            <w:pPr>
              <w:jc w:val="right"/>
              <w:spacing w:after="0"/>
              <w:rPr>
                <w:sz w:val="20"/>
                <w:szCs w:val="20"/>
                <w:color w:val="auto"/>
              </w:rPr>
            </w:pPr>
            <w:r>
              <w:rPr>
                <w:rFonts w:ascii="Arial" w:cs="Arial" w:eastAsia="Arial" w:hAnsi="Arial"/>
                <w:sz w:val="17"/>
                <w:szCs w:val="17"/>
                <w:color w:val="auto"/>
              </w:rPr>
              <w:t>11,982</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48.09</w:t>
            </w:r>
          </w:p>
        </w:tc>
        <w:tc>
          <w:tcPr>
            <w:tcW w:w="1560" w:type="dxa"/>
            <w:vAlign w:val="bottom"/>
          </w:tcPr>
          <w:p>
            <w:pPr>
              <w:jc w:val="right"/>
              <w:spacing w:after="0"/>
              <w:rPr>
                <w:sz w:val="20"/>
                <w:szCs w:val="20"/>
                <w:color w:val="auto"/>
              </w:rPr>
            </w:pPr>
            <w:r>
              <w:rPr>
                <w:rFonts w:ascii="Arial" w:cs="Arial" w:eastAsia="Arial" w:hAnsi="Arial"/>
                <w:sz w:val="17"/>
                <w:szCs w:val="17"/>
                <w:color w:val="auto"/>
              </w:rPr>
              <w:t>234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34"/>
              <w:spacing w:after="0"/>
              <w:rPr>
                <w:sz w:val="20"/>
                <w:szCs w:val="20"/>
                <w:color w:val="auto"/>
              </w:rPr>
            </w:pPr>
            <w:r>
              <w:rPr>
                <w:rFonts w:ascii="Arial" w:cs="Arial" w:eastAsia="Arial" w:hAnsi="Arial"/>
                <w:sz w:val="17"/>
                <w:szCs w:val="17"/>
                <w:color w:val="auto"/>
              </w:rPr>
              <w:t>37,588,964</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20" w:right="60" w:hanging="385"/>
        <w:spacing w:after="0" w:line="307" w:lineRule="auto"/>
        <w:tabs>
          <w:tab w:leader="none" w:pos="565"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total number of shares purchased includes shares purchased pursuant to the program described in footnote (2) below and shares of common stock repurchased from our employees to satisfy statutory tax withholding requirements upon the vesting of certain stock awards under the Equity Incentive Plan.</w:t>
      </w:r>
    </w:p>
    <w:p>
      <w:pPr>
        <w:ind w:left="560" w:hanging="325"/>
        <w:spacing w:after="0"/>
        <w:tabs>
          <w:tab w:leader="none" w:pos="5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 2015, our Board authorized a stock repurchase program for the purchase of up to 1.5 million shares of the Company’s common stock from time to time, and in 2019 authorized the repurchase</w:t>
      </w:r>
    </w:p>
    <w:p>
      <w:pPr>
        <w:spacing w:after="0" w:line="80" w:lineRule="exact"/>
        <w:rPr>
          <w:sz w:val="20"/>
          <w:szCs w:val="20"/>
          <w:color w:val="auto"/>
        </w:rPr>
      </w:pPr>
    </w:p>
    <w:p>
      <w:pPr>
        <w:ind w:left="620"/>
        <w:spacing w:after="0" w:line="269" w:lineRule="auto"/>
        <w:rPr>
          <w:sz w:val="20"/>
          <w:szCs w:val="20"/>
          <w:color w:val="auto"/>
        </w:rPr>
      </w:pPr>
      <w:r>
        <w:rPr>
          <w:rFonts w:ascii="Arial" w:cs="Arial" w:eastAsia="Arial" w:hAnsi="Arial"/>
          <w:sz w:val="14"/>
          <w:szCs w:val="14"/>
          <w:color w:val="auto"/>
        </w:rPr>
        <w:t>from time to time of up to an additional 1.0 million shares under the program. In December 2022, our Board terminated the existing program, and authorized a new $40 million share repurchase program.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Trading Arrangements</w:t>
      </w:r>
    </w:p>
    <w:p>
      <w:pPr>
        <w:spacing w:after="0" w:line="2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months ended June 30, 2023, none of the Company's directors or officers adopted, modified or terminated a “Rule 10b5-1 trading arrangement” or a “non-Rule 10b5-1 trading arrangement” as each term is defined under Item 408 of Regulation S-K.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50"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2980" w:type="dxa"/>
            <w:vAlign w:val="bottom"/>
            <w:gridSpan w:val="3"/>
          </w:tcPr>
          <w:p>
            <w:pPr>
              <w:jc w:val="center"/>
              <w:ind w:right="2480"/>
              <w:spacing w:after="0"/>
              <w:rPr>
                <w:sz w:val="20"/>
                <w:szCs w:val="20"/>
                <w:color w:val="auto"/>
              </w:rPr>
            </w:pPr>
            <w:r>
              <w:rPr>
                <w:rFonts w:ascii="Arial" w:cs="Arial" w:eastAsia="Arial" w:hAnsi="Arial"/>
                <w:sz w:val="15"/>
                <w:szCs w:val="15"/>
                <w:b w:val="1"/>
                <w:bCs w:val="1"/>
                <w:color w:val="auto"/>
                <w:w w:val="99"/>
              </w:rPr>
              <w:t>Exhibit</w:t>
            </w:r>
          </w:p>
        </w:tc>
        <w:tc>
          <w:tcPr>
            <w:tcW w:w="3260" w:type="dxa"/>
            <w:vAlign w:val="bottom"/>
            <w:gridSpan w:val="2"/>
          </w:tcPr>
          <w:p>
            <w:pPr>
              <w:ind w:left="2500"/>
              <w:spacing w:after="0"/>
              <w:rPr>
                <w:sz w:val="20"/>
                <w:szCs w:val="20"/>
                <w:color w:val="auto"/>
              </w:rPr>
            </w:pPr>
            <w:r>
              <w:rPr>
                <w:rFonts w:ascii="Arial" w:cs="Arial" w:eastAsia="Arial" w:hAnsi="Arial"/>
                <w:sz w:val="15"/>
                <w:szCs w:val="15"/>
                <w:b w:val="1"/>
                <w:bCs w:val="1"/>
                <w:color w:val="auto"/>
                <w:w w:val="89"/>
              </w:rPr>
              <w:t>Description</w:t>
            </w:r>
          </w:p>
        </w:tc>
      </w:tr>
      <w:tr>
        <w:trPr>
          <w:trHeight w:val="135"/>
        </w:trPr>
        <w:tc>
          <w:tcPr>
            <w:tcW w:w="140" w:type="dxa"/>
            <w:vAlign w:val="bottom"/>
          </w:tcPr>
          <w:p>
            <w:pPr>
              <w:spacing w:after="0"/>
              <w:rPr>
                <w:sz w:val="11"/>
                <w:szCs w:val="11"/>
                <w:color w:val="auto"/>
              </w:rPr>
            </w:pPr>
          </w:p>
        </w:tc>
        <w:tc>
          <w:tcPr>
            <w:tcW w:w="2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0"/>
              </w:rPr>
              <w:t>No.</w:t>
            </w:r>
          </w:p>
        </w:tc>
        <w:tc>
          <w:tcPr>
            <w:tcW w:w="26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11" w:lineRule="exact"/>
        <w:rPr>
          <w:sz w:val="20"/>
          <w:szCs w:val="20"/>
          <w:color w:val="auto"/>
        </w:rPr>
      </w:pPr>
    </w:p>
    <w:p>
      <w:pPr>
        <w:ind w:left="1020" w:hanging="420"/>
        <w:spacing w:after="0" w:line="322" w:lineRule="auto"/>
        <w:rPr>
          <w:rFonts w:ascii="Arial" w:cs="Arial" w:eastAsia="Arial" w:hAnsi="Arial"/>
          <w:sz w:val="15"/>
          <w:szCs w:val="15"/>
          <w:u w:val="single" w:color="auto"/>
          <w:color w:val="0000FF"/>
        </w:rPr>
      </w:pPr>
      <w:r>
        <w:rPr>
          <w:rFonts w:ascii="Arial" w:cs="Arial" w:eastAsia="Arial" w:hAnsi="Arial"/>
          <w:sz w:val="14"/>
          <w:szCs w:val="14"/>
          <w:color w:val="auto"/>
        </w:rPr>
        <w:t xml:space="preserve">3.1 — </w:t>
      </w:r>
      <w:hyperlink r:id="rId78">
        <w:r>
          <w:rPr>
            <w:rFonts w:ascii="Arial" w:cs="Arial" w:eastAsia="Arial" w:hAnsi="Arial"/>
            <w:sz w:val="15"/>
            <w:szCs w:val="15"/>
            <w:u w:val="single" w:color="auto"/>
            <w:color w:val="0000FF"/>
          </w:rPr>
          <w:t>Second Amended and Restated Certificate of Incorporation of IES Holdings, Inc., as amended by the Certificate of Amendment thereto, effective</w:t>
        </w:r>
      </w:hyperlink>
      <w:r>
        <w:rPr>
          <w:rFonts w:ascii="Arial" w:cs="Arial" w:eastAsia="Arial" w:hAnsi="Arial"/>
          <w:sz w:val="14"/>
          <w:szCs w:val="14"/>
          <w:color w:val="auto"/>
        </w:rPr>
        <w:t xml:space="preserve"> </w:t>
      </w:r>
      <w:hyperlink r:id="rId78">
        <w:r>
          <w:rPr>
            <w:rFonts w:ascii="Arial" w:cs="Arial" w:eastAsia="Arial" w:hAnsi="Arial"/>
            <w:sz w:val="15"/>
            <w:szCs w:val="15"/>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20" w:hanging="420"/>
        <w:spacing w:after="0" w:line="284"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3.2 — </w:t>
      </w:r>
      <w:hyperlink r:id="rId79">
        <w:r>
          <w:rPr>
            <w:rFonts w:ascii="Arial" w:cs="Arial" w:eastAsia="Arial" w:hAnsi="Arial"/>
            <w:sz w:val="17"/>
            <w:szCs w:val="17"/>
            <w:u w:val="single" w:color="auto"/>
            <w:color w:val="0000FF"/>
          </w:rPr>
          <w:t>Amended and Restated Bylaws of IES Holdings, Inc., effective April 28, 2021. (Incorporated by reference to Exhibit 3.3 to the Company's</w:t>
        </w:r>
      </w:hyperlink>
      <w:r>
        <w:rPr>
          <w:rFonts w:ascii="Arial" w:cs="Arial" w:eastAsia="Arial" w:hAnsi="Arial"/>
          <w:sz w:val="15"/>
          <w:szCs w:val="15"/>
          <w:color w:val="auto"/>
        </w:rPr>
        <w:t xml:space="preserve"> </w:t>
      </w:r>
      <w:hyperlink r:id="rId79">
        <w:r>
          <w:rPr>
            <w:rFonts w:ascii="Arial" w:cs="Arial" w:eastAsia="Arial" w:hAnsi="Arial"/>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294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600"/>
        <w:spacing w:after="0"/>
        <w:rPr>
          <w:rFonts w:ascii="Arial" w:cs="Arial" w:eastAsia="Arial" w:hAnsi="Arial"/>
          <w:sz w:val="14"/>
          <w:szCs w:val="14"/>
          <w:color w:val="auto"/>
        </w:rPr>
      </w:pPr>
      <w:r>
        <w:rPr>
          <w:rFonts w:ascii="Arial" w:cs="Arial" w:eastAsia="Arial" w:hAnsi="Arial"/>
          <w:sz w:val="14"/>
          <w:szCs w:val="14"/>
          <w:color w:val="auto"/>
        </w:rPr>
        <w:t xml:space="preserve">4.1 — </w:t>
      </w:r>
      <w:hyperlink r:id="rId81">
        <w:r>
          <w:rPr>
            <w:rFonts w:ascii="Arial" w:cs="Arial" w:eastAsia="Arial" w:hAnsi="Arial"/>
            <w:sz w:val="15"/>
            <w:szCs w:val="15"/>
            <w:u w:val="single" w:color="auto"/>
            <w:color w:val="0000FF"/>
          </w:rPr>
          <w:t>Specimen common stock certificate. (Incorporated by reference to Exhibit 4.1 to the Company’s Annual Report on Form 10-K filed on December 9,</w:t>
        </w:r>
      </w:hyperlink>
    </w:p>
    <w:p>
      <w:pPr>
        <w:spacing w:after="0" w:line="53" w:lineRule="exact"/>
        <w:rPr>
          <w:sz w:val="20"/>
          <w:szCs w:val="20"/>
          <w:color w:val="auto"/>
        </w:rPr>
      </w:pPr>
    </w:p>
    <w:p>
      <w:pPr>
        <w:ind w:left="1020"/>
        <w:spacing w:after="0"/>
        <w:rPr>
          <w:rFonts w:ascii="Arial" w:cs="Arial" w:eastAsia="Arial" w:hAnsi="Arial"/>
          <w:sz w:val="17"/>
          <w:szCs w:val="17"/>
          <w:u w:val="single" w:color="auto"/>
          <w:color w:val="0000FF"/>
        </w:rPr>
      </w:pPr>
      <w:hyperlink r:id="rId81">
        <w:r>
          <w:rPr>
            <w:rFonts w:ascii="Arial" w:cs="Arial" w:eastAsia="Arial" w:hAnsi="Arial"/>
            <w:sz w:val="17"/>
            <w:szCs w:val="17"/>
            <w:u w:val="single" w:color="auto"/>
            <w:color w:val="0000FF"/>
          </w:rPr>
          <w:t>2016).</w:t>
        </w:r>
      </w:hyperlink>
    </w:p>
    <w:p>
      <w:pPr>
        <w:spacing w:after="0" w:line="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31.1 — </w:t>
      </w:r>
      <w:r>
        <w:rPr>
          <w:rFonts w:ascii="Arial" w:cs="Arial" w:eastAsia="Arial" w:hAnsi="Arial"/>
          <w:sz w:val="17"/>
          <w:szCs w:val="17"/>
          <w:u w:val="single" w:color="auto"/>
          <w:color w:val="0000FF"/>
        </w:rPr>
        <w:t>Rule 13a-14(a)/15d-14(a) Certification of Jeffrey L. Gendell, Chief Executive Officer</w:t>
      </w:r>
      <w:r>
        <w:rPr>
          <w:rFonts w:ascii="Arial" w:cs="Arial" w:eastAsia="Arial" w:hAnsi="Arial"/>
          <w:sz w:val="15"/>
          <w:szCs w:val="15"/>
          <w:color w:val="auto"/>
        </w:rPr>
        <w:t xml:space="preserve">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147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ind w:left="520"/>
        <w:spacing w:after="0" w:line="209" w:lineRule="auto"/>
        <w:rPr>
          <w:sz w:val="20"/>
          <w:szCs w:val="20"/>
          <w:color w:val="auto"/>
        </w:rPr>
      </w:pPr>
      <w:r>
        <w:rPr>
          <w:rFonts w:ascii="Arial" w:cs="Arial" w:eastAsia="Arial" w:hAnsi="Arial"/>
          <w:sz w:val="15"/>
          <w:szCs w:val="15"/>
          <w:color w:val="auto"/>
        </w:rPr>
        <w:t xml:space="preserve">31.2 — </w:t>
      </w:r>
      <w:r>
        <w:rPr>
          <w:rFonts w:ascii="Arial" w:cs="Arial" w:eastAsia="Arial" w:hAnsi="Arial"/>
          <w:sz w:val="17"/>
          <w:szCs w:val="17"/>
          <w:u w:val="single" w:color="auto"/>
          <w:color w:val="0000FF"/>
        </w:rPr>
        <w:t>Rule 13a-14(a)/15d-14(a) Certification of Tracy A. McLauchlin, Senior Vice President, Chief Financial Officer and Treasurer</w:t>
      </w:r>
      <w:r>
        <w:rPr>
          <w:rFonts w:ascii="Arial" w:cs="Arial" w:eastAsia="Arial" w:hAnsi="Arial"/>
          <w:sz w:val="15"/>
          <w:szCs w:val="15"/>
          <w:color w:val="auto"/>
        </w:rPr>
        <w:t xml:space="preserve"> </w:t>
      </w:r>
      <w:r>
        <w:rPr>
          <w:rFonts w:ascii="Arial" w:cs="Arial" w:eastAsia="Arial" w:hAnsi="Arial"/>
          <w:sz w:val="22"/>
          <w:szCs w:val="22"/>
          <w:color w:val="auto"/>
          <w:vertAlign w:val="superscript"/>
        </w:rPr>
        <w:t>(1)</w:t>
      </w:r>
    </w:p>
    <w:p>
      <w:pPr>
        <w:ind w:left="520"/>
        <w:spacing w:after="0" w:line="208" w:lineRule="auto"/>
        <w:rPr>
          <w:sz w:val="20"/>
          <w:szCs w:val="20"/>
          <w:color w:val="auto"/>
        </w:rPr>
      </w:pPr>
      <w:r>
        <w:rPr>
          <w:rFonts w:ascii="Arial" w:cs="Arial" w:eastAsia="Arial" w:hAnsi="Arial"/>
          <w:sz w:val="15"/>
          <w:szCs w:val="15"/>
          <w:color w:val="auto"/>
        </w:rPr>
        <w:t xml:space="preserve">32.1 — </w:t>
      </w:r>
      <w:r>
        <w:rPr>
          <w:rFonts w:ascii="Arial" w:cs="Arial" w:eastAsia="Arial" w:hAnsi="Arial"/>
          <w:sz w:val="17"/>
          <w:szCs w:val="17"/>
          <w:u w:val="single" w:color="auto"/>
          <w:color w:val="0000FF"/>
        </w:rPr>
        <w:t>Section 1350 Certification of Jeffrey L. Gendell, Chief Executive Officer</w:t>
      </w:r>
      <w:r>
        <w:rPr>
          <w:rFonts w:ascii="Arial" w:cs="Arial" w:eastAsia="Arial" w:hAnsi="Arial"/>
          <w:sz w:val="15"/>
          <w:szCs w:val="15"/>
          <w:color w:val="auto"/>
        </w:rPr>
        <w:t xml:space="preserve">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20"/>
        <w:spacing w:after="0" w:line="219" w:lineRule="auto"/>
        <w:rPr>
          <w:sz w:val="20"/>
          <w:szCs w:val="20"/>
          <w:color w:val="auto"/>
        </w:rPr>
      </w:pPr>
      <w:r>
        <w:rPr>
          <w:rFonts w:ascii="Arial" w:cs="Arial" w:eastAsia="Arial" w:hAnsi="Arial"/>
          <w:sz w:val="15"/>
          <w:szCs w:val="15"/>
          <w:color w:val="auto"/>
        </w:rPr>
        <w:t xml:space="preserve">32.2 — </w:t>
      </w:r>
      <w:r>
        <w:rPr>
          <w:rFonts w:ascii="Arial" w:cs="Arial" w:eastAsia="Arial" w:hAnsi="Arial"/>
          <w:sz w:val="17"/>
          <w:szCs w:val="17"/>
          <w:u w:val="single" w:color="auto"/>
          <w:color w:val="0000FF"/>
        </w:rPr>
        <w:t>Section 1350 Certification of Tracy A. McLauchlin, Senior Vice President, Chief Financial Officer and Treasurer</w:t>
      </w:r>
      <w:r>
        <w:rPr>
          <w:rFonts w:ascii="Arial" w:cs="Arial" w:eastAsia="Arial" w:hAnsi="Arial"/>
          <w:sz w:val="15"/>
          <w:szCs w:val="15"/>
          <w:color w:val="auto"/>
        </w:rPr>
        <w:t xml:space="preserve"> </w:t>
      </w:r>
      <w:r>
        <w:rPr>
          <w:rFonts w:ascii="Arial" w:cs="Arial" w:eastAsia="Arial" w:hAnsi="Arial"/>
          <w:sz w:val="22"/>
          <w:szCs w:val="22"/>
          <w:color w:val="auto"/>
          <w:vertAlign w:val="superscript"/>
        </w:rPr>
        <w:t>(2)</w:t>
      </w:r>
    </w:p>
    <w:p>
      <w:pPr>
        <w:ind w:left="1020" w:hanging="611"/>
        <w:spacing w:after="0" w:line="248" w:lineRule="auto"/>
        <w:rPr>
          <w:sz w:val="20"/>
          <w:szCs w:val="20"/>
          <w:color w:val="auto"/>
        </w:rPr>
      </w:pPr>
      <w:r>
        <w:rPr>
          <w:rFonts w:ascii="Arial" w:cs="Arial" w:eastAsia="Arial" w:hAnsi="Arial"/>
          <w:sz w:val="17"/>
          <w:szCs w:val="17"/>
          <w:color w:val="auto"/>
        </w:rPr>
        <w:t xml:space="preserve">101.INS Inline XBRL Instance Document - the instance document does not appear in the Interactive Data File because its XBRL tags are embedded within the Inline XBRL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147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ind w:left="360"/>
        <w:spacing w:after="0" w:line="210" w:lineRule="auto"/>
        <w:rPr>
          <w:sz w:val="20"/>
          <w:szCs w:val="20"/>
          <w:color w:val="auto"/>
        </w:rPr>
      </w:pPr>
      <w:r>
        <w:rPr>
          <w:rFonts w:ascii="Arial" w:cs="Arial" w:eastAsia="Arial" w:hAnsi="Arial"/>
          <w:sz w:val="17"/>
          <w:szCs w:val="17"/>
          <w:color w:val="auto"/>
        </w:rPr>
        <w:t xml:space="preserve">101.SCH XBRL Schema Document </w:t>
      </w:r>
      <w:r>
        <w:rPr>
          <w:rFonts w:ascii="Arial" w:cs="Arial" w:eastAsia="Arial" w:hAnsi="Arial"/>
          <w:sz w:val="22"/>
          <w:szCs w:val="22"/>
          <w:color w:val="auto"/>
          <w:vertAlign w:val="superscript"/>
        </w:rPr>
        <w:t>(1)</w:t>
      </w:r>
    </w:p>
    <w:p>
      <w:pPr>
        <w:ind w:left="340"/>
        <w:spacing w:after="0" w:line="208" w:lineRule="auto"/>
        <w:rPr>
          <w:sz w:val="20"/>
          <w:szCs w:val="20"/>
          <w:color w:val="auto"/>
        </w:rPr>
      </w:pPr>
      <w:r>
        <w:rPr>
          <w:rFonts w:ascii="Arial" w:cs="Arial" w:eastAsia="Arial" w:hAnsi="Arial"/>
          <w:sz w:val="17"/>
          <w:szCs w:val="17"/>
          <w:color w:val="auto"/>
        </w:rPr>
        <w:t xml:space="preserve">101.LAB XBRL Label Linkbase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80"/>
        <w:spacing w:after="0" w:line="218" w:lineRule="auto"/>
        <w:rPr>
          <w:sz w:val="20"/>
          <w:szCs w:val="20"/>
          <w:color w:val="auto"/>
        </w:rPr>
      </w:pPr>
      <w:r>
        <w:rPr>
          <w:rFonts w:ascii="Arial" w:cs="Arial" w:eastAsia="Arial" w:hAnsi="Arial"/>
          <w:sz w:val="17"/>
          <w:szCs w:val="17"/>
          <w:color w:val="auto"/>
        </w:rPr>
        <w:t xml:space="preserve">101.PRE XBRL Presentation Linkbase Document </w:t>
      </w:r>
      <w:r>
        <w:rPr>
          <w:rFonts w:ascii="Arial" w:cs="Arial" w:eastAsia="Arial" w:hAnsi="Arial"/>
          <w:sz w:val="22"/>
          <w:szCs w:val="22"/>
          <w:color w:val="auto"/>
          <w:vertAlign w:val="superscript"/>
        </w:rPr>
        <w:t>(1)</w:t>
      </w:r>
    </w:p>
    <w:p>
      <w:pPr>
        <w:ind w:left="360"/>
        <w:spacing w:after="0" w:line="210" w:lineRule="auto"/>
        <w:rPr>
          <w:sz w:val="20"/>
          <w:szCs w:val="20"/>
          <w:color w:val="auto"/>
        </w:rPr>
      </w:pPr>
      <w:r>
        <w:rPr>
          <w:rFonts w:ascii="Arial" w:cs="Arial" w:eastAsia="Arial" w:hAnsi="Arial"/>
          <w:sz w:val="17"/>
          <w:szCs w:val="17"/>
          <w:color w:val="auto"/>
        </w:rPr>
        <w:t xml:space="preserve">101.DEF XBRL Definition Linkbase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18" w:lineRule="auto"/>
        <w:rPr>
          <w:sz w:val="20"/>
          <w:szCs w:val="20"/>
          <w:color w:val="auto"/>
        </w:rPr>
      </w:pPr>
      <w:r>
        <w:rPr>
          <w:rFonts w:ascii="Arial" w:cs="Arial" w:eastAsia="Arial" w:hAnsi="Arial"/>
          <w:sz w:val="17"/>
          <w:szCs w:val="17"/>
          <w:color w:val="auto"/>
        </w:rPr>
        <w:t xml:space="preserve">101.CAL XBRL Calculation Linkbase Document </w:t>
      </w:r>
      <w:r>
        <w:rPr>
          <w:rFonts w:ascii="Arial" w:cs="Arial" w:eastAsia="Arial" w:hAnsi="Arial"/>
          <w:sz w:val="22"/>
          <w:szCs w:val="22"/>
          <w:color w:val="auto"/>
          <w:vertAlign w:val="superscript"/>
        </w:rPr>
        <w:t>(1)</w:t>
      </w:r>
    </w:p>
    <w:p>
      <w:pPr>
        <w:spacing w:after="0" w:line="1" w:lineRule="exact"/>
        <w:rPr>
          <w:sz w:val="20"/>
          <w:szCs w:val="20"/>
          <w:color w:val="auto"/>
        </w:rPr>
      </w:pPr>
    </w:p>
    <w:p>
      <w:pPr>
        <w:ind w:left="1020" w:right="560" w:hanging="291"/>
        <w:spacing w:after="0" w:line="227" w:lineRule="auto"/>
        <w:rPr>
          <w:sz w:val="20"/>
          <w:szCs w:val="20"/>
          <w:color w:val="auto"/>
        </w:rPr>
      </w:pPr>
      <w:r>
        <w:rPr>
          <w:rFonts w:ascii="Arial" w:cs="Arial" w:eastAsia="Arial" w:hAnsi="Arial"/>
          <w:sz w:val="17"/>
          <w:szCs w:val="17"/>
          <w:color w:val="auto"/>
        </w:rPr>
        <w:t>104 Cover Page Interactive Data File - the cover page interactive data file does not appear in the Interactive Data File because its XBRL tags are embedded within the Inline XBRL document</w:t>
      </w:r>
    </w:p>
    <w:p>
      <w:pPr>
        <w:spacing w:after="0" w:line="248" w:lineRule="exact"/>
        <w:rPr>
          <w:sz w:val="20"/>
          <w:szCs w:val="20"/>
          <w:color w:val="auto"/>
        </w:rPr>
      </w:pPr>
    </w:p>
    <w:p>
      <w:pPr>
        <w:ind w:left="1020" w:hanging="230"/>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36" w:lineRule="exact"/>
        <w:rPr>
          <w:rFonts w:ascii="Arial" w:cs="Arial" w:eastAsia="Arial" w:hAnsi="Arial"/>
          <w:sz w:val="17"/>
          <w:szCs w:val="17"/>
          <w:color w:val="auto"/>
        </w:rPr>
      </w:pPr>
    </w:p>
    <w:p>
      <w:pPr>
        <w:ind w:left="1020" w:hanging="230"/>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0"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August 4, 2023.</w:t>
      </w:r>
    </w:p>
    <w:p>
      <w:pPr>
        <w:spacing w:after="0" w:line="223"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IES HOLDINGS, INC.</w:t>
      </w:r>
    </w:p>
    <w:p>
      <w:pPr>
        <w:spacing w:after="0" w:line="200" w:lineRule="exact"/>
        <w:rPr>
          <w:sz w:val="20"/>
          <w:szCs w:val="20"/>
          <w:color w:val="auto"/>
        </w:rPr>
      </w:pPr>
    </w:p>
    <w:p>
      <w:pPr>
        <w:spacing w:after="0" w:line="320" w:lineRule="exact"/>
        <w:rPr>
          <w:sz w:val="20"/>
          <w:szCs w:val="20"/>
          <w:color w:val="auto"/>
        </w:rPr>
      </w:pPr>
    </w:p>
    <w:tbl>
      <w:tblPr>
        <w:tblLayout w:type="fixed"/>
        <w:tblInd w:w="5020" w:type="dxa"/>
        <w:tblCellMar>
          <w:top w:w="0" w:type="dxa"/>
          <w:left w:w="0" w:type="dxa"/>
          <w:bottom w:w="0" w:type="dxa"/>
          <w:right w:w="0" w:type="dxa"/>
        </w:tblCellMar>
      </w:tblPr>
      <w:tr>
        <w:trPr>
          <w:trHeight w:val="218"/>
        </w:trPr>
        <w:tc>
          <w:tcPr>
            <w:tcW w:w="400" w:type="dxa"/>
            <w:vAlign w:val="bottom"/>
          </w:tcPr>
          <w:p>
            <w:pPr>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TRACY A. MCLAUCHLIN</w:t>
            </w:r>
          </w:p>
        </w:tc>
      </w:tr>
      <w:tr>
        <w:trPr>
          <w:trHeight w:val="211"/>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6"/>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2"/>
              </w:rPr>
              <w:t>Senior Vice President, Chief Financial Officer and Treasurer</w:t>
            </w:r>
          </w:p>
        </w:tc>
      </w:tr>
      <w:tr>
        <w:trPr>
          <w:trHeight w:val="232"/>
        </w:trPr>
        <w:tc>
          <w:tcPr>
            <w:tcW w:w="40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4"/>
              </w:rPr>
              <w:t>(Principal Financial Officer and Authorized Signatory)</w:t>
            </w:r>
          </w:p>
        </w:tc>
      </w:tr>
      <w:tr>
        <w:trPr>
          <w:trHeight w:val="709"/>
        </w:trPr>
        <w:tc>
          <w:tcPr>
            <w:tcW w:w="400" w:type="dxa"/>
            <w:vAlign w:val="bottom"/>
          </w:tcPr>
          <w:p>
            <w:pPr>
              <w:spacing w:after="0"/>
              <w:rPr>
                <w:sz w:val="24"/>
                <w:szCs w:val="24"/>
                <w:color w:val="auto"/>
              </w:rPr>
            </w:pPr>
          </w:p>
        </w:tc>
        <w:tc>
          <w:tcPr>
            <w:tcW w:w="4880" w:type="dxa"/>
            <w:vAlign w:val="bottom"/>
          </w:tcPr>
          <w:p>
            <w:pPr>
              <w:jc w:val="right"/>
              <w:ind w:right="4514"/>
              <w:spacing w:after="0"/>
              <w:rPr>
                <w:sz w:val="20"/>
                <w:szCs w:val="20"/>
                <w:color w:val="auto"/>
              </w:rPr>
            </w:pPr>
            <w:r>
              <w:rPr>
                <w:rFonts w:ascii="Arial" w:cs="Arial" w:eastAsia="Arial" w:hAnsi="Arial"/>
                <w:sz w:val="17"/>
                <w:szCs w:val="17"/>
                <w:color w:val="auto"/>
              </w:rPr>
              <w:t>39</w:t>
            </w:r>
          </w:p>
        </w:tc>
      </w:tr>
    </w:tbl>
    <w:p>
      <w:pPr>
        <w:sectPr>
          <w:pgSz w:w="11900" w:h="16838" w:orient="portrait"/>
          <w:cols w:equalWidth="0" w:num="1">
            <w:col w:w="11240"/>
          </w:cols>
          <w:pgMar w:left="320" w:top="43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IES Holdings, Inc.;</w:t>
      </w:r>
    </w:p>
    <w:p>
      <w:pPr>
        <w:spacing w:after="0" w:line="139" w:lineRule="exact"/>
        <w:rPr>
          <w:rFonts w:ascii="Arial" w:cs="Arial" w:eastAsia="Arial" w:hAnsi="Arial"/>
          <w:sz w:val="17"/>
          <w:szCs w:val="17"/>
          <w:color w:val="auto"/>
        </w:rPr>
      </w:pPr>
    </w:p>
    <w:p>
      <w:pPr>
        <w:ind w:firstLine="232"/>
        <w:spacing w:after="0" w:line="312" w:lineRule="auto"/>
        <w:tabs>
          <w:tab w:leader="none" w:pos="4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firstLine="258"/>
        <w:spacing w:after="0" w:line="279" w:lineRule="auto"/>
        <w:tabs>
          <w:tab w:leader="none" w:pos="435" w:val="left"/>
        </w:tabs>
        <w:numPr>
          <w:ilvl w:val="2"/>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7"/>
          <w:szCs w:val="17"/>
          <w:color w:val="auto"/>
        </w:rPr>
      </w:pPr>
    </w:p>
    <w:p>
      <w:pPr>
        <w:jc w:val="both"/>
        <w:ind w:firstLine="269"/>
        <w:spacing w:after="0" w:line="266" w:lineRule="auto"/>
        <w:tabs>
          <w:tab w:leader="none" w:pos="448" w:val="left"/>
        </w:tabs>
        <w:numPr>
          <w:ilvl w:val="3"/>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sz w:val="20"/>
          <w:szCs w:val="20"/>
          <w:color w:val="auto"/>
        </w:rPr>
      </w:pPr>
    </w:p>
    <w:p>
      <w:pPr>
        <w:jc w:val="both"/>
        <w:ind w:firstLine="265"/>
        <w:spacing w:after="0" w:line="266" w:lineRule="auto"/>
        <w:tabs>
          <w:tab w:leader="none" w:pos="5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firstLine="284"/>
        <w:spacing w:after="0" w:line="266" w:lineRule="auto"/>
        <w:tabs>
          <w:tab w:leader="none" w:pos="538" w:val="left"/>
        </w:tabs>
        <w:numPr>
          <w:ilvl w:val="2"/>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7"/>
          <w:szCs w:val="17"/>
          <w:color w:val="auto"/>
        </w:rPr>
      </w:pPr>
    </w:p>
    <w:p>
      <w:pPr>
        <w:ind w:firstLine="236"/>
        <w:spacing w:after="0" w:line="279" w:lineRule="auto"/>
        <w:tabs>
          <w:tab w:leader="none" w:pos="4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7"/>
          <w:szCs w:val="17"/>
          <w:color w:val="auto"/>
        </w:rPr>
      </w:pPr>
    </w:p>
    <w:p>
      <w:pPr>
        <w:jc w:val="both"/>
        <w:ind w:firstLine="311"/>
        <w:spacing w:after="0" w:line="266" w:lineRule="auto"/>
        <w:tabs>
          <w:tab w:leader="none" w:pos="569" w:val="left"/>
        </w:tabs>
        <w:numPr>
          <w:ilvl w:val="3"/>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sz w:val="20"/>
          <w:szCs w:val="20"/>
          <w:color w:val="auto"/>
        </w:rPr>
      </w:pPr>
    </w:p>
    <w:p>
      <w:pPr>
        <w:ind w:firstLine="342"/>
        <w:spacing w:after="0" w:line="279" w:lineRule="auto"/>
        <w:tabs>
          <w:tab w:leader="none" w:pos="5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firstLine="281"/>
        <w:spacing w:after="0" w:line="279" w:lineRule="auto"/>
        <w:tabs>
          <w:tab w:leader="none" w:pos="5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firstLine="307"/>
        <w:spacing w:after="0" w:line="279" w:lineRule="auto"/>
        <w:tabs>
          <w:tab w:leader="none" w:pos="5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2023</w:t>
      </w:r>
    </w:p>
    <w:p>
      <w:pPr>
        <w:spacing w:after="0" w:line="191" w:lineRule="exact"/>
        <w:rPr>
          <w:sz w:val="20"/>
          <w:szCs w:val="20"/>
          <w:color w:val="auto"/>
        </w:rPr>
      </w:pPr>
    </w:p>
    <w:p>
      <w:pPr>
        <w:jc w:val="center"/>
        <w:ind w:left="530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31115</wp:posOffset>
            </wp:positionV>
            <wp:extent cx="3716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300"/>
        <w:spacing w:after="0"/>
        <w:rPr>
          <w:sz w:val="20"/>
          <w:szCs w:val="20"/>
          <w:color w:val="auto"/>
        </w:rPr>
      </w:pPr>
      <w:r>
        <w:rPr>
          <w:rFonts w:ascii="Arial" w:cs="Arial" w:eastAsia="Arial" w:hAnsi="Arial"/>
          <w:sz w:val="17"/>
          <w:szCs w:val="17"/>
          <w:color w:val="auto"/>
        </w:rPr>
        <w:t>Jeffrey L. Gendell</w:t>
      </w:r>
    </w:p>
    <w:p>
      <w:pPr>
        <w:spacing w:after="0" w:line="37" w:lineRule="exact"/>
        <w:rPr>
          <w:sz w:val="20"/>
          <w:szCs w:val="20"/>
          <w:color w:val="auto"/>
        </w:rPr>
      </w:pPr>
    </w:p>
    <w:p>
      <w:pPr>
        <w:jc w:val="center"/>
        <w:ind w:left="5300"/>
        <w:spacing w:after="0"/>
        <w:rPr>
          <w:sz w:val="20"/>
          <w:szCs w:val="20"/>
          <w:color w:val="auto"/>
        </w:rPr>
      </w:pPr>
      <w:r>
        <w:rPr>
          <w:rFonts w:ascii="Arial" w:cs="Arial" w:eastAsia="Arial" w:hAnsi="Arial"/>
          <w:sz w:val="17"/>
          <w:szCs w:val="17"/>
          <w:color w:val="auto"/>
        </w:rPr>
        <w:t>Chief Executive Officer as Principal Executive Officer</w:t>
      </w:r>
    </w:p>
    <w:p>
      <w:pPr>
        <w:sectPr>
          <w:pgSz w:w="11900" w:h="16838" w:orient="portrait"/>
          <w:cols w:equalWidth="0" w:num="1">
            <w:col w:w="11240"/>
          </w:cols>
          <w:pgMar w:left="320" w:top="128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IES Holdings, Inc.;</w:t>
      </w:r>
    </w:p>
    <w:p>
      <w:pPr>
        <w:spacing w:after="0" w:line="139" w:lineRule="exact"/>
        <w:rPr>
          <w:rFonts w:ascii="Arial" w:cs="Arial" w:eastAsia="Arial" w:hAnsi="Arial"/>
          <w:sz w:val="17"/>
          <w:szCs w:val="17"/>
          <w:color w:val="auto"/>
        </w:rPr>
      </w:pPr>
    </w:p>
    <w:p>
      <w:pPr>
        <w:ind w:firstLine="232"/>
        <w:spacing w:after="0" w:line="312" w:lineRule="auto"/>
        <w:tabs>
          <w:tab w:leader="none" w:pos="4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firstLine="258"/>
        <w:spacing w:after="0" w:line="279" w:lineRule="auto"/>
        <w:tabs>
          <w:tab w:leader="none" w:pos="435" w:val="left"/>
        </w:tabs>
        <w:numPr>
          <w:ilvl w:val="2"/>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7"/>
          <w:szCs w:val="17"/>
          <w:color w:val="auto"/>
        </w:rPr>
      </w:pPr>
    </w:p>
    <w:p>
      <w:pPr>
        <w:jc w:val="both"/>
        <w:ind w:firstLine="269"/>
        <w:spacing w:after="0" w:line="266" w:lineRule="auto"/>
        <w:tabs>
          <w:tab w:leader="none" w:pos="448" w:val="left"/>
        </w:tabs>
        <w:numPr>
          <w:ilvl w:val="3"/>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7"/>
          <w:szCs w:val="17"/>
          <w:color w:val="auto"/>
        </w:rPr>
      </w:pPr>
    </w:p>
    <w:p>
      <w:pPr>
        <w:jc w:val="both"/>
        <w:ind w:left="40" w:firstLine="256"/>
        <w:spacing w:after="0" w:line="266" w:lineRule="auto"/>
        <w:tabs>
          <w:tab w:leader="none" w:pos="536" w:val="left"/>
        </w:tabs>
        <w:numPr>
          <w:ilvl w:val="4"/>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40" w:firstLine="276"/>
        <w:spacing w:after="0" w:line="266" w:lineRule="auto"/>
        <w:tabs>
          <w:tab w:leader="none" w:pos="569" w:val="left"/>
        </w:tabs>
        <w:numPr>
          <w:ilvl w:val="5"/>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sz w:val="20"/>
          <w:szCs w:val="20"/>
          <w:color w:val="auto"/>
        </w:rPr>
      </w:pPr>
    </w:p>
    <w:p>
      <w:pPr>
        <w:ind w:left="40" w:firstLine="227"/>
        <w:spacing w:after="0" w:line="279" w:lineRule="auto"/>
        <w:tabs>
          <w:tab w:leader="none" w:pos="5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7"/>
          <w:szCs w:val="17"/>
          <w:color w:val="auto"/>
        </w:rPr>
      </w:pPr>
    </w:p>
    <w:p>
      <w:pPr>
        <w:jc w:val="both"/>
        <w:ind w:left="40" w:firstLine="302"/>
        <w:spacing w:after="0" w:line="266" w:lineRule="auto"/>
        <w:tabs>
          <w:tab w:leader="none" w:pos="601" w:val="left"/>
        </w:tabs>
        <w:numPr>
          <w:ilvl w:val="2"/>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firstLine="342"/>
        <w:spacing w:after="0" w:line="279" w:lineRule="auto"/>
        <w:tabs>
          <w:tab w:leader="none" w:pos="536"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left="40" w:firstLine="272"/>
        <w:spacing w:after="0" w:line="279" w:lineRule="auto"/>
        <w:tabs>
          <w:tab w:leader="none" w:pos="5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left="40" w:firstLine="298"/>
        <w:spacing w:after="0" w:line="279" w:lineRule="auto"/>
        <w:tabs>
          <w:tab w:leader="none" w:pos="5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2023</w:t>
      </w:r>
    </w:p>
    <w:p>
      <w:pPr>
        <w:spacing w:after="0" w:line="178"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14605</wp:posOffset>
            </wp:positionV>
            <wp:extent cx="34956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as Principal Financial Officer</w:t>
      </w:r>
    </w:p>
    <w:p>
      <w:pPr>
        <w:sectPr>
          <w:pgSz w:w="11900" w:h="16838" w:orient="portrait"/>
          <w:cols w:equalWidth="0" w:num="1">
            <w:col w:w="11240"/>
          </w:cols>
          <w:pgMar w:left="320" w:top="107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Quarterly Report of IES Holdings, Inc. (the “Company”) on Form 10-Q for the period ending June 30, 2023 (the “Report”), I, Jeffrey 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88"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6"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640"/>
        <w:spacing w:after="0"/>
        <w:tabs>
          <w:tab w:leader="none" w:pos="5460" w:val="left"/>
          <w:tab w:leader="none" w:pos="7960" w:val="left"/>
        </w:tabs>
        <w:rPr>
          <w:sz w:val="20"/>
          <w:szCs w:val="20"/>
          <w:color w:val="auto"/>
        </w:rPr>
      </w:pPr>
      <w:r>
        <w:rPr>
          <w:rFonts w:ascii="Arial" w:cs="Arial" w:eastAsia="Arial" w:hAnsi="Arial"/>
          <w:sz w:val="17"/>
          <w:szCs w:val="17"/>
          <w:color w:val="auto"/>
        </w:rPr>
        <w:t>Date: August 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22860</wp:posOffset>
            </wp:positionV>
            <wp:extent cx="33807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29" w:lineRule="exact"/>
        <w:rPr>
          <w:sz w:val="20"/>
          <w:szCs w:val="20"/>
          <w:color w:val="auto"/>
        </w:rPr>
      </w:pPr>
    </w:p>
    <w:p>
      <w:pPr>
        <w:jc w:val="center"/>
        <w:ind w:left="6620"/>
        <w:spacing w:after="0"/>
        <w:rPr>
          <w:sz w:val="20"/>
          <w:szCs w:val="20"/>
          <w:color w:val="auto"/>
        </w:rPr>
      </w:pPr>
      <w:r>
        <w:rPr>
          <w:rFonts w:ascii="Arial" w:cs="Arial" w:eastAsia="Arial" w:hAnsi="Arial"/>
          <w:sz w:val="17"/>
          <w:szCs w:val="17"/>
          <w:color w:val="auto"/>
        </w:rPr>
        <w:t>Jeffrey L. Gendell</w:t>
      </w:r>
    </w:p>
    <w:p>
      <w:pPr>
        <w:spacing w:after="0" w:line="37" w:lineRule="exact"/>
        <w:rPr>
          <w:sz w:val="20"/>
          <w:szCs w:val="20"/>
          <w:color w:val="auto"/>
        </w:rPr>
      </w:pPr>
    </w:p>
    <w:p>
      <w:pPr>
        <w:jc w:val="center"/>
        <w:ind w:left="6680"/>
        <w:spacing w:after="0"/>
        <w:rPr>
          <w:sz w:val="20"/>
          <w:szCs w:val="20"/>
          <w:color w:val="auto"/>
        </w:rPr>
      </w:pPr>
      <w:r>
        <w:rPr>
          <w:rFonts w:ascii="Arial" w:cs="Arial" w:eastAsia="Arial" w:hAnsi="Arial"/>
          <w:sz w:val="17"/>
          <w:szCs w:val="17"/>
          <w:color w:val="auto"/>
        </w:rPr>
        <w:t>Chief Executive Officer as Principal Executive Officer</w:t>
      </w:r>
    </w:p>
    <w:p>
      <w:pPr>
        <w:sectPr>
          <w:pgSz w:w="11900" w:h="16838" w:orient="portrait"/>
          <w:cols w:equalWidth="0" w:num="1">
            <w:col w:w="11240"/>
          </w:cols>
          <w:pgMar w:left="320" w:top="104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this Quarterly Report of IES Holdings, Inc. (the “Company”) on Form 10-Q for the period ending June 30, 2023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33"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640"/>
        <w:spacing w:after="0"/>
        <w:tabs>
          <w:tab w:leader="none" w:pos="4820" w:val="left"/>
          <w:tab w:leader="none" w:pos="7200" w:val="left"/>
        </w:tabs>
        <w:rPr>
          <w:sz w:val="20"/>
          <w:szCs w:val="20"/>
          <w:color w:val="auto"/>
        </w:rPr>
      </w:pPr>
      <w:r>
        <w:rPr>
          <w:rFonts w:ascii="Arial" w:cs="Arial" w:eastAsia="Arial" w:hAnsi="Arial"/>
          <w:sz w:val="17"/>
          <w:szCs w:val="17"/>
          <w:color w:val="auto"/>
        </w:rPr>
        <w:t>Date: August 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14605</wp:posOffset>
            </wp:positionV>
            <wp:extent cx="3569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Tracy A. McLauchlin</w:t>
      </w:r>
    </w:p>
    <w:p>
      <w:pPr>
        <w:spacing w:after="0" w:line="4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2"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as Principal Financial Officer</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Roman"/>
      <w:start w:val="4"/>
    </w:lvl>
  </w:abstractNum>
  <w:abstractNum w:abstractNumId="7">
    <w:nsid w:val="6B68079A"/>
    <w:multiLevelType w:val="hybridMultilevel"/>
    <w:lvl w:ilvl="0">
      <w:lvlJc w:val="left"/>
      <w:lvlText w:val="&amp;"/>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5">
    <w:nsid w:val="62BBD9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6">
    <w:nsid w:val="436C612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lvl w:ilvl="1">
      <w:lvlJc w:val="left"/>
      <w:lvlText w:val="(%2)"/>
      <w:numFmt w:val="lowerLetter"/>
      <w:start w:val="2"/>
    </w:lvl>
  </w:abstractNum>
  <w:abstractNum w:abstractNumId="19">
    <w:nsid w:val="721DA31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0">
    <w:nsid w:val="2443A858"/>
    <w:multiLevelType w:val="hybridMultilevel"/>
    <w:lvl w:ilvl="0">
      <w:lvlJc w:val="left"/>
      <w:lvlText w:val="(%1)"/>
      <w:numFmt w:val="lowerLetter"/>
      <w:start w:val="3"/>
    </w:lvl>
    <w:lvl w:ilvl="1">
      <w:lvlJc w:val="left"/>
      <w:lvlText w:val="%2."/>
      <w:numFmt w:val="decimal"/>
      <w:start w:val="4"/>
    </w:lvl>
    <w:lvl w:ilvl="2">
      <w:lvlJc w:val="left"/>
      <w:lvlText w:val="(%3)"/>
      <w:numFmt w:val="lowerLetter"/>
      <w:start w:val="4"/>
    </w:lvl>
  </w:abstractNum>
  <w:abstractNum w:abstractNumId="21">
    <w:nsid w:val="2D1D5AE9"/>
    <w:multiLevelType w:val="hybridMultilevel"/>
    <w:lvl w:ilvl="0">
      <w:lvlJc w:val="left"/>
      <w:lvlText w:val="(%1)"/>
      <w:numFmt w:val="lowerLetter"/>
      <w:start w:val="1"/>
    </w:lvl>
    <w:lvl w:ilvl="1">
      <w:lvlJc w:val="left"/>
      <w:lvlText w:val="(%2)"/>
      <w:numFmt w:val="lowerLetter"/>
      <w:start w:val="2"/>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78" Type="http://schemas.openxmlformats.org/officeDocument/2006/relationships/hyperlink" Target="http://www.sec.gov/Archives/edgar/data/1048268/000119312516674386/d211495dex31.htm" TargetMode="External"/><Relationship Id="rId79" Type="http://schemas.openxmlformats.org/officeDocument/2006/relationships/hyperlink" Target="http://www.sec.gov/Archives/edgar/data/1048268/000104826821000065/amendedandrestatedbylawsof.htm" TargetMode="External"/><Relationship Id="rId81" Type="http://schemas.openxmlformats.org/officeDocument/2006/relationships/hyperlink" Target="http://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2023-08-04T06:55:20Z</dcterms:created>
  <dcterms:modified xsi:type="dcterms:W3CDTF">2023-08-04T06:55:20Z</dcterms:modified>
</cp:coreProperties>
</file>