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July 2, 2026</w:t>
      </w:r>
    </w:p>
    <w:p>
      <w:pPr>
        <w:spacing w:after="0" w:line="176" w:lineRule="exact"/>
        <w:rPr>
          <w:sz w:val="24"/>
          <w:szCs w:val="24"/>
          <w:color w:val="auto"/>
        </w:rPr>
      </w:pPr>
    </w:p>
    <w:p>
      <w:pPr>
        <w:ind w:left="958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16280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168910</wp:posOffset>
            </wp:positionV>
            <wp:extent cx="71628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71628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628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IES HOLDINGS, INC.</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1628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375" w:right="319" w:bottom="1440" w:gutter="0" w:footer="0" w:header="0"/>
        </w:sectPr>
      </w:pPr>
    </w:p>
    <w:p>
      <w:pPr>
        <w:spacing w:after="0" w:line="358"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4"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7"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76-0542208</w:t>
      </w:r>
    </w:p>
    <w:p>
      <w:pPr>
        <w:spacing w:after="0" w:line="24"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7"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59" w:lineRule="exact"/>
        <w:rPr>
          <w:sz w:val="24"/>
          <w:szCs w:val="24"/>
          <w:color w:val="auto"/>
        </w:rPr>
      </w:pPr>
    </w:p>
    <w:p>
      <w:pPr>
        <w:sectPr>
          <w:pgSz w:w="11900" w:h="16838" w:orient="portrait"/>
          <w:cols w:equalWidth="0" w:num="2">
            <w:col w:w="7100" w:space="720"/>
            <w:col w:w="3460"/>
          </w:cols>
          <w:pgMar w:left="300" w:top="375"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13131 Dairy Ashford Rd., Suite 500</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Sugar Land, Texas 77478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(713) 860-1500</w:t>
      </w:r>
    </w:p>
    <w:p>
      <w:pPr>
        <w:sectPr>
          <w:pgSz w:w="11900" w:h="16838" w:orient="portrait"/>
          <w:cols w:equalWidth="0" w:num="1">
            <w:col w:w="11280"/>
          </w:cols>
          <w:pgMar w:left="300" w:top="375" w:right="31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628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Mary Newman, Esq.</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Administrative Officer, General Counsel and Secretary</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13131 Dairy Ashford Rd., Suite 500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Sugar Land, Texas 77478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(713) 860-1500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628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Copy to:</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Brian Fenske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Norton Rose Fulbright US LLP</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1550 Lamar Street, Suite 2000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Houston, Texas 77010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(713) 651-5151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628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3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this Registration Statement becomes effective.</w:t>
      </w:r>
    </w:p>
    <w:p>
      <w:pPr>
        <w:spacing w:after="0" w:line="147"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07" w:lineRule="exact"/>
        <w:rPr>
          <w:sz w:val="24"/>
          <w:szCs w:val="24"/>
          <w:color w:val="auto"/>
        </w:rPr>
      </w:pPr>
    </w:p>
    <w:p>
      <w:pPr>
        <w:ind w:firstLine="253"/>
        <w:spacing w:after="0" w:line="187"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32" w:lineRule="exact"/>
        <w:rPr>
          <w:sz w:val="24"/>
          <w:szCs w:val="24"/>
          <w:color w:val="auto"/>
        </w:rPr>
      </w:pPr>
    </w:p>
    <w:p>
      <w:pPr>
        <w:ind w:firstLine="253"/>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ind w:firstLine="253"/>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ind w:firstLine="253"/>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32" w:lineRule="exact"/>
        <w:rPr>
          <w:sz w:val="24"/>
          <w:szCs w:val="24"/>
          <w:color w:val="auto"/>
        </w:rPr>
      </w:pPr>
    </w:p>
    <w:p>
      <w:pPr>
        <w:ind w:firstLine="253"/>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2" w:lineRule="exact"/>
        <w:rPr>
          <w:sz w:val="24"/>
          <w:szCs w:val="24"/>
          <w:color w:val="auto"/>
        </w:rPr>
      </w:pPr>
    </w:p>
    <w:p>
      <w:pPr>
        <w:ind w:firstLine="253"/>
        <w:spacing w:after="0" w:line="28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90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7"/>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90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7"/>
        </w:trPr>
        <w:tc>
          <w:tcPr>
            <w:tcW w:w="3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90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32" w:lineRule="exact"/>
        <w:rPr>
          <w:sz w:val="24"/>
          <w:szCs w:val="24"/>
          <w:color w:val="auto"/>
        </w:rPr>
      </w:pPr>
    </w:p>
    <w:p>
      <w:pPr>
        <w:ind w:firstLine="253"/>
        <w:spacing w:after="0" w:line="18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93345</wp:posOffset>
            </wp:positionV>
            <wp:extent cx="71628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106680</wp:posOffset>
            </wp:positionV>
            <wp:extent cx="7162800"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360680</wp:posOffset>
            </wp:positionV>
            <wp:extent cx="71628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37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3122930</wp:posOffset>
            </wp:positionH>
            <wp:positionV relativeFrom="paragraph">
              <wp:posOffset>229235</wp:posOffset>
            </wp:positionV>
            <wp:extent cx="922020" cy="521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2020" cy="52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IES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628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31" w:lineRule="exact"/>
        <w:rPr>
          <w:sz w:val="20"/>
          <w:szCs w:val="20"/>
          <w:color w:val="auto"/>
        </w:rPr>
      </w:pPr>
    </w:p>
    <w:p>
      <w:pPr>
        <w:jc w:val="both"/>
        <w:ind w:firstLine="253"/>
        <w:spacing w:after="0" w:line="283" w:lineRule="auto"/>
        <w:rPr>
          <w:sz w:val="20"/>
          <w:szCs w:val="20"/>
          <w:color w:val="auto"/>
        </w:rPr>
      </w:pPr>
      <w:r>
        <w:rPr>
          <w:rFonts w:ascii="Times New Roman" w:cs="Times New Roman" w:eastAsia="Times New Roman" w:hAnsi="Times New Roman"/>
          <w:sz w:val="14"/>
          <w:szCs w:val="14"/>
          <w:color w:val="auto"/>
        </w:rPr>
        <w:t>We may offer from time to time the securities noted above. Specific terms of these securities will be provided in supplements to this prospectus. You should read this prospectus and any prospectus supplement, as well as the documents incorporated by reference therein, carefully before you invest.</w:t>
      </w:r>
    </w:p>
    <w:p>
      <w:pPr>
        <w:spacing w:after="0" w:line="125" w:lineRule="exact"/>
        <w:rPr>
          <w:sz w:val="20"/>
          <w:szCs w:val="20"/>
          <w:color w:val="auto"/>
        </w:rPr>
      </w:pPr>
    </w:p>
    <w:p>
      <w:pPr>
        <w:jc w:val="both"/>
        <w:ind w:firstLine="253"/>
        <w:spacing w:after="0" w:line="283" w:lineRule="auto"/>
        <w:rPr>
          <w:sz w:val="20"/>
          <w:szCs w:val="20"/>
          <w:color w:val="auto"/>
        </w:rPr>
      </w:pPr>
      <w:r>
        <w:rPr>
          <w:rFonts w:ascii="Times New Roman" w:cs="Times New Roman" w:eastAsia="Times New Roman" w:hAnsi="Times New Roman"/>
          <w:sz w:val="14"/>
          <w:szCs w:val="14"/>
          <w:color w:val="auto"/>
        </w:rPr>
        <w:t>Our common stock is listed on the Nasdaq Global Market (“Nasdaq”) under the ticker symbol “IESC.” On July 1, 2026, the last reported sale price of our common stock on Nasdaq was $699.98 per share.</w:t>
      </w:r>
    </w:p>
    <w:p>
      <w:pPr>
        <w:spacing w:after="0" w:line="125" w:lineRule="exact"/>
        <w:rPr>
          <w:sz w:val="20"/>
          <w:szCs w:val="20"/>
          <w:color w:val="auto"/>
        </w:rPr>
      </w:pPr>
    </w:p>
    <w:p>
      <w:pPr>
        <w:jc w:val="both"/>
        <w:ind w:firstLine="253"/>
        <w:spacing w:after="0" w:line="267" w:lineRule="auto"/>
        <w:rPr>
          <w:sz w:val="20"/>
          <w:szCs w:val="20"/>
          <w:color w:val="auto"/>
        </w:rPr>
      </w:pPr>
      <w:r>
        <w:rPr>
          <w:rFonts w:ascii="Times New Roman" w:cs="Times New Roman" w:eastAsia="Times New Roman" w:hAnsi="Times New Roman"/>
          <w:sz w:val="14"/>
          <w:szCs w:val="14"/>
          <w:color w:val="auto"/>
        </w:rPr>
        <w:t>We may sell the securities offered under this prospectus through agents; through one or more underwriters or dealers; directly to one or more purchasers; or through a combination of any of these methods of sale. For each offering of securities under this prospectus, we will identify the specific plan of distribution, including any underwriters, dealers, agents or direct purchasers, and their compensation, in the related prospectus supplement.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716280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14" w:lineRule="exact"/>
        <w:rPr>
          <w:sz w:val="20"/>
          <w:szCs w:val="20"/>
          <w:color w:val="auto"/>
        </w:rPr>
      </w:pPr>
    </w:p>
    <w:p>
      <w:pPr>
        <w:jc w:val="both"/>
        <w:ind w:firstLine="253"/>
        <w:spacing w:after="0" w:line="286" w:lineRule="auto"/>
        <w:rPr>
          <w:sz w:val="20"/>
          <w:szCs w:val="20"/>
          <w:color w:val="auto"/>
        </w:rPr>
      </w:pPr>
      <w:r>
        <w:rPr>
          <w:rFonts w:ascii="Times New Roman" w:cs="Times New Roman" w:eastAsia="Times New Roman" w:hAnsi="Times New Roman"/>
          <w:sz w:val="14"/>
          <w:szCs w:val="14"/>
          <w:b w:val="1"/>
          <w:bCs w:val="1"/>
          <w:color w:val="auto"/>
        </w:rPr>
        <w:t>Investing in these securities involves certain risks. See “</w:t>
      </w:r>
      <w:r>
        <w:rPr>
          <w:rFonts w:ascii="Times New Roman" w:cs="Times New Roman" w:eastAsia="Times New Roman" w:hAnsi="Times New Roman"/>
          <w:sz w:val="14"/>
          <w:szCs w:val="14"/>
          <w:b w:val="1"/>
          <w:bCs w:val="1"/>
          <w:u w:val="single" w:color="auto"/>
          <w:color w:val="auto"/>
        </w:rPr>
        <w:t>Risk Factors</w:t>
      </w:r>
      <w:r>
        <w:rPr>
          <w:rFonts w:ascii="Times New Roman" w:cs="Times New Roman" w:eastAsia="Times New Roman" w:hAnsi="Times New Roman"/>
          <w:sz w:val="14"/>
          <w:szCs w:val="14"/>
          <w:b w:val="1"/>
          <w:bCs w:val="1"/>
          <w:color w:val="auto"/>
        </w:rPr>
        <w:t>” beginning on page 12 of our annual report on Form 10-K for the fiscal year ended September 30, 2025 which is incorporated by reference herein, as well as those risks contained or incorporated by reference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1628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91" w:lineRule="exact"/>
        <w:rPr>
          <w:sz w:val="20"/>
          <w:szCs w:val="20"/>
          <w:color w:val="auto"/>
        </w:rPr>
      </w:pPr>
    </w:p>
    <w:p>
      <w:pPr>
        <w:jc w:val="both"/>
        <w:ind w:firstLine="253"/>
        <w:spacing w:after="0" w:line="28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1628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1628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356235</wp:posOffset>
            </wp:positionV>
            <wp:extent cx="716280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6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5"/>
        </w:trPr>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2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37"/>
        </w:trPr>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9"/>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48"/>
        </w:trPr>
        <w:tc>
          <w:tcPr>
            <w:tcW w:w="3860" w:type="dxa"/>
            <w:vAlign w:val="bottom"/>
            <w:gridSpan w:val="14"/>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0000EE"/>
              </w:rPr>
              <w:t>About this Prospectus</w:t>
            </w:r>
          </w:p>
        </w:tc>
        <w:tc>
          <w:tcPr>
            <w:tcW w:w="7420" w:type="dxa"/>
            <w:vAlign w:val="bottom"/>
            <w:gridSpan w:val="2"/>
            <w:shd w:val="clear" w:color="auto" w:fill="CCEEFF"/>
          </w:tcPr>
          <w:p>
            <w:pPr>
              <w:jc w:val="center"/>
              <w:ind w:left="6850"/>
              <w:spacing w:after="0" w:line="137" w:lineRule="exact"/>
              <w:rPr>
                <w:sz w:val="20"/>
                <w:szCs w:val="20"/>
                <w:color w:val="auto"/>
              </w:rPr>
            </w:pPr>
            <w:r>
              <w:rPr>
                <w:rFonts w:ascii="Times New Roman" w:cs="Times New Roman" w:eastAsia="Times New Roman" w:hAnsi="Times New Roman"/>
                <w:sz w:val="14"/>
                <w:szCs w:val="14"/>
                <w:color w:val="auto"/>
                <w:w w:val="85"/>
              </w:rPr>
              <w:t>1</w:t>
            </w:r>
          </w:p>
        </w:tc>
      </w:tr>
      <w:tr>
        <w:trPr>
          <w:trHeight w:val="168"/>
        </w:trPr>
        <w:tc>
          <w:tcPr>
            <w:tcW w:w="4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69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r>
      <w:tr>
        <w:trPr>
          <w:trHeight w:val="148"/>
        </w:trPr>
        <w:tc>
          <w:tcPr>
            <w:tcW w:w="3860" w:type="dxa"/>
            <w:vAlign w:val="bottom"/>
            <w:gridSpan w:val="14"/>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0000EE"/>
              </w:rPr>
              <w:t>Special Note on Forward-Looking Statements</w:t>
            </w:r>
          </w:p>
        </w:tc>
        <w:tc>
          <w:tcPr>
            <w:tcW w:w="7420" w:type="dxa"/>
            <w:vAlign w:val="bottom"/>
            <w:gridSpan w:val="2"/>
            <w:shd w:val="clear" w:color="auto" w:fill="CCEEFF"/>
          </w:tcPr>
          <w:p>
            <w:pPr>
              <w:jc w:val="center"/>
              <w:ind w:left="6850"/>
              <w:spacing w:after="0" w:line="137" w:lineRule="exact"/>
              <w:rPr>
                <w:sz w:val="20"/>
                <w:szCs w:val="20"/>
                <w:color w:val="auto"/>
              </w:rPr>
            </w:pPr>
            <w:r>
              <w:rPr>
                <w:rFonts w:ascii="Times New Roman" w:cs="Times New Roman" w:eastAsia="Times New Roman" w:hAnsi="Times New Roman"/>
                <w:sz w:val="14"/>
                <w:szCs w:val="14"/>
                <w:color w:val="auto"/>
                <w:w w:val="85"/>
              </w:rPr>
              <w:t>2</w:t>
            </w:r>
          </w:p>
        </w:tc>
      </w:tr>
      <w:tr>
        <w:trPr>
          <w:trHeight w:val="168"/>
        </w:trPr>
        <w:tc>
          <w:tcPr>
            <w:tcW w:w="4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69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r>
      <w:tr>
        <w:trPr>
          <w:trHeight w:val="148"/>
        </w:trPr>
        <w:tc>
          <w:tcPr>
            <w:tcW w:w="3860" w:type="dxa"/>
            <w:vAlign w:val="bottom"/>
            <w:gridSpan w:val="14"/>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0000EE"/>
              </w:rPr>
              <w:t>The Company</w:t>
            </w:r>
          </w:p>
        </w:tc>
        <w:tc>
          <w:tcPr>
            <w:tcW w:w="7420" w:type="dxa"/>
            <w:vAlign w:val="bottom"/>
            <w:gridSpan w:val="2"/>
            <w:shd w:val="clear" w:color="auto" w:fill="CCEEFF"/>
          </w:tcPr>
          <w:p>
            <w:pPr>
              <w:jc w:val="center"/>
              <w:ind w:left="6850"/>
              <w:spacing w:after="0" w:line="137" w:lineRule="exact"/>
              <w:rPr>
                <w:sz w:val="20"/>
                <w:szCs w:val="20"/>
                <w:color w:val="auto"/>
              </w:rPr>
            </w:pPr>
            <w:r>
              <w:rPr>
                <w:rFonts w:ascii="Times New Roman" w:cs="Times New Roman" w:eastAsia="Times New Roman" w:hAnsi="Times New Roman"/>
                <w:sz w:val="14"/>
                <w:szCs w:val="14"/>
                <w:color w:val="auto"/>
                <w:w w:val="85"/>
              </w:rPr>
              <w:t>3</w:t>
            </w:r>
          </w:p>
        </w:tc>
      </w:tr>
      <w:tr>
        <w:trPr>
          <w:trHeight w:val="168"/>
        </w:trPr>
        <w:tc>
          <w:tcPr>
            <w:tcW w:w="4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69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r>
      <w:tr>
        <w:trPr>
          <w:trHeight w:val="148"/>
        </w:trPr>
        <w:tc>
          <w:tcPr>
            <w:tcW w:w="3860" w:type="dxa"/>
            <w:vAlign w:val="bottom"/>
            <w:gridSpan w:val="14"/>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0000EE"/>
              </w:rPr>
              <w:t>Risk Factors</w:t>
            </w:r>
          </w:p>
        </w:tc>
        <w:tc>
          <w:tcPr>
            <w:tcW w:w="7420" w:type="dxa"/>
            <w:vAlign w:val="bottom"/>
            <w:gridSpan w:val="2"/>
            <w:shd w:val="clear" w:color="auto" w:fill="CCEEFF"/>
          </w:tcPr>
          <w:p>
            <w:pPr>
              <w:jc w:val="center"/>
              <w:ind w:left="6850"/>
              <w:spacing w:after="0" w:line="137" w:lineRule="exact"/>
              <w:rPr>
                <w:sz w:val="20"/>
                <w:szCs w:val="20"/>
                <w:color w:val="auto"/>
              </w:rPr>
            </w:pPr>
            <w:r>
              <w:rPr>
                <w:rFonts w:ascii="Times New Roman" w:cs="Times New Roman" w:eastAsia="Times New Roman" w:hAnsi="Times New Roman"/>
                <w:sz w:val="14"/>
                <w:szCs w:val="14"/>
                <w:color w:val="auto"/>
                <w:w w:val="85"/>
              </w:rPr>
              <w:t>4</w:t>
            </w:r>
          </w:p>
        </w:tc>
      </w:tr>
      <w:tr>
        <w:trPr>
          <w:trHeight w:val="168"/>
        </w:trPr>
        <w:tc>
          <w:tcPr>
            <w:tcW w:w="4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69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r>
      <w:tr>
        <w:trPr>
          <w:trHeight w:val="148"/>
        </w:trPr>
        <w:tc>
          <w:tcPr>
            <w:tcW w:w="3860" w:type="dxa"/>
            <w:vAlign w:val="bottom"/>
            <w:gridSpan w:val="14"/>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0000EE"/>
              </w:rPr>
              <w:t>Use of Proceeds</w:t>
            </w:r>
          </w:p>
        </w:tc>
        <w:tc>
          <w:tcPr>
            <w:tcW w:w="7420" w:type="dxa"/>
            <w:vAlign w:val="bottom"/>
            <w:gridSpan w:val="2"/>
            <w:shd w:val="clear" w:color="auto" w:fill="CCEEFF"/>
          </w:tcPr>
          <w:p>
            <w:pPr>
              <w:jc w:val="center"/>
              <w:ind w:left="6850"/>
              <w:spacing w:after="0" w:line="137" w:lineRule="exact"/>
              <w:rPr>
                <w:sz w:val="20"/>
                <w:szCs w:val="20"/>
                <w:color w:val="auto"/>
              </w:rPr>
            </w:pPr>
            <w:r>
              <w:rPr>
                <w:rFonts w:ascii="Times New Roman" w:cs="Times New Roman" w:eastAsia="Times New Roman" w:hAnsi="Times New Roman"/>
                <w:sz w:val="14"/>
                <w:szCs w:val="14"/>
                <w:color w:val="auto"/>
                <w:w w:val="85"/>
              </w:rPr>
              <w:t>5</w:t>
            </w:r>
          </w:p>
        </w:tc>
      </w:tr>
      <w:tr>
        <w:trPr>
          <w:trHeight w:val="168"/>
        </w:trPr>
        <w:tc>
          <w:tcPr>
            <w:tcW w:w="4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69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r>
      <w:tr>
        <w:trPr>
          <w:trHeight w:val="148"/>
        </w:trPr>
        <w:tc>
          <w:tcPr>
            <w:tcW w:w="3860" w:type="dxa"/>
            <w:vAlign w:val="bottom"/>
            <w:gridSpan w:val="14"/>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7420" w:type="dxa"/>
            <w:vAlign w:val="bottom"/>
            <w:gridSpan w:val="2"/>
            <w:shd w:val="clear" w:color="auto" w:fill="CCEEFF"/>
          </w:tcPr>
          <w:p>
            <w:pPr>
              <w:jc w:val="center"/>
              <w:ind w:left="6850"/>
              <w:spacing w:after="0" w:line="137" w:lineRule="exact"/>
              <w:rPr>
                <w:sz w:val="20"/>
                <w:szCs w:val="20"/>
                <w:color w:val="auto"/>
              </w:rPr>
            </w:pPr>
            <w:r>
              <w:rPr>
                <w:rFonts w:ascii="Times New Roman" w:cs="Times New Roman" w:eastAsia="Times New Roman" w:hAnsi="Times New Roman"/>
                <w:sz w:val="14"/>
                <w:szCs w:val="14"/>
                <w:color w:val="auto"/>
                <w:w w:val="85"/>
              </w:rPr>
              <w:t>6</w:t>
            </w:r>
          </w:p>
        </w:tc>
      </w:tr>
      <w:tr>
        <w:trPr>
          <w:trHeight w:val="168"/>
        </w:trPr>
        <w:tc>
          <w:tcPr>
            <w:tcW w:w="4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69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r>
      <w:tr>
        <w:trPr>
          <w:trHeight w:val="148"/>
        </w:trPr>
        <w:tc>
          <w:tcPr>
            <w:tcW w:w="3860" w:type="dxa"/>
            <w:vAlign w:val="bottom"/>
            <w:gridSpan w:val="14"/>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7420" w:type="dxa"/>
            <w:vAlign w:val="bottom"/>
            <w:gridSpan w:val="2"/>
            <w:shd w:val="clear" w:color="auto" w:fill="CCEEFF"/>
          </w:tcPr>
          <w:p>
            <w:pPr>
              <w:jc w:val="center"/>
              <w:ind w:left="6850"/>
              <w:spacing w:after="0" w:line="137" w:lineRule="exact"/>
              <w:rPr>
                <w:sz w:val="20"/>
                <w:szCs w:val="20"/>
                <w:color w:val="auto"/>
              </w:rPr>
            </w:pPr>
            <w:r>
              <w:rPr>
                <w:rFonts w:ascii="Times New Roman" w:cs="Times New Roman" w:eastAsia="Times New Roman" w:hAnsi="Times New Roman"/>
                <w:sz w:val="14"/>
                <w:szCs w:val="14"/>
                <w:color w:val="auto"/>
                <w:w w:val="85"/>
              </w:rPr>
              <w:t>7</w:t>
            </w:r>
          </w:p>
        </w:tc>
      </w:tr>
      <w:tr>
        <w:trPr>
          <w:trHeight w:val="168"/>
        </w:trPr>
        <w:tc>
          <w:tcPr>
            <w:tcW w:w="4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69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r>
      <w:tr>
        <w:trPr>
          <w:trHeight w:val="148"/>
        </w:trPr>
        <w:tc>
          <w:tcPr>
            <w:tcW w:w="3860" w:type="dxa"/>
            <w:vAlign w:val="bottom"/>
            <w:gridSpan w:val="14"/>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0000EE"/>
              </w:rPr>
              <w:t>Description of Warrants</w:t>
            </w:r>
          </w:p>
        </w:tc>
        <w:tc>
          <w:tcPr>
            <w:tcW w:w="7420" w:type="dxa"/>
            <w:vAlign w:val="bottom"/>
            <w:gridSpan w:val="2"/>
            <w:shd w:val="clear" w:color="auto" w:fill="CCEEFF"/>
          </w:tcPr>
          <w:p>
            <w:pPr>
              <w:jc w:val="center"/>
              <w:ind w:left="6850"/>
              <w:spacing w:after="0" w:line="137" w:lineRule="exact"/>
              <w:rPr>
                <w:sz w:val="20"/>
                <w:szCs w:val="20"/>
                <w:color w:val="auto"/>
              </w:rPr>
            </w:pPr>
            <w:r>
              <w:rPr>
                <w:rFonts w:ascii="Times New Roman" w:cs="Times New Roman" w:eastAsia="Times New Roman" w:hAnsi="Times New Roman"/>
                <w:sz w:val="14"/>
                <w:szCs w:val="14"/>
                <w:color w:val="auto"/>
                <w:w w:val="99"/>
              </w:rPr>
              <w:t>10</w:t>
            </w:r>
          </w:p>
        </w:tc>
      </w:tr>
      <w:tr>
        <w:trPr>
          <w:trHeight w:val="168"/>
        </w:trPr>
        <w:tc>
          <w:tcPr>
            <w:tcW w:w="4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69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r>
      <w:tr>
        <w:trPr>
          <w:trHeight w:val="148"/>
        </w:trPr>
        <w:tc>
          <w:tcPr>
            <w:tcW w:w="3860" w:type="dxa"/>
            <w:vAlign w:val="bottom"/>
            <w:gridSpan w:val="14"/>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0000EE"/>
              </w:rPr>
              <w:t>Plan of Distribution</w:t>
            </w:r>
          </w:p>
        </w:tc>
        <w:tc>
          <w:tcPr>
            <w:tcW w:w="7420" w:type="dxa"/>
            <w:vAlign w:val="bottom"/>
            <w:gridSpan w:val="2"/>
            <w:shd w:val="clear" w:color="auto" w:fill="CCEEFF"/>
          </w:tcPr>
          <w:p>
            <w:pPr>
              <w:jc w:val="center"/>
              <w:ind w:left="6850"/>
              <w:spacing w:after="0" w:line="137" w:lineRule="exact"/>
              <w:rPr>
                <w:sz w:val="20"/>
                <w:szCs w:val="20"/>
                <w:color w:val="auto"/>
              </w:rPr>
            </w:pPr>
            <w:r>
              <w:rPr>
                <w:rFonts w:ascii="Times New Roman" w:cs="Times New Roman" w:eastAsia="Times New Roman" w:hAnsi="Times New Roman"/>
                <w:sz w:val="14"/>
                <w:szCs w:val="14"/>
                <w:color w:val="auto"/>
                <w:w w:val="99"/>
              </w:rPr>
              <w:t>11</w:t>
            </w:r>
          </w:p>
        </w:tc>
      </w:tr>
      <w:tr>
        <w:trPr>
          <w:trHeight w:val="168"/>
        </w:trPr>
        <w:tc>
          <w:tcPr>
            <w:tcW w:w="4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69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r>
      <w:tr>
        <w:trPr>
          <w:trHeight w:val="148"/>
        </w:trPr>
        <w:tc>
          <w:tcPr>
            <w:tcW w:w="3860" w:type="dxa"/>
            <w:vAlign w:val="bottom"/>
            <w:gridSpan w:val="14"/>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0000EE"/>
              </w:rPr>
              <w:t>Legal Matters</w:t>
            </w:r>
          </w:p>
        </w:tc>
        <w:tc>
          <w:tcPr>
            <w:tcW w:w="7420" w:type="dxa"/>
            <w:vAlign w:val="bottom"/>
            <w:gridSpan w:val="2"/>
            <w:shd w:val="clear" w:color="auto" w:fill="CCEEFF"/>
          </w:tcPr>
          <w:p>
            <w:pPr>
              <w:jc w:val="center"/>
              <w:ind w:left="6850"/>
              <w:spacing w:after="0" w:line="137" w:lineRule="exact"/>
              <w:rPr>
                <w:sz w:val="20"/>
                <w:szCs w:val="20"/>
                <w:color w:val="auto"/>
              </w:rPr>
            </w:pPr>
            <w:r>
              <w:rPr>
                <w:rFonts w:ascii="Times New Roman" w:cs="Times New Roman" w:eastAsia="Times New Roman" w:hAnsi="Times New Roman"/>
                <w:sz w:val="14"/>
                <w:szCs w:val="14"/>
                <w:color w:val="auto"/>
                <w:w w:val="99"/>
              </w:rPr>
              <w:t>12</w:t>
            </w:r>
          </w:p>
        </w:tc>
      </w:tr>
      <w:tr>
        <w:trPr>
          <w:trHeight w:val="168"/>
        </w:trPr>
        <w:tc>
          <w:tcPr>
            <w:tcW w:w="4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69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r>
      <w:tr>
        <w:trPr>
          <w:trHeight w:val="148"/>
        </w:trPr>
        <w:tc>
          <w:tcPr>
            <w:tcW w:w="3860" w:type="dxa"/>
            <w:vAlign w:val="bottom"/>
            <w:gridSpan w:val="14"/>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0000EE"/>
              </w:rPr>
              <w:t>Experts</w:t>
            </w:r>
          </w:p>
        </w:tc>
        <w:tc>
          <w:tcPr>
            <w:tcW w:w="7420" w:type="dxa"/>
            <w:vAlign w:val="bottom"/>
            <w:gridSpan w:val="2"/>
            <w:shd w:val="clear" w:color="auto" w:fill="CCEEFF"/>
          </w:tcPr>
          <w:p>
            <w:pPr>
              <w:jc w:val="center"/>
              <w:ind w:left="6850"/>
              <w:spacing w:after="0" w:line="137" w:lineRule="exact"/>
              <w:rPr>
                <w:sz w:val="20"/>
                <w:szCs w:val="20"/>
                <w:color w:val="auto"/>
              </w:rPr>
            </w:pPr>
            <w:r>
              <w:rPr>
                <w:rFonts w:ascii="Times New Roman" w:cs="Times New Roman" w:eastAsia="Times New Roman" w:hAnsi="Times New Roman"/>
                <w:sz w:val="14"/>
                <w:szCs w:val="14"/>
                <w:color w:val="auto"/>
                <w:w w:val="99"/>
              </w:rPr>
              <w:t>13</w:t>
            </w:r>
          </w:p>
        </w:tc>
      </w:tr>
      <w:tr>
        <w:trPr>
          <w:trHeight w:val="168"/>
        </w:trPr>
        <w:tc>
          <w:tcPr>
            <w:tcW w:w="44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69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r>
      <w:tr>
        <w:trPr>
          <w:trHeight w:val="148"/>
        </w:trPr>
        <w:tc>
          <w:tcPr>
            <w:tcW w:w="3860" w:type="dxa"/>
            <w:vAlign w:val="bottom"/>
            <w:gridSpan w:val="14"/>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7420" w:type="dxa"/>
            <w:vAlign w:val="bottom"/>
            <w:gridSpan w:val="2"/>
            <w:shd w:val="clear" w:color="auto" w:fill="CCEEFF"/>
          </w:tcPr>
          <w:p>
            <w:pPr>
              <w:jc w:val="center"/>
              <w:ind w:left="6850"/>
              <w:spacing w:after="0" w:line="137" w:lineRule="exact"/>
              <w:rPr>
                <w:sz w:val="20"/>
                <w:szCs w:val="20"/>
                <w:color w:val="auto"/>
              </w:rPr>
            </w:pPr>
            <w:r>
              <w:rPr>
                <w:rFonts w:ascii="Times New Roman" w:cs="Times New Roman" w:eastAsia="Times New Roman" w:hAnsi="Times New Roman"/>
                <w:sz w:val="14"/>
                <w:szCs w:val="14"/>
                <w:color w:val="auto"/>
                <w:w w:val="99"/>
              </w:rPr>
              <w:t>14</w:t>
            </w:r>
          </w:p>
        </w:tc>
      </w:tr>
      <w:tr>
        <w:trPr>
          <w:trHeight w:val="168"/>
        </w:trPr>
        <w:tc>
          <w:tcPr>
            <w:tcW w:w="4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69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r>
      <w:tr>
        <w:trPr>
          <w:trHeight w:val="148"/>
        </w:trPr>
        <w:tc>
          <w:tcPr>
            <w:tcW w:w="3860" w:type="dxa"/>
            <w:vAlign w:val="bottom"/>
            <w:gridSpan w:val="14"/>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7420" w:type="dxa"/>
            <w:vAlign w:val="bottom"/>
            <w:gridSpan w:val="2"/>
            <w:shd w:val="clear" w:color="auto" w:fill="CCEEFF"/>
          </w:tcPr>
          <w:p>
            <w:pPr>
              <w:jc w:val="center"/>
              <w:ind w:left="6850"/>
              <w:spacing w:after="0" w:line="137" w:lineRule="exact"/>
              <w:rPr>
                <w:sz w:val="20"/>
                <w:szCs w:val="20"/>
                <w:color w:val="auto"/>
              </w:rPr>
            </w:pPr>
            <w:r>
              <w:rPr>
                <w:rFonts w:ascii="Times New Roman" w:cs="Times New Roman" w:eastAsia="Times New Roman" w:hAnsi="Times New Roman"/>
                <w:sz w:val="14"/>
                <w:szCs w:val="14"/>
                <w:color w:val="auto"/>
                <w:w w:val="99"/>
              </w:rPr>
              <w:t>14</w:t>
            </w:r>
          </w:p>
        </w:tc>
      </w:tr>
      <w:tr>
        <w:trPr>
          <w:trHeight w:val="337"/>
        </w:trPr>
        <w:tc>
          <w:tcPr>
            <w:tcW w:w="4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69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80"/>
          </w:cols>
          <w:pgMar w:left="300" w:top="565"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8" w:lineRule="exact"/>
        <w:rPr>
          <w:sz w:val="20"/>
          <w:szCs w:val="20"/>
          <w:color w:val="auto"/>
        </w:rPr>
      </w:pPr>
    </w:p>
    <w:p>
      <w:pPr>
        <w:jc w:val="both"/>
        <w:ind w:firstLine="253"/>
        <w:spacing w:after="0" w:line="259"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and “Incorporation of Certain Documents by Reference.”</w:t>
      </w:r>
    </w:p>
    <w:p>
      <w:pPr>
        <w:spacing w:after="0" w:line="141" w:lineRule="exact"/>
        <w:rPr>
          <w:sz w:val="20"/>
          <w:szCs w:val="20"/>
          <w:color w:val="auto"/>
        </w:rPr>
      </w:pPr>
    </w:p>
    <w:p>
      <w:pPr>
        <w:jc w:val="both"/>
        <w:ind w:firstLine="253"/>
        <w:spacing w:after="0" w:line="261" w:lineRule="auto"/>
        <w:rPr>
          <w:sz w:val="20"/>
          <w:szCs w:val="20"/>
          <w:color w:val="auto"/>
        </w:rPr>
      </w:pPr>
      <w:r>
        <w:rPr>
          <w:rFonts w:ascii="Times New Roman" w:cs="Times New Roman" w:eastAsia="Times New Roman" w:hAnsi="Times New Roman"/>
          <w:sz w:val="14"/>
          <w:szCs w:val="14"/>
          <w:color w:val="auto"/>
        </w:rPr>
        <w:t>We have not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Unless we have indicated otherwise, references in this prospectus to:</w:t>
      </w:r>
    </w:p>
    <w:p>
      <w:pPr>
        <w:spacing w:after="0" w:line="176" w:lineRule="exact"/>
        <w:rPr>
          <w:sz w:val="20"/>
          <w:szCs w:val="20"/>
          <w:color w:val="auto"/>
        </w:rPr>
      </w:pPr>
    </w:p>
    <w:p>
      <w:pPr>
        <w:ind w:left="260" w:hanging="256"/>
        <w:spacing w:after="0"/>
        <w:tabs>
          <w:tab w:leader="none" w:pos="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“we,” “us” and “our” refer to IES Holdings, Inc., a Delaware corporation, and its existing or future consolidated subsidiaries, as the context requires; and</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refer collectively to the common stock, preferred stock, debt securities, and warrants offered by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65"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ON FORWARD-LOOKING STATEMENTS</w:t>
      </w:r>
    </w:p>
    <w:p>
      <w:pPr>
        <w:spacing w:after="0" w:line="178" w:lineRule="exact"/>
        <w:rPr>
          <w:sz w:val="20"/>
          <w:szCs w:val="20"/>
          <w:color w:val="auto"/>
        </w:rPr>
      </w:pPr>
    </w:p>
    <w:p>
      <w:pPr>
        <w:jc w:val="both"/>
        <w:ind w:firstLine="253"/>
        <w:spacing w:after="0" w:line="256" w:lineRule="auto"/>
        <w:rPr>
          <w:sz w:val="20"/>
          <w:szCs w:val="20"/>
          <w:color w:val="auto"/>
        </w:rPr>
      </w:pPr>
      <w:r>
        <w:rPr>
          <w:rFonts w:ascii="Times New Roman" w:cs="Times New Roman" w:eastAsia="Times New Roman" w:hAnsi="Times New Roman"/>
          <w:sz w:val="14"/>
          <w:szCs w:val="14"/>
          <w:color w:val="auto"/>
        </w:rPr>
        <w:t>This prospectus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Although we believe that the expectations reflected in the forward-looking statements are reasonable when made, we cannot guarantee future results, levels of activity, performance or achievements. There are a number of important factors that could cause our actual results to differ materially from those results anticipated by our forward-looking statements, which include, but are not limited to, those factors discussed under the caption entitled “Risk Factors” in our Annual Report on Form 10-K.</w:t>
      </w:r>
    </w:p>
    <w:p>
      <w:pPr>
        <w:spacing w:after="0" w:line="145" w:lineRule="exact"/>
        <w:rPr>
          <w:sz w:val="20"/>
          <w:szCs w:val="20"/>
          <w:color w:val="auto"/>
        </w:rPr>
      </w:pPr>
    </w:p>
    <w:p>
      <w:pPr>
        <w:jc w:val="both"/>
        <w:ind w:firstLine="253"/>
        <w:spacing w:after="0" w:line="283" w:lineRule="auto"/>
        <w:rPr>
          <w:sz w:val="20"/>
          <w:szCs w:val="20"/>
          <w:color w:val="auto"/>
        </w:rPr>
      </w:pPr>
      <w:r>
        <w:rPr>
          <w:rFonts w:ascii="Times New Roman" w:cs="Times New Roman" w:eastAsia="Times New Roman" w:hAnsi="Times New Roman"/>
          <w:sz w:val="14"/>
          <w:szCs w:val="14"/>
          <w:color w:val="auto"/>
        </w:rPr>
        <w:t>We do not undertake any obligation to update or revise any of the forward-looking statements to reflect events, circumstances, changes in expectations, or the occurrence of unanticipated events after the date of those statements or to conform these statements to actual results.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65"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8" w:lineRule="exact"/>
        <w:rPr>
          <w:sz w:val="20"/>
          <w:szCs w:val="20"/>
          <w:color w:val="auto"/>
        </w:rPr>
      </w:pPr>
    </w:p>
    <w:p>
      <w:pPr>
        <w:ind w:firstLine="253"/>
        <w:spacing w:after="0" w:line="283" w:lineRule="auto"/>
        <w:rPr>
          <w:sz w:val="20"/>
          <w:szCs w:val="20"/>
          <w:color w:val="auto"/>
        </w:rPr>
      </w:pPr>
      <w:r>
        <w:rPr>
          <w:rFonts w:ascii="Times New Roman" w:cs="Times New Roman" w:eastAsia="Times New Roman" w:hAnsi="Times New Roman"/>
          <w:sz w:val="14"/>
          <w:szCs w:val="14"/>
          <w:color w:val="auto"/>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spacing w:after="0" w:line="125" w:lineRule="exact"/>
        <w:rPr>
          <w:sz w:val="20"/>
          <w:szCs w:val="20"/>
          <w:color w:val="auto"/>
        </w:rPr>
      </w:pPr>
    </w:p>
    <w:p>
      <w:pPr>
        <w:ind w:left="260"/>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Communications</w:t>
      </w:r>
      <w:r>
        <w:rPr>
          <w:rFonts w:ascii="Times New Roman" w:cs="Times New Roman" w:eastAsia="Times New Roman" w:hAnsi="Times New Roman"/>
          <w:sz w:val="14"/>
          <w:szCs w:val="14"/>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spacing w:after="0" w:line="125" w:lineRule="exact"/>
        <w:rPr>
          <w:sz w:val="20"/>
          <w:szCs w:val="20"/>
          <w:color w:val="auto"/>
        </w:rPr>
      </w:pPr>
    </w:p>
    <w:p>
      <w:pPr>
        <w:ind w:left="260"/>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Residential</w:t>
      </w:r>
      <w:r>
        <w:rPr>
          <w:rFonts w:ascii="Times New Roman" w:cs="Times New Roman" w:eastAsia="Times New Roman" w:hAnsi="Times New Roman"/>
          <w:sz w:val="14"/>
          <w:szCs w:val="14"/>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spacing w:after="0" w:line="125" w:lineRule="exact"/>
        <w:rPr>
          <w:sz w:val="20"/>
          <w:szCs w:val="20"/>
          <w:color w:val="auto"/>
        </w:rPr>
      </w:pPr>
    </w:p>
    <w:p>
      <w:pPr>
        <w:ind w:left="260"/>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Infrastructure Solutions</w:t>
      </w:r>
      <w:r>
        <w:rPr>
          <w:rFonts w:ascii="Times New Roman" w:cs="Times New Roman" w:eastAsia="Times New Roman" w:hAnsi="Times New Roman"/>
          <w:sz w:val="14"/>
          <w:szCs w:val="14"/>
          <w:color w:val="auto"/>
        </w:rPr>
        <w:t xml:space="preserve"> - Provider of electro-mechanical solutions for industrial operations, including apparatus repair and custom-engineered products, such as generator enclosures used in data centers and other industrial applications.</w:t>
      </w:r>
    </w:p>
    <w:p>
      <w:pPr>
        <w:spacing w:after="0" w:line="125" w:lineRule="exact"/>
        <w:rPr>
          <w:sz w:val="20"/>
          <w:szCs w:val="20"/>
          <w:color w:val="auto"/>
        </w:rPr>
      </w:pPr>
    </w:p>
    <w:p>
      <w:pPr>
        <w:ind w:left="260"/>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Commercial &amp; Industrial</w:t>
      </w:r>
      <w:r>
        <w:rPr>
          <w:rFonts w:ascii="Times New Roman" w:cs="Times New Roman" w:eastAsia="Times New Roman" w:hAnsi="Times New Roman"/>
          <w:sz w:val="14"/>
          <w:szCs w:val="14"/>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25" w:lineRule="exact"/>
        <w:rPr>
          <w:sz w:val="20"/>
          <w:szCs w:val="20"/>
          <w:color w:val="auto"/>
        </w:rPr>
      </w:pPr>
    </w:p>
    <w:p>
      <w:pPr>
        <w:jc w:val="both"/>
        <w:ind w:firstLine="253"/>
        <w:spacing w:after="0" w:line="267" w:lineRule="auto"/>
        <w:rPr>
          <w:sz w:val="20"/>
          <w:szCs w:val="20"/>
          <w:color w:val="auto"/>
        </w:rPr>
      </w:pPr>
      <w:r>
        <w:rPr>
          <w:rFonts w:ascii="Times New Roman" w:cs="Times New Roman" w:eastAsia="Times New Roman" w:hAnsi="Times New Roman"/>
          <w:sz w:val="14"/>
          <w:szCs w:val="14"/>
          <w:color w:val="auto"/>
        </w:rPr>
        <w:t>While sharing common goals and values, each of the Company’s segments manages its own day-to-day operations. Our corporate office is focused on significant capital allocation decisions, investment activities and selection of segment leadership. The corporate office also assists with strategic and operational improvement initiatives, talent development, sharing of best practices across the organization and the establishment and monitoring of risk management practices within our segments.</w:t>
      </w:r>
    </w:p>
    <w:p>
      <w:pPr>
        <w:spacing w:after="0" w:line="136" w:lineRule="exact"/>
        <w:rPr>
          <w:sz w:val="20"/>
          <w:szCs w:val="20"/>
          <w:color w:val="auto"/>
        </w:rPr>
      </w:pPr>
    </w:p>
    <w:p>
      <w:pPr>
        <w:jc w:val="both"/>
        <w:ind w:firstLine="253"/>
        <w:spacing w:after="0" w:line="283" w:lineRule="auto"/>
        <w:rPr>
          <w:sz w:val="20"/>
          <w:szCs w:val="20"/>
          <w:color w:val="auto"/>
        </w:rPr>
      </w:pPr>
      <w:r>
        <w:rPr>
          <w:rFonts w:ascii="Times New Roman" w:cs="Times New Roman" w:eastAsia="Times New Roman" w:hAnsi="Times New Roman"/>
          <w:sz w:val="14"/>
          <w:szCs w:val="14"/>
          <w:color w:val="auto"/>
        </w:rPr>
        <w:t xml:space="preserve">IES Holdings, Inc. is a Delaware corporation established in 1997. Our principal executive offices are located at 13131 Dairy Ashford Rd., Suite 500, Sugar Land, Texas 77478 and our telephone number is (713) 860-1500. Our website address is </w:t>
      </w:r>
      <w:r>
        <w:rPr>
          <w:rFonts w:ascii="Times New Roman" w:cs="Times New Roman" w:eastAsia="Times New Roman" w:hAnsi="Times New Roman"/>
          <w:sz w:val="14"/>
          <w:szCs w:val="14"/>
          <w:u w:val="single" w:color="auto"/>
          <w:color w:val="auto"/>
        </w:rPr>
        <w:t>www.ies-co.com</w:t>
      </w:r>
      <w:r>
        <w:rPr>
          <w:rFonts w:ascii="Times New Roman" w:cs="Times New Roman" w:eastAsia="Times New Roman" w:hAnsi="Times New Roman"/>
          <w:sz w:val="14"/>
          <w:szCs w:val="14"/>
          <w:color w:val="auto"/>
        </w:rPr>
        <w:t>. Information contained on our website does not constitute part of this prospectus.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65"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8" w:lineRule="exact"/>
        <w:rPr>
          <w:sz w:val="20"/>
          <w:szCs w:val="20"/>
          <w:color w:val="auto"/>
        </w:rPr>
      </w:pPr>
    </w:p>
    <w:p>
      <w:pPr>
        <w:jc w:val="both"/>
        <w:ind w:firstLine="253"/>
        <w:spacing w:after="0" w:line="261" w:lineRule="auto"/>
        <w:rPr>
          <w:sz w:val="20"/>
          <w:szCs w:val="20"/>
          <w:color w:val="auto"/>
        </w:rPr>
      </w:pPr>
      <w:r>
        <w:rPr>
          <w:rFonts w:ascii="Times New Roman" w:cs="Times New Roman" w:eastAsia="Times New Roman" w:hAnsi="Times New Roman"/>
          <w:sz w:val="14"/>
          <w:szCs w:val="14"/>
          <w:color w:val="auto"/>
        </w:rPr>
        <w:t>Investing in our securities involves risks. You should carefully consider the risks described under “Risk Factors” in our most recent Annual Report on Form 10-K and any subsequent Quarterly Reports on Form 10-Q or other filings that we make with the SEC which are incorporated by reference herein, as well as the other information contained or incorporated by reference in this prospectus or in any prospectus supplement hereto before making a decision to invest in our securities. See “Where You Can Find More Information” and “Incorporation of Certain Documents by Reference,” below.</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65" w:right="319" w:bottom="1440" w:gutter="0" w:footer="0" w:header="0"/>
        </w:sectPr>
      </w:pPr>
    </w:p>
    <w:bookmarkStart w:id="7" w:name="page8"/>
    <w:bookmarkEnd w:id="7"/>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Unless otherwise indicated in a prospectus supplement in connection with a particular offering, the net proceeds from the sale of the securities will be used for general corporate purposes.</w:t>
      </w:r>
    </w:p>
    <w:p>
      <w:pPr>
        <w:spacing w:after="0" w:line="1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13970</wp:posOffset>
            </wp:positionV>
            <wp:extent cx="716280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0460"/>
          </w:cols>
          <w:pgMar w:left="560" w:top="565" w:right="8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8" w:lineRule="exact"/>
        <w:rPr>
          <w:sz w:val="20"/>
          <w:szCs w:val="20"/>
          <w:color w:val="auto"/>
        </w:rPr>
      </w:pPr>
    </w:p>
    <w:p>
      <w:pPr>
        <w:jc w:val="both"/>
        <w:ind w:firstLine="253"/>
        <w:spacing w:after="0" w:line="259" w:lineRule="auto"/>
        <w:rPr>
          <w:sz w:val="20"/>
          <w:szCs w:val="20"/>
          <w:color w:val="auto"/>
        </w:rPr>
      </w:pPr>
      <w:r>
        <w:rPr>
          <w:rFonts w:ascii="Times New Roman" w:cs="Times New Roman" w:eastAsia="Times New Roman" w:hAnsi="Times New Roman"/>
          <w:sz w:val="14"/>
          <w:szCs w:val="14"/>
          <w:color w:val="auto"/>
        </w:rPr>
        <w:t>The following is a description of the capital stock of the Company. This description does not describe every aspect of the Company’s capital stock and is subject to, and qualified in its entirety by reference to, the provisions of our Second Amended and Restated Certificate of Incorporation (the “certificate of incorporation”) and Amended and Restated Bylaws (the “bylaws”). Reference is made to the more detailed provisions of, and the descriptions are qualified in their entirety by reference to, the full text of our certificate of incorporation and bylaws, copies of which are filed with the SEC as exhibits to the Annual Report on Form 10-K on which this Description of Capital Stock forms a part as Exhibits 3.1 and 3.4, respectively. The summary is also subject to the General Corporation Law of the State of Delaware (the “DGCL”). The summary is not complete.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178" w:lineRule="exact"/>
        <w:rPr>
          <w:sz w:val="20"/>
          <w:szCs w:val="20"/>
          <w:color w:val="auto"/>
        </w:rPr>
      </w:pPr>
    </w:p>
    <w:p>
      <w:pPr>
        <w:jc w:val="both"/>
        <w:ind w:firstLine="253"/>
        <w:spacing w:after="0" w:line="283" w:lineRule="auto"/>
        <w:rPr>
          <w:sz w:val="20"/>
          <w:szCs w:val="20"/>
          <w:color w:val="auto"/>
        </w:rPr>
      </w:pPr>
      <w:r>
        <w:rPr>
          <w:rFonts w:ascii="Times New Roman" w:cs="Times New Roman" w:eastAsia="Times New Roman" w:hAnsi="Times New Roman"/>
          <w:sz w:val="14"/>
          <w:szCs w:val="14"/>
          <w:color w:val="auto"/>
        </w:rPr>
        <w:t>The Company’s authorized capital stock consists of 100,000,000 shares of common stock, par value $0.01 per share (the “Common Stock”), and 10,000,000 shares of preferred stock, par value $0.01 per share. As of March 31, 2026, we had 22,049,529 shares of common stock issued, 19,923,887 shares of common stock outstanding and no shares of preferred stock issued or outstanding.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178" w:lineRule="exact"/>
        <w:rPr>
          <w:sz w:val="20"/>
          <w:szCs w:val="20"/>
          <w:color w:val="auto"/>
        </w:rPr>
      </w:pPr>
    </w:p>
    <w:p>
      <w:pPr>
        <w:jc w:val="both"/>
        <w:ind w:firstLine="253"/>
        <w:spacing w:after="0" w:line="283" w:lineRule="auto"/>
        <w:rPr>
          <w:sz w:val="20"/>
          <w:szCs w:val="20"/>
          <w:color w:val="auto"/>
        </w:rPr>
      </w:pPr>
      <w:r>
        <w:rPr>
          <w:rFonts w:ascii="Times New Roman" w:cs="Times New Roman" w:eastAsia="Times New Roman" w:hAnsi="Times New Roman"/>
          <w:sz w:val="14"/>
          <w:szCs w:val="14"/>
          <w:color w:val="auto"/>
        </w:rPr>
        <w:t>Subject to the rights of any then-outstanding shares of preferred stock, holders of Common Stock are entitled to participate in dividends declared in the discretion of the board of directors out of funds legally available therefor.</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178" w:lineRule="exact"/>
        <w:rPr>
          <w:sz w:val="20"/>
          <w:szCs w:val="20"/>
          <w:color w:val="auto"/>
        </w:rPr>
      </w:pPr>
    </w:p>
    <w:p>
      <w:pPr>
        <w:jc w:val="both"/>
        <w:ind w:firstLine="253"/>
        <w:spacing w:after="0" w:line="267" w:lineRule="auto"/>
        <w:rPr>
          <w:sz w:val="20"/>
          <w:szCs w:val="20"/>
          <w:color w:val="auto"/>
        </w:rPr>
      </w:pPr>
      <w:r>
        <w:rPr>
          <w:rFonts w:ascii="Times New Roman" w:cs="Times New Roman" w:eastAsia="Times New Roman" w:hAnsi="Times New Roman"/>
          <w:sz w:val="14"/>
          <w:szCs w:val="14"/>
          <w:color w:val="auto"/>
        </w:rPr>
        <w:t>Subject to the provisions of any outstanding series of preferred stock, the holders of Common Stock are entitled to one vote for each share on all matters voted upon by stockholders, including the election of directors. Our common stockholders are not entitled to vote cumulatively for the election of directors. Holders of a majority of the shares of Common Stock entitled to vote in any election of directors may elect all of the directors standing for election.</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Preemptive Rights</w:t>
      </w:r>
    </w:p>
    <w:p>
      <w:pPr>
        <w:spacing w:after="0" w:line="178" w:lineRule="exact"/>
        <w:rPr>
          <w:sz w:val="20"/>
          <w:szCs w:val="20"/>
          <w:color w:val="auto"/>
        </w:rPr>
      </w:pPr>
    </w:p>
    <w:p>
      <w:pPr>
        <w:jc w:val="both"/>
        <w:ind w:firstLine="253"/>
        <w:spacing w:after="0" w:line="283" w:lineRule="auto"/>
        <w:rPr>
          <w:sz w:val="20"/>
          <w:szCs w:val="20"/>
          <w:color w:val="auto"/>
        </w:rPr>
      </w:pPr>
      <w:r>
        <w:rPr>
          <w:rFonts w:ascii="Times New Roman" w:cs="Times New Roman" w:eastAsia="Times New Roman" w:hAnsi="Times New Roman"/>
          <w:sz w:val="14"/>
          <w:szCs w:val="14"/>
          <w:color w:val="auto"/>
        </w:rPr>
        <w:t>Holders of Common Stock have no preemptive rights to purchase shares of the Company’s stock. Shares of Common Stock are not subject to any redemption provisions and are not convertible into any other securities of the Company.</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Liquidation Rights</w:t>
      </w:r>
    </w:p>
    <w:p>
      <w:pPr>
        <w:spacing w:after="0" w:line="178" w:lineRule="exact"/>
        <w:rPr>
          <w:sz w:val="20"/>
          <w:szCs w:val="20"/>
          <w:color w:val="auto"/>
        </w:rPr>
      </w:pPr>
    </w:p>
    <w:p>
      <w:pPr>
        <w:jc w:val="both"/>
        <w:ind w:firstLine="253"/>
        <w:spacing w:after="0" w:line="283" w:lineRule="auto"/>
        <w:rPr>
          <w:sz w:val="20"/>
          <w:szCs w:val="20"/>
          <w:color w:val="auto"/>
        </w:rPr>
      </w:pPr>
      <w:r>
        <w:rPr>
          <w:rFonts w:ascii="Times New Roman" w:cs="Times New Roman" w:eastAsia="Times New Roman" w:hAnsi="Times New Roman"/>
          <w:sz w:val="14"/>
          <w:szCs w:val="14"/>
          <w:color w:val="auto"/>
        </w:rPr>
        <w:t>Holders of Common Stock are entitled to share ratably in the net assets of the Company upon liquidation after payment or provision for all liabilities and any preferential liquidation rights of any preferred stock then outstanding.</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Miscellaneous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outstanding shares of Common Stock are fully paid and non-assessable.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78" w:lineRule="exact"/>
        <w:rPr>
          <w:sz w:val="20"/>
          <w:szCs w:val="20"/>
          <w:color w:val="auto"/>
        </w:rPr>
      </w:pPr>
    </w:p>
    <w:p>
      <w:pPr>
        <w:jc w:val="both"/>
        <w:ind w:firstLine="253"/>
        <w:spacing w:after="0" w:line="255" w:lineRule="auto"/>
        <w:rPr>
          <w:sz w:val="20"/>
          <w:szCs w:val="20"/>
          <w:color w:val="auto"/>
        </w:rPr>
      </w:pPr>
      <w:r>
        <w:rPr>
          <w:rFonts w:ascii="Times New Roman" w:cs="Times New Roman" w:eastAsia="Times New Roman" w:hAnsi="Times New Roman"/>
          <w:sz w:val="14"/>
          <w:szCs w:val="14"/>
          <w:color w:val="auto"/>
        </w:rPr>
        <w:t>We have authorized 10,000,000 shares of undesignated preferred stock. Our board of directors has the authority to issue shares of this preferred stock, from time to time, on terms that it may determine, in one or more series, and to fix the number of shares and to change the number of shares constituting any series, and to provide for or change the voting powers, designations, preferences and relative, participating, optional or other special rights, qualifications, limitations or restrictions thereof, including dividend rights (including whether dividends are cumulative), dividend rates, terms of redemption (including sinking fund provisions), redemption prices, conversion rights and liquidation preferences of the shares constituting any class or series of the preferred stock, in each case without any further action or vote by the stockholders, to the fullest extent permitted by the DGCL. Any series of preferred stock and the terms thereof may be set forth in a certificate of designation to our certificate of incorporation providing for the issuance of the preferred stock as adopted by our board of directors or a duly authorized committee thereof. The issuance of shares of our undesignated preferred stock could have the effect of decreasing the market price of our common stock, impeding or delaying a possible takeover and adversely affecting the voting and other rights of the holders of common stock. We have no present intention to issue shares of our undesignated preferred stock.</w:t>
      </w:r>
    </w:p>
    <w:p>
      <w:pPr>
        <w:spacing w:after="0" w:line="147" w:lineRule="exact"/>
        <w:rPr>
          <w:sz w:val="20"/>
          <w:szCs w:val="20"/>
          <w:color w:val="auto"/>
        </w:rPr>
      </w:pPr>
    </w:p>
    <w:p>
      <w:pPr>
        <w:jc w:val="both"/>
        <w:ind w:firstLine="253"/>
        <w:spacing w:after="0" w:line="283" w:lineRule="auto"/>
        <w:rPr>
          <w:sz w:val="20"/>
          <w:szCs w:val="20"/>
          <w:color w:val="auto"/>
        </w:rPr>
      </w:pPr>
      <w:r>
        <w:rPr>
          <w:rFonts w:ascii="Times New Roman" w:cs="Times New Roman" w:eastAsia="Times New Roman" w:hAnsi="Times New Roman"/>
          <w:sz w:val="14"/>
          <w:szCs w:val="14"/>
          <w:color w:val="auto"/>
        </w:rPr>
        <w:t>When we offer to sell a particular series of preferred stock, we will describe the specific terms of the securities in a supplement to this prospectus. The preferred stock will be issued under a certificate of designations relating to each series of preferred stock and is also subject to our certificate of incorporation.</w:t>
      </w:r>
    </w:p>
    <w:p>
      <w:pPr>
        <w:spacing w:after="0" w:line="125" w:lineRule="exact"/>
        <w:rPr>
          <w:sz w:val="20"/>
          <w:szCs w:val="20"/>
          <w:color w:val="auto"/>
        </w:rPr>
      </w:pPr>
    </w:p>
    <w:p>
      <w:pPr>
        <w:jc w:val="both"/>
        <w:ind w:firstLine="253"/>
        <w:spacing w:after="0" w:line="283" w:lineRule="auto"/>
        <w:rPr>
          <w:sz w:val="20"/>
          <w:szCs w:val="20"/>
          <w:color w:val="auto"/>
        </w:rPr>
      </w:pPr>
      <w:r>
        <w:rPr>
          <w:rFonts w:ascii="Times New Roman" w:cs="Times New Roman" w:eastAsia="Times New Roman" w:hAnsi="Times New Roman"/>
          <w:sz w:val="14"/>
          <w:szCs w:val="14"/>
          <w:color w:val="auto"/>
        </w:rPr>
        <w:t>All shares of preferred stock offered will be fully paid and non-assessable. Any shares of preferred stock that are issued will have priority over the common stock with respect to dividend or liquidation rights or both.</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transfer agent and registrar for our shares of common stock is Equiniti Trust Company, LLC.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6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8" w:lineRule="exact"/>
        <w:rPr>
          <w:sz w:val="20"/>
          <w:szCs w:val="20"/>
          <w:color w:val="auto"/>
        </w:rPr>
      </w:pPr>
    </w:p>
    <w:p>
      <w:pPr>
        <w:jc w:val="both"/>
        <w:ind w:firstLine="253"/>
        <w:spacing w:after="0" w:line="255" w:lineRule="auto"/>
        <w:rPr>
          <w:sz w:val="20"/>
          <w:szCs w:val="20"/>
          <w:color w:val="auto"/>
        </w:rPr>
      </w:pPr>
      <w:r>
        <w:rPr>
          <w:rFonts w:ascii="Times New Roman" w:cs="Times New Roman" w:eastAsia="Times New Roman" w:hAnsi="Times New Roman"/>
          <w:sz w:val="14"/>
          <w:szCs w:val="14"/>
          <w:color w:val="auto"/>
        </w:rPr>
        <w:t>The following description sets forth the material terms and provisions of the debt securities to which any prospectus supplement may relate. Other terms, and the particular terms of a specific series of debt securities (which may differ from the terms described below), will be described in the prospectus supplement relating to that series. The debt securities will be senior debt securities or subordinated debt securities. The senior debt securities will be issued under an indenture (the “Senior Indenture”) to be entered into among us and a trustee named in the applicable prospectus supplement, as trustee (the “Senior Trustee”), and the subordinated debt securities will be issued under a separate indenture (the “Subordinated Indenture”) to be entered into among us and a trustee to be named in the applicable prospectus supplement, as trustee (the “Subordinated Trustee”). The term “Trustee” used in this prospectus shall refer to the Senior Trustee or the Subordinated Trustee, as appropriate. The Senior Indenture and the Subordinated Indenture are sometimes collectively referred to herein as the “Indentures” and individually as “Indenture.” The Indentures are subject to and governed by the Trust Indenture Act of 1939, as amended (the “TIA”), and may be supplemented from time to time following execution. Capitalized terms used in this section and not otherwise defined in this section will have the respective meanings assigned to them in the Indentures.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8" w:lineRule="exact"/>
        <w:rPr>
          <w:sz w:val="20"/>
          <w:szCs w:val="20"/>
          <w:color w:val="auto"/>
        </w:rPr>
      </w:pPr>
    </w:p>
    <w:p>
      <w:pPr>
        <w:jc w:val="both"/>
        <w:ind w:firstLine="253"/>
        <w:spacing w:after="0" w:line="283" w:lineRule="auto"/>
        <w:rPr>
          <w:sz w:val="20"/>
          <w:szCs w:val="20"/>
          <w:color w:val="auto"/>
        </w:rPr>
      </w:pPr>
      <w:r>
        <w:rPr>
          <w:rFonts w:ascii="Times New Roman" w:cs="Times New Roman" w:eastAsia="Times New Roman" w:hAnsi="Times New Roman"/>
          <w:sz w:val="14"/>
          <w:szCs w:val="14"/>
          <w:color w:val="auto"/>
        </w:rPr>
        <w:t>The debt securities will be our direct obligations. The prospectus supplement relating to a particular issue of debt securities will describe the terms of those debt securities and the related Indenture, which may include (without limitation) the following:</w:t>
      </w:r>
    </w:p>
    <w:p>
      <w:pPr>
        <w:spacing w:after="0" w:line="125" w:lineRule="exact"/>
        <w:rPr>
          <w:sz w:val="20"/>
          <w:szCs w:val="20"/>
          <w:color w:val="auto"/>
        </w:rPr>
      </w:pPr>
    </w:p>
    <w:p>
      <w:pPr>
        <w:ind w:left="760" w:hanging="251"/>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series of the debt securities;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debt securities will be issued;</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 or the method of determining the maturity date or dates, of the debt securities;</w:t>
      </w:r>
    </w:p>
    <w:p>
      <w:pPr>
        <w:spacing w:after="0" w:line="175" w:lineRule="exact"/>
        <w:rPr>
          <w:rFonts w:ascii="Times New Roman" w:cs="Times New Roman" w:eastAsia="Times New Roman" w:hAnsi="Times New Roman"/>
          <w:sz w:val="14"/>
          <w:szCs w:val="14"/>
          <w:color w:val="auto"/>
        </w:rPr>
      </w:pPr>
    </w:p>
    <w:p>
      <w:pPr>
        <w:ind w:left="760" w:hanging="251"/>
        <w:spacing w:after="0" w:line="283"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(which may be fixed, variable or a combination thereof) per annum of the debt securities or the method of determining the interest rate or rates of the debt securities;</w:t>
      </w:r>
    </w:p>
    <w:p>
      <w:pPr>
        <w:spacing w:after="0" w:line="125" w:lineRule="exact"/>
        <w:rPr>
          <w:rFonts w:ascii="Times New Roman" w:cs="Times New Roman" w:eastAsia="Times New Roman" w:hAnsi="Times New Roman"/>
          <w:sz w:val="14"/>
          <w:szCs w:val="14"/>
          <w:color w:val="auto"/>
        </w:rPr>
      </w:pPr>
    </w:p>
    <w:p>
      <w:pPr>
        <w:ind w:left="760" w:hanging="251"/>
        <w:spacing w:after="0" w:line="283"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or dates from which interest on the debt securities will accrue or the method or methods by which the date or dates are to be determined, the interest payment dates, the date or dates on which payment of interest will commence and the regular record dates for any interest payable on such interest payment dates;</w:t>
      </w:r>
    </w:p>
    <w:p>
      <w:pPr>
        <w:spacing w:after="0" w:line="12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any security provided for the debt securities;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of our direct or indirect subsidiaries will guarantee the debt securities;</w:t>
      </w:r>
    </w:p>
    <w:p>
      <w:pPr>
        <w:spacing w:after="0" w:line="175" w:lineRule="exact"/>
        <w:rPr>
          <w:rFonts w:ascii="Times New Roman" w:cs="Times New Roman" w:eastAsia="Times New Roman" w:hAnsi="Times New Roman"/>
          <w:sz w:val="14"/>
          <w:szCs w:val="14"/>
          <w:color w:val="auto"/>
        </w:rPr>
      </w:pPr>
    </w:p>
    <w:p>
      <w:pPr>
        <w:ind w:left="760" w:hanging="251"/>
        <w:spacing w:after="0" w:line="283"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after which and the price or prices at which the debt securities may, pursuant to any optional redemption provisions, be redeemed at our option or at the option of the holders of the debt securities and the other detailed terms and provisions of such optional redemption;</w:t>
      </w:r>
    </w:p>
    <w:p>
      <w:pPr>
        <w:spacing w:after="0" w:line="125" w:lineRule="exact"/>
        <w:rPr>
          <w:rFonts w:ascii="Times New Roman" w:cs="Times New Roman" w:eastAsia="Times New Roman" w:hAnsi="Times New Roman"/>
          <w:sz w:val="14"/>
          <w:szCs w:val="14"/>
          <w:color w:val="auto"/>
        </w:rPr>
      </w:pPr>
    </w:p>
    <w:p>
      <w:pPr>
        <w:ind w:left="760" w:hanging="251"/>
        <w:spacing w:after="0" w:line="283"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any of the debt securities will be issuable in temporary or permanent global form and, if so, the identity of the depositary for the global debt security and any additional information related to the global debt securities;</w:t>
      </w:r>
    </w:p>
    <w:p>
      <w:pPr>
        <w:spacing w:after="0" w:line="12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 or denominations of debt securities;</w:t>
      </w:r>
    </w:p>
    <w:p>
      <w:pPr>
        <w:spacing w:after="0" w:line="175" w:lineRule="exact"/>
        <w:rPr>
          <w:rFonts w:ascii="Times New Roman" w:cs="Times New Roman" w:eastAsia="Times New Roman" w:hAnsi="Times New Roman"/>
          <w:sz w:val="14"/>
          <w:szCs w:val="14"/>
          <w:color w:val="auto"/>
        </w:rPr>
      </w:pPr>
    </w:p>
    <w:p>
      <w:pPr>
        <w:ind w:left="760" w:hanging="251"/>
        <w:spacing w:after="0" w:line="283"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registered or bearer form or both and, if in bearer form, the related terms and conditions and any limitations on issuance of such bearer debt securities (including exchange for registered debt securities of the same series);</w:t>
      </w:r>
    </w:p>
    <w:p>
      <w:pPr>
        <w:spacing w:after="0" w:line="12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the debt securities will be issued as original issue discount securities;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office or agency where, subject to the terms of the Indenture, the debt securities may be presented for registration of transfer or exchange;</w:t>
      </w:r>
    </w:p>
    <w:p>
      <w:pPr>
        <w:spacing w:after="0" w:line="175" w:lineRule="exact"/>
        <w:rPr>
          <w:rFonts w:ascii="Times New Roman" w:cs="Times New Roman" w:eastAsia="Times New Roman" w:hAnsi="Times New Roman"/>
          <w:sz w:val="14"/>
          <w:szCs w:val="14"/>
          <w:color w:val="auto"/>
        </w:rPr>
      </w:pPr>
    </w:p>
    <w:p>
      <w:pPr>
        <w:ind w:left="760" w:hanging="251"/>
        <w:spacing w:after="0" w:line="283"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U.S. dollar, the currencies or currency units in which the debt securities are issued and in which the principal of, premium and interest, if any, on, and additional amounts, if any, in respect of the debt securities will be payable;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65" w:right="319" w:bottom="1440" w:gutter="0" w:footer="0" w:header="0"/>
        </w:sectPr>
      </w:pPr>
    </w:p>
    <w:bookmarkStart w:id="10" w:name="page11"/>
    <w:bookmarkEnd w:id="10"/>
    <w:p>
      <w:pPr>
        <w:ind w:left="760" w:hanging="25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Trustee, the identity of each security registrar, paying agent and authenticating agent; and</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Under the Indentures, we will agree to:</w:t>
      </w:r>
    </w:p>
    <w:p>
      <w:pPr>
        <w:spacing w:after="0" w:line="176" w:lineRule="exact"/>
        <w:rPr>
          <w:sz w:val="20"/>
          <w:szCs w:val="20"/>
          <w:color w:val="auto"/>
        </w:rPr>
      </w:pPr>
    </w:p>
    <w:p>
      <w:pPr>
        <w:ind w:left="760" w:hanging="25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the principal of, interest and any premium on, the debt securities when due;</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 place of payment;</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sufficient funds with any paying agent on or before the due date for any principal, interest or premium;</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a certificate to the trustee at the end of each fiscal year reviewing our obligations under the Indentures; and</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preserve and keep in full force and effect our existence, rights and franchises.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78" w:lineRule="exact"/>
        <w:rPr>
          <w:sz w:val="20"/>
          <w:szCs w:val="20"/>
          <w:color w:val="auto"/>
        </w:rPr>
      </w:pPr>
    </w:p>
    <w:p>
      <w:pPr>
        <w:ind w:firstLine="253"/>
        <w:spacing w:after="0" w:line="283"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each of the following events will be an Event of Default under an Indenture with respect to any series of debt securities issued under that Indenture:</w:t>
      </w:r>
    </w:p>
    <w:p>
      <w:pPr>
        <w:spacing w:after="0" w:line="125" w:lineRule="exact"/>
        <w:rPr>
          <w:sz w:val="20"/>
          <w:szCs w:val="20"/>
          <w:color w:val="auto"/>
        </w:rPr>
      </w:pPr>
    </w:p>
    <w:p>
      <w:pPr>
        <w:ind w:left="760" w:hanging="251"/>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of (or premium, if any, on) any debt security of the series when due;</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deposit a sinking fund payment or any other such analogous required payment, if any, when due by the terms of a debt security of the series;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any interest on any debt security of the series when due, continued for 30 days;</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perform or comply with any covenant in the applicable Indenture or related supplemental indenture, continued for 90 days after written notice as provided in the Indenture;</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in bankruptcy, insolvency or reorganization affecting us; and</w:t>
      </w:r>
    </w:p>
    <w:p>
      <w:pPr>
        <w:spacing w:after="0" w:line="17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set forth in the applicable Indenture or supplemental indenture relating to the debt securities of that series.</w:t>
      </w:r>
    </w:p>
    <w:p>
      <w:pPr>
        <w:spacing w:after="0" w:line="176" w:lineRule="exact"/>
        <w:rPr>
          <w:sz w:val="20"/>
          <w:szCs w:val="20"/>
          <w:color w:val="auto"/>
        </w:rPr>
      </w:pPr>
    </w:p>
    <w:p>
      <w:pPr>
        <w:jc w:val="both"/>
        <w:ind w:firstLine="253"/>
        <w:spacing w:after="0" w:line="267" w:lineRule="auto"/>
        <w:rPr>
          <w:sz w:val="20"/>
          <w:szCs w:val="20"/>
          <w:color w:val="auto"/>
        </w:rPr>
      </w:pPr>
      <w:r>
        <w:rPr>
          <w:rFonts w:ascii="Times New Roman" w:cs="Times New Roman" w:eastAsia="Times New Roman" w:hAnsi="Times New Roman"/>
          <w:sz w:val="14"/>
          <w:szCs w:val="14"/>
          <w:color w:val="auto"/>
        </w:rPr>
        <w:t>An Event of Default for a particular series of debt securities does not necessarily constitute an Event of Default for any other series of debt securities issued under an Indenture. The applicable Trustee may withhold notice to the holders of a series of debt securities of any default, except payment defaults on those debt securities, if it considers such withholding to be in the interest of the holders.</w:t>
      </w:r>
    </w:p>
    <w:p>
      <w:pPr>
        <w:spacing w:after="0" w:line="136" w:lineRule="exact"/>
        <w:rPr>
          <w:sz w:val="20"/>
          <w:szCs w:val="20"/>
          <w:color w:val="auto"/>
        </w:rPr>
      </w:pPr>
    </w:p>
    <w:p>
      <w:pPr>
        <w:jc w:val="both"/>
        <w:ind w:firstLine="253"/>
        <w:spacing w:after="0" w:line="267" w:lineRule="auto"/>
        <w:rPr>
          <w:sz w:val="20"/>
          <w:szCs w:val="20"/>
          <w:color w:val="auto"/>
        </w:rPr>
      </w:pPr>
      <w:r>
        <w:rPr>
          <w:rFonts w:ascii="Times New Roman" w:cs="Times New Roman" w:eastAsia="Times New Roman" w:hAnsi="Times New Roman"/>
          <w:sz w:val="14"/>
          <w:szCs w:val="14"/>
          <w:color w:val="auto"/>
        </w:rPr>
        <w:t>If an Event of Default occurs and is continuing, then the applicable Trustee or the holders of a specified percentage in aggregate principal amount of the debt securities of that series may declare the entire principal amount of the debt securities of that series to be due and payable immediately; provided, however, that the holders of a majority of the aggregate principal amount of the debt securities of that series may, under certain circumstances, void the declaration.</w:t>
      </w:r>
    </w:p>
    <w:p>
      <w:pPr>
        <w:spacing w:after="0" w:line="136" w:lineRule="exact"/>
        <w:rPr>
          <w:sz w:val="20"/>
          <w:szCs w:val="20"/>
          <w:color w:val="auto"/>
        </w:rPr>
      </w:pPr>
    </w:p>
    <w:p>
      <w:pPr>
        <w:jc w:val="both"/>
        <w:ind w:firstLine="253"/>
        <w:spacing w:after="0" w:line="261" w:lineRule="auto"/>
        <w:rPr>
          <w:sz w:val="20"/>
          <w:szCs w:val="20"/>
          <w:color w:val="auto"/>
        </w:rPr>
      </w:pPr>
      <w:r>
        <w:rPr>
          <w:rFonts w:ascii="Times New Roman" w:cs="Times New Roman" w:eastAsia="Times New Roman" w:hAnsi="Times New Roman"/>
          <w:sz w:val="14"/>
          <w:szCs w:val="14"/>
          <w:color w:val="auto"/>
        </w:rPr>
        <w:t>Subject to provisions in each Indenture relating to its duties in case an Event of Default shall have occurred and be continuing, no Trustee will be under an obligation to exercise any of its rights or powers under that Indenture at the request or direction of any holders of debt securities then outstanding under that Indenture, unless such holders shall have offered to the applicable Trustee reasonable indemnity. In general, such reasonable indemnity is provided, the holders of a majority in aggregate principal amount of the outstanding debt securities of any series will have the right to direct the time, method and place of conducting any proceeding for any remedy available to the applicable Trustee or exercising any power conferred on the applicable Trustee for any series of debt securities.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6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178" w:lineRule="exact"/>
        <w:rPr>
          <w:sz w:val="20"/>
          <w:szCs w:val="20"/>
          <w:color w:val="auto"/>
        </w:rPr>
      </w:pPr>
    </w:p>
    <w:p>
      <w:pPr>
        <w:jc w:val="both"/>
        <w:ind w:firstLine="253"/>
        <w:spacing w:after="0" w:line="257" w:lineRule="auto"/>
        <w:rPr>
          <w:sz w:val="20"/>
          <w:szCs w:val="20"/>
          <w:color w:val="auto"/>
        </w:rPr>
      </w:pPr>
      <w:r>
        <w:rPr>
          <w:rFonts w:ascii="Times New Roman" w:cs="Times New Roman" w:eastAsia="Times New Roman" w:hAnsi="Times New Roman"/>
          <w:sz w:val="14"/>
          <w:szCs w:val="14"/>
          <w:color w:val="auto"/>
        </w:rPr>
        <w:t>When we use the term “defeasance,” we mean a discharge from some or all of our obligations under the applicable Indenture. We may choose to either discharge our obligations on the debt securities of any series in a legal defeasance or to be released from covenant restrictions on the debt securities of any series in a covenant defeasance. We may do so at any time after we deposit with the applicable trustee sufficient cash or government securities to pay the principal, any interest or premium and any other sums due on the stated maturity date or a redemption date of the debt securities of the series. If we choose the legal defeasance option, the holders of the debt securities of the series will not be entitled to the benefits of the applicable Indenture, except for certain obligations, including obligations to register the transfer or exchange of debt securities, to replace lost, stolen or mutilated debt securities, to pay principal and any premium or interest on the originally-stated due dates and certain other obligations set forth in the Indenture.</w:t>
      </w:r>
    </w:p>
    <w:p>
      <w:pPr>
        <w:spacing w:after="0" w:line="144" w:lineRule="exact"/>
        <w:rPr>
          <w:sz w:val="20"/>
          <w:szCs w:val="20"/>
          <w:color w:val="auto"/>
        </w:rPr>
      </w:pPr>
    </w:p>
    <w:p>
      <w:pPr>
        <w:jc w:val="both"/>
        <w:ind w:firstLine="253"/>
        <w:spacing w:after="0" w:line="259" w:lineRule="auto"/>
        <w:rPr>
          <w:sz w:val="20"/>
          <w:szCs w:val="20"/>
          <w:color w:val="auto"/>
        </w:rPr>
      </w:pPr>
      <w:r>
        <w:rPr>
          <w:rFonts w:ascii="Times New Roman" w:cs="Times New Roman" w:eastAsia="Times New Roman" w:hAnsi="Times New Roman"/>
          <w:sz w:val="14"/>
          <w:szCs w:val="14"/>
          <w:color w:val="auto"/>
        </w:rPr>
        <w:t>We may discharge our obligations under the Indentures or be released from covenant restrictions only if we meet certain requirements. Among other things, we must deliver to the trustee an opinion of our legal counsel to the effect that holders of the series of debt securities will not recognize income, gain or loss for U.S. federal income tax purposes as a result of such defeasance and will be subject to U.S. federal income tax on the same amount and in the same manner and at the same times as would have been the case if such deposit and defeasance had not occurred. In the case of legal defeasance only, this opinion must be based on either a ruling received from or published by the Internal Revenue Service or a change in U.S. federal income tax law since the date of the Indenture. No Event of Default with respect to the debt securities discharged shall have occurred or be continuing on the date of the deposit in furtherance of defeasance.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Subordination</w:t>
      </w:r>
    </w:p>
    <w:p>
      <w:pPr>
        <w:spacing w:after="0" w:line="178" w:lineRule="exact"/>
        <w:rPr>
          <w:sz w:val="20"/>
          <w:szCs w:val="20"/>
          <w:color w:val="auto"/>
        </w:rPr>
      </w:pPr>
    </w:p>
    <w:p>
      <w:pPr>
        <w:jc w:val="both"/>
        <w:ind w:firstLine="253"/>
        <w:spacing w:after="0" w:line="256" w:lineRule="auto"/>
        <w:rPr>
          <w:sz w:val="20"/>
          <w:szCs w:val="20"/>
          <w:color w:val="auto"/>
        </w:rPr>
      </w:pPr>
      <w:r>
        <w:rPr>
          <w:rFonts w:ascii="Times New Roman" w:cs="Times New Roman" w:eastAsia="Times New Roman" w:hAnsi="Times New Roman"/>
          <w:sz w:val="14"/>
          <w:szCs w:val="14"/>
          <w:color w:val="auto"/>
        </w:rPr>
        <w:t>Debt securities of a series issued under the Subordinated Indenture may be subordinated to our “Senior Indebtedness,” which we define generally as money borrowed, including guarantees, by us, including all money borrowed under our then-current credit facility, or, if applicable to any series of outstanding debt securities, by our subsidiaries and guaranteed by us that is not expressly subordinate or junior in right of payment to any of our or, if applicable, any of our subsidiary’s other indebtedness. Subordinated debt securities will be subordinate in right of payment, to the extent and in the manner set forth in the Indenture, the related supplemental indenture and the prospectus supplement relating to such series, to the prior payment of all of our indebtedness and, if applicable, that of any of our subsidiaries that is designated as “Senior Indebtedness” with respect to the series. Under any Subordinated Indenture, payment of the principal, interest and premium, if any, on the subordinated debt securities will generally be subordinated and junior in right of payment to the prior payment in full of all Senior Indebtedness. The Subordinated Indenture will provide that no payment of principal, interest and any premium on the subordinated debt securities may be made in the event:</w:t>
      </w:r>
    </w:p>
    <w:p>
      <w:pPr>
        <w:spacing w:after="0" w:line="145" w:lineRule="exact"/>
        <w:rPr>
          <w:sz w:val="20"/>
          <w:szCs w:val="20"/>
          <w:color w:val="auto"/>
        </w:rPr>
      </w:pPr>
    </w:p>
    <w:p>
      <w:pPr>
        <w:ind w:left="760" w:hanging="251"/>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any insolvency, bankruptcy or similar proceeding involving us or our property until payment in full of the Senior Indebtedness; or</w:t>
      </w:r>
    </w:p>
    <w:p>
      <w:pPr>
        <w:spacing w:after="0" w:line="175" w:lineRule="exact"/>
        <w:rPr>
          <w:rFonts w:ascii="Times New Roman" w:cs="Times New Roman" w:eastAsia="Times New Roman" w:hAnsi="Times New Roman"/>
          <w:sz w:val="14"/>
          <w:szCs w:val="14"/>
          <w:color w:val="auto"/>
        </w:rPr>
      </w:pPr>
    </w:p>
    <w:p>
      <w:pPr>
        <w:ind w:left="760" w:hanging="251"/>
        <w:spacing w:after="0" w:line="283" w:lineRule="auto"/>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pay the principal, interest, premium, if any, or any other amounts on any Senior Indebtedness when due or during the continuance of certain defaults on any Senior Indebtedness unless such payments are approved by the representatives of all forms of the Senior Indebtedness.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Any Subordinated Indenture will not limit the amount of Senior Indebtedness that we may incur.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Personal Liability of Officers, Directors, Employees or Stockholders</w:t>
      </w:r>
    </w:p>
    <w:p>
      <w:pPr>
        <w:spacing w:after="0" w:line="178" w:lineRule="exact"/>
        <w:rPr>
          <w:sz w:val="20"/>
          <w:szCs w:val="20"/>
          <w:color w:val="auto"/>
        </w:rPr>
      </w:pPr>
    </w:p>
    <w:p>
      <w:pPr>
        <w:ind w:firstLine="253"/>
        <w:spacing w:after="0" w:line="283" w:lineRule="auto"/>
        <w:rPr>
          <w:sz w:val="20"/>
          <w:szCs w:val="20"/>
          <w:color w:val="auto"/>
        </w:rPr>
      </w:pPr>
      <w:r>
        <w:rPr>
          <w:rFonts w:ascii="Times New Roman" w:cs="Times New Roman" w:eastAsia="Times New Roman" w:hAnsi="Times New Roman"/>
          <w:sz w:val="14"/>
          <w:szCs w:val="14"/>
          <w:color w:val="auto"/>
        </w:rPr>
        <w:t>No director, officer, employee or stockholder, as such, of ours or any of our affiliates shall have any personal liability in respect of our obligations under any Indenture or the debt securities by reason of his, her or its status as such.</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65"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8" w:lineRule="exact"/>
        <w:rPr>
          <w:sz w:val="20"/>
          <w:szCs w:val="20"/>
          <w:color w:val="auto"/>
        </w:rPr>
      </w:pPr>
    </w:p>
    <w:p>
      <w:pPr>
        <w:jc w:val="both"/>
        <w:ind w:firstLine="253"/>
        <w:spacing w:after="0" w:line="261" w:lineRule="auto"/>
        <w:rPr>
          <w:sz w:val="20"/>
          <w:szCs w:val="20"/>
          <w:color w:val="auto"/>
        </w:rPr>
      </w:pPr>
      <w:r>
        <w:rPr>
          <w:rFonts w:ascii="Times New Roman" w:cs="Times New Roman" w:eastAsia="Times New Roman" w:hAnsi="Times New Roman"/>
          <w:sz w:val="14"/>
          <w:szCs w:val="14"/>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applicable prospectus supplement will describe the following terms of any warrants in respect of which this prospectus is being delivered:</w:t>
      </w:r>
    </w:p>
    <w:p>
      <w:pPr>
        <w:spacing w:after="0" w:line="176" w:lineRule="exact"/>
        <w:rPr>
          <w:sz w:val="20"/>
          <w:szCs w:val="20"/>
          <w:color w:val="auto"/>
        </w:rPr>
      </w:pPr>
    </w:p>
    <w:p>
      <w:pPr>
        <w:ind w:left="260" w:hanging="256"/>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warrants;</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such warrants;</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warrants will be issued;</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 which the price of such warrants will be payable;</w:t>
      </w:r>
    </w:p>
    <w:p>
      <w:pPr>
        <w:spacing w:after="0" w:line="175" w:lineRule="exact"/>
        <w:rPr>
          <w:rFonts w:ascii="Times New Roman" w:cs="Times New Roman" w:eastAsia="Times New Roman" w:hAnsi="Times New Roman"/>
          <w:sz w:val="14"/>
          <w:szCs w:val="14"/>
          <w:color w:val="auto"/>
        </w:rPr>
      </w:pPr>
    </w:p>
    <w:p>
      <w:pPr>
        <w:ind w:left="260" w:hanging="256"/>
        <w:spacing w:after="0" w:line="283"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2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and the currency or currencies in which the securities or other rights purchasable upon exercise of such warrants may be purchased;</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warrants shall commence and the date on which such right shall expire;</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warrants which may be exercised at any one time;</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such warrants are issued and the number of such warrants issued with each such security;</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such warrants and the related securities will be separately transferable;</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any material United States Federal income tax considerations; and</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warrants, including terms, procedures and limitations relating to the exchange and exercise of such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65"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may sell securities:</w:t>
      </w:r>
    </w:p>
    <w:p>
      <w:pPr>
        <w:spacing w:after="0" w:line="197" w:lineRule="exact"/>
        <w:rPr>
          <w:sz w:val="20"/>
          <w:szCs w:val="20"/>
          <w:color w:val="auto"/>
        </w:rPr>
      </w:pPr>
    </w:p>
    <w:p>
      <w:pPr>
        <w:ind w:left="260" w:hanging="256"/>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w:t>
      </w:r>
    </w:p>
    <w:p>
      <w:pPr>
        <w:spacing w:after="0" w:line="21"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dealers;</w:t>
      </w:r>
    </w:p>
    <w:p>
      <w:pPr>
        <w:spacing w:after="0" w:line="7"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7"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or</w:t>
      </w:r>
    </w:p>
    <w:p>
      <w:pPr>
        <w:spacing w:after="0" w:line="7"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61" w:lineRule="exact"/>
        <w:rPr>
          <w:sz w:val="20"/>
          <w:szCs w:val="20"/>
          <w:color w:val="auto"/>
        </w:rPr>
      </w:pPr>
    </w:p>
    <w:p>
      <w:pPr>
        <w:jc w:val="both"/>
        <w:ind w:firstLine="253"/>
        <w:spacing w:after="0" w:line="283" w:lineRule="auto"/>
        <w:rPr>
          <w:sz w:val="20"/>
          <w:szCs w:val="20"/>
          <w:color w:val="auto"/>
        </w:rPr>
      </w:pPr>
      <w:r>
        <w:rPr>
          <w:rFonts w:ascii="Times New Roman" w:cs="Times New Roman" w:eastAsia="Times New Roman" w:hAnsi="Times New Roman"/>
          <w:sz w:val="14"/>
          <w:szCs w:val="14"/>
          <w:color w:val="auto"/>
        </w:rPr>
        <w:t>In addition, we may issue the securities as a dividend or distribution to our existing security holders. This prospectus may be used in connection with any offering of our securities through any of these methods or other methods described in the applicable prospectus supplement.</w:t>
      </w:r>
    </w:p>
    <w:p>
      <w:pPr>
        <w:spacing w:after="0" w:line="125" w:lineRule="exact"/>
        <w:rPr>
          <w:sz w:val="20"/>
          <w:szCs w:val="20"/>
          <w:color w:val="auto"/>
        </w:rPr>
      </w:pPr>
    </w:p>
    <w:p>
      <w:pPr>
        <w:jc w:val="both"/>
        <w:ind w:firstLine="253"/>
        <w:spacing w:after="0" w:line="267" w:lineRule="auto"/>
        <w:rPr>
          <w:sz w:val="20"/>
          <w:szCs w:val="20"/>
          <w:color w:val="auto"/>
        </w:rPr>
      </w:pPr>
      <w:r>
        <w:rPr>
          <w:rFonts w:ascii="Times New Roman" w:cs="Times New Roman" w:eastAsia="Times New Roman" w:hAnsi="Times New Roman"/>
          <w:sz w:val="14"/>
          <w:szCs w:val="14"/>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distribution of the securities may be effected from time to time in one or more transactions:</w:t>
      </w:r>
    </w:p>
    <w:p>
      <w:pPr>
        <w:spacing w:after="0" w:line="176" w:lineRule="exact"/>
        <w:rPr>
          <w:sz w:val="20"/>
          <w:szCs w:val="20"/>
          <w:color w:val="auto"/>
        </w:rPr>
      </w:pPr>
    </w:p>
    <w:p>
      <w:pPr>
        <w:ind w:left="260" w:hanging="256"/>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 from time to time;</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5"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supplement will describe the method of distribution of the securities and any applicable restrictions.</w:t>
      </w:r>
    </w:p>
    <w:p>
      <w:pPr>
        <w:spacing w:after="0" w:line="175"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prospectus supplement with respect to the securities of a particular series will describe the terms of the offering of the securities, including the following:</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agent or any underwriters;</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or purchase price and the proceeds we will receive from the sale of the securities;</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re-allowed or paid to the agent or underwriters;</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items constituting underwriting compensation;</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re-allowed or paid to dealers; and</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exchanges on which the securities will be listed.</w:t>
      </w:r>
    </w:p>
    <w:p>
      <w:pPr>
        <w:spacing w:after="0" w:line="176" w:lineRule="exact"/>
        <w:rPr>
          <w:sz w:val="20"/>
          <w:szCs w:val="20"/>
          <w:color w:val="auto"/>
        </w:rPr>
      </w:pPr>
    </w:p>
    <w:p>
      <w:pPr>
        <w:ind w:firstLine="253"/>
        <w:spacing w:after="0" w:line="283" w:lineRule="auto"/>
        <w:rPr>
          <w:sz w:val="20"/>
          <w:szCs w:val="20"/>
          <w:color w:val="auto"/>
        </w:rPr>
      </w:pPr>
      <w:r>
        <w:rPr>
          <w:rFonts w:ascii="Times New Roman" w:cs="Times New Roman" w:eastAsia="Times New Roman" w:hAnsi="Times New Roman"/>
          <w:sz w:val="14"/>
          <w:szCs w:val="14"/>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25" w:lineRule="exact"/>
        <w:rPr>
          <w:sz w:val="20"/>
          <w:szCs w:val="20"/>
          <w:color w:val="auto"/>
        </w:rPr>
      </w:pPr>
    </w:p>
    <w:p>
      <w:pPr>
        <w:ind w:firstLine="253"/>
        <w:spacing w:after="0" w:line="283" w:lineRule="auto"/>
        <w:rPr>
          <w:sz w:val="20"/>
          <w:szCs w:val="20"/>
          <w:color w:val="auto"/>
        </w:rPr>
      </w:pPr>
      <w:r>
        <w:rPr>
          <w:rFonts w:ascii="Times New Roman" w:cs="Times New Roman" w:eastAsia="Times New Roman" w:hAnsi="Times New Roman"/>
          <w:sz w:val="14"/>
          <w:szCs w:val="14"/>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65" w:right="319" w:bottom="1440" w:gutter="0" w:footer="0" w:header="0"/>
        </w:sectPr>
      </w:pPr>
    </w:p>
    <w:bookmarkStart w:id="14" w:name="page15"/>
    <w:bookmarkEnd w:id="14"/>
    <w:p>
      <w:pPr>
        <w:ind w:left="47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Legal matters in connection with this offering, including the validity of the offered securities, are being passed upon for us by Norton Rose Fulbright US LLP.</w:t>
      </w:r>
    </w:p>
    <w:p>
      <w:pPr>
        <w:spacing w:after="0" w:line="18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13970</wp:posOffset>
            </wp:positionV>
            <wp:extent cx="716280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9839"/>
          </w:cols>
          <w:pgMar w:left="620" w:top="544"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8" w:lineRule="exact"/>
        <w:rPr>
          <w:sz w:val="20"/>
          <w:szCs w:val="20"/>
          <w:color w:val="auto"/>
        </w:rPr>
      </w:pPr>
    </w:p>
    <w:p>
      <w:pPr>
        <w:jc w:val="both"/>
        <w:ind w:firstLine="253"/>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of IES Holdings, Inc. and subsidiaries appearing in IES Holdings, Inc.’s Annual Report (Form 10-K) for the year ended September 30, 2025, and the effectiveness of IES Holdings, Inc. and subsidiaries’ internal control over financial reporting as of September 30,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8" w:lineRule="exact"/>
        <w:rPr>
          <w:sz w:val="20"/>
          <w:szCs w:val="20"/>
          <w:color w:val="auto"/>
        </w:rPr>
      </w:pPr>
    </w:p>
    <w:p>
      <w:pPr>
        <w:jc w:val="both"/>
        <w:ind w:firstLine="253"/>
        <w:spacing w:after="0" w:line="259"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an Internet site at http://www.sec.gov that contains reports, proxy and information statements and other information we have filed electronically with the SEC. In addition, we maintain a website where you can find additional information. The address of our website is www.ies-co.com. All internet addresses provided in this prospectus or in any accompanying prospectus supplement are for informational purposes only and are not intended to be hyperlinks. In addition, the information on our website, or any other website described herein, is not a part of, and is not incorporated or deemed to be incorporated by reference in, this prospectus or any accompanying prospectus supplement or other offering material.</w:t>
      </w:r>
    </w:p>
    <w:p>
      <w:pPr>
        <w:spacing w:after="0" w:line="141" w:lineRule="exact"/>
        <w:rPr>
          <w:sz w:val="20"/>
          <w:szCs w:val="20"/>
          <w:color w:val="auto"/>
        </w:rPr>
      </w:pPr>
    </w:p>
    <w:p>
      <w:pPr>
        <w:ind w:right="120" w:firstLine="379"/>
        <w:spacing w:after="0" w:line="267" w:lineRule="auto"/>
        <w:rPr>
          <w:sz w:val="20"/>
          <w:szCs w:val="20"/>
          <w:color w:val="auto"/>
        </w:rPr>
      </w:pPr>
      <w:r>
        <w:rPr>
          <w:rFonts w:ascii="Times New Roman" w:cs="Times New Roman" w:eastAsia="Times New Roman" w:hAnsi="Times New Roman"/>
          <w:sz w:val="14"/>
          <w:szCs w:val="14"/>
          <w:color w:val="auto"/>
        </w:rPr>
        <w:t>We have filed a registration statement, of which this prospectus is a part, covering the securities offered hereby. As allowed by SEC rules, this prospectus does not contain all of the information set forth in the registration statement and the exhibits thereto. We refer you to the registration statement and the exhibits thereto for further information. This prospectus is qualified in its entirety by such other information.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78" w:lineRule="exact"/>
        <w:rPr>
          <w:sz w:val="20"/>
          <w:szCs w:val="20"/>
          <w:color w:val="auto"/>
        </w:rPr>
      </w:pPr>
    </w:p>
    <w:p>
      <w:pPr>
        <w:jc w:val="both"/>
        <w:ind w:firstLine="253"/>
        <w:spacing w:after="0" w:line="259"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we file pursuant to Section 13(a), 13(c), 14, or 15(d) of the Securities Exchange Act of 1934, as amended (the “Exchange Act”), on or after the date of this prospectus and prior to the termination of the offering under this prospectus and any prospectus supplement (other than, in each case, documents or information deemed to have been furnished and not filed in accordance with SEC rules):</w:t>
      </w:r>
    </w:p>
    <w:p>
      <w:pPr>
        <w:spacing w:after="0" w:line="141" w:lineRule="exact"/>
        <w:rPr>
          <w:sz w:val="20"/>
          <w:szCs w:val="20"/>
          <w:color w:val="auto"/>
        </w:rPr>
      </w:pPr>
    </w:p>
    <w:p>
      <w:pPr>
        <w:ind w:left="260" w:hanging="256"/>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3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September 30, 2025, filed with the SEC on November 21, 2025 (the “Annual Report on Form 10-K”);</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Reports on Form 10-Q, filed with the SEC on </w:t>
      </w:r>
      <w:hyperlink r:id="rId40">
        <w:r>
          <w:rPr>
            <w:rFonts w:ascii="Times New Roman" w:cs="Times New Roman" w:eastAsia="Times New Roman" w:hAnsi="Times New Roman"/>
            <w:sz w:val="14"/>
            <w:szCs w:val="14"/>
            <w:u w:val="single" w:color="auto"/>
            <w:color w:val="0000EE"/>
          </w:rPr>
          <w:t>January 30,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41">
        <w:r>
          <w:rPr>
            <w:rFonts w:ascii="Times New Roman" w:cs="Times New Roman" w:eastAsia="Times New Roman" w:hAnsi="Times New Roman"/>
            <w:sz w:val="14"/>
            <w:szCs w:val="14"/>
            <w:u w:val="single" w:color="auto"/>
            <w:color w:val="0000EE"/>
          </w:rPr>
          <w:t>May 1, 2026</w:t>
        </w:r>
      </w:hyperlink>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42">
        <w:r>
          <w:rPr>
            <w:rFonts w:ascii="Times New Roman" w:cs="Times New Roman" w:eastAsia="Times New Roman" w:hAnsi="Times New Roman"/>
            <w:sz w:val="14"/>
            <w:szCs w:val="14"/>
            <w:u w:val="single" w:color="auto"/>
            <w:color w:val="0000EE"/>
          </w:rPr>
          <w:t>November 12,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43">
        <w:r>
          <w:rPr>
            <w:rFonts w:ascii="Times New Roman" w:cs="Times New Roman" w:eastAsia="Times New Roman" w:hAnsi="Times New Roman"/>
            <w:sz w:val="14"/>
            <w:szCs w:val="14"/>
            <w:u w:val="single" w:color="auto"/>
            <w:color w:val="0000EE"/>
          </w:rPr>
          <w:t>February 20, 2026</w:t>
        </w:r>
      </w:hyperlink>
      <w:r>
        <w:rPr>
          <w:rFonts w:ascii="Times New Roman" w:cs="Times New Roman" w:eastAsia="Times New Roman" w:hAnsi="Times New Roman"/>
          <w:sz w:val="14"/>
          <w:szCs w:val="14"/>
          <w:color w:val="auto"/>
        </w:rPr>
        <w:t>; and</w:t>
      </w:r>
    </w:p>
    <w:p>
      <w:pPr>
        <w:spacing w:after="0" w:line="175" w:lineRule="exact"/>
        <w:rPr>
          <w:rFonts w:ascii="Times New Roman" w:cs="Times New Roman" w:eastAsia="Times New Roman" w:hAnsi="Times New Roman"/>
          <w:sz w:val="14"/>
          <w:szCs w:val="14"/>
          <w:color w:val="auto"/>
        </w:rPr>
      </w:pPr>
    </w:p>
    <w:p>
      <w:pPr>
        <w:ind w:left="260" w:hanging="256"/>
        <w:spacing w:after="0" w:line="283"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our Definitive Proxy Statement on Schedule 14A filed with the SEC on </w:t>
      </w:r>
      <w:hyperlink r:id="rId44">
        <w:r>
          <w:rPr>
            <w:rFonts w:ascii="Times New Roman" w:cs="Times New Roman" w:eastAsia="Times New Roman" w:hAnsi="Times New Roman"/>
            <w:sz w:val="14"/>
            <w:szCs w:val="14"/>
            <w:u w:val="single" w:color="auto"/>
            <w:color w:val="0000EE"/>
          </w:rPr>
          <w:t>January 7,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our Definitive Proxy Statement Supplement filed on </w:t>
      </w:r>
      <w:hyperlink r:id="rId45">
        <w:r>
          <w:rPr>
            <w:rFonts w:ascii="Times New Roman" w:cs="Times New Roman" w:eastAsia="Times New Roman" w:hAnsi="Times New Roman"/>
            <w:sz w:val="14"/>
            <w:szCs w:val="14"/>
            <w:u w:val="single" w:color="auto"/>
            <w:color w:val="0000EE"/>
          </w:rPr>
          <w:t>February 3, 2026</w:t>
        </w:r>
      </w:hyperlink>
      <w:r>
        <w:rPr>
          <w:rFonts w:ascii="Times New Roman" w:cs="Times New Roman" w:eastAsia="Times New Roman" w:hAnsi="Times New Roman"/>
          <w:sz w:val="14"/>
          <w:szCs w:val="14"/>
          <w:color w:val="auto"/>
        </w:rPr>
        <w:t>, that are incorporated by reference into our annual report on Form 10-K for the fiscal year ended September 30, 2025.</w:t>
      </w:r>
    </w:p>
    <w:p>
      <w:pPr>
        <w:spacing w:after="0" w:line="125" w:lineRule="exact"/>
        <w:rPr>
          <w:rFonts w:ascii="Times New Roman" w:cs="Times New Roman" w:eastAsia="Times New Roman" w:hAnsi="Times New Roman"/>
          <w:sz w:val="14"/>
          <w:szCs w:val="14"/>
          <w:color w:val="auto"/>
        </w:rPr>
      </w:pPr>
    </w:p>
    <w:p>
      <w:pPr>
        <w:jc w:val="both"/>
        <w:ind w:firstLine="316"/>
        <w:spacing w:after="0" w:line="261"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copy of this prospectus is delivered, a copy of any or all of the information that has been incorporated by reference in this prospectus but not delivered with this prospectus (other than the exhibits to such documents which are not specifically incorporated by reference therein); we will provide this information at no cost to the requester upon written or oral request to the Company’s Corporate Secretary, 13131 Dairy Ashford Rd, Suite 500, Sugar Land, Texas 77478; Tel.: (713) 860-1500; E-mail: investor.relations@ies-co.com.</w:t>
      </w:r>
    </w:p>
    <w:p>
      <w:pPr>
        <w:spacing w:after="0" w:line="141"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5"/>
        </w:trPr>
        <w:tc>
          <w:tcPr>
            <w:tcW w:w="9260" w:type="dxa"/>
            <w:vAlign w:val="bottom"/>
          </w:tcPr>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7"/>
        </w:trPr>
        <w:tc>
          <w:tcPr>
            <w:tcW w:w="9260" w:type="dxa"/>
            <w:vAlign w:val="bottom"/>
          </w:tcPr>
          <w:p>
            <w:pPr>
              <w:ind w:left="398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7"/>
        </w:trPr>
        <w:tc>
          <w:tcPr>
            <w:tcW w:w="9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Item 14. </w:t>
            </w:r>
            <w:r>
              <w:rPr>
                <w:rFonts w:ascii="Times New Roman" w:cs="Times New Roman" w:eastAsia="Times New Roman" w:hAnsi="Times New Roman"/>
                <w:sz w:val="14"/>
                <w:szCs w:val="14"/>
                <w:b w:val="1"/>
                <w:bCs w:val="1"/>
                <w:i w:val="1"/>
                <w:iCs w:val="1"/>
                <w:color w:val="auto"/>
              </w:rPr>
              <w:t>Other Expenses of Issuance and Distribution</w:t>
            </w: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7"/>
        </w:trPr>
        <w:tc>
          <w:tcPr>
            <w:tcW w:w="9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costs and expenses payable by the Registrant in connection with the sale of the securities being registered hereby.</w:t>
            </w: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0"/>
        </w:trPr>
        <w:tc>
          <w:tcPr>
            <w:tcW w:w="9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 to Be</w:t>
            </w:r>
          </w:p>
        </w:tc>
      </w:tr>
      <w:tr>
        <w:trPr>
          <w:trHeight w:val="185"/>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159"/>
        </w:trPr>
        <w:tc>
          <w:tcPr>
            <w:tcW w:w="92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Registration fee</w:t>
            </w:r>
          </w:p>
        </w:tc>
        <w:tc>
          <w:tcPr>
            <w:tcW w:w="300" w:type="dxa"/>
            <w:vAlign w:val="bottom"/>
            <w:tcBorders>
              <w:top w:val="single" w:sz="8" w:color="auto"/>
            </w:tcBorders>
            <w:shd w:val="clear" w:color="auto" w:fill="CCEEFF"/>
          </w:tcPr>
          <w:p>
            <w:pPr>
              <w:jc w:val="right"/>
              <w:ind w:right="1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r>
      <w:tr>
        <w:trPr>
          <w:trHeight w:val="168"/>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Printing</w:t>
            </w:r>
          </w:p>
        </w:tc>
        <w:tc>
          <w:tcPr>
            <w:tcW w:w="30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 (including Blue Sky fees)</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30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3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9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b w:val="1"/>
                <w:bCs w:val="1"/>
                <w:color w:val="auto"/>
              </w:rPr>
              <w:t xml:space="preserve">       </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716280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155" w:lineRule="exact"/>
        <w:rPr>
          <w:sz w:val="20"/>
          <w:szCs w:val="20"/>
          <w:color w:val="auto"/>
        </w:rPr>
      </w:pPr>
    </w:p>
    <w:p>
      <w:pPr>
        <w:ind w:left="260" w:hanging="256"/>
        <w:spacing w:after="0" w:line="283"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Omitted because the registration fee is being deferred pursuant to Rules 456(b) and 457(r) of the Securities Act and will be paid at the time of any particular offering of securities under this registration statement, and is therefore not estimable at this time.</w:t>
      </w:r>
    </w:p>
    <w:p>
      <w:pPr>
        <w:spacing w:after="0" w:line="125" w:lineRule="exact"/>
        <w:rPr>
          <w:sz w:val="20"/>
          <w:szCs w:val="20"/>
          <w:color w:val="auto"/>
        </w:rPr>
      </w:pPr>
    </w:p>
    <w:p>
      <w:pPr>
        <w:ind w:left="260" w:hanging="256"/>
        <w:spacing w:after="0" w:line="283" w:lineRule="auto"/>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Omitted because estimates are not currently available, as these fees and expenses are incurred in connection with the issuance of securities and will vary based on the securities offered and the number of issuances. The estimated aggregate expenses of any offering will be set forth in the applicable prospectus supplement.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15. </w:t>
      </w:r>
      <w:r>
        <w:rPr>
          <w:rFonts w:ascii="Times New Roman" w:cs="Times New Roman" w:eastAsia="Times New Roman" w:hAnsi="Times New Roman"/>
          <w:sz w:val="14"/>
          <w:szCs w:val="14"/>
          <w:b w:val="1"/>
          <w:bCs w:val="1"/>
          <w:i w:val="1"/>
          <w:iCs w:val="1"/>
          <w:color w:val="auto"/>
        </w:rPr>
        <w:t>Indemnification of Directors and Officers</w:t>
      </w:r>
    </w:p>
    <w:p>
      <w:pPr>
        <w:spacing w:after="0" w:line="178" w:lineRule="exact"/>
        <w:rPr>
          <w:sz w:val="20"/>
          <w:szCs w:val="20"/>
          <w:color w:val="auto"/>
        </w:rPr>
      </w:pPr>
    </w:p>
    <w:p>
      <w:pPr>
        <w:jc w:val="both"/>
        <w:ind w:firstLine="253"/>
        <w:spacing w:after="0" w:line="259" w:lineRule="auto"/>
        <w:rPr>
          <w:sz w:val="20"/>
          <w:szCs w:val="20"/>
          <w:color w:val="auto"/>
        </w:rPr>
      </w:pPr>
      <w:r>
        <w:rPr>
          <w:rFonts w:ascii="Times New Roman" w:cs="Times New Roman" w:eastAsia="Times New Roman" w:hAnsi="Times New Roman"/>
          <w:sz w:val="14"/>
          <w:szCs w:val="14"/>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Section 11 of the Registrant’s Bylaws provides for indemnification by the Registrant of its directors, officers and employees to the fullest extent permitted by the Delaware General Corporation Law.</w:t>
      </w:r>
    </w:p>
    <w:p>
      <w:pPr>
        <w:spacing w:after="0" w:line="141" w:lineRule="exact"/>
        <w:rPr>
          <w:sz w:val="20"/>
          <w:szCs w:val="20"/>
          <w:color w:val="auto"/>
        </w:rPr>
      </w:pPr>
    </w:p>
    <w:p>
      <w:pPr>
        <w:jc w:val="both"/>
        <w:ind w:firstLine="253"/>
        <w:spacing w:after="0" w:line="259" w:lineRule="auto"/>
        <w:rPr>
          <w:sz w:val="20"/>
          <w:szCs w:val="20"/>
          <w:color w:val="auto"/>
        </w:rPr>
      </w:pPr>
      <w:r>
        <w:rPr>
          <w:rFonts w:ascii="Times New Roman" w:cs="Times New Roman" w:eastAsia="Times New Roman" w:hAnsi="Times New Roman"/>
          <w:sz w:val="14"/>
          <w:szCs w:val="14"/>
          <w:color w:val="auto"/>
        </w:rPr>
        <w:t>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a director for unlawful payments of dividends or unlawful stock repurchases, redemptions or other distributions, (iv) for any transaction from which the director or officer derived an improper personal benefit or (v) for an officer in any action by or in the right of the corporation. The Registrant’s Certificate of Incorporation provides for such limitation of liability.</w:t>
      </w:r>
    </w:p>
    <w:p>
      <w:pPr>
        <w:spacing w:after="0" w:line="141" w:lineRule="exact"/>
        <w:rPr>
          <w:sz w:val="20"/>
          <w:szCs w:val="20"/>
          <w:color w:val="auto"/>
        </w:rPr>
      </w:pPr>
    </w:p>
    <w:p>
      <w:pPr>
        <w:jc w:val="both"/>
        <w:ind w:firstLine="253"/>
        <w:spacing w:after="0" w:line="267" w:lineRule="auto"/>
        <w:rPr>
          <w:sz w:val="20"/>
          <w:szCs w:val="20"/>
          <w:color w:val="auto"/>
        </w:rPr>
      </w:pPr>
      <w:r>
        <w:rPr>
          <w:rFonts w:ascii="Times New Roman" w:cs="Times New Roman" w:eastAsia="Times New Roman" w:hAnsi="Times New Roman"/>
          <w:sz w:val="14"/>
          <w:szCs w:val="14"/>
          <w:color w:val="auto"/>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36" w:lineRule="exact"/>
        <w:rPr>
          <w:sz w:val="20"/>
          <w:szCs w:val="20"/>
          <w:color w:val="auto"/>
        </w:rPr>
      </w:pPr>
    </w:p>
    <w:p>
      <w:pPr>
        <w:jc w:val="both"/>
        <w:ind w:firstLine="253"/>
        <w:spacing w:after="0" w:line="283" w:lineRule="auto"/>
        <w:rPr>
          <w:sz w:val="20"/>
          <w:szCs w:val="20"/>
          <w:color w:val="auto"/>
        </w:rPr>
      </w:pPr>
      <w:r>
        <w:rPr>
          <w:rFonts w:ascii="Times New Roman" w:cs="Times New Roman" w:eastAsia="Times New Roman" w:hAnsi="Times New Roman"/>
          <w:sz w:val="14"/>
          <w:szCs w:val="14"/>
          <w:color w:val="auto"/>
        </w:rPr>
        <w:t>The proposed forms of Underwriting Agreement filed as Exhibit 1.1 to this Registration Statement provide for indemnification of directors and officers of the Registrant by the underwriters against certain liabilities.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6280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 xml:space="preserve">Item 16. </w:t>
      </w:r>
      <w:r>
        <w:rPr>
          <w:rFonts w:ascii="Times New Roman" w:cs="Times New Roman" w:eastAsia="Times New Roman" w:hAnsi="Times New Roman"/>
          <w:sz w:val="14"/>
          <w:szCs w:val="14"/>
          <w:b w:val="1"/>
          <w:bCs w:val="1"/>
          <w:i w:val="1"/>
          <w:iCs w:val="1"/>
          <w:color w:val="auto"/>
        </w:rPr>
        <w:t>Exhibits and Financial Statement Schedules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The following exhibits are filed as part of this Registration Statement:</w:t>
      </w:r>
    </w:p>
    <w:p>
      <w:pPr>
        <w:spacing w:after="0" w:line="184"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6280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168"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color w:val="auto"/>
        </w:rPr>
        <w:t>Form of Underwriting Agreement.</w:t>
      </w:r>
    </w:p>
    <w:p>
      <w:pPr>
        <w:spacing w:after="0" w:line="176" w:lineRule="exact"/>
        <w:rPr>
          <w:sz w:val="20"/>
          <w:szCs w:val="20"/>
          <w:color w:val="auto"/>
        </w:rPr>
      </w:pPr>
    </w:p>
    <w:p>
      <w:pPr>
        <w:ind w:left="300"/>
        <w:spacing w:after="0"/>
        <w:tabs>
          <w:tab w:leader="none" w:pos="8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w:t>
      </w:r>
      <w:r>
        <w:rPr>
          <w:sz w:val="20"/>
          <w:szCs w:val="20"/>
          <w:color w:val="auto"/>
        </w:rPr>
        <w:tab/>
      </w:r>
      <w:hyperlink r:id="rId50">
        <w:r>
          <w:rPr>
            <w:rFonts w:ascii="Times New Roman" w:cs="Times New Roman" w:eastAsia="Times New Roman" w:hAnsi="Times New Roman"/>
            <w:sz w:val="14"/>
            <w:szCs w:val="14"/>
            <w:u w:val="single" w:color="auto"/>
            <w:color w:val="0000EE"/>
          </w:rPr>
          <w:t>Second Amended and Restated Certificate of Incorporation of IES Holdings, Inc., as amended by the Certificate of Amendment thereto, effective May 24, 2016 (composite).</w:t>
        </w:r>
      </w:hyperlink>
    </w:p>
    <w:p>
      <w:pPr>
        <w:spacing w:after="0" w:line="22" w:lineRule="exact"/>
        <w:rPr>
          <w:sz w:val="20"/>
          <w:szCs w:val="20"/>
          <w:color w:val="auto"/>
        </w:rPr>
      </w:pPr>
    </w:p>
    <w:p>
      <w:pPr>
        <w:ind w:left="860"/>
        <w:spacing w:after="0"/>
        <w:rPr>
          <w:rFonts w:ascii="Times New Roman" w:cs="Times New Roman" w:eastAsia="Times New Roman" w:hAnsi="Times New Roman"/>
          <w:sz w:val="14"/>
          <w:szCs w:val="14"/>
          <w:u w:val="single" w:color="auto"/>
          <w:color w:val="0000EE"/>
        </w:rPr>
      </w:pPr>
      <w:hyperlink r:id="rId50">
        <w:r>
          <w:rPr>
            <w:rFonts w:ascii="Times New Roman" w:cs="Times New Roman" w:eastAsia="Times New Roman" w:hAnsi="Times New Roman"/>
            <w:sz w:val="14"/>
            <w:szCs w:val="14"/>
            <w:u w:val="single" w:color="auto"/>
            <w:color w:val="0000EE"/>
          </w:rPr>
          <w:t>(Incorporated by reference to Exhibit 3.1 to the Company’s Quarterly Report on Form 10-Q filed August 8, 2016).</w:t>
        </w:r>
      </w:hyperlink>
    </w:p>
    <w:p>
      <w:pPr>
        <w:spacing w:after="0" w:line="161" w:lineRule="exact"/>
        <w:rPr>
          <w:sz w:val="20"/>
          <w:szCs w:val="20"/>
          <w:color w:val="auto"/>
        </w:rPr>
      </w:pPr>
    </w:p>
    <w:p>
      <w:pPr>
        <w:ind w:left="300"/>
        <w:spacing w:after="0"/>
        <w:tabs>
          <w:tab w:leader="none" w:pos="8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4.2</w:t>
      </w:r>
      <w:r>
        <w:rPr>
          <w:sz w:val="20"/>
          <w:szCs w:val="20"/>
          <w:color w:val="auto"/>
        </w:rPr>
        <w:tab/>
      </w:r>
      <w:hyperlink r:id="rId51">
        <w:r>
          <w:rPr>
            <w:rFonts w:ascii="Times New Roman" w:cs="Times New Roman" w:eastAsia="Times New Roman" w:hAnsi="Times New Roman"/>
            <w:sz w:val="14"/>
            <w:szCs w:val="14"/>
            <w:u w:val="single" w:color="auto"/>
            <w:color w:val="0000EE"/>
          </w:rPr>
          <w:t>Amended and Restated Bylaws of IES Holdings, Inc., effective April 28, 2021 (Incorporated by reference to Exhibit 3.3 to the Company’s Current Report on Form 8-K filed on April 30,</w:t>
        </w:r>
      </w:hyperlink>
    </w:p>
    <w:p>
      <w:pPr>
        <w:spacing w:after="0" w:line="22" w:lineRule="exact"/>
        <w:rPr>
          <w:sz w:val="20"/>
          <w:szCs w:val="20"/>
          <w:color w:val="auto"/>
        </w:rPr>
      </w:pPr>
    </w:p>
    <w:p>
      <w:pPr>
        <w:ind w:left="860"/>
        <w:spacing w:after="0"/>
        <w:rPr>
          <w:rFonts w:ascii="Times New Roman" w:cs="Times New Roman" w:eastAsia="Times New Roman" w:hAnsi="Times New Roman"/>
          <w:sz w:val="14"/>
          <w:szCs w:val="14"/>
          <w:u w:val="single" w:color="auto"/>
          <w:color w:val="0000EE"/>
        </w:rPr>
      </w:pPr>
      <w:hyperlink r:id="rId51">
        <w:r>
          <w:rPr>
            <w:rFonts w:ascii="Times New Roman" w:cs="Times New Roman" w:eastAsia="Times New Roman" w:hAnsi="Times New Roman"/>
            <w:sz w:val="14"/>
            <w:szCs w:val="14"/>
            <w:u w:val="single" w:color="auto"/>
            <w:color w:val="0000EE"/>
          </w:rPr>
          <w:t>2021).</w:t>
        </w:r>
      </w:hyperlink>
    </w:p>
    <w:p>
      <w:pPr>
        <w:spacing w:after="0" w:line="161" w:lineRule="exact"/>
        <w:rPr>
          <w:sz w:val="20"/>
          <w:szCs w:val="20"/>
          <w:color w:val="auto"/>
        </w:rPr>
      </w:pPr>
    </w:p>
    <w:p>
      <w:pPr>
        <w:ind w:left="300"/>
        <w:spacing w:after="0"/>
        <w:tabs>
          <w:tab w:leader="none" w:pos="8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4.3</w:t>
      </w:r>
      <w:r>
        <w:rPr>
          <w:sz w:val="20"/>
          <w:szCs w:val="20"/>
          <w:color w:val="auto"/>
        </w:rPr>
        <w:tab/>
      </w:r>
      <w:hyperlink r:id="rId52">
        <w:r>
          <w:rPr>
            <w:rFonts w:ascii="Times New Roman" w:cs="Times New Roman" w:eastAsia="Times New Roman" w:hAnsi="Times New Roman"/>
            <w:sz w:val="14"/>
            <w:szCs w:val="14"/>
            <w:u w:val="single" w:color="auto"/>
            <w:color w:val="0000EE"/>
          </w:rPr>
          <w:t>Specimen common stock certificate. (Incorporated by reference to Exhibit 4.1 to the Company’s Annual Report on Form 10-K filed December 9, 2016).</w:t>
        </w:r>
      </w:hyperlink>
    </w:p>
    <w:p>
      <w:pPr>
        <w:spacing w:after="0" w:line="176"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4"/>
          <w:szCs w:val="14"/>
          <w:color w:val="auto"/>
        </w:rPr>
        <w:t>4.4*</w:t>
      </w:r>
      <w:r>
        <w:rPr>
          <w:sz w:val="20"/>
          <w:szCs w:val="20"/>
          <w:color w:val="auto"/>
        </w:rPr>
        <w:tab/>
      </w:r>
      <w:r>
        <w:rPr>
          <w:rFonts w:ascii="Times New Roman" w:cs="Times New Roman" w:eastAsia="Times New Roman" w:hAnsi="Times New Roman"/>
          <w:sz w:val="13"/>
          <w:szCs w:val="13"/>
          <w:color w:val="auto"/>
        </w:rPr>
        <w:t>Form of Senior Indenture.</w:t>
      </w:r>
    </w:p>
    <w:p>
      <w:pPr>
        <w:spacing w:after="0" w:line="176"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4"/>
          <w:szCs w:val="14"/>
          <w:color w:val="auto"/>
        </w:rPr>
        <w:t>4.5*</w:t>
      </w:r>
      <w:r>
        <w:rPr>
          <w:sz w:val="20"/>
          <w:szCs w:val="20"/>
          <w:color w:val="auto"/>
        </w:rPr>
        <w:tab/>
      </w:r>
      <w:r>
        <w:rPr>
          <w:rFonts w:ascii="Times New Roman" w:cs="Times New Roman" w:eastAsia="Times New Roman" w:hAnsi="Times New Roman"/>
          <w:sz w:val="14"/>
          <w:szCs w:val="14"/>
          <w:color w:val="auto"/>
        </w:rPr>
        <w:t>Form of Senior Note.</w:t>
      </w:r>
    </w:p>
    <w:p>
      <w:pPr>
        <w:spacing w:after="0" w:line="176"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4"/>
          <w:szCs w:val="14"/>
          <w:color w:val="auto"/>
        </w:rPr>
        <w:t>4.6*</w:t>
      </w:r>
      <w:r>
        <w:rPr>
          <w:sz w:val="20"/>
          <w:szCs w:val="20"/>
          <w:color w:val="auto"/>
        </w:rPr>
        <w:tab/>
      </w:r>
      <w:r>
        <w:rPr>
          <w:rFonts w:ascii="Times New Roman" w:cs="Times New Roman" w:eastAsia="Times New Roman" w:hAnsi="Times New Roman"/>
          <w:sz w:val="13"/>
          <w:szCs w:val="13"/>
          <w:color w:val="auto"/>
        </w:rPr>
        <w:t>Form of Subordinated Indenture.</w:t>
      </w:r>
    </w:p>
    <w:p>
      <w:pPr>
        <w:spacing w:after="0" w:line="176"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4"/>
          <w:szCs w:val="14"/>
          <w:color w:val="auto"/>
        </w:rPr>
        <w:t>4.7*</w:t>
      </w:r>
      <w:r>
        <w:rPr>
          <w:sz w:val="20"/>
          <w:szCs w:val="20"/>
          <w:color w:val="auto"/>
        </w:rPr>
        <w:tab/>
      </w:r>
      <w:r>
        <w:rPr>
          <w:rFonts w:ascii="Times New Roman" w:cs="Times New Roman" w:eastAsia="Times New Roman" w:hAnsi="Times New Roman"/>
          <w:sz w:val="14"/>
          <w:szCs w:val="14"/>
          <w:color w:val="auto"/>
        </w:rPr>
        <w:t>Form of Subordinated Note.</w:t>
      </w:r>
    </w:p>
    <w:p>
      <w:pPr>
        <w:spacing w:after="0" w:line="176"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4"/>
          <w:szCs w:val="14"/>
          <w:color w:val="auto"/>
        </w:rPr>
        <w:t>4.8*</w:t>
      </w:r>
      <w:r>
        <w:rPr>
          <w:sz w:val="20"/>
          <w:szCs w:val="20"/>
          <w:color w:val="auto"/>
        </w:rPr>
        <w:tab/>
      </w:r>
      <w:r>
        <w:rPr>
          <w:rFonts w:ascii="Times New Roman" w:cs="Times New Roman" w:eastAsia="Times New Roman" w:hAnsi="Times New Roman"/>
          <w:sz w:val="13"/>
          <w:szCs w:val="13"/>
          <w:color w:val="auto"/>
        </w:rPr>
        <w:t>Form of Warrant Agreement.</w:t>
      </w:r>
    </w:p>
    <w:p>
      <w:pPr>
        <w:spacing w:after="0" w:line="176" w:lineRule="exact"/>
        <w:rPr>
          <w:sz w:val="20"/>
          <w:szCs w:val="20"/>
          <w:color w:val="auto"/>
        </w:rPr>
      </w:pPr>
    </w:p>
    <w:p>
      <w:pPr>
        <w:ind w:left="300"/>
        <w:spacing w:after="0"/>
        <w:tabs>
          <w:tab w:leader="none" w:pos="84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3"/>
          <w:szCs w:val="13"/>
          <w:u w:val="single" w:color="auto"/>
          <w:color w:val="0000EE"/>
        </w:rPr>
        <w:t>Opinion of Norton Rose Fulbright US LLP.</w:t>
      </w:r>
    </w:p>
    <w:p>
      <w:pPr>
        <w:spacing w:after="0" w:line="176"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3"/>
          <w:szCs w:val="13"/>
          <w:u w:val="single" w:color="auto"/>
          <w:color w:val="0000EE"/>
        </w:rPr>
        <w:t>Consent of Ernst &amp; Young LLP.</w:t>
      </w:r>
    </w:p>
    <w:p>
      <w:pPr>
        <w:spacing w:after="0" w:line="176"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3"/>
          <w:szCs w:val="13"/>
          <w:u w:val="single" w:color="auto"/>
          <w:color w:val="0000EE"/>
        </w:rPr>
        <w:t>Consent of Norton Rose Fulbright US LLP. (included in Exhibit 5.1).</w:t>
      </w:r>
    </w:p>
    <w:p>
      <w:pPr>
        <w:spacing w:after="0" w:line="176"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4"/>
          <w:szCs w:val="14"/>
          <w:color w:val="auto"/>
        </w:rPr>
        <w:t>24.1</w:t>
      </w:r>
      <w:r>
        <w:rPr>
          <w:sz w:val="20"/>
          <w:szCs w:val="20"/>
          <w:color w:val="auto"/>
        </w:rPr>
        <w:tab/>
      </w:r>
      <w:r>
        <w:rPr>
          <w:rFonts w:ascii="Times New Roman" w:cs="Times New Roman" w:eastAsia="Times New Roman" w:hAnsi="Times New Roman"/>
          <w:sz w:val="14"/>
          <w:szCs w:val="14"/>
          <w:u w:val="single" w:color="auto"/>
          <w:color w:val="0000EE"/>
        </w:rPr>
        <w:t>Power of Attorney (included on the signature page of the Registration Statement).</w:t>
      </w:r>
    </w:p>
    <w:p>
      <w:pPr>
        <w:spacing w:after="0" w:line="176" w:lineRule="exact"/>
        <w:rPr>
          <w:sz w:val="20"/>
          <w:szCs w:val="20"/>
          <w:color w:val="auto"/>
        </w:rPr>
      </w:pPr>
    </w:p>
    <w:p>
      <w:pPr>
        <w:ind w:left="860" w:hanging="630"/>
        <w:spacing w:after="0" w:line="283" w:lineRule="auto"/>
        <w:tabs>
          <w:tab w:leader="none" w:pos="840" w:val="left"/>
        </w:tabs>
        <w:rPr>
          <w:sz w:val="20"/>
          <w:szCs w:val="20"/>
          <w:color w:val="auto"/>
        </w:rPr>
      </w:pPr>
      <w:r>
        <w:rPr>
          <w:rFonts w:ascii="Times New Roman" w:cs="Times New Roman" w:eastAsia="Times New Roman" w:hAnsi="Times New Roman"/>
          <w:sz w:val="14"/>
          <w:szCs w:val="14"/>
          <w:color w:val="auto"/>
        </w:rPr>
        <w:t>25.1†</w:t>
      </w:r>
      <w:r>
        <w:rPr>
          <w:sz w:val="20"/>
          <w:szCs w:val="20"/>
          <w:color w:val="auto"/>
        </w:rPr>
        <w:tab/>
      </w:r>
      <w:r>
        <w:rPr>
          <w:rFonts w:ascii="Times New Roman" w:cs="Times New Roman" w:eastAsia="Times New Roman" w:hAnsi="Times New Roman"/>
          <w:sz w:val="14"/>
          <w:szCs w:val="14"/>
          <w:color w:val="auto"/>
        </w:rPr>
        <w:t>The Statement of Eligibility on Form T-1 under the Trust Indenture Act of 1939 of the Trustee under the Senior Indenture will be incorporated herein by reference from a subsequent filing in accordance with Section 305(b)(2) of the Trust Indenture Act of 1939.</w:t>
      </w:r>
    </w:p>
    <w:p>
      <w:pPr>
        <w:spacing w:after="0" w:line="125" w:lineRule="exact"/>
        <w:rPr>
          <w:sz w:val="20"/>
          <w:szCs w:val="20"/>
          <w:color w:val="auto"/>
        </w:rPr>
      </w:pPr>
    </w:p>
    <w:p>
      <w:pPr>
        <w:ind w:left="860" w:hanging="630"/>
        <w:spacing w:after="0" w:line="283" w:lineRule="auto"/>
        <w:tabs>
          <w:tab w:leader="none" w:pos="840" w:val="left"/>
        </w:tabs>
        <w:rPr>
          <w:sz w:val="20"/>
          <w:szCs w:val="20"/>
          <w:color w:val="auto"/>
        </w:rPr>
      </w:pPr>
      <w:r>
        <w:rPr>
          <w:rFonts w:ascii="Times New Roman" w:cs="Times New Roman" w:eastAsia="Times New Roman" w:hAnsi="Times New Roman"/>
          <w:sz w:val="14"/>
          <w:szCs w:val="14"/>
          <w:color w:val="auto"/>
        </w:rPr>
        <w:t>25.2†</w:t>
      </w:r>
      <w:r>
        <w:rPr>
          <w:sz w:val="20"/>
          <w:szCs w:val="20"/>
          <w:color w:val="auto"/>
        </w:rPr>
        <w:tab/>
      </w:r>
      <w:r>
        <w:rPr>
          <w:rFonts w:ascii="Times New Roman" w:cs="Times New Roman" w:eastAsia="Times New Roman" w:hAnsi="Times New Roman"/>
          <w:sz w:val="14"/>
          <w:szCs w:val="14"/>
          <w:color w:val="auto"/>
        </w:rPr>
        <w:t>The Statement of Eligibility on Form T-1 under the Trust Indenture Act of 1939 of the Trustee under the Subordinated Indenture will be incorporated herein by reference from a subsequent filing in accordance with Section 305(b)(2) of the Trust Indenture Act of 1939.</w:t>
      </w:r>
    </w:p>
    <w:p>
      <w:pPr>
        <w:spacing w:after="0" w:line="125" w:lineRule="exact"/>
        <w:rPr>
          <w:sz w:val="20"/>
          <w:szCs w:val="20"/>
          <w:color w:val="auto"/>
        </w:rPr>
      </w:pPr>
    </w:p>
    <w:p>
      <w:pPr>
        <w:ind w:left="860" w:hanging="582"/>
        <w:spacing w:after="0"/>
        <w:tabs>
          <w:tab w:leader="none" w:pos="8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Fee Table.</w:t>
      </w:r>
    </w:p>
    <w:p>
      <w:pPr>
        <w:spacing w:after="0" w:line="17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To be filed by amendment or as an exhibit to a document to be incorporated by reference herein in connection with the issuance of the securities.</w:t>
      </w:r>
    </w:p>
    <w:p>
      <w:pPr>
        <w:spacing w:after="0" w:line="17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To be filed in accordance with the requirements of Section 305(b)(2) of the Trust Indenture Act of 1939.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17. </w:t>
      </w:r>
      <w:r>
        <w:rPr>
          <w:rFonts w:ascii="Times New Roman" w:cs="Times New Roman" w:eastAsia="Times New Roman" w:hAnsi="Times New Roman"/>
          <w:sz w:val="14"/>
          <w:szCs w:val="14"/>
          <w:b w:val="1"/>
          <w:bCs w:val="1"/>
          <w:i w:val="1"/>
          <w:iCs w:val="1"/>
          <w:color w:val="auto"/>
        </w:rPr>
        <w:t>Undertakings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The undersigned Registrant hereby undertakes:</w:t>
      </w:r>
    </w:p>
    <w:p>
      <w:pPr>
        <w:spacing w:after="0" w:line="176" w:lineRule="exact"/>
        <w:rPr>
          <w:sz w:val="20"/>
          <w:szCs w:val="20"/>
          <w:color w:val="auto"/>
        </w:rPr>
      </w:pPr>
    </w:p>
    <w:p>
      <w:pPr>
        <w:ind w:left="460" w:hanging="203"/>
        <w:spacing w:after="0"/>
        <w:tabs>
          <w:tab w:leader="none" w:pos="4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of securities registered hereby, a post-effective amendment to this registration statement:</w:t>
      </w:r>
    </w:p>
    <w:p>
      <w:pPr>
        <w:spacing w:after="0" w:line="175"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To include any prospectus required by Section 10(a)(3) of the Securities Act of 1933;</w:t>
      </w:r>
    </w:p>
    <w:p>
      <w:pPr>
        <w:spacing w:after="0" w:line="176" w:lineRule="exact"/>
        <w:rPr>
          <w:sz w:val="20"/>
          <w:szCs w:val="20"/>
          <w:color w:val="auto"/>
        </w:rPr>
      </w:pPr>
    </w:p>
    <w:p>
      <w:pPr>
        <w:jc w:val="both"/>
        <w:ind w:firstLine="257"/>
        <w:spacing w:after="0" w:line="259" w:lineRule="auto"/>
        <w:tabs>
          <w:tab w:leader="none" w:pos="463"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9" w:name="page20"/>
    <w:bookmarkEnd w:id="19"/>
    <w:p>
      <w:pPr>
        <w:ind w:firstLine="257"/>
        <w:spacing w:after="0" w:line="283" w:lineRule="auto"/>
        <w:tabs>
          <w:tab w:leader="none" w:pos="49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(i), (ii) and (iii) above do not apply if the information required to be included in a post-effective amendment by those paragraphs is contained in periodic reports filed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or furnished to the SEC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136" w:lineRule="exact"/>
        <w:rPr>
          <w:sz w:val="20"/>
          <w:szCs w:val="20"/>
          <w:color w:val="auto"/>
        </w:rPr>
      </w:pPr>
    </w:p>
    <w:p>
      <w:pPr>
        <w:ind w:firstLine="257"/>
        <w:spacing w:after="0" w:line="283" w:lineRule="auto"/>
        <w:tabs>
          <w:tab w:leader="none" w:pos="463"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25" w:lineRule="exact"/>
        <w:rPr>
          <w:rFonts w:ascii="Times New Roman" w:cs="Times New Roman" w:eastAsia="Times New Roman" w:hAnsi="Times New Roman"/>
          <w:sz w:val="14"/>
          <w:szCs w:val="14"/>
          <w:color w:val="auto"/>
        </w:rPr>
      </w:pPr>
    </w:p>
    <w:p>
      <w:pPr>
        <w:ind w:left="460" w:hanging="203"/>
        <w:spacing w:after="0"/>
        <w:tabs>
          <w:tab w:leader="none" w:pos="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75" w:lineRule="exact"/>
        <w:rPr>
          <w:rFonts w:ascii="Times New Roman" w:cs="Times New Roman" w:eastAsia="Times New Roman" w:hAnsi="Times New Roman"/>
          <w:sz w:val="14"/>
          <w:szCs w:val="14"/>
          <w:color w:val="auto"/>
        </w:rPr>
      </w:pPr>
    </w:p>
    <w:p>
      <w:pPr>
        <w:ind w:left="460" w:hanging="203"/>
        <w:spacing w:after="0"/>
        <w:tabs>
          <w:tab w:leader="none" w:pos="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76" w:lineRule="exact"/>
        <w:rPr>
          <w:sz w:val="20"/>
          <w:szCs w:val="20"/>
          <w:color w:val="auto"/>
        </w:rPr>
      </w:pPr>
    </w:p>
    <w:p>
      <w:pPr>
        <w:ind w:firstLine="257"/>
        <w:spacing w:after="0" w:line="283" w:lineRule="auto"/>
        <w:tabs>
          <w:tab w:leader="none" w:pos="48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5" w:lineRule="exact"/>
        <w:rPr>
          <w:rFonts w:ascii="Times New Roman" w:cs="Times New Roman" w:eastAsia="Times New Roman" w:hAnsi="Times New Roman"/>
          <w:sz w:val="14"/>
          <w:szCs w:val="14"/>
          <w:color w:val="auto"/>
        </w:rPr>
      </w:pPr>
    </w:p>
    <w:p>
      <w:pPr>
        <w:ind w:left="480" w:hanging="223"/>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w:t>
      </w:r>
    </w:p>
    <w:p>
      <w:pPr>
        <w:spacing w:after="0" w:line="21" w:lineRule="exact"/>
        <w:rPr>
          <w:rFonts w:ascii="Times New Roman" w:cs="Times New Roman" w:eastAsia="Times New Roman" w:hAnsi="Times New Roman"/>
          <w:sz w:val="14"/>
          <w:szCs w:val="14"/>
          <w:color w:val="auto"/>
        </w:rPr>
      </w:pPr>
    </w:p>
    <w:p>
      <w:pPr>
        <w:jc w:val="both"/>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(5) That, for the purpose of determining liability of the registrant under the Securities Act of 1933 to any purchaser in the initial distribution of the securities:</w:t>
      </w:r>
    </w:p>
    <w:p>
      <w:pPr>
        <w:spacing w:after="0" w:line="176" w:lineRule="exact"/>
        <w:rPr>
          <w:sz w:val="20"/>
          <w:szCs w:val="20"/>
          <w:color w:val="auto"/>
        </w:rPr>
      </w:pPr>
    </w:p>
    <w:p>
      <w:pPr>
        <w:jc w:val="both"/>
        <w:ind w:firstLine="253"/>
        <w:spacing w:after="0" w:line="267"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6" w:lineRule="exact"/>
        <w:rPr>
          <w:sz w:val="20"/>
          <w:szCs w:val="20"/>
          <w:color w:val="auto"/>
        </w:rPr>
      </w:pPr>
    </w:p>
    <w:p>
      <w:pPr>
        <w:ind w:left="420" w:hanging="163"/>
        <w:spacing w:after="0"/>
        <w:tabs>
          <w:tab w:leader="none" w:pos="4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75" w:lineRule="exact"/>
        <w:rPr>
          <w:rFonts w:ascii="Times New Roman" w:cs="Times New Roman" w:eastAsia="Times New Roman" w:hAnsi="Times New Roman"/>
          <w:sz w:val="14"/>
          <w:szCs w:val="14"/>
          <w:color w:val="auto"/>
        </w:rPr>
      </w:pPr>
    </w:p>
    <w:p>
      <w:pPr>
        <w:ind w:left="460" w:hanging="203"/>
        <w:spacing w:after="0"/>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75" w:lineRule="exact"/>
        <w:rPr>
          <w:rFonts w:ascii="Times New Roman" w:cs="Times New Roman" w:eastAsia="Times New Roman" w:hAnsi="Times New Roman"/>
          <w:sz w:val="14"/>
          <w:szCs w:val="14"/>
          <w:color w:val="auto"/>
        </w:rPr>
      </w:pPr>
    </w:p>
    <w:p>
      <w:pPr>
        <w:ind w:firstLine="257"/>
        <w:spacing w:after="0" w:line="283" w:lineRule="auto"/>
        <w:tabs>
          <w:tab w:leader="none" w:pos="51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5" w:lineRule="exact"/>
        <w:rPr>
          <w:rFonts w:ascii="Times New Roman" w:cs="Times New Roman" w:eastAsia="Times New Roman" w:hAnsi="Times New Roman"/>
          <w:sz w:val="14"/>
          <w:szCs w:val="14"/>
          <w:color w:val="auto"/>
        </w:rPr>
      </w:pPr>
    </w:p>
    <w:p>
      <w:pPr>
        <w:ind w:left="480" w:hanging="223"/>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20" w:name="page21"/>
    <w:bookmarkEnd w:id="20"/>
    <w:p>
      <w:pPr>
        <w:ind w:left="500" w:hanging="243"/>
        <w:spacing w:after="0" w:line="283" w:lineRule="auto"/>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25" w:lineRule="exact"/>
        <w:rPr>
          <w:rFonts w:ascii="Times New Roman" w:cs="Times New Roman" w:eastAsia="Times New Roman" w:hAnsi="Times New Roman"/>
          <w:sz w:val="14"/>
          <w:szCs w:val="14"/>
          <w:color w:val="auto"/>
        </w:rPr>
      </w:pPr>
    </w:p>
    <w:p>
      <w:pPr>
        <w:jc w:val="both"/>
        <w:ind w:left="500" w:hanging="243"/>
        <w:spacing w:after="0" w:line="261" w:lineRule="auto"/>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41" w:lineRule="exact"/>
        <w:rPr>
          <w:rFonts w:ascii="Times New Roman" w:cs="Times New Roman" w:eastAsia="Times New Roman" w:hAnsi="Times New Roman"/>
          <w:sz w:val="14"/>
          <w:szCs w:val="14"/>
          <w:color w:val="auto"/>
        </w:rPr>
      </w:pPr>
    </w:p>
    <w:p>
      <w:pPr>
        <w:jc w:val="both"/>
        <w:ind w:left="500" w:hanging="243"/>
        <w:spacing w:after="0" w:line="257" w:lineRule="auto"/>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4"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w:t>
      </w:r>
    </w:p>
    <w:p>
      <w:pPr>
        <w:spacing w:after="0" w:line="176" w:lineRule="exact"/>
        <w:rPr>
          <w:sz w:val="20"/>
          <w:szCs w:val="20"/>
          <w:color w:val="auto"/>
        </w:rPr>
      </w:pPr>
    </w:p>
    <w:p>
      <w:pPr>
        <w:jc w:val="both"/>
        <w:ind w:firstLine="257"/>
        <w:spacing w:after="0" w:line="267" w:lineRule="auto"/>
        <w:tabs>
          <w:tab w:leader="none" w:pos="45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136" w:lineRule="exact"/>
        <w:rPr>
          <w:rFonts w:ascii="Times New Roman" w:cs="Times New Roman" w:eastAsia="Times New Roman" w:hAnsi="Times New Roman"/>
          <w:sz w:val="14"/>
          <w:szCs w:val="14"/>
          <w:color w:val="auto"/>
        </w:rPr>
      </w:pPr>
    </w:p>
    <w:p>
      <w:pPr>
        <w:ind w:firstLine="257"/>
        <w:spacing w:after="0" w:line="283" w:lineRule="auto"/>
        <w:tabs>
          <w:tab w:leader="none" w:pos="4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8"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Company certifies that it has reasonable grounds to believe that it meets all of the requirements for filing on Form S-3 and has duly caused this Registration Statement to be signed on its behalf by the undersigned, thereunto duly authorized, in the City of Houston, State of Texas, on July 2, 2026.</w:t>
      </w:r>
    </w:p>
    <w:p>
      <w:pPr>
        <w:spacing w:after="0" w:line="1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IES HOLDINGS, INC.</w:t>
      </w:r>
    </w:p>
    <w:p>
      <w:pPr>
        <w:spacing w:after="0" w:line="176" w:lineRule="exact"/>
        <w:rPr>
          <w:sz w:val="20"/>
          <w:szCs w:val="20"/>
          <w:color w:val="auto"/>
        </w:rPr>
      </w:pPr>
    </w:p>
    <w:tbl>
      <w:tblPr>
        <w:tblLayout w:type="fixed"/>
        <w:tblInd w:w="5660" w:type="dxa"/>
        <w:tblCellMar>
          <w:top w:w="0" w:type="dxa"/>
          <w:left w:w="0" w:type="dxa"/>
          <w:bottom w:w="0" w:type="dxa"/>
          <w:right w:w="0" w:type="dxa"/>
        </w:tblCellMar>
      </w:tblPr>
      <w:tr>
        <w:trPr>
          <w:trHeight w:val="185"/>
        </w:trPr>
        <w:tc>
          <w:tcPr>
            <w:tcW w:w="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Matthew J. Simmes</w:t>
            </w:r>
          </w:p>
        </w:tc>
      </w:tr>
      <w:tr>
        <w:trPr>
          <w:trHeight w:val="144"/>
        </w:trPr>
        <w:tc>
          <w:tcPr>
            <w:tcW w:w="5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Matthew J. Simmes</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and President (Principal Executive Officer)</w:t>
            </w: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8"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 Each person whose signature appears below authorizes and appoints Matthew A. Simmes, Tracy A. McLauchlin and Mary K. Newman, and each of them individually, as his or her attorney-in-fact to execute in the name of such person and to file any amendments to this Registration Statement necessary or advisable to enable the registrant to comply with the Securities Act of 1933 and any rules, regulations and requirements of the registration of the securities that are the subject of this Registration Statement, which amendments may make such changes in the Registration Statement as such attorney-in-fact may deem appropriate.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6"/>
                <w:szCs w:val="16"/>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32"/>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Matthew J. Simmes</w:t>
            </w:r>
          </w:p>
        </w:tc>
        <w:tc>
          <w:tcPr>
            <w:tcW w:w="24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Chief Executive Officer and President, 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 2026</w:t>
            </w:r>
          </w:p>
        </w:tc>
      </w:tr>
      <w:tr>
        <w:trPr>
          <w:trHeight w:val="174"/>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Matthew J. Simmes</w:t>
            </w:r>
          </w:p>
        </w:tc>
        <w:tc>
          <w:tcPr>
            <w:tcW w:w="240" w:type="dxa"/>
            <w:vAlign w:val="bottom"/>
          </w:tcPr>
          <w:p>
            <w:pPr>
              <w:spacing w:after="0"/>
              <w:rPr>
                <w:sz w:val="15"/>
                <w:szCs w:val="15"/>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700" w:type="dxa"/>
            <w:vAlign w:val="bottom"/>
          </w:tcPr>
          <w:p>
            <w:pPr>
              <w:spacing w:after="0"/>
              <w:rPr>
                <w:sz w:val="15"/>
                <w:szCs w:val="15"/>
                <w:color w:val="auto"/>
              </w:rPr>
            </w:pPr>
          </w:p>
        </w:tc>
      </w:tr>
      <w:tr>
        <w:trPr>
          <w:trHeight w:val="322"/>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Tracy A. McLauchlin</w:t>
            </w:r>
          </w:p>
        </w:tc>
        <w:tc>
          <w:tcPr>
            <w:tcW w:w="240" w:type="dxa"/>
            <w:vAlign w:val="bottom"/>
          </w:tcPr>
          <w:p>
            <w:pPr>
              <w:spacing w:after="0"/>
              <w:rPr>
                <w:sz w:val="24"/>
                <w:szCs w:val="24"/>
                <w:color w:val="auto"/>
              </w:rPr>
            </w:pPr>
          </w:p>
        </w:tc>
        <w:tc>
          <w:tcPr>
            <w:tcW w:w="5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Senior Vice President, Chief Financial Officer</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 2026</w:t>
            </w:r>
          </w:p>
        </w:tc>
      </w:tr>
      <w:tr>
        <w:trPr>
          <w:trHeight w:val="134"/>
        </w:trPr>
        <w:tc>
          <w:tcPr>
            <w:tcW w:w="272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Tracy A. McLauchlin</w:t>
            </w:r>
          </w:p>
        </w:tc>
        <w:tc>
          <w:tcPr>
            <w:tcW w:w="240" w:type="dxa"/>
            <w:vAlign w:val="bottom"/>
          </w:tcPr>
          <w:p>
            <w:pPr>
              <w:spacing w:after="0"/>
              <w:rPr>
                <w:sz w:val="11"/>
                <w:szCs w:val="11"/>
                <w:color w:val="auto"/>
              </w:rPr>
            </w:pPr>
          </w:p>
        </w:tc>
        <w:tc>
          <w:tcPr>
            <w:tcW w:w="56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color w:val="auto"/>
              </w:rPr>
              <w:t>(Principal Financial Officer)</w:t>
            </w:r>
          </w:p>
        </w:tc>
        <w:tc>
          <w:tcPr>
            <w:tcW w:w="2700" w:type="dxa"/>
            <w:vAlign w:val="bottom"/>
          </w:tcPr>
          <w:p>
            <w:pPr>
              <w:spacing w:after="0"/>
              <w:rPr>
                <w:sz w:val="11"/>
                <w:szCs w:val="11"/>
                <w:color w:val="auto"/>
              </w:rPr>
            </w:pPr>
          </w:p>
        </w:tc>
      </w:tr>
      <w:tr>
        <w:trPr>
          <w:trHeight w:val="183"/>
        </w:trPr>
        <w:tc>
          <w:tcPr>
            <w:tcW w:w="2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(Principal Accounting Officer)</w:t>
            </w:r>
          </w:p>
        </w:tc>
        <w:tc>
          <w:tcPr>
            <w:tcW w:w="2700" w:type="dxa"/>
            <w:vAlign w:val="bottom"/>
          </w:tcPr>
          <w:p>
            <w:pPr>
              <w:spacing w:after="0"/>
              <w:rPr>
                <w:sz w:val="15"/>
                <w:szCs w:val="15"/>
                <w:color w:val="auto"/>
              </w:rPr>
            </w:pPr>
          </w:p>
        </w:tc>
      </w:tr>
      <w:tr>
        <w:trPr>
          <w:trHeight w:val="337"/>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Jeffrey L. Gendell</w:t>
            </w:r>
          </w:p>
        </w:tc>
        <w:tc>
          <w:tcPr>
            <w:tcW w:w="24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Executive Chairman, 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 2026</w:t>
            </w:r>
          </w:p>
        </w:tc>
      </w:tr>
      <w:tr>
        <w:trPr>
          <w:trHeight w:val="174"/>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Jeffrey L. Gendell</w:t>
            </w:r>
          </w:p>
        </w:tc>
        <w:tc>
          <w:tcPr>
            <w:tcW w:w="2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22"/>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Jennifer A. Baldock</w:t>
            </w:r>
          </w:p>
        </w:tc>
        <w:tc>
          <w:tcPr>
            <w:tcW w:w="240" w:type="dxa"/>
            <w:vAlign w:val="bottom"/>
          </w:tcPr>
          <w:p>
            <w:pPr>
              <w:spacing w:after="0"/>
              <w:rPr>
                <w:sz w:val="24"/>
                <w:szCs w:val="24"/>
                <w:color w:val="auto"/>
              </w:rPr>
            </w:pPr>
          </w:p>
        </w:tc>
        <w:tc>
          <w:tcPr>
            <w:tcW w:w="5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 2026</w:t>
            </w:r>
          </w:p>
        </w:tc>
      </w:tr>
      <w:tr>
        <w:trPr>
          <w:trHeight w:val="174"/>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Jennifer A. Baldock</w:t>
            </w:r>
          </w:p>
        </w:tc>
        <w:tc>
          <w:tcPr>
            <w:tcW w:w="2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22"/>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Todd M. Cleveland</w:t>
            </w:r>
          </w:p>
        </w:tc>
        <w:tc>
          <w:tcPr>
            <w:tcW w:w="240" w:type="dxa"/>
            <w:vAlign w:val="bottom"/>
          </w:tcPr>
          <w:p>
            <w:pPr>
              <w:spacing w:after="0"/>
              <w:rPr>
                <w:sz w:val="24"/>
                <w:szCs w:val="24"/>
                <w:color w:val="auto"/>
              </w:rPr>
            </w:pPr>
          </w:p>
        </w:tc>
        <w:tc>
          <w:tcPr>
            <w:tcW w:w="5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 2026</w:t>
            </w:r>
          </w:p>
        </w:tc>
      </w:tr>
      <w:tr>
        <w:trPr>
          <w:trHeight w:val="174"/>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Todd M. Cleveland</w:t>
            </w:r>
          </w:p>
        </w:tc>
        <w:tc>
          <w:tcPr>
            <w:tcW w:w="2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22"/>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John L. Fouts</w:t>
            </w:r>
          </w:p>
        </w:tc>
        <w:tc>
          <w:tcPr>
            <w:tcW w:w="240" w:type="dxa"/>
            <w:vAlign w:val="bottom"/>
          </w:tcPr>
          <w:p>
            <w:pPr>
              <w:spacing w:after="0"/>
              <w:rPr>
                <w:sz w:val="24"/>
                <w:szCs w:val="24"/>
                <w:color w:val="auto"/>
              </w:rPr>
            </w:pPr>
          </w:p>
        </w:tc>
        <w:tc>
          <w:tcPr>
            <w:tcW w:w="5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 2026</w:t>
            </w:r>
          </w:p>
        </w:tc>
      </w:tr>
      <w:tr>
        <w:trPr>
          <w:trHeight w:val="174"/>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John L. Fouts</w:t>
            </w:r>
          </w:p>
        </w:tc>
        <w:tc>
          <w:tcPr>
            <w:tcW w:w="2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22"/>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David B. Gendell</w:t>
            </w:r>
          </w:p>
        </w:tc>
        <w:tc>
          <w:tcPr>
            <w:tcW w:w="240" w:type="dxa"/>
            <w:vAlign w:val="bottom"/>
          </w:tcPr>
          <w:p>
            <w:pPr>
              <w:spacing w:after="0"/>
              <w:rPr>
                <w:sz w:val="24"/>
                <w:szCs w:val="24"/>
                <w:color w:val="auto"/>
              </w:rPr>
            </w:pPr>
          </w:p>
        </w:tc>
        <w:tc>
          <w:tcPr>
            <w:tcW w:w="5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 2026</w:t>
            </w:r>
          </w:p>
        </w:tc>
      </w:tr>
      <w:tr>
        <w:trPr>
          <w:trHeight w:val="174"/>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David B. Gendell</w:t>
            </w:r>
          </w:p>
        </w:tc>
        <w:tc>
          <w:tcPr>
            <w:tcW w:w="2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22"/>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Kelly C. Janzen</w:t>
            </w:r>
          </w:p>
        </w:tc>
        <w:tc>
          <w:tcPr>
            <w:tcW w:w="240" w:type="dxa"/>
            <w:vAlign w:val="bottom"/>
          </w:tcPr>
          <w:p>
            <w:pPr>
              <w:spacing w:after="0"/>
              <w:rPr>
                <w:sz w:val="24"/>
                <w:szCs w:val="24"/>
                <w:color w:val="auto"/>
              </w:rPr>
            </w:pPr>
          </w:p>
        </w:tc>
        <w:tc>
          <w:tcPr>
            <w:tcW w:w="5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 2026</w:t>
            </w:r>
          </w:p>
        </w:tc>
      </w:tr>
      <w:tr>
        <w:trPr>
          <w:trHeight w:val="174"/>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Kelly C. Janzen</w:t>
            </w:r>
          </w:p>
        </w:tc>
        <w:tc>
          <w:tcPr>
            <w:tcW w:w="2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22"/>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Joe D. Koshkin</w:t>
            </w:r>
          </w:p>
        </w:tc>
        <w:tc>
          <w:tcPr>
            <w:tcW w:w="240" w:type="dxa"/>
            <w:vAlign w:val="bottom"/>
          </w:tcPr>
          <w:p>
            <w:pPr>
              <w:spacing w:after="0"/>
              <w:rPr>
                <w:sz w:val="24"/>
                <w:szCs w:val="24"/>
                <w:color w:val="auto"/>
              </w:rPr>
            </w:pPr>
          </w:p>
        </w:tc>
        <w:tc>
          <w:tcPr>
            <w:tcW w:w="5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Director</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 2026</w:t>
            </w:r>
          </w:p>
        </w:tc>
      </w:tr>
      <w:tr>
        <w:trPr>
          <w:trHeight w:val="174"/>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Joe D. Koshkin</w:t>
            </w:r>
          </w:p>
        </w:tc>
        <w:tc>
          <w:tcPr>
            <w:tcW w:w="2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22"/>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5"/>
              </w:rPr>
              <w:t>II-5</w:t>
            </w: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44" w:right="31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5194300</wp:posOffset>
            </wp:positionH>
            <wp:positionV relativeFrom="paragraph">
              <wp:posOffset>121920</wp:posOffset>
            </wp:positionV>
            <wp:extent cx="1971040" cy="2203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971040" cy="22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Norton Rose Fulbright US LLP</w:t>
      </w:r>
    </w:p>
    <w:p>
      <w:pPr>
        <w:spacing w:after="0" w:line="2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1550 Lamar St., Suite 2000</w:t>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Houston, Texas 77010</w:t>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United States</w:t>
      </w:r>
    </w:p>
    <w:p>
      <w:pPr>
        <w:spacing w:after="0" w:line="7"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4"/>
          <w:szCs w:val="14"/>
          <w:color w:val="auto"/>
        </w:rPr>
        <w:t>July 2, 2026</w:t>
      </w:r>
      <w:r>
        <w:rPr>
          <w:sz w:val="20"/>
          <w:szCs w:val="20"/>
          <w:color w:val="auto"/>
        </w:rPr>
        <w:tab/>
      </w:r>
      <w:r>
        <w:rPr>
          <w:rFonts w:ascii="Times New Roman" w:cs="Times New Roman" w:eastAsia="Times New Roman" w:hAnsi="Times New Roman"/>
          <w:sz w:val="13"/>
          <w:szCs w:val="13"/>
          <w:color w:val="auto"/>
        </w:rPr>
        <w:t>Tel +1 713 651 5151</w:t>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Fax +1 713 651 5246</w:t>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nortonrosefulbright.com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IES Holdings,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13131 Dairy Ashford Rd., Suite 500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Sugar Land, Texas 77478</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have acted as special counsel to IES Holdings, Inc., a Delaware corporation (the “Company”), in connection with the preparation of the Registration Statement on Form S-3ASR (as amended or supplemented, the “Registration Statement”) originally filed with the Securities and Exchange Commission (the “Commission”) on July 2, 2026 under the Securities Act of 1933, as amended (the “Securities Act”), by the Company. The Registration Statement relates to the offer and sale from time to time, pursuant to Rule 415 of the Securities Act, of an unspecified amount of (i) common stock, par value $0.01 per share, of the Company (“Common Stock”), (ii) shares of preferred stock, par value $0.01 per share, of the Company (“Preferred Stock”), (iii) unsecured debt securities, which may either be senior debt securities (the “Senior Debt Securities”) or subordinated debt securities (the “Subordinated Debt Securities” and, together with the Senior Debt Securities, the “Debt Securities”) and (iv) warrants for the purchase of Debt Securities, Common Stock or Preferred Stock (“Warrants”). The Debt Securities, Common Stock, Preferred Stock and Warrants are collectively referred to herein as the “Securities” and each, individually, as a “Security.”</w:t>
      </w:r>
    </w:p>
    <w:p>
      <w:pPr>
        <w:spacing w:after="0" w:line="14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Debt Securities will be issued in one or more series pursuant to (i) a senior indenture (the “Senior Debt Securities Indenture”) or (ii) a subordinated indenture (the “Subordinated Debt Securities Indenture” and, together with the Senior Debt Securities Indenture, the “Indentures” and each, individually, an “Indenture”). Each Indenture will be entered into by the Company and a financial institution to be named therein, as trustee (the “Trustee”), at the time of and in connection with the issuance of one or more series of the Debt Securities.</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Warrants to purchase Common Stock and Preferred Stock are collectively referred to herein as the “Stock Warrants.” Warrants to purchase Debt Securities are referred to herein as the “Debt Warrants.” The Stock Warrants will be issued under one or more stock warrant agreements (each, a “Stock Warrant Agreement”) between the Company and a financial institution to be determined, as stock warrant agent. The Debt Warrants will be issued under one or more debt warrant agreements (each, a “Debt Warrant Agreement”) between the Company and a financial institution to be determined, as debt warrant agent. Stock Warrant Agreements and Debt Warrant Agreements are collectively referred to herein as the “Warrant Agreements” and each of the stock warrant agent and the debt warrant agent is referred to herein as the “Warrant Agent.” The Indenture, any Debt Securities, any Warrant Agreements, and any Warrants are collectively referred to herein as the “Applicable Agreements.”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202565</wp:posOffset>
            </wp:positionV>
            <wp:extent cx="716280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auto"/>
        </w:rPr>
        <w:t>IES Holdings,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-101600</wp:posOffset>
            </wp:positionV>
            <wp:extent cx="1162685" cy="127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62685" cy="1270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In connection with the registration of the Securities, we have examined originals, or copies certified or otherwise identified to our satisfaction, of: (i) the organizational documents of the Company, each as amended through the date hereof, (ii) minutes and records of the corporate proceedings of the Company, including the Board of Directors of the Company, (iii) the Registration Statement and the exhibits thereto, (iv) certificates of officers of the Company and of public officials, and (v) agreements and other documents as we have deemed necessary as a basis for the opinions expressed below.</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purposes of this opinion letter, we have assumed (i) the authenticity of all documents submitted to us as originals, the conformity to authentic originals of all documents submitted to us as copies and the authenticity of the originals of all documents submitted to us, (ii) the legal capacity of all natural persons, (iii) the genuineness of all signatures, (iv) the authority of such persons signing on behalf of the parties thereto, other than the Company, and (v) the due authorization, execution and delivery of all documents by the parties thereto, other than the Company. We have not independently established the validity of any assumptions made in this opinion letter or independently established or verified any facts relevant to the opinions expressed herein, but have relied upon statements and representations of the officers and other representatives of the Company or on certificates of public officials.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purposes of this opinion letter, we have also assumed that:</w:t>
      </w:r>
    </w:p>
    <w:p>
      <w:pPr>
        <w:spacing w:after="0" w:line="176" w:lineRule="exact"/>
        <w:rPr>
          <w:sz w:val="20"/>
          <w:szCs w:val="20"/>
          <w:color w:val="auto"/>
        </w:rPr>
      </w:pPr>
    </w:p>
    <w:p>
      <w:pPr>
        <w:ind w:left="500" w:hanging="243"/>
        <w:spacing w:after="0" w:line="261"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any Securities are sold pursuant to the Registration Statement (the “Relevant Time”), the Registration Statement and any amendments thereto (including post-effective amendments) will be effective and will comply with all applicable laws as contemplated by the Registration Statement;</w:t>
      </w:r>
    </w:p>
    <w:p>
      <w:pPr>
        <w:spacing w:after="0" w:line="1" w:lineRule="exact"/>
        <w:rPr>
          <w:rFonts w:ascii="Times New Roman" w:cs="Times New Roman" w:eastAsia="Times New Roman" w:hAnsi="Times New Roman"/>
          <w:sz w:val="14"/>
          <w:szCs w:val="14"/>
          <w:color w:val="auto"/>
        </w:rPr>
      </w:pPr>
    </w:p>
    <w:p>
      <w:pPr>
        <w:jc w:val="both"/>
        <w:ind w:left="500" w:hanging="243"/>
        <w:spacing w:after="0" w:line="250"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Relevant Time, a prospectus supplement or term sheet contained in the Registration Statement (“Prospectus Supplement”) will have been prepared and filed with the Commission, pursuant to Rule 424(b) of the Securities Act, along with any exhibits necessary under the rules and regulations of the Commission, describing the Securities offered thereby and will comply with all applicable laws;</w:t>
      </w:r>
    </w:p>
    <w:p>
      <w:pPr>
        <w:spacing w:after="0" w:line="1" w:lineRule="exact"/>
        <w:rPr>
          <w:rFonts w:ascii="Times New Roman" w:cs="Times New Roman" w:eastAsia="Times New Roman" w:hAnsi="Times New Roman"/>
          <w:sz w:val="14"/>
          <w:szCs w:val="14"/>
          <w:color w:val="auto"/>
        </w:rPr>
      </w:pPr>
    </w:p>
    <w:p>
      <w:pPr>
        <w:ind w:left="500" w:hanging="243"/>
        <w:spacing w:after="0" w:line="250"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will be issued and sold in compliance with applicable federal and state securities laws and in the manner stated in the Registration Statement and the appropriate Prospectus Supplement;</w:t>
      </w:r>
    </w:p>
    <w:p>
      <w:pPr>
        <w:spacing w:after="0" w:line="1" w:lineRule="exact"/>
        <w:rPr>
          <w:rFonts w:ascii="Times New Roman" w:cs="Times New Roman" w:eastAsia="Times New Roman" w:hAnsi="Times New Roman"/>
          <w:sz w:val="14"/>
          <w:szCs w:val="14"/>
          <w:color w:val="auto"/>
        </w:rPr>
      </w:pPr>
    </w:p>
    <w:p>
      <w:pPr>
        <w:ind w:left="500" w:hanging="243"/>
        <w:spacing w:after="0" w:line="250"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Relevant Time, the Securities will be issued and sold in the form and containing the terms set forth in the Registration Statement, the appropriate Prospectus Supplement and, as applicable, the appropriate Indenture or Warrant Agreement;</w:t>
      </w:r>
    </w:p>
    <w:p>
      <w:pPr>
        <w:spacing w:after="0" w:line="1" w:lineRule="exact"/>
        <w:rPr>
          <w:rFonts w:ascii="Times New Roman" w:cs="Times New Roman" w:eastAsia="Times New Roman" w:hAnsi="Times New Roman"/>
          <w:sz w:val="14"/>
          <w:szCs w:val="14"/>
          <w:color w:val="auto"/>
        </w:rPr>
      </w:pPr>
    </w:p>
    <w:p>
      <w:pPr>
        <w:ind w:left="500" w:hanging="243"/>
        <w:spacing w:after="0" w:line="250"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Relevant Time, the Securities offered, as well as the terms of each of the Indentures and Warrant Agreements, as they will be executed and delivered, do not violate any law applicable to the Company, or result in a default under or breach of any agreement or instrument binding upon the Company;</w:t>
      </w:r>
    </w:p>
    <w:p>
      <w:pPr>
        <w:spacing w:after="0" w:line="1" w:lineRule="exact"/>
        <w:rPr>
          <w:rFonts w:ascii="Times New Roman" w:cs="Times New Roman" w:eastAsia="Times New Roman" w:hAnsi="Times New Roman"/>
          <w:sz w:val="14"/>
          <w:szCs w:val="14"/>
          <w:color w:val="auto"/>
        </w:rPr>
      </w:pPr>
    </w:p>
    <w:p>
      <w:pPr>
        <w:ind w:left="500" w:hanging="243"/>
        <w:spacing w:after="0" w:line="250"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Relevant Time, the Company will have obtained any legally required consents, approvals, authorizations and other orders of the Commission and any other regulatory authorities necessary to issue and sell the Securities being offered and to execute and deliver each of the Applicable Agreements;</w:t>
      </w:r>
    </w:p>
    <w:p>
      <w:pPr>
        <w:spacing w:after="0" w:line="1" w:lineRule="exact"/>
        <w:rPr>
          <w:sz w:val="20"/>
          <w:szCs w:val="20"/>
          <w:color w:val="auto"/>
        </w:rPr>
      </w:pPr>
    </w:p>
    <w:p>
      <w:pPr>
        <w:jc w:val="center"/>
        <w:ind w:left="560"/>
        <w:spacing w:after="0" w:line="261" w:lineRule="auto"/>
        <w:rPr>
          <w:sz w:val="20"/>
          <w:szCs w:val="20"/>
          <w:color w:val="auto"/>
        </w:rPr>
      </w:pPr>
      <w:r>
        <w:rPr>
          <w:rFonts w:ascii="Times New Roman" w:cs="Times New Roman" w:eastAsia="Times New Roman" w:hAnsi="Times New Roman"/>
          <w:sz w:val="14"/>
          <w:szCs w:val="14"/>
          <w:color w:val="auto"/>
        </w:rPr>
        <w:t>(vii)the Securities offered as well as the terms of each of the Applicable Agreements, and, as applicable, supplemental indentures and officer’s certificate, as they will be executed and delivered, comply with all requirements and restrictions, if any, applicable to the Company, whether imposed by any court or governmental or regulatory body having jurisdiction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205105</wp:posOffset>
            </wp:positionV>
            <wp:extent cx="716280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67"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IES Holdings,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-101600</wp:posOffset>
            </wp:positionV>
            <wp:extent cx="1162685" cy="127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162685" cy="1270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176" w:lineRule="exact"/>
        <w:rPr>
          <w:sz w:val="20"/>
          <w:szCs w:val="20"/>
          <w:color w:val="auto"/>
        </w:rPr>
      </w:pPr>
    </w:p>
    <w:p>
      <w:pPr>
        <w:ind w:left="540" w:hanging="283"/>
        <w:spacing w:after="0" w:line="261" w:lineRule="auto"/>
        <w:rPr>
          <w:sz w:val="20"/>
          <w:szCs w:val="20"/>
          <w:color w:val="auto"/>
        </w:rPr>
      </w:pPr>
      <w:r>
        <w:rPr>
          <w:rFonts w:ascii="Times New Roman" w:cs="Times New Roman" w:eastAsia="Times New Roman" w:hAnsi="Times New Roman"/>
          <w:sz w:val="14"/>
          <w:szCs w:val="14"/>
          <w:color w:val="auto"/>
        </w:rPr>
        <w:t>(viii)in case of the Debt Securities, at the Relevant time, the Indentures and the Trustees will have been qualified under the Trust Indenture Act of 1939, as amended (the “Trust Indenture Act”); and</w:t>
      </w:r>
    </w:p>
    <w:p>
      <w:pPr>
        <w:spacing w:after="0" w:line="1" w:lineRule="exact"/>
        <w:rPr>
          <w:sz w:val="20"/>
          <w:szCs w:val="20"/>
          <w:color w:val="auto"/>
        </w:rPr>
      </w:pPr>
    </w:p>
    <w:p>
      <w:pPr>
        <w:ind w:left="540" w:hanging="283"/>
        <w:spacing w:after="0" w:line="261" w:lineRule="auto"/>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definitive purchase, underwriting or similar agreement (each, a “Purchase Agreement”) with respect to any Securities offered or issued will have been duly authorized and validly executed and delivered by the Company and the other parties thereto.</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upon the foregoing and in reliance thereon, and subject to and qualified by the qualifications, assumptions, exceptions, exclusions and limitations set forth herein, we are of the opinion that:</w:t>
      </w:r>
    </w:p>
    <w:p>
      <w:pPr>
        <w:spacing w:after="0" w:line="176" w:lineRule="exact"/>
        <w:rPr>
          <w:sz w:val="20"/>
          <w:szCs w:val="20"/>
          <w:color w:val="auto"/>
        </w:rPr>
      </w:pPr>
    </w:p>
    <w:p>
      <w:pPr>
        <w:jc w:val="both"/>
        <w:ind w:left="500" w:hanging="243"/>
        <w:spacing w:after="0" w:line="256"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as and if the final terms of issuance and sale of the applicable shares of Common Stock have been duly approved by appropriate corporate action of the Company (including the Board of Directors of the Company or a committee thereof), in conformity with the Company’s organizational documents, and such shares are issued, sold and delivered against payment therefor in accordance with such authorization, the applicable Purchase Agreement and applicable law and in the manner and for the consideration stated in the Registration Statement and the applicable Prospectus Supplement, will be validly issued, fully paid and nonassessable.</w:t>
      </w:r>
    </w:p>
    <w:p>
      <w:pPr>
        <w:spacing w:after="0" w:line="1" w:lineRule="exact"/>
        <w:rPr>
          <w:rFonts w:ascii="Times New Roman" w:cs="Times New Roman" w:eastAsia="Times New Roman" w:hAnsi="Times New Roman"/>
          <w:sz w:val="14"/>
          <w:szCs w:val="14"/>
          <w:color w:val="auto"/>
        </w:rPr>
      </w:pPr>
    </w:p>
    <w:p>
      <w:pPr>
        <w:jc w:val="both"/>
        <w:ind w:left="500" w:hanging="243"/>
        <w:spacing w:after="0" w:line="250"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as and if (a) any particular series of Preferred Stock has been duly authorized and duly established in accordance with applicable law, (b) the appropriate corporate action has been taken by the Company to authorize the form, terms, issuance and delivery of shares of such Preferred Stock (and the filing of any required certificate of designation, statement of resolution, amendment or supplement to the organizational documents of the Company), and (c) the shares of such Preferred Stock have been issued, sold and delivered against payment therefor in accordance with such authorization, the applicable Purchase Agreement and applicable law and in the manner and for the consideration stated in the Registration Statement and the applicable Prospectus Supplement, such shares of Preferred Stock will be validly issued, fully paid and nonassessable.</w:t>
      </w:r>
    </w:p>
    <w:p>
      <w:pPr>
        <w:spacing w:after="0" w:line="3" w:lineRule="exact"/>
        <w:rPr>
          <w:rFonts w:ascii="Times New Roman" w:cs="Times New Roman" w:eastAsia="Times New Roman" w:hAnsi="Times New Roman"/>
          <w:sz w:val="14"/>
          <w:szCs w:val="14"/>
          <w:color w:val="auto"/>
        </w:rPr>
      </w:pPr>
    </w:p>
    <w:p>
      <w:pPr>
        <w:jc w:val="both"/>
        <w:ind w:left="500" w:hanging="243"/>
        <w:spacing w:after="0" w:line="250"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as and if (a) the terms and conditions of such Debt Securities have been duly established by supplemental indenture or officers’ certificate, in each case in accordance with the terms and conditions of the applicable Indenture, (b) any such supplemental indenture or officers’ certificate has been duly executed and delivered by the Company and, if applicable, the Trustee, (c) the Indenture under which such Debt Securities will be issued will have become qualified under the Trust Indenture Act, (d) the Board of Directors of the Company have taken all necessary corporate action to approve and establish the terms of such Debt Securities, to approve the issuance thereof and the terms of the offering thereof and related matters and such Debt Securities do not include any provision that is unenforceable and (e) such Debt Securities have been executed (in the case of certificated Debt Securities), delivered and authenticated in accordance with the terms of the Indentures (and, if applicable, any related supplemental indenture or officers’ certificate) and issued and sold for the consideration set forth in the applicable Purchase Agreement, such Debt Securities will be valid and binding obligations of the Company, enforceable against the Company in accordance with their respective terms.</w:t>
      </w:r>
    </w:p>
    <w:p>
      <w:pPr>
        <w:spacing w:after="0" w:line="4" w:lineRule="exact"/>
        <w:rPr>
          <w:rFonts w:ascii="Times New Roman" w:cs="Times New Roman" w:eastAsia="Times New Roman" w:hAnsi="Times New Roman"/>
          <w:sz w:val="14"/>
          <w:szCs w:val="14"/>
          <w:color w:val="auto"/>
        </w:rPr>
      </w:pPr>
    </w:p>
    <w:p>
      <w:pPr>
        <w:jc w:val="both"/>
        <w:ind w:left="500" w:hanging="243"/>
        <w:spacing w:after="0" w:line="253"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as and if (a) any particular series of Warrants has been duly authorized and duly established in accordance with the applicable Warrant Agreement and applicable law, (b) the appropriate corporate action has been taken by the Company to authorize the form, terms, execution and delivery of such Warrants (and any required amendment or supplement to the applicable Warrant Agreement), and (c) the Warrants have been (i) duly executed, attested, issued and delivered by duly authorized officers against payment therefor in accordance with such authorization, the applicable Warrant Agreement, the applicable Purchase Agreement and applicable law and (ii) duly authenticated by the Warrant Agent, such Warrants (including any Warrants duly executed and delivered upon the exchange or conversion of Warrants that are exchangeable or convertible into another series of Warrants) will constitute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208915</wp:posOffset>
            </wp:positionV>
            <wp:extent cx="716280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6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auto"/>
        </w:rPr>
        <w:t>IES Holdings,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-101600</wp:posOffset>
            </wp:positionV>
            <wp:extent cx="1162685" cy="127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62685" cy="1270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4</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Our opinions expressed above are subject to the qualifications that we express no opinion as to the applicability of, compliance with, or effect of (i) any bankruptcy, insolvency, reorganization, fraudulent transfer, fraudulent conveyance, moratorium or other similar law affecting the enforcement of creditors’ rights generally; (ii) general principles of equity (regardless of whether enforcement is considered in a proceeding in equity or at law); and (iii) public policy considerations which may limit the rights of parties to obtain certain remedies.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express no opinion with respect to the enforceability of (i) consents to, or restrictions upon, judicial relief or jurisdiction or venue, (ii) waivers of rights or defenses with respect to stay, extension or usury laws, (iii) advance waivers of claims, defenses, rights granted by law, or notice, opportunity for hearing, evidentiary requirements, statutes of limitation, trial by jury or at law, or other procedural rights, (iv) waivers of broadly or vaguely stated rights, (v) provisions for exclusivity, election or cumulation of rights or remedies, (vi) provisions authorizing or validating conclusive or discretionary determinations, (vii) grants of setoff rights, (viii) provisions for the payment of attorneys’ fees where such payment is contrary to law or public policy, (ix) proxies, powers and trusts, (x) restrictions upon non-written modifications and waivers, (xi) provisions prohibiting, restricting, or requiring consent to assignment or transfer of any right or property, (xii) any provision to the extent it requires any party to indemnify any other person against loss in obtaining the currency due following a court judgment in another currency, and (xiii) provisions for liquidated damages, default interest, late charges, monetary penalties, make-whole premiums or other economic remedies to the extent such provisions are deemed to constitute a penalty.</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To the extent that the obligations of the Company under the Applicable Agreements (together with any related supplemental indenture, officers’ certificate, or other amendment or supplement thereto, collectively, the “Securities Agreements”) may be dependent on such matters, we assume for purposes of this opinion letter that the applicable Trustee or Warrant Agent, (each an “Agent” and collectively, the “Agents”) is duly organized, validly existing and in good standing under the laws of its jurisdiction of organization; that such Agent is duly qualified to engage in the activities contemplated by the applicable Securities Agreements; that each Securities Agreement has been duly authorized, executed and delivered by applicable Agent and constitutes the valid and binding obligations of such Agent, enforceable against such Agent in accordance with its terms; that the applicable Agent is in compliance, generally and with respect to acting as an agent under the Securities Agreements with all applicable laws and regulations; and that the applicable Agent has the requisite organizational and legal power and authority to perform its obligations under the applicable Securities Agreements.</w:t>
      </w:r>
    </w:p>
    <w:p>
      <w:pPr>
        <w:spacing w:after="0" w:line="14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hereby consent to the filing of this opinion letter with the Commission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Securities Act or the rules and regulations of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202565</wp:posOffset>
            </wp:positionV>
            <wp:extent cx="716280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67"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auto"/>
        </w:rPr>
        <w:t>IES Holdings,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-101600</wp:posOffset>
            </wp:positionV>
            <wp:extent cx="1162685" cy="1270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162685" cy="1270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5</w:t>
      </w:r>
    </w:p>
    <w:p>
      <w:pPr>
        <w:spacing w:after="0" w:line="17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We do not find it necessary for the purposes of this opinion letter, and accordingly we do not purport to cover herein, the application of the securities or “Blue Sky” laws of the various states to the sale of the Securities.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advice on every legal issue addressed in this letter is based exclusively on the federal securities laws of the United States, the laws of the state of Texas and the laws of the state of Delaware (solely with respect to the Company), and represents our opinion as to how that issue would be resolved were it to be considered by the highest court in the jurisdiction which enacted such law.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 it. This letter is not intended to guarantee the outcome of any legal dispute which may arise in the future. None of the opinions or other advice contained in this letter considers or covers any foreign or state securities (or “blue sky”) laws or regulations.</w:t>
      </w:r>
    </w:p>
    <w:p>
      <w:pPr>
        <w:spacing w:after="0" w:line="1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This opinion letter is limited to the specific issues addressed herein, and no opinion may be inferred or is implied beyond that expressly stated herein. The Securities may be issued from time to time on a delayed or continuous basis, and this opinion letter speaks only as of the date hereof. We expressly disclaim any responsibility to advise you of any development or circumstance of any kind, including any change of law or fact, that may occur after the date of this opinion letter and which might affect the opinions expressed herein.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opinion letter is furnished to you in connection with the filing of the Registration Statement, and it may not be used, circulated, quoted or otherwise relied upon for any other purpose.</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3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Norton Rose Fulbright US LLP</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Norton Rose Fulbright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-101600</wp:posOffset>
            </wp:positionV>
            <wp:extent cx="358140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35814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225425</wp:posOffset>
            </wp:positionV>
            <wp:extent cx="716280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67" w:right="31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this Registration Statement (Form S-3) and related Prospectus of IES Holdings, Inc. and subsidiaries for the registration of common stock, preferred stock, debt securities and warrants and to the incorporation by reference therein of our reports dated November 21, 2025, with respect to the consolidated financial statements of IES Holdings, Inc. and subsidiaries, and the effectiveness of internal control over financial reporting of IES Holdings, Inc. and subsidiaries included in its Annual Report (Form 10-K) for the year ended September 30, 2025, filed with the Securities and Exchange Commission.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716280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8" w:name="page29"/>
    <w:bookmarkEnd w:id="28"/>
    <w:p>
      <w:pPr>
        <w:spacing w:after="0" w:line="62" w:lineRule="exact"/>
        <w:rPr>
          <w:sz w:val="20"/>
          <w:szCs w:val="20"/>
          <w:color w:val="auto"/>
        </w:rPr>
      </w:pPr>
    </w:p>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IES Holdings, Inc.</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4580" w:type="dxa"/>
            <w:vAlign w:val="bottom"/>
            <w:tcBorders>
              <w:bottom w:val="single" w:sz="8" w:color="auto"/>
            </w:tcBorders>
            <w:gridSpan w:val="11"/>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1040" w:type="dxa"/>
            <w:vAlign w:val="bottom"/>
            <w:shd w:val="clear" w:color="auto" w:fill="9ADAF6"/>
          </w:tcPr>
          <w:p>
            <w:pPr>
              <w:ind w:left="20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right"/>
              <w:ind w:right="16"/>
              <w:spacing w:after="0" w:line="189"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1040" w:type="dxa"/>
            <w:vAlign w:val="bottom"/>
            <w:shd w:val="clear" w:color="auto" w:fill="9ADAF6"/>
          </w:tcPr>
          <w:p>
            <w:pPr>
              <w:ind w:left="100"/>
              <w:spacing w:after="0" w:line="189"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right"/>
              <w:ind w:right="276"/>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7"/>
          </w:tcPr>
          <w:p>
            <w:pPr>
              <w:jc w:val="center"/>
              <w:ind w:left="416"/>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104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value $0.01</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0" w:type="dxa"/>
            <w:vAlign w:val="bottom"/>
            <w:tcBorders>
              <w:left w:val="single" w:sz="8" w:color="auto"/>
            </w:tcBorders>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104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value $0.01</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0" w:type="dxa"/>
            <w:vAlign w:val="bottom"/>
            <w:tcBorders>
              <w:left w:val="single" w:sz="8" w:color="auto"/>
            </w:tcBorders>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104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rPr>
              <w:t>Senior Debt</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w w:val="98"/>
              </w:rPr>
              <w:t>Subordinated</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104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5</w:t>
            </w:r>
          </w:p>
        </w:tc>
        <w:tc>
          <w:tcPr>
            <w:tcW w:w="2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10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20" w:type="dxa"/>
            <w:vAlign w:val="bottom"/>
            <w:gridSpan w:val="5"/>
          </w:tcPr>
          <w:p>
            <w:pPr>
              <w:jc w:val="center"/>
              <w:ind w:right="35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jc w:val="both"/>
        <w:ind w:left="220" w:right="200"/>
        <w:spacing w:after="0"/>
        <w:rPr>
          <w:sz w:val="20"/>
          <w:szCs w:val="20"/>
          <w:color w:val="auto"/>
        </w:rPr>
      </w:pPr>
      <w:r>
        <w:rPr>
          <w:rFonts w:ascii="Arial" w:cs="Arial" w:eastAsia="Arial" w:hAnsi="Arial"/>
          <w:sz w:val="17"/>
          <w:szCs w:val="17"/>
          <w:color w:val="auto"/>
        </w:rPr>
        <w:t>1(a). An indeterminate aggregate initial offering price and number of securities of each identified class is being registered as may from time to time be offered, issued or sold at indeterminate prices. In addition, an indeterminate number of securities that may be issued upon exercise, settlement, conversion or exchange of any offered securities, or pursuant to anti-dilution adjustments, are being registered. Separate consideration may or may not be received for securities that are issuable on exercise, conversion or exchange of other securities. Any securities registered hereunder may be sold separately or as units with other securities registered hereunder.</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1(b). Pursuant to Rules 456(b) and 457(r) under the Securities Act of 1933, the registrant is deferring payment of the entire registration fee.</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Registration fees will be paid subsequently on a "pay as you 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4819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3</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4</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5</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Registrant or Filer</w:t>
            </w: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Name</w:t>
            </w:r>
          </w:p>
        </w:tc>
        <w:tc>
          <w:tcPr>
            <w:tcW w:w="4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2" w:right="239" w:bottom="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Rules 457(b) and 0-11(a)(2)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-109220</wp:posOffset>
            </wp:positionV>
            <wp:extent cx="12700" cy="1365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2700" cy="13658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-109220</wp:posOffset>
            </wp:positionV>
            <wp:extent cx="12700" cy="1365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2700" cy="1365885"/>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-116840</wp:posOffset>
            </wp:positionV>
            <wp:extent cx="7108825" cy="2540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08825" cy="2540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-116840</wp:posOffset>
            </wp:positionV>
            <wp:extent cx="7108825" cy="2540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08825" cy="2540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w w:val="98"/>
              </w:rPr>
              <w:t>Table 3: Combined Prospectuses</w:t>
            </w: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240"/>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40" w:type="dxa"/>
            <w:vAlign w:val="bottom"/>
            <w:gridSpan w:val="5"/>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lvl w:ilvl="1">
      <w:lvlJc w:val="left"/>
      <w:lvlText w:val="%2"/>
      <w:numFmt w:val="decimal"/>
      <w:start w:val="107"/>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lowerRoman"/>
      <w:start w:val="2"/>
    </w:lvl>
  </w:abstractNum>
  <w:abstractNum w:abstractNumId="17">
    <w:nsid w:val="721DA317"/>
    <w:multiLevelType w:val="hybridMultilevel"/>
    <w:lvl w:ilvl="0">
      <w:lvlJc w:val="left"/>
      <w:lvlText w:val="(%1)"/>
      <w:numFmt w:val="lowerRoman"/>
      <w:start w:val="3"/>
    </w:lvl>
  </w:abstractNum>
  <w:abstractNum w:abstractNumId="18">
    <w:nsid w:val="2443A858"/>
    <w:multiLevelType w:val="hybridMultilevel"/>
    <w:lvl w:ilvl="0">
      <w:lvlJc w:val="left"/>
      <w:lvlText w:val="(%1)"/>
      <w:numFmt w:val="decimal"/>
      <w:start w:val="2"/>
    </w:lvl>
  </w:abstractNum>
  <w:abstractNum w:abstractNumId="19">
    <w:nsid w:val="2D1D5AE9"/>
    <w:multiLevelType w:val="hybridMultilevel"/>
    <w:lvl w:ilvl="0">
      <w:lvlJc w:val="left"/>
      <w:lvlText w:val="(%1)"/>
      <w:numFmt w:val="upperLetter"/>
      <w:start w:val="1"/>
    </w:lvl>
  </w:abstractNum>
  <w:abstractNum w:abstractNumId="20">
    <w:nsid w:val="6763845E"/>
    <w:multiLevelType w:val="hybridMultilevel"/>
    <w:lvl w:ilvl="0">
      <w:lvlJc w:val="left"/>
      <w:lvlText w:val="(%1)"/>
      <w:numFmt w:val="lowerRoman"/>
      <w:start w:val="1"/>
    </w:lvl>
  </w:abstractNum>
  <w:abstractNum w:abstractNumId="21">
    <w:nsid w:val="75A2A8D4"/>
    <w:multiLevelType w:val="hybridMultilevel"/>
    <w:lvl w:ilvl="0">
      <w:lvlJc w:val="left"/>
      <w:lvlText w:val="(%1)"/>
      <w:numFmt w:val="lowerLetter"/>
      <w:start w:val="2"/>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lowerRoman"/>
      <w:start w:val="1"/>
    </w:lvl>
  </w:abstractNum>
  <w:abstractNum w:abstractNumId="24">
    <w:nsid w:val="4353D0CD"/>
    <w:multiLevelType w:val="hybridMultilevel"/>
    <w:lvl w:ilvl="0">
      <w:lvlJc w:val="left"/>
      <w:lvlText w:val="(%1)"/>
      <w:numFmt w:val="lowerRoman"/>
      <w:start w:val="9"/>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jpeg"/><Relationship Id="rId57" Type="http://schemas.openxmlformats.org/officeDocument/2006/relationships/image" Target="media/image40.png"/><Relationship Id="rId58" Type="http://schemas.openxmlformats.org/officeDocument/2006/relationships/image" Target="media/image41.jpeg"/><Relationship Id="rId59" Type="http://schemas.openxmlformats.org/officeDocument/2006/relationships/image" Target="media/image42.png"/><Relationship Id="rId60" Type="http://schemas.openxmlformats.org/officeDocument/2006/relationships/image" Target="media/image43.jpeg"/><Relationship Id="rId61" Type="http://schemas.openxmlformats.org/officeDocument/2006/relationships/image" Target="media/image44.png"/><Relationship Id="rId62" Type="http://schemas.openxmlformats.org/officeDocument/2006/relationships/image" Target="media/image45.jpeg"/><Relationship Id="rId63" Type="http://schemas.openxmlformats.org/officeDocument/2006/relationships/image" Target="media/image46.png"/><Relationship Id="rId64" Type="http://schemas.openxmlformats.org/officeDocument/2006/relationships/image" Target="media/image47.jpe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39" Type="http://schemas.openxmlformats.org/officeDocument/2006/relationships/hyperlink" Target="https://www.sec.gov/Archives/edgar/data/1048268/000104826825000174/iesc-20250930.htm" TargetMode="External"/><Relationship Id="rId40" Type="http://schemas.openxmlformats.org/officeDocument/2006/relationships/hyperlink" Target="https://www.sec.gov/Archives/edgar/data/1048268/000104826826000037/iesc-20251231.htm" TargetMode="External"/><Relationship Id="rId41" Type="http://schemas.openxmlformats.org/officeDocument/2006/relationships/hyperlink" Target="https://www.sec.gov/Archives/edgar/data/1048268/000104826826000086/iesc-20260331.htm" TargetMode="External"/><Relationship Id="rId42" Type="http://schemas.openxmlformats.org/officeDocument/2006/relationships/hyperlink" Target="https://www.sec.gov/Archives/edgar/data/1048268/000104826825000165/iesc-20251107.htm" TargetMode="External"/><Relationship Id="rId43" Type="http://schemas.openxmlformats.org/officeDocument/2006/relationships/hyperlink" Target="https://www.sec.gov/Archives/edgar/data/1048268/000104826826000055/iesc-20260219.htm" TargetMode="External"/><Relationship Id="rId44" Type="http://schemas.openxmlformats.org/officeDocument/2006/relationships/hyperlink" Target="http://www.sec.gov/Archives/edgar/data/1048268/000104826826000018/iesc-20260107.htm" TargetMode="External"/><Relationship Id="rId45" Type="http://schemas.openxmlformats.org/officeDocument/2006/relationships/hyperlink" Target="https://www.sec.gov/Archives/edgar/data/1048268/000104826826000045/iesc-20260203.htm" TargetMode="External"/><Relationship Id="rId50" Type="http://schemas.openxmlformats.org/officeDocument/2006/relationships/hyperlink" Target="https://www.sec.gov/Archives/edgar/data/1048268/000119312516674386/d211495dex31.htm" TargetMode="External"/><Relationship Id="rId51" Type="http://schemas.openxmlformats.org/officeDocument/2006/relationships/hyperlink" Target="https://www.sec.gov/Archives/edgar/data/1048268/000104826821000065/amendedandrestatedbylawsof.htm" TargetMode="External"/><Relationship Id="rId52" Type="http://schemas.openxmlformats.org/officeDocument/2006/relationships/hyperlink" Target="https://www.sec.gov/Archives/edgar/data/1048268/000119312516789187/d31082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2026-07-02T16:29:02Z</dcterms:created>
  <dcterms:modified xsi:type="dcterms:W3CDTF">2026-07-02T16:29:02Z</dcterms:modified>
</cp:coreProperties>
</file>