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171450</wp:posOffset>
            </wp:positionV>
            <wp:extent cx="21088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36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87630</wp:posOffset>
            </wp:positionV>
            <wp:extent cx="20999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5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253365</wp:posOffset>
            </wp:positionV>
            <wp:extent cx="2108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883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347980</wp:posOffset>
            </wp:positionV>
            <wp:extent cx="1011555" cy="522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IES Holdings,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175895</wp:posOffset>
            </wp:positionV>
            <wp:extent cx="2108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1400"/>
        <w:spacing w:after="0"/>
        <w:tabs>
          <w:tab w:leader="none" w:pos="5040" w:val="left"/>
          <w:tab w:leader="none" w:pos="88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001-13783</w:t>
      </w:r>
      <w:r>
        <w:rPr>
          <w:sz w:val="20"/>
          <w:szCs w:val="20"/>
          <w:color w:val="auto"/>
        </w:rPr>
        <w:tab/>
      </w:r>
      <w:r>
        <w:rPr>
          <w:rFonts w:ascii="Times New Roman" w:cs="Times New Roman" w:eastAsia="Times New Roman" w:hAnsi="Times New Roman"/>
          <w:sz w:val="17"/>
          <w:szCs w:val="17"/>
          <w:b w:val="1"/>
          <w:bCs w:val="1"/>
          <w:color w:val="auto"/>
        </w:rPr>
        <w:t>76-0542208</w:t>
      </w:r>
    </w:p>
    <w:p>
      <w:pPr>
        <w:spacing w:after="0" w:line="12" w:lineRule="exact"/>
        <w:rPr>
          <w:sz w:val="24"/>
          <w:szCs w:val="24"/>
          <w:color w:val="auto"/>
        </w:rPr>
      </w:pPr>
    </w:p>
    <w:p>
      <w:pPr>
        <w:ind w:left="920"/>
        <w:spacing w:after="0"/>
        <w:tabs>
          <w:tab w:leader="none" w:pos="5000" w:val="left"/>
          <w:tab w:leader="none" w:pos="8760" w:val="left"/>
        </w:tabs>
        <w:rPr>
          <w:sz w:val="20"/>
          <w:szCs w:val="20"/>
          <w:color w:val="auto"/>
        </w:rPr>
      </w:pPr>
      <w:r>
        <w:rPr>
          <w:rFonts w:ascii="Times New Roman" w:cs="Times New Roman" w:eastAsia="Times New Roman" w:hAnsi="Times New Roman"/>
          <w:sz w:val="14"/>
          <w:szCs w:val="14"/>
          <w:b w:val="1"/>
          <w:bCs w:val="1"/>
          <w:color w:val="auto"/>
        </w:rPr>
        <w:t>(State or other jurisdiction</w:t>
      </w:r>
      <w:r>
        <w:rPr>
          <w:sz w:val="20"/>
          <w:szCs w:val="20"/>
          <w:color w:val="auto"/>
        </w:rPr>
        <w:tab/>
      </w:r>
      <w:r>
        <w:rPr>
          <w:rFonts w:ascii="Times New Roman" w:cs="Times New Roman" w:eastAsia="Times New Roman" w:hAnsi="Times New Roman"/>
          <w:sz w:val="14"/>
          <w:szCs w:val="14"/>
          <w:b w:val="1"/>
          <w:bCs w:val="1"/>
          <w:color w:val="auto"/>
        </w:rPr>
        <w:t>(Commission</w:t>
      </w:r>
      <w:r>
        <w:rPr>
          <w:sz w:val="20"/>
          <w:szCs w:val="20"/>
          <w:color w:val="auto"/>
        </w:rPr>
        <w:tab/>
      </w:r>
      <w:r>
        <w:rPr>
          <w:rFonts w:ascii="Times New Roman" w:cs="Times New Roman" w:eastAsia="Times New Roman" w:hAnsi="Times New Roman"/>
          <w:sz w:val="14"/>
          <w:szCs w:val="14"/>
          <w:b w:val="1"/>
          <w:bCs w:val="1"/>
          <w:color w:val="auto"/>
        </w:rPr>
        <w:t>(I.R.S. Employer</w:t>
      </w:r>
    </w:p>
    <w:p>
      <w:pPr>
        <w:ind w:left="1240"/>
        <w:spacing w:after="0"/>
        <w:tabs>
          <w:tab w:leader="none" w:pos="5020" w:val="left"/>
          <w:tab w:leader="none" w:pos="8720" w:val="left"/>
        </w:tabs>
        <w:rPr>
          <w:sz w:val="20"/>
          <w:szCs w:val="20"/>
          <w:color w:val="auto"/>
        </w:rPr>
      </w:pPr>
      <w:r>
        <w:rPr>
          <w:rFonts w:ascii="Times New Roman" w:cs="Times New Roman" w:eastAsia="Times New Roman" w:hAnsi="Times New Roman"/>
          <w:sz w:val="14"/>
          <w:szCs w:val="14"/>
          <w:b w:val="1"/>
          <w:bCs w:val="1"/>
          <w:color w:val="auto"/>
        </w:rPr>
        <w:t>of incorporation)</w:t>
      </w:r>
      <w:r>
        <w:rPr>
          <w:sz w:val="20"/>
          <w:szCs w:val="20"/>
          <w:color w:val="auto"/>
        </w:rPr>
        <w:tab/>
      </w:r>
      <w:r>
        <w:rPr>
          <w:rFonts w:ascii="Times New Roman" w:cs="Times New Roman" w:eastAsia="Times New Roman" w:hAnsi="Times New Roman"/>
          <w:sz w:val="14"/>
          <w:szCs w:val="14"/>
          <w:b w:val="1"/>
          <w:bCs w:val="1"/>
          <w:color w:val="auto"/>
        </w:rPr>
        <w:t>File Number)</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33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13131 Dairy Ashford Road, Suite 500</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Houston, Texas 77478</w:t>
      </w:r>
    </w:p>
    <w:p>
      <w:pPr>
        <w:spacing w:after="0" w:line="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35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Mary K. Newman</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(713) 860-1500</w:t>
      </w:r>
    </w:p>
    <w:p>
      <w:pPr>
        <w:spacing w:after="0" w:line="2"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219075</wp:posOffset>
            </wp:positionV>
            <wp:extent cx="2108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40" w:lineRule="exact"/>
        <w:rPr>
          <w:sz w:val="24"/>
          <w:szCs w:val="24"/>
          <w:color w:val="auto"/>
        </w:rPr>
      </w:pPr>
    </w:p>
    <w:p>
      <w:pPr>
        <w:ind w:left="460" w:right="880" w:hanging="434"/>
        <w:spacing w:after="0" w:line="297"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 Rule 13q-1 under the Securities Exchange Act (17 CFR 240.13q-1) for the fiscal year ended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715010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740"/>
          </w:cols>
          <w:pgMar w:left="320" w:top="1440"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Conflicts Minerals Disclosure</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Minerals Disclosure</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Form SD of IES Holdings, Inc. (the “Company”) is filed pursuant to Rule 13p-1 (the “Rule”) promulgated under the Securities Exchange Act of 1934, as amended, and Form SD (the “Form”) for the reporting period January 1, 2025 to December 31, 2025. Together, the Rule and the Form require disclosure of information relating to “conflict minerals,” which are defined as columbite-tantalite (coltan), cassiterite, gold, wolframite, and their derivatives, which are limited to tantalum, tin, and tungsten.</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disclosure requirement applies to those public companies that manufacture, or contract to manufacture, products in which any conflict mineral is necessary to such product’s functionality or production.</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Accordingly, the Company undertook an analysis of the products it manufactures, or contracts to manufacture, to determine whether any conflict mineral was necessary to any product’s functionality or production. The Company concluded that certain products it contracts to manufacture contain one or more of the conflict minerals. The Company does not purchase any conflict minerals contained within its products or components directly from mines, smelters or refiners; instead, the Company contracts with various suppliers to manufacture or supply these products or components. The Company must therefore rely on its suppliers to provide information regarding the origin of any conflict minerals.</w:t>
      </w:r>
    </w:p>
    <w:p>
      <w:pPr>
        <w:spacing w:after="0" w:line="21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conducted a reasonable country of origin inquiry regarding those conflict minerals, which was designed to determine whether any of those conflict minerals originated in the Democratic Republic of the Congo or an adjoining country (together, the “Covered Countries”) or are from recycled or scrap sources. To this end, the Company identified each supplier of a component or product containing a conflict mineral, explained to each such supplier the requirements of the Rule and its applicability to the Company, and then sought information from each such supplier about the origin of such conflict minerals. In each instance, the supplier identified the origin of such conflict minerals as other than one of the Covered Countries and not from recycled or scrap sources.</w:t>
      </w:r>
    </w:p>
    <w:p>
      <w:pPr>
        <w:spacing w:after="0" w:line="214"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Based on its reasonable country of origin inquiry, the Company concluded that it has no reason to believe that any conflict minerals included in the products the Company manufactures or contracts to manufacture may have originated in one of the Covered Countries or are from recycled or scrap sources.</w:t>
      </w:r>
    </w:p>
    <w:p>
      <w:pPr>
        <w:spacing w:after="0" w:line="20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This information is publicly available on the Company’s website at www.ies-corporate.com, as well as on the SEC’s EDGAR database at www.sec.gov. The reference to the Company's website is provided for convenience only, and its contents are not incorporated by reference into this Form nor deemed filed with the U.S. Securities and Exchange Commission.</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00"/>
          </w:cols>
          <w:pgMar w:left="320" w:top="1062"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IES HOLDINGS, INC.</w:t>
      </w:r>
    </w:p>
    <w:p>
      <w:pPr>
        <w:spacing w:after="0" w:line="281" w:lineRule="exact"/>
        <w:rPr>
          <w:sz w:val="20"/>
          <w:szCs w:val="20"/>
          <w:color w:val="auto"/>
        </w:rPr>
      </w:pPr>
    </w:p>
    <w:p>
      <w:pPr>
        <w:ind w:left="2240"/>
        <w:spacing w:after="0"/>
        <w:tabs>
          <w:tab w:leader="none" w:pos="4480" w:val="left"/>
        </w:tabs>
        <w:rPr>
          <w:sz w:val="20"/>
          <w:szCs w:val="20"/>
          <w:color w:val="auto"/>
        </w:rPr>
      </w:pPr>
      <w:r>
        <w:rPr>
          <w:rFonts w:ascii="Times New Roman" w:cs="Times New Roman" w:eastAsia="Times New Roman" w:hAnsi="Times New Roman"/>
          <w:sz w:val="18"/>
          <w:szCs w:val="18"/>
          <w:i w:val="1"/>
          <w:iCs w:val="1"/>
          <w:color w:val="auto"/>
        </w:rPr>
        <w:t xml:space="preserve">Date: </w:t>
      </w:r>
      <w:r>
        <w:rPr>
          <w:rFonts w:ascii="Times New Roman" w:cs="Times New Roman" w:eastAsia="Times New Roman" w:hAnsi="Times New Roman"/>
          <w:sz w:val="18"/>
          <w:szCs w:val="18"/>
          <w:color w:val="auto"/>
        </w:rPr>
        <w:t>May 8, 2026</w:t>
      </w:r>
      <w:r>
        <w:rPr>
          <w:sz w:val="20"/>
          <w:szCs w:val="20"/>
          <w:color w:val="auto"/>
        </w:rPr>
        <w:tab/>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i w:val="1"/>
          <w:iCs w:val="1"/>
          <w:u w:val="single" w:color="auto"/>
          <w:color w:val="auto"/>
        </w:rPr>
        <w:t>/s/ Mary K. Newman</w:t>
      </w:r>
    </w:p>
    <w:p>
      <w:pPr>
        <w:spacing w:after="0" w:line="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Mary K. Newman</w:t>
      </w:r>
    </w:p>
    <w:p>
      <w:pPr>
        <w:spacing w:after="0" w:line="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Chief Administrative Officer,</w:t>
      </w:r>
    </w:p>
    <w:p>
      <w:pPr>
        <w:ind w:left="450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sectPr>
      <w:pgSz w:w="11900" w:h="16838" w:orient="portrait"/>
      <w:cols w:equalWidth="0" w:num="1">
        <w:col w:w="11220"/>
      </w:cols>
      <w:pgMar w:left="320" w:top="76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2026-05-11T05:11:28Z</dcterms:created>
  <dcterms:modified xsi:type="dcterms:W3CDTF">2026-05-11T05:11:28Z</dcterms:modified>
</cp:coreProperties>
</file>