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90170</wp:posOffset>
            </wp:positionV>
            <wp:extent cx="2306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31115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91" w:lineRule="exact"/>
        <w:rPr>
          <w:sz w:val="24"/>
          <w:szCs w:val="24"/>
          <w:color w:val="auto"/>
        </w:rPr>
      </w:pPr>
    </w:p>
    <w:p>
      <w:pPr>
        <w:ind w:left="180"/>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860" w:hanging="460"/>
        <w:spacing w:after="0"/>
        <w:tabs>
          <w:tab w:leader="none" w:pos="86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2" w:lineRule="exact"/>
        <w:rPr>
          <w:rFonts w:ascii="MS PGothic" w:cs="MS PGothic" w:eastAsia="MS PGothic" w:hAnsi="MS PGothic"/>
          <w:sz w:val="19"/>
          <w:szCs w:val="19"/>
          <w:color w:val="auto"/>
        </w:rPr>
      </w:pPr>
    </w:p>
    <w:p>
      <w:pPr>
        <w:ind w:left="4140"/>
        <w:spacing w:after="0"/>
        <w:rPr>
          <w:rFonts w:ascii="MS PGothic" w:cs="MS PGothic" w:eastAsia="MS PGothic" w:hAnsi="MS PGothic"/>
          <w:sz w:val="19"/>
          <w:szCs w:val="19"/>
          <w:color w:val="auto"/>
        </w:rPr>
      </w:pPr>
      <w:r>
        <w:rPr>
          <w:rFonts w:ascii="Arial" w:cs="Arial" w:eastAsia="Arial" w:hAnsi="Arial"/>
          <w:sz w:val="16"/>
          <w:szCs w:val="16"/>
          <w:b w:val="1"/>
          <w:bCs w:val="1"/>
          <w:color w:val="auto"/>
        </w:rPr>
        <w:t>For the quarterly period ended June 30, 2019</w:t>
      </w:r>
    </w:p>
    <w:p>
      <w:pPr>
        <w:spacing w:after="0" w:line="73" w:lineRule="exact"/>
        <w:rPr>
          <w:sz w:val="24"/>
          <w:szCs w:val="24"/>
          <w:color w:val="auto"/>
        </w:rPr>
      </w:pPr>
    </w:p>
    <w:p>
      <w:pPr>
        <w:ind w:left="5940"/>
        <w:spacing w:after="0"/>
        <w:rPr>
          <w:sz w:val="20"/>
          <w:szCs w:val="20"/>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860" w:hanging="422"/>
        <w:spacing w:after="0"/>
        <w:tabs>
          <w:tab w:leader="none" w:pos="860" w:val="left"/>
        </w:tabs>
        <w:numPr>
          <w:ilvl w:val="0"/>
          <w:numId w:val="2"/>
        </w:numPr>
        <w:rPr>
          <w:rFonts w:ascii="Arial" w:cs="Arial" w:eastAsia="Arial" w:hAnsi="Arial"/>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59"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37465</wp:posOffset>
            </wp:positionV>
            <wp:extent cx="2306955"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IES Holdings,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86360</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ind w:left="25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76-0542208</w:t>
      </w:r>
    </w:p>
    <w:p>
      <w:pPr>
        <w:spacing w:after="0" w:line="86" w:lineRule="exact"/>
        <w:rPr>
          <w:sz w:val="24"/>
          <w:szCs w:val="24"/>
          <w:color w:val="auto"/>
        </w:rPr>
      </w:pPr>
    </w:p>
    <w:p>
      <w:pPr>
        <w:sectPr>
          <w:pgSz w:w="11900" w:h="16838" w:orient="portrait"/>
          <w:cols w:equalWidth="0" w:num="2">
            <w:col w:w="7440" w:space="720"/>
            <w:col w:w="3260"/>
          </w:cols>
          <w:pgMar w:left="240" w:top="360" w:right="239" w:bottom="1440" w:gutter="0" w:footer="0" w:header="0"/>
          <w:type w:val="continuous"/>
        </w:sectPr>
      </w:pPr>
    </w:p>
    <w:p>
      <w:pPr>
        <w:ind w:left="1980"/>
        <w:spacing w:after="0"/>
        <w:rPr>
          <w:sz w:val="20"/>
          <w:szCs w:val="20"/>
          <w:color w:val="auto"/>
        </w:rPr>
      </w:pPr>
      <w:r>
        <w:rPr>
          <w:rFonts w:ascii="Arial" w:cs="Arial" w:eastAsia="Arial" w:hAnsi="Arial"/>
          <w:sz w:val="13"/>
          <w:szCs w:val="13"/>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w:t>
      </w:r>
    </w:p>
    <w:p>
      <w:pPr>
        <w:spacing w:after="0" w:line="53" w:lineRule="exact"/>
        <w:rPr>
          <w:sz w:val="24"/>
          <w:szCs w:val="24"/>
          <w:color w:val="auto"/>
        </w:rPr>
      </w:pPr>
    </w:p>
    <w:p>
      <w:pPr>
        <w:sectPr>
          <w:pgSz w:w="11900" w:h="16838" w:orient="portrait"/>
          <w:cols w:equalWidth="0" w:num="2">
            <w:col w:w="7300" w:space="720"/>
            <w:col w:w="3400"/>
          </w:cols>
          <w:pgMar w:left="240" w:top="360" w:right="23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Identification No.)</w:t>
      </w:r>
    </w:p>
    <w:p>
      <w:pPr>
        <w:spacing w:after="0" w:line="37" w:lineRule="exact"/>
        <w:rPr>
          <w:sz w:val="24"/>
          <w:szCs w:val="24"/>
          <w:color w:val="auto"/>
        </w:rPr>
      </w:pPr>
    </w:p>
    <w:p>
      <w:pPr>
        <w:sectPr>
          <w:pgSz w:w="11900" w:h="16838" w:orient="portrait"/>
          <w:cols w:equalWidth="0" w:num="2">
            <w:col w:w="7260" w:space="720"/>
            <w:col w:w="3440"/>
          </w:cols>
          <w:pgMar w:left="240" w:top="360" w:right="239" w:bottom="1440" w:gutter="0" w:footer="0" w:header="0"/>
          <w:type w:val="continuous"/>
        </w:sectPr>
      </w:pPr>
    </w:p>
    <w:p>
      <w:pPr>
        <w:ind w:left="3760"/>
        <w:spacing w:after="0"/>
        <w:rPr>
          <w:sz w:val="20"/>
          <w:szCs w:val="20"/>
          <w:color w:val="auto"/>
        </w:rPr>
      </w:pPr>
      <w:r>
        <w:rPr>
          <w:rFonts w:ascii="Arial" w:cs="Arial" w:eastAsia="Arial" w:hAnsi="Arial"/>
          <w:sz w:val="14"/>
          <w:szCs w:val="14"/>
          <w:b w:val="1"/>
          <w:bCs w:val="1"/>
          <w:color w:val="auto"/>
        </w:rPr>
        <w:t>5433 Westheimer Road, Suite 500, Houston, Texas 77056</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ectPr>
          <w:pgSz w:w="11900" w:h="16838" w:orient="portrait"/>
          <w:cols w:equalWidth="0" w:num="1">
            <w:col w:w="11420"/>
          </w:cols>
          <w:pgMar w:left="240" w:top="360" w:right="2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(713) 860-1500</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22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Trading</w:t>
            </w:r>
          </w:p>
        </w:tc>
        <w:tc>
          <w:tcPr>
            <w:tcW w:w="94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210"/>
        </w:trPr>
        <w:tc>
          <w:tcPr>
            <w:tcW w:w="52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Title of each class</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Symbol</w:t>
            </w:r>
          </w:p>
        </w:tc>
        <w:tc>
          <w:tcPr>
            <w:tcW w:w="4600" w:type="dxa"/>
            <w:vAlign w:val="bottom"/>
            <w:gridSpan w:val="2"/>
          </w:tcPr>
          <w:p>
            <w:pPr>
              <w:ind w:left="90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33"/>
        </w:trPr>
        <w:tc>
          <w:tcPr>
            <w:tcW w:w="3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17"/>
        </w:trPr>
        <w:tc>
          <w:tcPr>
            <w:tcW w:w="52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IESC</w:t>
            </w:r>
          </w:p>
        </w:tc>
        <w:tc>
          <w:tcPr>
            <w:tcW w:w="940" w:type="dxa"/>
            <w:vAlign w:val="bottom"/>
          </w:tcPr>
          <w:p>
            <w:pPr>
              <w:spacing w:after="0"/>
              <w:rPr>
                <w:sz w:val="18"/>
                <w:szCs w:val="18"/>
                <w:color w:val="auto"/>
              </w:rPr>
            </w:pPr>
          </w:p>
        </w:tc>
        <w:tc>
          <w:tcPr>
            <w:tcW w:w="3660" w:type="dxa"/>
            <w:vAlign w:val="bottom"/>
          </w:tcPr>
          <w:p>
            <w:pPr>
              <w:ind w:left="480"/>
              <w:spacing w:after="0"/>
              <w:rPr>
                <w:sz w:val="20"/>
                <w:szCs w:val="20"/>
                <w:color w:val="auto"/>
              </w:rPr>
            </w:pPr>
            <w:r>
              <w:rPr>
                <w:rFonts w:ascii="Arial" w:cs="Arial" w:eastAsia="Arial" w:hAnsi="Arial"/>
                <w:sz w:val="16"/>
                <w:szCs w:val="16"/>
                <w:b w:val="1"/>
                <w:bCs w:val="1"/>
                <w:color w:val="auto"/>
              </w:rPr>
              <w:t>NASDAQ Global Market</w:t>
            </w:r>
          </w:p>
        </w:tc>
      </w:tr>
      <w:tr>
        <w:trPr>
          <w:trHeight w:val="257"/>
        </w:trPr>
        <w:tc>
          <w:tcPr>
            <w:tcW w:w="52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Rights to Purchase Preferred Stock</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IESC</w:t>
            </w:r>
          </w:p>
        </w:tc>
        <w:tc>
          <w:tcPr>
            <w:tcW w:w="940" w:type="dxa"/>
            <w:vAlign w:val="bottom"/>
          </w:tcPr>
          <w:p>
            <w:pPr>
              <w:spacing w:after="0"/>
              <w:rPr>
                <w:sz w:val="22"/>
                <w:szCs w:val="22"/>
                <w:color w:val="auto"/>
              </w:rPr>
            </w:pPr>
          </w:p>
        </w:tc>
        <w:tc>
          <w:tcPr>
            <w:tcW w:w="3660" w:type="dxa"/>
            <w:vAlign w:val="bottom"/>
          </w:tcPr>
          <w:p>
            <w:pPr>
              <w:ind w:left="480"/>
              <w:spacing w:after="0"/>
              <w:rPr>
                <w:sz w:val="20"/>
                <w:szCs w:val="20"/>
                <w:color w:val="auto"/>
              </w:rPr>
            </w:pPr>
            <w:r>
              <w:rPr>
                <w:rFonts w:ascii="Arial" w:cs="Arial" w:eastAsia="Arial" w:hAnsi="Arial"/>
                <w:sz w:val="16"/>
                <w:szCs w:val="16"/>
                <w:b w:val="1"/>
                <w:bCs w:val="1"/>
                <w:color w:val="auto"/>
              </w:rPr>
              <w:t>NASDAQ Global Market</w:t>
            </w:r>
          </w:p>
        </w:tc>
      </w:tr>
      <w:tr>
        <w:trPr>
          <w:trHeight w:val="182"/>
        </w:trPr>
        <w:tc>
          <w:tcPr>
            <w:tcW w:w="36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60" w:type="dxa"/>
            <w:vAlign w:val="bottom"/>
          </w:tcPr>
          <w:p>
            <w:pPr>
              <w:spacing w:after="0"/>
              <w:rPr>
                <w:sz w:val="15"/>
                <w:szCs w:val="15"/>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91"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74"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520"/>
              <w:spacing w:after="0"/>
              <w:rPr>
                <w:sz w:val="20"/>
                <w:szCs w:val="20"/>
                <w:color w:val="auto"/>
              </w:rPr>
            </w:pPr>
            <w:r>
              <w:rPr>
                <w:rFonts w:ascii="Arial" w:cs="Arial" w:eastAsia="Arial" w:hAnsi="Arial"/>
                <w:sz w:val="16"/>
                <w:szCs w:val="16"/>
                <w:color w:val="auto"/>
              </w:rPr>
              <w:t>o</w:t>
            </w:r>
          </w:p>
        </w:tc>
        <w:tc>
          <w:tcPr>
            <w:tcW w:w="464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520"/>
              <w:spacing w:after="0"/>
              <w:rPr>
                <w:sz w:val="20"/>
                <w:szCs w:val="20"/>
                <w:color w:val="auto"/>
              </w:rPr>
            </w:pPr>
            <w:r>
              <w:rPr>
                <w:rFonts w:ascii="Arial" w:cs="Arial" w:eastAsia="Arial" w:hAnsi="Arial"/>
                <w:sz w:val="16"/>
                <w:szCs w:val="16"/>
                <w:color w:val="auto"/>
              </w:rPr>
              <w:t>o</w:t>
            </w:r>
          </w:p>
        </w:tc>
        <w:tc>
          <w:tcPr>
            <w:tcW w:w="464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2"/>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000" w:type="dxa"/>
            <w:vAlign w:val="bottom"/>
          </w:tcPr>
          <w:p>
            <w:pPr>
              <w:ind w:left="520"/>
              <w:spacing w:after="0"/>
              <w:rPr>
                <w:sz w:val="20"/>
                <w:szCs w:val="20"/>
                <w:color w:val="auto"/>
              </w:rPr>
            </w:pPr>
            <w:r>
              <w:rPr>
                <w:rFonts w:ascii="Arial" w:cs="Arial" w:eastAsia="Arial" w:hAnsi="Arial"/>
                <w:sz w:val="16"/>
                <w:szCs w:val="16"/>
                <w:color w:val="auto"/>
              </w:rPr>
              <w:t>o</w:t>
            </w:r>
          </w:p>
        </w:tc>
        <w:tc>
          <w:tcPr>
            <w:tcW w:w="464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spacing w:after="0" w:line="145"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5" w:lineRule="exact"/>
        <w:rPr>
          <w:sz w:val="24"/>
          <w:szCs w:val="24"/>
          <w:color w:val="auto"/>
        </w:rPr>
      </w:pPr>
    </w:p>
    <w:p>
      <w:pPr>
        <w:ind w:right="322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On July 31, 2019, there were 21,216,036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880" w:type="dxa"/>
            <w:vAlign w:val="bottom"/>
            <w:gridSpan w:val="11"/>
            <w:vMerge w:val="restart"/>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7360" w:type="dxa"/>
            <w:vAlign w:val="bottom"/>
            <w:gridSpan w:val="10"/>
            <w:vMerge w:val="restart"/>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80" w:type="dxa"/>
            <w:vAlign w:val="bottom"/>
            <w:tcBorders>
              <w:bottom w:val="single" w:sz="8" w:color="0000EE"/>
            </w:tcBorders>
            <w:gridSpan w:val="11"/>
            <w:vMerge w:val="continue"/>
          </w:tcPr>
          <w:p>
            <w:pPr>
              <w:spacing w:after="0"/>
              <w:rPr>
                <w:sz w:val="17"/>
                <w:szCs w:val="17"/>
                <w:color w:val="auto"/>
              </w:rPr>
            </w:pPr>
          </w:p>
        </w:tc>
        <w:tc>
          <w:tcPr>
            <w:tcW w:w="7360" w:type="dxa"/>
            <w:vAlign w:val="bottom"/>
            <w:gridSpan w:val="10"/>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9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 Financial Statements</w:t>
              </w:r>
            </w:hyperlink>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as of June 30, 2019 and September 30, 2018</w:t>
              </w:r>
            </w:hyperlink>
          </w:p>
        </w:tc>
        <w:tc>
          <w:tcPr>
            <w:tcW w:w="11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9"/>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Comprehensive Income for the Three and Nine Months Ended June 30, 2019 and 2018</w:t>
              </w:r>
            </w:hyperlink>
          </w:p>
        </w:tc>
        <w:tc>
          <w:tcPr>
            <w:tcW w:w="11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9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Stockholders’ Equity for the Three and Nine Months Ended June 30, 2019 and 2018</w:t>
              </w:r>
            </w:hyperlink>
          </w:p>
        </w:tc>
        <w:tc>
          <w:tcPr>
            <w:tcW w:w="180" w:type="dxa"/>
            <w:vAlign w:val="bottom"/>
            <w:tcBorders>
              <w:top w:val="single" w:sz="8" w:color="0000EE"/>
            </w:tcBorders>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 for the Nine Months Ended June 30, 2019 and 2018</w:t>
              </w:r>
            </w:hyperlink>
          </w:p>
        </w:tc>
        <w:tc>
          <w:tcPr>
            <w:tcW w:w="114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Notes to Condensed Consolidated Financial Statements</w:t>
              </w:r>
            </w:hyperlink>
          </w:p>
        </w:tc>
        <w:tc>
          <w:tcPr>
            <w:tcW w:w="3480" w:type="dxa"/>
            <w:vAlign w:val="bottom"/>
            <w:tcBorders>
              <w:top w:val="single" w:sz="8" w:color="0000EE"/>
            </w:tcBorders>
            <w:gridSpan w:val="5"/>
          </w:tcPr>
          <w:p>
            <w:pPr>
              <w:spacing w:after="0"/>
              <w:rPr>
                <w:sz w:val="21"/>
                <w:szCs w:val="21"/>
                <w:color w:val="auto"/>
              </w:rPr>
            </w:pPr>
          </w:p>
        </w:tc>
        <w:tc>
          <w:tcPr>
            <w:tcW w:w="2060" w:type="dxa"/>
            <w:vAlign w:val="bottom"/>
            <w:gridSpan w:val="3"/>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9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114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020" w:type="dxa"/>
            <w:vAlign w:val="bottom"/>
            <w:tcBorders>
              <w:top w:val="single" w:sz="8" w:color="0000EE"/>
            </w:tcBorders>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 Quantitative and Qualitative Disclosures About Market Risk</w:t>
              </w:r>
            </w:hyperlink>
          </w:p>
        </w:tc>
        <w:tc>
          <w:tcPr>
            <w:tcW w:w="2880" w:type="dxa"/>
            <w:vAlign w:val="bottom"/>
            <w:gridSpan w:val="4"/>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5"/>
          </w:tcPr>
          <w:p>
            <w:pPr>
              <w:spacing w:after="0"/>
              <w:rPr>
                <w:sz w:val="21"/>
                <w:szCs w:val="21"/>
                <w:color w:val="auto"/>
              </w:rPr>
            </w:pPr>
          </w:p>
        </w:tc>
        <w:tc>
          <w:tcPr>
            <w:tcW w:w="4980" w:type="dxa"/>
            <w:vAlign w:val="bottom"/>
            <w:gridSpan w:val="6"/>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50"/>
        </w:trPr>
        <w:tc>
          <w:tcPr>
            <w:tcW w:w="1024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PART II. OTHER INFORMATION</w:t>
              </w:r>
            </w:hyperlink>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Borders>
              <w:top w:val="single" w:sz="8" w:color="0000EE"/>
            </w:tcBorders>
          </w:tcPr>
          <w:p>
            <w:pPr>
              <w:spacing w:after="0"/>
              <w:rPr>
                <w:sz w:val="21"/>
                <w:szCs w:val="21"/>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1. Legal Proceedings</w:t>
              </w:r>
            </w:hyperlink>
          </w:p>
        </w:tc>
        <w:tc>
          <w:tcPr>
            <w:tcW w:w="320" w:type="dxa"/>
            <w:vAlign w:val="bottom"/>
            <w:tcBorders>
              <w:top w:val="single" w:sz="8" w:color="0000EE"/>
            </w:tcBorders>
            <w:gridSpan w:val="2"/>
          </w:tcPr>
          <w:p>
            <w:pPr>
              <w:spacing w:after="0"/>
              <w:rPr>
                <w:sz w:val="21"/>
                <w:szCs w:val="21"/>
                <w:color w:val="auto"/>
              </w:rPr>
            </w:pPr>
          </w:p>
        </w:tc>
        <w:tc>
          <w:tcPr>
            <w:tcW w:w="7680" w:type="dxa"/>
            <w:vAlign w:val="bottom"/>
            <w:gridSpan w:val="12"/>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Item 1A. Risk Factors</w:t>
              </w:r>
            </w:hyperlink>
          </w:p>
        </w:tc>
        <w:tc>
          <w:tcPr>
            <w:tcW w:w="8300" w:type="dxa"/>
            <w:vAlign w:val="bottom"/>
            <w:gridSpan w:val="16"/>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90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 Unregistered Sales of Equity Securities and Use of Proceeds</w:t>
              </w:r>
            </w:hyperlink>
          </w:p>
        </w:tc>
        <w:tc>
          <w:tcPr>
            <w:tcW w:w="11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900" w:type="dxa"/>
            <w:vAlign w:val="bottom"/>
            <w:tcBorders>
              <w:top w:val="single" w:sz="8" w:color="0000EE"/>
            </w:tcBorders>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 Defaults Upon Senior Securities</w:t>
              </w:r>
            </w:hyperlink>
          </w:p>
        </w:tc>
        <w:tc>
          <w:tcPr>
            <w:tcW w:w="5000" w:type="dxa"/>
            <w:vAlign w:val="bottom"/>
            <w:gridSpan w:val="7"/>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2"/>
          </w:tcPr>
          <w:p>
            <w:pPr>
              <w:spacing w:after="0"/>
              <w:rPr>
                <w:sz w:val="21"/>
                <w:szCs w:val="21"/>
                <w:color w:val="auto"/>
              </w:rPr>
            </w:pPr>
          </w:p>
        </w:tc>
        <w:tc>
          <w:tcPr>
            <w:tcW w:w="7020" w:type="dxa"/>
            <w:vAlign w:val="bottom"/>
            <w:gridSpan w:val="9"/>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5. Other Information</w:t>
              </w:r>
            </w:hyperlink>
          </w:p>
        </w:tc>
        <w:tc>
          <w:tcPr>
            <w:tcW w:w="8020" w:type="dxa"/>
            <w:vAlign w:val="bottom"/>
            <w:gridSpan w:val="15"/>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9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11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160" w:type="dxa"/>
            <w:vAlign w:val="bottom"/>
            <w:tcBorders>
              <w:top w:val="single" w:sz="8" w:color="0000EE"/>
            </w:tcBorders>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8740" w:type="dxa"/>
            <w:vAlign w:val="bottom"/>
            <w:gridSpan w:val="17"/>
          </w:tcPr>
          <w:p>
            <w:pPr>
              <w:spacing w:after="0"/>
              <w:rPr>
                <w:sz w:val="21"/>
                <w:szCs w:val="21"/>
                <w:color w:val="auto"/>
              </w:rPr>
            </w:pPr>
          </w:p>
        </w:tc>
        <w:tc>
          <w:tcPr>
            <w:tcW w:w="11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290830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t>PART I. FINANCIAL INFORMATION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this Quarterly Report on Form 10-Q, the words “IES”, the “Company”, the “Registrant”, “we”, “our”, “ours” and “us” refer to IES Holdings, Inc. and, except as otherwise specified herein, to our subsidiaries.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6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controlling stockholder to take action not aligned with other stockholders;</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 or disposition of the shares of our common stock held by our controlling stockholder, which, under certain circumstances, would trigger change of control provisions in our severance benefit plan or financing and surety arrangements, or any other substantial sale of our common stock, which could depress our stock price;</w:t>
      </w:r>
    </w:p>
    <w:p>
      <w:pPr>
        <w:spacing w:after="0" w:line="18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certain tax benefits of our net operating losses may be restricted or reduced in a change in ownership or a further change in the federal tax rate;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recognition of valuation allowances or write-downs on deferred tax assets;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carry out plans and strategies as expected, including our inability to identify and complete acquisitions that meet our investment criteria in furtherance of our corporate strategy, or the subsequent underperformance of those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limitations on the availability of sufficient credit or cash flow to fund our working capital needs and capital expenditures and debt service;</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fulfilling the covenant terms of our credit facility, including liquidity, EBITDA and other financial requirements, which could result in a default and acceleration of our indebtedness under our revolving credit facility;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issue additional shares of common stock or convertible securities that will dilute the percentage ownership interest of existing stockholders and may dilute the book value per share of our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relatively low trading volume of our common stock, which could depress our stock price;</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industries in which we operate, both from third parties and former employees, which could result in the loss of one or more customers or lead to lower margins on new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capital expenditures and refurbishment, repair and upgrade costs; and delays in and costs of refurbishment, repair and upgrade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general reduction in the demand for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the terms of, future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transferring, renewing and obtaining electrical and other licenses;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integrating new businesses into the Company or new types of work, products or processes into our segments;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and capital market conditions, including changes in interest rates that affect the cost of construction financing and mortgages, and the inability for some of our customers to retain sufficient financing, which could lead to project delays or cancellations;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67" w:right="299" w:bottom="1440" w:gutter="0" w:footer="0" w:header="0"/>
        </w:sectPr>
      </w:pPr>
    </w:p>
    <w:bookmarkStart w:id="3" w:name="page4"/>
    <w:bookmarkEnd w:id="3"/>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backlog that may not be realized or may not result in profits;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errors when estimating revenue and progress to date on percentage-of-completion contracts;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inherent in estimating future operating results, including revenues, operating income or cash flow;</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complications associated with the incorporation of new accounting, control and operating procedures;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closures or sales of facilities resulting in significant future charges, including potential warranty losses or other unexpected liabilities, or a significant disruption of our operations;</w:t>
      </w:r>
    </w:p>
    <w:p>
      <w:pPr>
        <w:spacing w:after="0" w:line="170" w:lineRule="exact"/>
        <w:rPr>
          <w:rFonts w:ascii="Arial" w:cs="Arial" w:eastAsia="Arial" w:hAnsi="Arial"/>
          <w:sz w:val="18"/>
          <w:szCs w:val="18"/>
          <w:color w:val="auto"/>
        </w:rPr>
      </w:pPr>
    </w:p>
    <w:p>
      <w:pPr>
        <w:ind w:left="328" w:right="60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increased cost of surety bonds affecting margins on work and the potential for our surety providers to refuse bonding or require additional collateral at their discretion;</w:t>
      </w:r>
    </w:p>
    <w:p>
      <w:pPr>
        <w:spacing w:after="0" w:line="170" w:lineRule="exact"/>
        <w:rPr>
          <w:rFonts w:ascii="Arial" w:cs="Arial" w:eastAsia="Arial" w:hAnsi="Arial"/>
          <w:sz w:val="18"/>
          <w:szCs w:val="18"/>
          <w:color w:val="auto"/>
        </w:rPr>
      </w:pPr>
    </w:p>
    <w:p>
      <w:pPr>
        <w:ind w:left="328" w:right="46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operating activity due to downturns in levels of construction or the housing market, seasonality and differing regional economic conditions;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projects;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used when entering into fixed-priced contracts;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availability of qualified labor and the ability to maintain positive labor relations;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pass along increases in the cost of commodities used in our business, in particular, copper, aluminum, steel, fuel and certain plastics;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the mix of our customers, contracts or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bad debt expense and days sales outstanding due to liquidity problems faced by our customers;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potential goodwill, long-lived assets and other investment impairments;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supply chain disruptions due to credit or liquidity problems faced by our suppliers;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accidents resulting from the physical hazards associated with our work and the potential for accidents;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our current insurance coverage may not be adequate or that we may not be able to obtain a policy at acceptable rates;</w:t>
      </w:r>
    </w:p>
    <w:p>
      <w:pPr>
        <w:spacing w:after="0" w:line="236" w:lineRule="exact"/>
        <w:rPr>
          <w:rFonts w:ascii="Arial" w:cs="Arial" w:eastAsia="Arial" w:hAnsi="Arial"/>
          <w:sz w:val="17"/>
          <w:szCs w:val="17"/>
          <w:color w:val="auto"/>
        </w:rPr>
      </w:pPr>
    </w:p>
    <w:p>
      <w:pPr>
        <w:ind w:left="328" w:right="18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internal controls over financial reporting and our disclosure controls and procedures may not prevent all possible errors that could occur;</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disagreements with taxing authorities with regard to tax positions we have adopted;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tax benefits related to uncertain tax positions;</w:t>
      </w:r>
    </w:p>
    <w:p>
      <w:pPr>
        <w:spacing w:after="0" w:line="225"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litigation, claims and contingencies, including warranty losses, damages or other latent defect claims in excess of our existing reserves and accruals;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growth in latent defect litigation in states where we provide residential electrical work for home builders not otherwise covered by insurance;</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to our information systems and cyber security or data breaches;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liabilities under laws and regulations protecting the environment;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key personnel and effective transition of new management.</w:t>
      </w:r>
    </w:p>
    <w:p>
      <w:pPr>
        <w:spacing w:after="0" w:line="200" w:lineRule="exact"/>
        <w:rPr>
          <w:sz w:val="20"/>
          <w:szCs w:val="20"/>
          <w:color w:val="auto"/>
        </w:rPr>
      </w:pPr>
    </w:p>
    <w:p>
      <w:pPr>
        <w:spacing w:after="0" w:line="268"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8"/>
          </w:cols>
          <w:pgMar w:left="572" w:top="584" w:right="25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t>You should understand that the foregoing, as well as other risk factors discussed in this document and those listed in Part I, Item 1A of our Annual Report on Form 10-K for the fiscal year ended September 30, 2018, could cause future outcomes to differ materially from those experienced previously or those expressed in such forward-looking statements. We undertake no obligation to publicly update or revise any information, including without limitation information concerning our controlling stockholder,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6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June 30,</w:t>
            </w:r>
          </w:p>
        </w:tc>
        <w:tc>
          <w:tcPr>
            <w:tcW w:w="14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w w:val="89"/>
              </w:rPr>
              <w:t>September 30,</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386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26,247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420"/>
              <w:spacing w:after="0"/>
              <w:rPr>
                <w:sz w:val="20"/>
                <w:szCs w:val="20"/>
                <w:color w:val="auto"/>
              </w:rPr>
            </w:pPr>
            <w:r>
              <w:rPr>
                <w:rFonts w:ascii="Arial" w:cs="Arial" w:eastAsia="Arial" w:hAnsi="Arial"/>
                <w:sz w:val="18"/>
                <w:szCs w:val="18"/>
                <w:color w:val="auto"/>
              </w:rPr>
              <w:t>Trade, net of allowance of $949 and $868, respectively</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176,527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151,578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Retainage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24,312</w:t>
            </w:r>
          </w:p>
        </w:tc>
        <w:tc>
          <w:tcPr>
            <w:tcW w:w="0" w:type="dxa"/>
            <w:vAlign w:val="bottom"/>
          </w:tcPr>
          <w:p>
            <w:pPr>
              <w:spacing w:after="0"/>
              <w:rPr>
                <w:sz w:val="1"/>
                <w:szCs w:val="1"/>
                <w:color w:val="auto"/>
              </w:rPr>
            </w:pP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20,966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Costs and estimated earnings in excess of billings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31,446</w:t>
            </w:r>
          </w:p>
        </w:tc>
        <w:tc>
          <w:tcPr>
            <w:tcW w:w="0" w:type="dxa"/>
            <w:vAlign w:val="bottom"/>
          </w:tcPr>
          <w:p>
            <w:pPr>
              <w:spacing w:after="0"/>
              <w:rPr>
                <w:sz w:val="1"/>
                <w:szCs w:val="1"/>
                <w:color w:val="auto"/>
              </w:rPr>
            </w:pP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262,693</w:t>
            </w:r>
          </w:p>
        </w:tc>
        <w:tc>
          <w:tcPr>
            <w:tcW w:w="0" w:type="dxa"/>
            <w:vAlign w:val="bottom"/>
          </w:tcPr>
          <w:p>
            <w:pPr>
              <w:spacing w:after="0"/>
              <w:rPr>
                <w:sz w:val="1"/>
                <w:szCs w:val="1"/>
                <w:color w:val="auto"/>
              </w:rPr>
            </w:pPr>
          </w:p>
        </w:tc>
      </w:tr>
      <w:tr>
        <w:trPr>
          <w:trHeight w:val="237"/>
        </w:trPr>
        <w:tc>
          <w:tcPr>
            <w:tcW w:w="8480" w:type="dxa"/>
            <w:vAlign w:val="bottom"/>
          </w:tcPr>
          <w:p>
            <w:pPr>
              <w:ind w:left="6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25,364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50,702</w:t>
            </w:r>
          </w:p>
        </w:tc>
        <w:tc>
          <w:tcPr>
            <w:tcW w:w="0" w:type="dxa"/>
            <w:vAlign w:val="bottom"/>
          </w:tcPr>
          <w:p>
            <w:pPr>
              <w:spacing w:after="0"/>
              <w:rPr>
                <w:sz w:val="1"/>
                <w:szCs w:val="1"/>
                <w:color w:val="auto"/>
              </w:rPr>
            </w:pPr>
          </w:p>
        </w:tc>
      </w:tr>
      <w:tr>
        <w:trPr>
          <w:trHeight w:val="243"/>
        </w:trPr>
        <w:tc>
          <w:tcPr>
            <w:tcW w:w="8480" w:type="dxa"/>
            <w:vAlign w:val="bottom"/>
          </w:tcPr>
          <w:p>
            <w:pPr>
              <w:ind w:left="6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27,535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30,590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46,580</w:t>
            </w:r>
          </w:p>
        </w:tc>
        <w:tc>
          <w:tcPr>
            <w:tcW w:w="0" w:type="dxa"/>
            <w:vAlign w:val="bottom"/>
          </w:tcPr>
          <w:p>
            <w:pPr>
              <w:spacing w:after="0"/>
              <w:rPr>
                <w:sz w:val="1"/>
                <w:szCs w:val="1"/>
                <w:color w:val="auto"/>
              </w:rPr>
            </w:pPr>
          </w:p>
        </w:tc>
      </w:tr>
      <w:tr>
        <w:trPr>
          <w:trHeight w:val="243"/>
        </w:trPr>
        <w:tc>
          <w:tcPr>
            <w:tcW w:w="8480" w:type="dxa"/>
            <w:vAlign w:val="bottom"/>
          </w:tcPr>
          <w:p>
            <w:pPr>
              <w:ind w:left="6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438,364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421,994</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22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150,406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130,591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Billings in excess of costs and estimated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33,826</w:t>
            </w:r>
          </w:p>
        </w:tc>
        <w:tc>
          <w:tcPr>
            <w:tcW w:w="0" w:type="dxa"/>
            <w:vAlign w:val="bottom"/>
          </w:tcPr>
          <w:p>
            <w:pPr>
              <w:spacing w:after="0"/>
              <w:rPr>
                <w:sz w:val="1"/>
                <w:szCs w:val="1"/>
                <w:color w:val="auto"/>
              </w:rPr>
            </w:pPr>
          </w:p>
        </w:tc>
      </w:tr>
      <w:tr>
        <w:trPr>
          <w:trHeight w:val="237"/>
        </w:trPr>
        <w:tc>
          <w:tcPr>
            <w:tcW w:w="8480" w:type="dxa"/>
            <w:vAlign w:val="bottom"/>
          </w:tcPr>
          <w:p>
            <w:pPr>
              <w:ind w:left="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186,265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164,417</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29,564</w:t>
            </w:r>
          </w:p>
        </w:tc>
        <w:tc>
          <w:tcPr>
            <w:tcW w:w="0" w:type="dxa"/>
            <w:vAlign w:val="bottom"/>
          </w:tcPr>
          <w:p>
            <w:pPr>
              <w:spacing w:after="0"/>
              <w:rPr>
                <w:sz w:val="1"/>
                <w:szCs w:val="1"/>
                <w:color w:val="auto"/>
              </w:rPr>
            </w:pPr>
          </w:p>
        </w:tc>
      </w:tr>
      <w:tr>
        <w:trPr>
          <w:trHeight w:val="243"/>
        </w:trPr>
        <w:tc>
          <w:tcPr>
            <w:tcW w:w="8480" w:type="dxa"/>
            <w:vAlign w:val="bottom"/>
          </w:tcPr>
          <w:p>
            <w:pPr>
              <w:ind w:left="6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198,355</w:t>
            </w:r>
          </w:p>
        </w:tc>
        <w:tc>
          <w:tcPr>
            <w:tcW w:w="0" w:type="dxa"/>
            <w:vAlign w:val="bottom"/>
          </w:tcPr>
          <w:p>
            <w:pPr>
              <w:spacing w:after="0"/>
              <w:rPr>
                <w:sz w:val="1"/>
                <w:szCs w:val="1"/>
                <w:color w:val="auto"/>
              </w:rPr>
            </w:pPr>
          </w:p>
        </w:tc>
      </w:tr>
      <w:tr>
        <w:trPr>
          <w:trHeight w:val="237"/>
        </w:trPr>
        <w:tc>
          <w:tcPr>
            <w:tcW w:w="8480" w:type="dxa"/>
            <w:vAlign w:val="bottom"/>
          </w:tcPr>
          <w:p>
            <w:pPr>
              <w:ind w:left="6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3,245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and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Common stock, $0.01 par value, 100,000,000 shares authorized; 22,049,529</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issued and 21,218,854 and 21,205,536 outstanding,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Treasury stock, at cost, 830,675 and 843,993 shares, respectively</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196,810</w:t>
            </w:r>
          </w:p>
        </w:tc>
        <w:tc>
          <w:tcPr>
            <w:tcW w:w="0" w:type="dxa"/>
            <w:vAlign w:val="bottom"/>
          </w:tcPr>
          <w:p>
            <w:pPr>
              <w:spacing w:after="0"/>
              <w:rPr>
                <w:sz w:val="1"/>
                <w:szCs w:val="1"/>
                <w:color w:val="auto"/>
              </w:rPr>
            </w:pPr>
          </w:p>
        </w:tc>
      </w:tr>
      <w:tr>
        <w:trPr>
          <w:trHeight w:val="243"/>
        </w:trPr>
        <w:tc>
          <w:tcPr>
            <w:tcW w:w="8480" w:type="dxa"/>
            <w:vAlign w:val="bottom"/>
          </w:tcPr>
          <w:p>
            <w:pPr>
              <w:ind w:left="3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55,761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32,314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237,013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220,407</w:t>
            </w:r>
          </w:p>
        </w:tc>
        <w:tc>
          <w:tcPr>
            <w:tcW w:w="0" w:type="dxa"/>
            <w:vAlign w:val="bottom"/>
          </w:tcPr>
          <w:p>
            <w:pPr>
              <w:spacing w:after="0"/>
              <w:rPr>
                <w:sz w:val="1"/>
                <w:szCs w:val="1"/>
                <w:color w:val="auto"/>
              </w:rPr>
            </w:pPr>
          </w:p>
        </w:tc>
      </w:tr>
      <w:tr>
        <w:trPr>
          <w:trHeight w:val="257"/>
        </w:trPr>
        <w:tc>
          <w:tcPr>
            <w:tcW w:w="8480" w:type="dxa"/>
            <w:vAlign w:val="bottom"/>
          </w:tcPr>
          <w:p>
            <w:pPr>
              <w:ind w:left="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438,364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421,994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53"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60" w:type="dxa"/>
            <w:vAlign w:val="bottom"/>
            <w:gridSpan w:val="4"/>
          </w:tcPr>
          <w:p>
            <w:pPr>
              <w:jc w:val="right"/>
              <w:ind w:right="550"/>
              <w:spacing w:after="0"/>
              <w:rPr>
                <w:sz w:val="20"/>
                <w:szCs w:val="20"/>
                <w:color w:val="auto"/>
              </w:rPr>
            </w:pPr>
            <w:r>
              <w:rPr>
                <w:rFonts w:ascii="Arial" w:cs="Arial" w:eastAsia="Arial" w:hAnsi="Arial"/>
                <w:sz w:val="18"/>
                <w:szCs w:val="18"/>
                <w:color w:val="auto"/>
                <w:w w:val="99"/>
              </w:rPr>
              <w:t>Three Months Ended June 30,</w:t>
            </w:r>
          </w:p>
        </w:tc>
      </w:tr>
      <w:tr>
        <w:trPr>
          <w:trHeight w:val="27"/>
        </w:trPr>
        <w:tc>
          <w:tcPr>
            <w:tcW w:w="79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2018</w:t>
            </w: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282,633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232,576</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Cost of services</w:t>
            </w:r>
          </w:p>
        </w:tc>
        <w:tc>
          <w:tcPr>
            <w:tcW w:w="4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236,236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190,039</w:t>
            </w: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42,537</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36,333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32,372</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Gain on sale of assets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10,089</w:t>
            </w:r>
          </w:p>
        </w:tc>
      </w:tr>
      <w:tr>
        <w:trPr>
          <w:trHeight w:val="237"/>
        </w:trPr>
        <w:tc>
          <w:tcPr>
            <w:tcW w:w="7940" w:type="dxa"/>
            <w:vAlign w:val="bottom"/>
          </w:tcPr>
          <w:p>
            <w:pPr>
              <w:ind w:left="280"/>
              <w:spacing w:after="0"/>
              <w:rPr>
                <w:sz w:val="20"/>
                <w:szCs w:val="20"/>
                <w:color w:val="auto"/>
              </w:rPr>
            </w:pPr>
            <w:r>
              <w:rPr>
                <w:rFonts w:ascii="Arial" w:cs="Arial" w:eastAsia="Arial" w:hAnsi="Arial"/>
                <w:sz w:val="18"/>
                <w:szCs w:val="18"/>
                <w:color w:val="auto"/>
              </w:rPr>
              <w:t>Interest and other (income) expense:</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9,687</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Provision for (benefit from) income taxes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1,038</w:t>
            </w: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8,649</w:t>
            </w:r>
          </w:p>
        </w:tc>
      </w:tr>
      <w:tr>
        <w:trPr>
          <w:trHeight w:val="237"/>
        </w:trPr>
        <w:tc>
          <w:tcPr>
            <w:tcW w:w="794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IES Holdings, Inc.</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10,972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8,516</w:t>
            </w:r>
          </w:p>
        </w:tc>
      </w:tr>
      <w:tr>
        <w:trPr>
          <w:trHeight w:val="20"/>
        </w:trPr>
        <w:tc>
          <w:tcPr>
            <w:tcW w:w="7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7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per share attributable to IES Holdings, Inc.:</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4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0.40</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r>
      <w:tr>
        <w:trPr>
          <w:trHeight w:val="284"/>
        </w:trPr>
        <w:tc>
          <w:tcPr>
            <w:tcW w:w="7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used in the computation of earnings per share: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4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21,043,425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21,200,635</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21,301,235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21,331,883</w:t>
            </w:r>
          </w:p>
        </w:tc>
      </w:tr>
      <w:tr>
        <w:trPr>
          <w:trHeight w:val="27"/>
        </w:trPr>
        <w:tc>
          <w:tcPr>
            <w:tcW w:w="7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60" w:type="dxa"/>
            <w:vAlign w:val="bottom"/>
            <w:gridSpan w:val="3"/>
          </w:tcPr>
          <w:p>
            <w:pPr>
              <w:jc w:val="right"/>
              <w:ind w:right="590"/>
              <w:spacing w:after="0"/>
              <w:rPr>
                <w:sz w:val="20"/>
                <w:szCs w:val="20"/>
                <w:color w:val="auto"/>
              </w:rPr>
            </w:pPr>
            <w:r>
              <w:rPr>
                <w:rFonts w:ascii="Arial" w:cs="Arial" w:eastAsia="Arial" w:hAnsi="Arial"/>
                <w:sz w:val="18"/>
                <w:szCs w:val="18"/>
                <w:color w:val="auto"/>
              </w:rPr>
              <w:t>Nine Months Ended June 30,</w:t>
            </w:r>
          </w:p>
        </w:tc>
      </w:tr>
      <w:tr>
        <w:trPr>
          <w:trHeight w:val="270"/>
        </w:trPr>
        <w:tc>
          <w:tcPr>
            <w:tcW w:w="7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3"/>
                <w:szCs w:val="23"/>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2018</w:t>
            </w: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783,389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636,553</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Cost of services</w:t>
            </w:r>
          </w:p>
        </w:tc>
        <w:tc>
          <w:tcPr>
            <w:tcW w:w="4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652,156</w:t>
            </w:r>
          </w:p>
        </w:tc>
        <w:tc>
          <w:tcPr>
            <w:tcW w:w="4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527,112</w:t>
            </w: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131,233</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109,441</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103,489</w:t>
            </w:r>
          </w:p>
        </w:tc>
        <w:tc>
          <w:tcPr>
            <w:tcW w:w="4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92,108</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Loss (gain) on sale of assets</w:t>
            </w:r>
          </w:p>
        </w:tc>
        <w:tc>
          <w:tcPr>
            <w:tcW w:w="4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27,935</w:t>
            </w:r>
          </w:p>
        </w:tc>
        <w:tc>
          <w:tcPr>
            <w:tcW w:w="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17,220</w:t>
            </w:r>
          </w:p>
        </w:tc>
      </w:tr>
      <w:tr>
        <w:trPr>
          <w:trHeight w:val="237"/>
        </w:trPr>
        <w:tc>
          <w:tcPr>
            <w:tcW w:w="7940" w:type="dxa"/>
            <w:vAlign w:val="bottom"/>
          </w:tcPr>
          <w:p>
            <w:pPr>
              <w:ind w:left="280"/>
              <w:spacing w:after="0"/>
              <w:rPr>
                <w:sz w:val="20"/>
                <w:szCs w:val="20"/>
                <w:color w:val="auto"/>
              </w:rPr>
            </w:pPr>
            <w:r>
              <w:rPr>
                <w:rFonts w:ascii="Arial" w:cs="Arial" w:eastAsia="Arial" w:hAnsi="Arial"/>
                <w:sz w:val="18"/>
                <w:szCs w:val="18"/>
                <w:color w:val="auto"/>
              </w:rPr>
              <w:t>Interest and other (income) expense:</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1,533</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4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26,531</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16,045</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3,036</w:t>
            </w:r>
          </w:p>
        </w:tc>
        <w:tc>
          <w:tcPr>
            <w:tcW w:w="4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34,622</w:t>
            </w: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23,495</w:t>
            </w:r>
          </w:p>
        </w:tc>
        <w:tc>
          <w:tcPr>
            <w:tcW w:w="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(18,577)</w:t>
            </w:r>
          </w:p>
        </w:tc>
      </w:tr>
      <w:tr>
        <w:trPr>
          <w:trHeight w:val="237"/>
        </w:trPr>
        <w:tc>
          <w:tcPr>
            <w:tcW w:w="794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 attributable to IES Holdings, Inc.</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23,345</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(18,832)</w:t>
            </w:r>
          </w:p>
        </w:tc>
      </w:tr>
      <w:tr>
        <w:trPr>
          <w:trHeight w:val="20"/>
        </w:trPr>
        <w:tc>
          <w:tcPr>
            <w:tcW w:w="7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7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(loss) per share attributable to IES Holdings, Inc.:</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4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(0.89)</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r>
      <w:tr>
        <w:trPr>
          <w:trHeight w:val="284"/>
        </w:trPr>
        <w:tc>
          <w:tcPr>
            <w:tcW w:w="7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used in the computation of earnings (loss) per share: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4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21,139,697</w:t>
            </w:r>
          </w:p>
        </w:tc>
        <w:tc>
          <w:tcPr>
            <w:tcW w:w="4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21,193,306</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21,382,178</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21,193,306</w:t>
            </w:r>
          </w:p>
        </w:tc>
      </w:tr>
      <w:tr>
        <w:trPr>
          <w:trHeight w:val="27"/>
        </w:trPr>
        <w:tc>
          <w:tcPr>
            <w:tcW w:w="7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3" w:right="23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Information)</w:t>
      </w:r>
    </w:p>
    <w:p>
      <w:pPr>
        <w:sectPr>
          <w:pgSz w:w="11900" w:h="16838" w:orient="portrait"/>
          <w:cols w:equalWidth="0" w:num="1">
            <w:col w:w="11360"/>
          </w:cols>
          <w:pgMar w:left="300" w:top="5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right="1400" w:hanging="107"/>
        <w:spacing w:after="0" w:line="433" w:lineRule="auto"/>
        <w:rPr>
          <w:sz w:val="20"/>
          <w:szCs w:val="20"/>
          <w:color w:val="auto"/>
        </w:rPr>
      </w:pPr>
      <w:r>
        <w:rPr>
          <w:rFonts w:ascii="Arial" w:cs="Arial" w:eastAsia="Arial" w:hAnsi="Arial"/>
          <w:sz w:val="13"/>
          <w:szCs w:val="13"/>
          <w:color w:val="auto"/>
        </w:rPr>
        <w:t>BALANCE, March 31, 2019 Acquisition of treasury stock Non-cash compensation</w:t>
      </w:r>
    </w:p>
    <w:p>
      <w:pPr>
        <w:spacing w:after="0" w:line="1" w:lineRule="exact"/>
        <w:rPr>
          <w:sz w:val="20"/>
          <w:szCs w:val="20"/>
          <w:color w:val="auto"/>
        </w:rPr>
      </w:pPr>
    </w:p>
    <w:p>
      <w:pPr>
        <w:ind w:right="460" w:firstLine="108"/>
        <w:spacing w:after="0" w:line="434" w:lineRule="auto"/>
        <w:rPr>
          <w:sz w:val="20"/>
          <w:szCs w:val="20"/>
          <w:color w:val="auto"/>
        </w:rPr>
      </w:pPr>
      <w:r>
        <w:rPr>
          <w:rFonts w:ascii="Arial" w:cs="Arial" w:eastAsia="Arial" w:hAnsi="Arial"/>
          <w:sz w:val="14"/>
          <w:szCs w:val="14"/>
          <w:color w:val="auto"/>
        </w:rPr>
        <w:t>Net income attributable to IES Holdings, Inc. BALANCE,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right="1380" w:hanging="121"/>
        <w:spacing w:after="0" w:line="433" w:lineRule="auto"/>
        <w:rPr>
          <w:sz w:val="20"/>
          <w:szCs w:val="20"/>
          <w:color w:val="auto"/>
        </w:rPr>
      </w:pPr>
      <w:r>
        <w:rPr>
          <w:rFonts w:ascii="Arial" w:cs="Arial" w:eastAsia="Arial" w:hAnsi="Arial"/>
          <w:sz w:val="13"/>
          <w:szCs w:val="13"/>
          <w:color w:val="auto"/>
        </w:rPr>
        <w:t>BALANCE, March 31, 2018 Acquisition of treasury stock Non-cash compensation</w:t>
      </w:r>
    </w:p>
    <w:p>
      <w:pPr>
        <w:spacing w:after="0" w:line="1" w:lineRule="exact"/>
        <w:rPr>
          <w:sz w:val="20"/>
          <w:szCs w:val="20"/>
          <w:color w:val="auto"/>
        </w:rPr>
      </w:pPr>
    </w:p>
    <w:p>
      <w:pPr>
        <w:ind w:right="440" w:firstLine="122"/>
        <w:spacing w:after="0" w:line="434" w:lineRule="auto"/>
        <w:rPr>
          <w:sz w:val="20"/>
          <w:szCs w:val="20"/>
          <w:color w:val="auto"/>
        </w:rPr>
      </w:pPr>
      <w:r>
        <w:rPr>
          <w:rFonts w:ascii="Arial" w:cs="Arial" w:eastAsia="Arial" w:hAnsi="Arial"/>
          <w:sz w:val="14"/>
          <w:szCs w:val="14"/>
          <w:color w:val="auto"/>
        </w:rPr>
        <w:t>Net income attributable to IES Holdings, Inc. BALANCE,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right="900" w:hanging="188"/>
        <w:spacing w:after="0" w:line="469" w:lineRule="auto"/>
        <w:rPr>
          <w:sz w:val="20"/>
          <w:szCs w:val="20"/>
          <w:color w:val="auto"/>
        </w:rPr>
      </w:pPr>
      <w:r>
        <w:rPr>
          <w:rFonts w:ascii="Arial" w:cs="Arial" w:eastAsia="Arial" w:hAnsi="Arial"/>
          <w:sz w:val="12"/>
          <w:szCs w:val="12"/>
          <w:color w:val="auto"/>
        </w:rPr>
        <w:t>BALANCE, September 30, 2018 Issuances under compensation plans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Grants under compensation plan</w:t>
      </w:r>
    </w:p>
    <w:p>
      <w:pPr>
        <w:spacing w:after="0" w:line="42" w:lineRule="exact"/>
        <w:rPr>
          <w:sz w:val="20"/>
          <w:szCs w:val="20"/>
          <w:color w:val="auto"/>
        </w:rPr>
      </w:pPr>
    </w:p>
    <w:p>
      <w:pPr>
        <w:ind w:left="200"/>
        <w:spacing w:after="0" w:line="253" w:lineRule="auto"/>
        <w:rPr>
          <w:sz w:val="20"/>
          <w:szCs w:val="20"/>
          <w:color w:val="auto"/>
        </w:rPr>
      </w:pPr>
      <w:r>
        <w:rPr>
          <w:rFonts w:ascii="Arial" w:cs="Arial" w:eastAsia="Arial" w:hAnsi="Arial"/>
          <w:sz w:val="14"/>
          <w:szCs w:val="14"/>
          <w:color w:val="auto"/>
        </w:rPr>
        <w:t>Cumulative effect adjustment from adoption of new accounting standard</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Non-cash compensation</w:t>
      </w:r>
    </w:p>
    <w:p>
      <w:pPr>
        <w:spacing w:after="0" w:line="109" w:lineRule="exact"/>
        <w:rPr>
          <w:sz w:val="20"/>
          <w:szCs w:val="20"/>
          <w:color w:val="auto"/>
        </w:rPr>
      </w:pPr>
    </w:p>
    <w:p>
      <w:pPr>
        <w:ind w:right="380" w:firstLine="189"/>
        <w:spacing w:after="0" w:line="434" w:lineRule="auto"/>
        <w:rPr>
          <w:sz w:val="20"/>
          <w:szCs w:val="20"/>
          <w:color w:val="auto"/>
        </w:rPr>
      </w:pPr>
      <w:r>
        <w:rPr>
          <w:rFonts w:ascii="Arial" w:cs="Arial" w:eastAsia="Arial" w:hAnsi="Arial"/>
          <w:sz w:val="14"/>
          <w:szCs w:val="14"/>
          <w:color w:val="auto"/>
        </w:rPr>
        <w:t>Net income attributable to IES Holdings, Inc. BALANCE,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right="1100" w:hanging="161"/>
        <w:spacing w:after="0" w:line="402" w:lineRule="auto"/>
        <w:rPr>
          <w:sz w:val="20"/>
          <w:szCs w:val="20"/>
          <w:color w:val="auto"/>
        </w:rPr>
      </w:pPr>
      <w:r>
        <w:rPr>
          <w:rFonts w:ascii="Arial" w:cs="Arial" w:eastAsia="Arial" w:hAnsi="Arial"/>
          <w:sz w:val="14"/>
          <w:szCs w:val="14"/>
          <w:color w:val="auto"/>
        </w:rPr>
        <w:t>BALANCE, September 30, 2017 Grants under compensation plans Acquisition of treasury stock Options exercised</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Non-cash compensation</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Decrease in noncontrolling interest</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Net loss attributable to IES Holdings, Inc.</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BALANCE,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085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6"/>
          </w:tcPr>
          <w:p>
            <w:pPr>
              <w:jc w:val="right"/>
              <w:spacing w:after="0"/>
              <w:rPr>
                <w:sz w:val="20"/>
                <w:szCs w:val="20"/>
                <w:color w:val="auto"/>
              </w:rPr>
            </w:pPr>
            <w:r>
              <w:rPr>
                <w:rFonts w:ascii="Arial" w:cs="Arial" w:eastAsia="Arial" w:hAnsi="Arial"/>
                <w:sz w:val="14"/>
                <w:szCs w:val="14"/>
                <w:color w:val="auto"/>
              </w:rPr>
              <w:t>Common Stock</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gridSpan w:val="12"/>
          </w:tcPr>
          <w:p>
            <w:pPr>
              <w:jc w:val="center"/>
              <w:ind w:right="280"/>
              <w:spacing w:after="0"/>
              <w:rPr>
                <w:sz w:val="20"/>
                <w:szCs w:val="20"/>
                <w:color w:val="auto"/>
              </w:rPr>
            </w:pPr>
            <w:r>
              <w:rPr>
                <w:rFonts w:ascii="Arial" w:cs="Arial" w:eastAsia="Arial" w:hAnsi="Arial"/>
                <w:sz w:val="14"/>
                <w:szCs w:val="14"/>
                <w:color w:val="auto"/>
                <w:w w:val="91"/>
              </w:rPr>
              <w:t>Treasury 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vMerge w:val="restart"/>
          </w:tcPr>
          <w:p>
            <w:pPr>
              <w:ind w:left="40"/>
              <w:spacing w:after="0"/>
              <w:rPr>
                <w:sz w:val="20"/>
                <w:szCs w:val="20"/>
                <w:color w:val="auto"/>
              </w:rPr>
            </w:pPr>
            <w:r>
              <w:rPr>
                <w:rFonts w:ascii="Arial" w:cs="Arial" w:eastAsia="Arial" w:hAnsi="Arial"/>
                <w:sz w:val="14"/>
                <w:szCs w:val="14"/>
                <w:color w:val="auto"/>
              </w:rPr>
              <w:t>Retained</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color w:val="auto"/>
                <w:w w:val="94"/>
              </w:rPr>
              <w:t>Total Stockholders'</w:t>
            </w:r>
          </w:p>
        </w:tc>
        <w:tc>
          <w:tcPr>
            <w:tcW w:w="0" w:type="dxa"/>
            <w:vAlign w:val="bottom"/>
          </w:tcPr>
          <w:p>
            <w:pPr>
              <w:spacing w:after="0"/>
              <w:rPr>
                <w:sz w:val="1"/>
                <w:szCs w:val="1"/>
                <w:color w:val="auto"/>
              </w:rPr>
            </w:pPr>
          </w:p>
        </w:tc>
      </w:tr>
      <w:tr>
        <w:trPr>
          <w:trHeight w:val="75"/>
        </w:trPr>
        <w:tc>
          <w:tcPr>
            <w:tcW w:w="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4"/>
          </w:tcPr>
          <w:p>
            <w:pPr>
              <w:jc w:val="right"/>
              <w:ind w:right="320"/>
              <w:spacing w:after="0"/>
              <w:rPr>
                <w:sz w:val="20"/>
                <w:szCs w:val="20"/>
                <w:color w:val="auto"/>
              </w:rPr>
            </w:pPr>
            <w:r>
              <w:rPr>
                <w:rFonts w:ascii="Arial" w:cs="Arial" w:eastAsia="Arial" w:hAnsi="Arial"/>
                <w:sz w:val="14"/>
                <w:szCs w:val="14"/>
                <w:color w:val="auto"/>
                <w:w w:val="95"/>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4"/>
          </w:tcPr>
          <w:p>
            <w:pPr>
              <w:jc w:val="right"/>
              <w:ind w:right="348"/>
              <w:spacing w:after="0"/>
              <w:rPr>
                <w:sz w:val="20"/>
                <w:szCs w:val="20"/>
                <w:color w:val="auto"/>
              </w:rPr>
            </w:pPr>
            <w:r>
              <w:rPr>
                <w:rFonts w:ascii="Arial" w:cs="Arial" w:eastAsia="Arial" w:hAnsi="Arial"/>
                <w:sz w:val="14"/>
                <w:szCs w:val="14"/>
                <w:color w:val="auto"/>
                <w:w w:val="99"/>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4"/>
          </w:tcPr>
          <w:p>
            <w:pPr>
              <w:jc w:val="right"/>
              <w:ind w:right="460"/>
              <w:spacing w:after="0"/>
              <w:rPr>
                <w:sz w:val="20"/>
                <w:szCs w:val="20"/>
                <w:color w:val="auto"/>
              </w:rPr>
            </w:pPr>
            <w:r>
              <w:rPr>
                <w:rFonts w:ascii="Arial" w:cs="Arial" w:eastAsia="Arial" w:hAnsi="Arial"/>
                <w:sz w:val="14"/>
                <w:szCs w:val="14"/>
                <w:color w:val="auto"/>
                <w:w w:val="95"/>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APIC</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ind w:left="40"/>
              <w:spacing w:after="0"/>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44"/>
        </w:trPr>
        <w:tc>
          <w:tcPr>
            <w:tcW w:w="1000" w:type="dxa"/>
            <w:vAlign w:val="bottom"/>
            <w:tcBorders>
              <w:top w:val="single" w:sz="8" w:color="auto"/>
            </w:tcBorders>
            <w:gridSpan w:val="4"/>
          </w:tcPr>
          <w:p>
            <w:pPr>
              <w:jc w:val="right"/>
              <w:ind w:right="28"/>
              <w:spacing w:after="0"/>
              <w:rPr>
                <w:sz w:val="20"/>
                <w:szCs w:val="20"/>
                <w:color w:val="auto"/>
              </w:rPr>
            </w:pPr>
            <w:r>
              <w:rPr>
                <w:rFonts w:ascii="Arial" w:cs="Arial" w:eastAsia="Arial" w:hAnsi="Arial"/>
                <w:sz w:val="14"/>
                <w:szCs w:val="14"/>
                <w:color w:val="auto"/>
              </w:rPr>
              <w:t>22,049,529</w:t>
            </w:r>
          </w:p>
        </w:tc>
        <w:tc>
          <w:tcPr>
            <w:tcW w:w="120" w:type="dxa"/>
            <w:vAlign w:val="bottom"/>
          </w:tcPr>
          <w:p>
            <w:pPr>
              <w:spacing w:after="0"/>
              <w:rPr>
                <w:sz w:val="21"/>
                <w:szCs w:val="21"/>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(667,682)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(8,443)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191,579</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44,789</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228,145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5"/>
          </w:tcPr>
          <w:p>
            <w:pPr>
              <w:jc w:val="right"/>
              <w:spacing w:after="0"/>
              <w:rPr>
                <w:sz w:val="20"/>
                <w:szCs w:val="20"/>
                <w:color w:val="auto"/>
              </w:rPr>
            </w:pPr>
            <w:r>
              <w:rPr>
                <w:rFonts w:ascii="Arial" w:cs="Arial" w:eastAsia="Arial" w:hAnsi="Arial"/>
                <w:sz w:val="14"/>
                <w:szCs w:val="14"/>
                <w:color w:val="auto"/>
              </w:rPr>
              <w:t>(162,993)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(2,914)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4"/>
          </w:tcPr>
          <w:p>
            <w:pPr>
              <w:jc w:val="right"/>
              <w:ind w:right="20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4"/>
          </w:tcPr>
          <w:p>
            <w:pPr>
              <w:jc w:val="right"/>
              <w:ind w:right="20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10,972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10,972</w:t>
            </w:r>
          </w:p>
        </w:tc>
        <w:tc>
          <w:tcPr>
            <w:tcW w:w="0" w:type="dxa"/>
            <w:vAlign w:val="bottom"/>
          </w:tcPr>
          <w:p>
            <w:pPr>
              <w:spacing w:after="0"/>
              <w:rPr>
                <w:sz w:val="1"/>
                <w:szCs w:val="1"/>
                <w:color w:val="auto"/>
              </w:rPr>
            </w:pPr>
          </w:p>
        </w:tc>
      </w:tr>
      <w:tr>
        <w:trPr>
          <w:trHeight w:val="237"/>
        </w:trPr>
        <w:tc>
          <w:tcPr>
            <w:tcW w:w="1000" w:type="dxa"/>
            <w:vAlign w:val="bottom"/>
            <w:tcBorders>
              <w:top w:val="single" w:sz="8" w:color="auto"/>
              <w:bottom w:val="single" w:sz="8" w:color="auto"/>
            </w:tcBorders>
            <w:gridSpan w:val="4"/>
          </w:tcPr>
          <w:p>
            <w:pPr>
              <w:jc w:val="right"/>
              <w:ind w:right="28"/>
              <w:spacing w:after="0"/>
              <w:rPr>
                <w:sz w:val="20"/>
                <w:szCs w:val="20"/>
                <w:color w:val="auto"/>
              </w:rPr>
            </w:pPr>
            <w:r>
              <w:rPr>
                <w:rFonts w:ascii="Arial" w:cs="Arial" w:eastAsia="Arial" w:hAnsi="Arial"/>
                <w:sz w:val="14"/>
                <w:szCs w:val="14"/>
                <w:color w:val="auto"/>
              </w:rPr>
              <w:t>22,049,529</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4"/>
                <w:szCs w:val="14"/>
                <w:color w:val="auto"/>
              </w:rPr>
              <w:t>(830,675)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(11,357)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192,389</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55,761</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237,013</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9"/>
          </w:tcPr>
          <w:p>
            <w:pPr>
              <w:jc w:val="center"/>
              <w:ind w:left="28"/>
              <w:spacing w:after="0"/>
              <w:rPr>
                <w:sz w:val="20"/>
                <w:szCs w:val="20"/>
                <w:color w:val="auto"/>
              </w:rPr>
            </w:pPr>
            <w:r>
              <w:rPr>
                <w:rFonts w:ascii="Arial" w:cs="Arial" w:eastAsia="Arial" w:hAnsi="Arial"/>
                <w:sz w:val="14"/>
                <w:szCs w:val="14"/>
                <w:color w:val="auto"/>
                <w:w w:val="92"/>
              </w:rPr>
              <w:t>Three Months Ended June 30, 2018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9"/>
          </w:tcPr>
          <w:p>
            <w:pPr>
              <w:jc w:val="right"/>
              <w:ind w:right="560"/>
              <w:spacing w:after="0"/>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gridSpan w:val="12"/>
          </w:tcPr>
          <w:p>
            <w:pPr>
              <w:jc w:val="right"/>
              <w:ind w:right="600"/>
              <w:spacing w:after="0"/>
              <w:rPr>
                <w:sz w:val="20"/>
                <w:szCs w:val="20"/>
                <w:color w:val="auto"/>
              </w:rPr>
            </w:pPr>
            <w:r>
              <w:rPr>
                <w:rFonts w:ascii="Arial" w:cs="Arial" w:eastAsia="Arial" w:hAnsi="Arial"/>
                <w:sz w:val="14"/>
                <w:szCs w:val="14"/>
                <w:color w:val="auto"/>
              </w:rPr>
              <w:t>Treasury Stock</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4"/>
            <w:vMerge w:val="restart"/>
          </w:tcPr>
          <w:p>
            <w:pPr>
              <w:ind w:left="120"/>
              <w:spacing w:after="0" w:line="143" w:lineRule="exact"/>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restart"/>
          </w:tcPr>
          <w:p>
            <w:pPr>
              <w:jc w:val="center"/>
              <w:ind w:right="68"/>
              <w:spacing w:after="0" w:line="143" w:lineRule="exact"/>
              <w:rPr>
                <w:sz w:val="20"/>
                <w:szCs w:val="20"/>
                <w:color w:val="auto"/>
              </w:rPr>
            </w:pPr>
            <w:r>
              <w:rPr>
                <w:rFonts w:ascii="Arial" w:cs="Arial" w:eastAsia="Arial" w:hAnsi="Arial"/>
                <w:sz w:val="14"/>
                <w:szCs w:val="14"/>
                <w:color w:val="auto"/>
                <w:w w:val="93"/>
              </w:rPr>
              <w:t>Stockholders'</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Shares</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w w:val="95"/>
              </w:rPr>
              <w:t>Amount</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color w:val="auto"/>
              </w:rPr>
              <w:t>Amount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color w:val="auto"/>
              </w:rPr>
              <w:t>APIC</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Earnings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44"/>
        </w:trPr>
        <w:tc>
          <w:tcPr>
            <w:tcW w:w="1120" w:type="dxa"/>
            <w:vAlign w:val="bottom"/>
            <w:gridSpan w:val="5"/>
          </w:tcPr>
          <w:p>
            <w:pPr>
              <w:jc w:val="right"/>
              <w:ind w:right="40"/>
              <w:spacing w:after="0"/>
              <w:rPr>
                <w:sz w:val="20"/>
                <w:szCs w:val="20"/>
                <w:color w:val="auto"/>
              </w:rPr>
            </w:pPr>
            <w:r>
              <w:rPr>
                <w:rFonts w:ascii="Arial" w:cs="Arial" w:eastAsia="Arial" w:hAnsi="Arial"/>
                <w:sz w:val="14"/>
                <w:szCs w:val="14"/>
                <w:color w:val="auto"/>
              </w:rPr>
              <w:t>22,049,529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gridSpan w:val="7"/>
          </w:tcPr>
          <w:p>
            <w:pPr>
              <w:jc w:val="right"/>
              <w:ind w:right="20"/>
              <w:spacing w:after="0"/>
              <w:rPr>
                <w:sz w:val="20"/>
                <w:szCs w:val="20"/>
                <w:color w:val="auto"/>
              </w:rPr>
            </w:pPr>
            <w:r>
              <w:rPr>
                <w:rFonts w:ascii="Arial" w:cs="Arial" w:eastAsia="Arial" w:hAnsi="Arial"/>
                <w:sz w:val="14"/>
                <w:szCs w:val="14"/>
                <w:color w:val="auto"/>
              </w:rPr>
              <w:t>(790,351)</w:t>
            </w:r>
          </w:p>
        </w:tc>
        <w:tc>
          <w:tcPr>
            <w:tcW w:w="60" w:type="dxa"/>
            <w:vAlign w:val="bottom"/>
          </w:tcPr>
          <w:p>
            <w:pPr>
              <w:spacing w:after="0"/>
              <w:rPr>
                <w:sz w:val="21"/>
                <w:szCs w:val="21"/>
                <w:color w:val="auto"/>
              </w:rPr>
            </w:pPr>
          </w:p>
        </w:tc>
        <w:tc>
          <w:tcPr>
            <w:tcW w:w="280" w:type="dxa"/>
            <w:vAlign w:val="bottom"/>
            <w:gridSpan w:val="4"/>
          </w:tcPr>
          <w:p>
            <w:pPr>
              <w:jc w:val="center"/>
              <w:ind w:left="68"/>
              <w:spacing w:after="0"/>
              <w:rPr>
                <w:sz w:val="20"/>
                <w:szCs w:val="20"/>
                <w:color w:val="auto"/>
              </w:rPr>
            </w:pPr>
            <w:r>
              <w:rPr>
                <w:rFonts w:ascii="Arial" w:cs="Arial" w:eastAsia="Arial" w:hAnsi="Arial"/>
                <w:sz w:val="14"/>
                <w:szCs w:val="14"/>
                <w:color w:val="auto"/>
                <w:w w:val="76"/>
              </w:rPr>
              <w:t>$</w:t>
            </w:r>
          </w:p>
        </w:tc>
        <w:tc>
          <w:tcPr>
            <w:tcW w:w="940" w:type="dxa"/>
            <w:vAlign w:val="bottom"/>
            <w:gridSpan w:val="4"/>
          </w:tcPr>
          <w:p>
            <w:pPr>
              <w:jc w:val="right"/>
              <w:ind w:right="20"/>
              <w:spacing w:after="0"/>
              <w:rPr>
                <w:sz w:val="20"/>
                <w:szCs w:val="20"/>
                <w:color w:val="auto"/>
              </w:rPr>
            </w:pPr>
            <w:r>
              <w:rPr>
                <w:rFonts w:ascii="Arial" w:cs="Arial" w:eastAsia="Arial" w:hAnsi="Arial"/>
                <w:sz w:val="14"/>
                <w:szCs w:val="14"/>
                <w:color w:val="auto"/>
              </w:rPr>
              <w:t>(8,108)</w:t>
            </w:r>
          </w:p>
        </w:tc>
        <w:tc>
          <w:tcPr>
            <w:tcW w:w="38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196,835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19,123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208,070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7"/>
          </w:tcPr>
          <w:p>
            <w:pPr>
              <w:jc w:val="right"/>
              <w:ind w:right="20"/>
              <w:spacing w:after="0"/>
              <w:rPr>
                <w:sz w:val="20"/>
                <w:szCs w:val="20"/>
                <w:color w:val="auto"/>
              </w:rPr>
            </w:pPr>
            <w:r>
              <w:rPr>
                <w:rFonts w:ascii="Arial" w:cs="Arial" w:eastAsia="Arial" w:hAnsi="Arial"/>
                <w:sz w:val="14"/>
                <w:szCs w:val="14"/>
                <w:color w:val="auto"/>
              </w:rPr>
              <w:t>(53,642)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4"/>
                <w:szCs w:val="14"/>
                <w:color w:val="auto"/>
              </w:rPr>
              <w:t>(829)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4"/>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(284)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8,516</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22,049,529</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(843,993)</w:t>
            </w:r>
          </w:p>
        </w:tc>
        <w:tc>
          <w:tcPr>
            <w:tcW w:w="60" w:type="dxa"/>
            <w:vAlign w:val="bottom"/>
            <w:tcBorders>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(8,937)</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196,551</w:t>
            </w: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27,639</w:t>
            </w: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215,473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6"/>
          </w:tcPr>
          <w:p>
            <w:pPr>
              <w:spacing w:after="0"/>
              <w:rPr>
                <w:sz w:val="20"/>
                <w:szCs w:val="20"/>
                <w:color w:val="auto"/>
              </w:rPr>
            </w:pPr>
            <w:r>
              <w:rPr>
                <w:rFonts w:ascii="Arial" w:cs="Arial" w:eastAsia="Arial" w:hAnsi="Arial"/>
                <w:sz w:val="14"/>
                <w:szCs w:val="14"/>
                <w:color w:val="auto"/>
              </w:rPr>
              <w:t>Nine Months Ended June 30, 2019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9"/>
          </w:tcPr>
          <w:p>
            <w:pPr>
              <w:jc w:val="right"/>
              <w:ind w:right="500"/>
              <w:spacing w:after="0"/>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gridSpan w:val="12"/>
          </w:tcPr>
          <w:p>
            <w:pPr>
              <w:jc w:val="center"/>
              <w:ind w:right="120"/>
              <w:spacing w:after="0"/>
              <w:rPr>
                <w:sz w:val="20"/>
                <w:szCs w:val="20"/>
                <w:color w:val="auto"/>
              </w:rPr>
            </w:pPr>
            <w:r>
              <w:rPr>
                <w:rFonts w:ascii="Arial" w:cs="Arial" w:eastAsia="Arial" w:hAnsi="Arial"/>
                <w:sz w:val="14"/>
                <w:szCs w:val="14"/>
                <w:color w:val="auto"/>
                <w:w w:val="91"/>
              </w:rPr>
              <w:t>Treasury Stock</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4"/>
                <w:szCs w:val="14"/>
                <w:color w:val="auto"/>
              </w:rPr>
              <w:t>Retained</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color w:val="auto"/>
                <w:w w:val="96"/>
              </w:rPr>
              <w:t>Total Stockholders'</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Shares</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1"/>
              </w:rPr>
              <w:t>Amount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Shares</w:t>
            </w: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Amount</w:t>
            </w:r>
          </w:p>
        </w:tc>
        <w:tc>
          <w:tcPr>
            <w:tcW w:w="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APIC</w:t>
            </w:r>
          </w:p>
        </w:tc>
        <w:tc>
          <w:tcPr>
            <w:tcW w:w="10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w:t>
            </w:r>
          </w:p>
        </w:tc>
        <w:tc>
          <w:tcPr>
            <w:tcW w:w="1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44"/>
        </w:trPr>
        <w:tc>
          <w:tcPr>
            <w:tcW w:w="1120" w:type="dxa"/>
            <w:vAlign w:val="bottom"/>
            <w:gridSpan w:val="5"/>
          </w:tcPr>
          <w:p>
            <w:pPr>
              <w:jc w:val="right"/>
              <w:ind w:right="20"/>
              <w:spacing w:after="0"/>
              <w:rPr>
                <w:sz w:val="20"/>
                <w:szCs w:val="20"/>
                <w:color w:val="auto"/>
              </w:rPr>
            </w:pPr>
            <w:r>
              <w:rPr>
                <w:rFonts w:ascii="Arial" w:cs="Arial" w:eastAsia="Arial" w:hAnsi="Arial"/>
                <w:sz w:val="14"/>
                <w:szCs w:val="14"/>
                <w:color w:val="auto"/>
              </w:rPr>
              <w:t>22,049,529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gridSpan w:val="6"/>
          </w:tcPr>
          <w:p>
            <w:pPr>
              <w:jc w:val="right"/>
              <w:spacing w:after="0"/>
              <w:rPr>
                <w:sz w:val="20"/>
                <w:szCs w:val="20"/>
                <w:color w:val="auto"/>
              </w:rPr>
            </w:pPr>
            <w:r>
              <w:rPr>
                <w:rFonts w:ascii="Arial" w:cs="Arial" w:eastAsia="Arial" w:hAnsi="Arial"/>
                <w:sz w:val="14"/>
                <w:szCs w:val="14"/>
                <w:color w:val="auto"/>
              </w:rPr>
              <w:t>(843,993)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4"/>
          </w:tcPr>
          <w:p>
            <w:pPr>
              <w:jc w:val="center"/>
              <w:ind w:righ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(8,937)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196,810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32,314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220,407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5"/>
          </w:tcPr>
          <w:p>
            <w:pPr>
              <w:jc w:val="right"/>
              <w:spacing w:after="0"/>
              <w:rPr>
                <w:sz w:val="20"/>
                <w:szCs w:val="20"/>
                <w:color w:val="auto"/>
              </w:rPr>
            </w:pPr>
            <w:r>
              <w:rPr>
                <w:rFonts w:ascii="Arial" w:cs="Arial" w:eastAsia="Arial" w:hAnsi="Arial"/>
                <w:sz w:val="14"/>
                <w:szCs w:val="14"/>
                <w:color w:val="auto"/>
              </w:rPr>
              <w:t>216,679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5"/>
          </w:tcPr>
          <w:p>
            <w:pPr>
              <w:jc w:val="right"/>
              <w:spacing w:after="0"/>
              <w:rPr>
                <w:sz w:val="20"/>
                <w:szCs w:val="20"/>
                <w:color w:val="auto"/>
              </w:rPr>
            </w:pPr>
            <w:r>
              <w:rPr>
                <w:rFonts w:ascii="Arial" w:cs="Arial" w:eastAsia="Arial" w:hAnsi="Arial"/>
                <w:sz w:val="14"/>
                <w:szCs w:val="14"/>
                <w:color w:val="auto"/>
              </w:rPr>
              <w:t>283,195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4"/>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6"/>
          </w:tcPr>
          <w:p>
            <w:pPr>
              <w:jc w:val="right"/>
              <w:spacing w:after="0"/>
              <w:rPr>
                <w:sz w:val="20"/>
                <w:szCs w:val="20"/>
                <w:color w:val="auto"/>
              </w:rPr>
            </w:pPr>
            <w:r>
              <w:rPr>
                <w:rFonts w:ascii="Arial" w:cs="Arial" w:eastAsia="Arial" w:hAnsi="Arial"/>
                <w:sz w:val="14"/>
                <w:szCs w:val="14"/>
                <w:color w:val="auto"/>
              </w:rPr>
              <w:t>(486,556)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(8,325)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(8,325)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1,484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1,484</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23,345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23,345</w:t>
            </w:r>
          </w:p>
        </w:tc>
        <w:tc>
          <w:tcPr>
            <w:tcW w:w="0" w:type="dxa"/>
            <w:vAlign w:val="bottom"/>
          </w:tcPr>
          <w:p>
            <w:pPr>
              <w:spacing w:after="0"/>
              <w:rPr>
                <w:sz w:val="1"/>
                <w:szCs w:val="1"/>
                <w:color w:val="auto"/>
              </w:rPr>
            </w:pPr>
          </w:p>
        </w:tc>
      </w:tr>
      <w:tr>
        <w:trPr>
          <w:trHeight w:val="237"/>
        </w:trPr>
        <w:tc>
          <w:tcPr>
            <w:tcW w:w="200" w:type="dxa"/>
            <w:vAlign w:val="bottom"/>
            <w:gridSpan w:val="3"/>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22,049,529</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(830,675)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(11,357)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192,389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237,013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8"/>
          </w:tcPr>
          <w:p>
            <w:pPr>
              <w:jc w:val="center"/>
              <w:ind w:right="600"/>
              <w:spacing w:after="0"/>
              <w:rPr>
                <w:sz w:val="20"/>
                <w:szCs w:val="20"/>
                <w:color w:val="auto"/>
              </w:rPr>
            </w:pPr>
            <w:r>
              <w:rPr>
                <w:rFonts w:ascii="Arial" w:cs="Arial" w:eastAsia="Arial" w:hAnsi="Arial"/>
                <w:sz w:val="14"/>
                <w:szCs w:val="14"/>
                <w:color w:val="auto"/>
                <w:w w:val="92"/>
              </w:rPr>
              <w:t>Nine Months Ended June 30, 2018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9"/>
          </w:tcPr>
          <w:p>
            <w:pPr>
              <w:jc w:val="right"/>
              <w:ind w:right="520"/>
              <w:spacing w:after="0"/>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gridSpan w:val="12"/>
          </w:tcPr>
          <w:p>
            <w:pPr>
              <w:jc w:val="center"/>
              <w:ind w:left="8"/>
              <w:spacing w:after="0"/>
              <w:rPr>
                <w:sz w:val="20"/>
                <w:szCs w:val="20"/>
                <w:color w:val="auto"/>
              </w:rPr>
            </w:pPr>
            <w:r>
              <w:rPr>
                <w:rFonts w:ascii="Arial" w:cs="Arial" w:eastAsia="Arial" w:hAnsi="Arial"/>
                <w:sz w:val="14"/>
                <w:szCs w:val="14"/>
                <w:color w:val="auto"/>
                <w:w w:val="91"/>
              </w:rPr>
              <w:t>Treasury Stock</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4"/>
            <w:vMerge w:val="restart"/>
          </w:tcPr>
          <w:p>
            <w:pPr>
              <w:ind w:left="120"/>
              <w:spacing w:after="0" w:line="143" w:lineRule="exact"/>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restart"/>
          </w:tcPr>
          <w:p>
            <w:pPr>
              <w:jc w:val="center"/>
              <w:ind w:right="68"/>
              <w:spacing w:after="0" w:line="143" w:lineRule="exact"/>
              <w:rPr>
                <w:sz w:val="20"/>
                <w:szCs w:val="20"/>
                <w:color w:val="auto"/>
              </w:rPr>
            </w:pPr>
            <w:r>
              <w:rPr>
                <w:rFonts w:ascii="Arial" w:cs="Arial" w:eastAsia="Arial" w:hAnsi="Arial"/>
                <w:sz w:val="14"/>
                <w:szCs w:val="14"/>
                <w:color w:val="auto"/>
                <w:w w:val="93"/>
              </w:rPr>
              <w:t>Stockholders'</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Shares</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Amount</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color w:val="auto"/>
              </w:rPr>
              <w:t>Shares</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color w:val="auto"/>
              </w:rPr>
              <w:t>Amount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color w:val="auto"/>
              </w:rPr>
              <w:t>APIC</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Earnings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44"/>
        </w:trPr>
        <w:tc>
          <w:tcPr>
            <w:tcW w:w="1120" w:type="dxa"/>
            <w:vAlign w:val="bottom"/>
            <w:gridSpan w:val="5"/>
          </w:tcPr>
          <w:p>
            <w:pPr>
              <w:jc w:val="right"/>
              <w:ind w:right="40"/>
              <w:spacing w:after="0"/>
              <w:rPr>
                <w:sz w:val="20"/>
                <w:szCs w:val="20"/>
                <w:color w:val="auto"/>
              </w:rPr>
            </w:pPr>
            <w:r>
              <w:rPr>
                <w:rFonts w:ascii="Arial" w:cs="Arial" w:eastAsia="Arial" w:hAnsi="Arial"/>
                <w:sz w:val="14"/>
                <w:szCs w:val="14"/>
                <w:color w:val="auto"/>
              </w:rPr>
              <w:t>22,049,529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21"/>
                <w:szCs w:val="21"/>
                <w:color w:val="auto"/>
              </w:rPr>
            </w:pPr>
          </w:p>
        </w:tc>
        <w:tc>
          <w:tcPr>
            <w:tcW w:w="1060" w:type="dxa"/>
            <w:vAlign w:val="bottom"/>
            <w:gridSpan w:val="8"/>
          </w:tcPr>
          <w:p>
            <w:pPr>
              <w:jc w:val="right"/>
              <w:spacing w:after="0"/>
              <w:rPr>
                <w:sz w:val="20"/>
                <w:szCs w:val="20"/>
                <w:color w:val="auto"/>
              </w:rPr>
            </w:pPr>
            <w:r>
              <w:rPr>
                <w:rFonts w:ascii="Arial" w:cs="Arial" w:eastAsia="Arial" w:hAnsi="Arial"/>
                <w:sz w:val="14"/>
                <w:szCs w:val="14"/>
                <w:color w:val="auto"/>
              </w:rPr>
              <w:t>(712,554)</w:t>
            </w:r>
          </w:p>
        </w:tc>
        <w:tc>
          <w:tcPr>
            <w:tcW w:w="280" w:type="dxa"/>
            <w:vAlign w:val="bottom"/>
            <w:gridSpan w:val="4"/>
          </w:tcPr>
          <w:p>
            <w:pPr>
              <w:jc w:val="center"/>
              <w:ind w:left="88"/>
              <w:spacing w:after="0"/>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20"/>
              <w:spacing w:after="0"/>
              <w:rPr>
                <w:sz w:val="20"/>
                <w:szCs w:val="20"/>
                <w:color w:val="auto"/>
              </w:rPr>
            </w:pPr>
            <w:r>
              <w:rPr>
                <w:rFonts w:ascii="Arial" w:cs="Arial" w:eastAsia="Arial" w:hAnsi="Arial"/>
                <w:sz w:val="14"/>
                <w:szCs w:val="14"/>
                <w:color w:val="auto"/>
              </w:rPr>
              <w:t>(6,898)</w:t>
            </w:r>
          </w:p>
        </w:tc>
        <w:tc>
          <w:tcPr>
            <w:tcW w:w="38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196,955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46,427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236,704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7"/>
          </w:tcPr>
          <w:p>
            <w:pPr>
              <w:jc w:val="right"/>
              <w:ind w:right="20"/>
              <w:spacing w:after="0"/>
              <w:rPr>
                <w:sz w:val="20"/>
                <w:szCs w:val="20"/>
                <w:color w:val="auto"/>
              </w:rPr>
            </w:pPr>
            <w:r>
              <w:rPr>
                <w:rFonts w:ascii="Arial" w:cs="Arial" w:eastAsia="Arial" w:hAnsi="Arial"/>
                <w:sz w:val="14"/>
                <w:szCs w:val="14"/>
                <w:color w:val="auto"/>
              </w:rPr>
              <w:t>520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8"/>
          </w:tcPr>
          <w:p>
            <w:pPr>
              <w:jc w:val="right"/>
              <w:spacing w:after="0"/>
              <w:rPr>
                <w:sz w:val="20"/>
                <w:szCs w:val="20"/>
                <w:color w:val="auto"/>
              </w:rPr>
            </w:pPr>
            <w:r>
              <w:rPr>
                <w:rFonts w:ascii="Arial" w:cs="Arial" w:eastAsia="Arial" w:hAnsi="Arial"/>
                <w:sz w:val="14"/>
                <w:szCs w:val="14"/>
                <w:color w:val="auto"/>
              </w:rPr>
              <w:t>(133,459)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4"/>
                <w:szCs w:val="14"/>
                <w:color w:val="auto"/>
              </w:rPr>
              <w:t>(2,059)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7"/>
          </w:tcPr>
          <w:p>
            <w:pPr>
              <w:jc w:val="right"/>
              <w:ind w:right="20"/>
              <w:spacing w:after="0"/>
              <w:rPr>
                <w:sz w:val="20"/>
                <w:szCs w:val="20"/>
                <w:color w:val="auto"/>
              </w:rPr>
            </w:pPr>
            <w:r>
              <w:rPr>
                <w:rFonts w:ascii="Arial" w:cs="Arial" w:eastAsia="Arial" w:hAnsi="Arial"/>
                <w:sz w:val="14"/>
                <w:szCs w:val="14"/>
                <w:color w:val="auto"/>
              </w:rPr>
              <w:t>1,500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4"/>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(395)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4"/>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(18,832)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(18,832)</w:t>
            </w:r>
          </w:p>
        </w:tc>
        <w:tc>
          <w:tcPr>
            <w:tcW w:w="0" w:type="dxa"/>
            <w:vAlign w:val="bottom"/>
          </w:tcPr>
          <w:p>
            <w:pPr>
              <w:spacing w:after="0"/>
              <w:rPr>
                <w:sz w:val="1"/>
                <w:szCs w:val="1"/>
                <w:color w:val="auto"/>
              </w:rPr>
            </w:pPr>
          </w:p>
        </w:tc>
      </w:tr>
      <w:tr>
        <w:trPr>
          <w:trHeight w:val="237"/>
        </w:trPr>
        <w:tc>
          <w:tcPr>
            <w:tcW w:w="1120" w:type="dxa"/>
            <w:vAlign w:val="bottom"/>
            <w:gridSpan w:val="5"/>
          </w:tcPr>
          <w:p>
            <w:pPr>
              <w:jc w:val="right"/>
              <w:ind w:right="40"/>
              <w:spacing w:after="0"/>
              <w:rPr>
                <w:sz w:val="20"/>
                <w:szCs w:val="20"/>
                <w:color w:val="auto"/>
              </w:rPr>
            </w:pPr>
            <w:r>
              <w:rPr>
                <w:rFonts w:ascii="Arial" w:cs="Arial" w:eastAsia="Arial" w:hAnsi="Arial"/>
                <w:sz w:val="14"/>
                <w:szCs w:val="14"/>
                <w:color w:val="auto"/>
              </w:rPr>
              <w:t>22,049,529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20"/>
                <w:szCs w:val="20"/>
                <w:color w:val="auto"/>
              </w:rPr>
            </w:pPr>
          </w:p>
        </w:tc>
        <w:tc>
          <w:tcPr>
            <w:tcW w:w="1060" w:type="dxa"/>
            <w:vAlign w:val="bottom"/>
            <w:gridSpan w:val="8"/>
          </w:tcPr>
          <w:p>
            <w:pPr>
              <w:jc w:val="right"/>
              <w:spacing w:after="0"/>
              <w:rPr>
                <w:sz w:val="20"/>
                <w:szCs w:val="20"/>
                <w:color w:val="auto"/>
              </w:rPr>
            </w:pPr>
            <w:r>
              <w:rPr>
                <w:rFonts w:ascii="Arial" w:cs="Arial" w:eastAsia="Arial" w:hAnsi="Arial"/>
                <w:sz w:val="14"/>
                <w:szCs w:val="14"/>
                <w:color w:val="auto"/>
              </w:rPr>
              <w:t>(843,993)</w:t>
            </w:r>
          </w:p>
        </w:tc>
        <w:tc>
          <w:tcPr>
            <w:tcW w:w="280" w:type="dxa"/>
            <w:vAlign w:val="bottom"/>
            <w:gridSpan w:val="4"/>
          </w:tcPr>
          <w:p>
            <w:pPr>
              <w:jc w:val="center"/>
              <w:ind w:left="88"/>
              <w:spacing w:after="0"/>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20"/>
              <w:spacing w:after="0"/>
              <w:rPr>
                <w:sz w:val="20"/>
                <w:szCs w:val="20"/>
                <w:color w:val="auto"/>
              </w:rPr>
            </w:pPr>
            <w:r>
              <w:rPr>
                <w:rFonts w:ascii="Arial" w:cs="Arial" w:eastAsia="Arial" w:hAnsi="Arial"/>
                <w:sz w:val="14"/>
                <w:szCs w:val="14"/>
                <w:color w:val="auto"/>
              </w:rPr>
              <w:t>(8,937)</w:t>
            </w:r>
          </w:p>
        </w:tc>
        <w:tc>
          <w:tcPr>
            <w:tcW w:w="38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196,551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27,639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215,473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-7057390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-6714490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-6370955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-5401945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-5059045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-4716145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-3609975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-3266440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-2872105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-2529205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-1388745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-1045845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-702310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-359410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180"/>
            <w:col w:w="8000"/>
          </w:cols>
          <w:pgMar w:left="300" w:top="553" w:right="239" w:bottom="1440" w:gutter="0" w:footer="0" w:header="0"/>
          <w:type w:val="continuous"/>
        </w:sectPr>
      </w:pPr>
    </w:p>
    <w:p>
      <w:pPr>
        <w:spacing w:after="0" w:line="218"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360"/>
          </w:cols>
          <w:pgMar w:left="300" w:top="553" w:right="2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300" w:top="553"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4"/>
          </w:tcPr>
          <w:p>
            <w:pPr>
              <w:jc w:val="right"/>
              <w:ind w:right="170"/>
              <w:spacing w:after="0"/>
              <w:rPr>
                <w:sz w:val="20"/>
                <w:szCs w:val="20"/>
                <w:color w:val="auto"/>
              </w:rPr>
            </w:pPr>
            <w:r>
              <w:rPr>
                <w:rFonts w:ascii="Arial" w:cs="Arial" w:eastAsia="Arial" w:hAnsi="Arial"/>
                <w:sz w:val="18"/>
                <w:szCs w:val="18"/>
                <w:color w:val="auto"/>
                <w:w w:val="92"/>
              </w:rPr>
              <w:t>Nine Months Ended June 30,</w:t>
            </w:r>
          </w:p>
        </w:tc>
      </w:tr>
      <w:tr>
        <w:trPr>
          <w:trHeight w:val="270"/>
        </w:trPr>
        <w:tc>
          <w:tcPr>
            <w:tcW w:w="8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2018</w:t>
            </w:r>
          </w:p>
        </w:tc>
      </w:tr>
      <w:tr>
        <w:trPr>
          <w:trHeight w:val="27"/>
        </w:trPr>
        <w:tc>
          <w:tcPr>
            <w:tcW w:w="8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82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23,495</w:t>
            </w:r>
          </w:p>
        </w:tc>
        <w:tc>
          <w:tcPr>
            <w:tcW w:w="12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(18,577)</w:t>
            </w: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820" w:type="dxa"/>
            <w:vAlign w:val="bottom"/>
          </w:tcPr>
          <w:p>
            <w:pPr>
              <w:ind w:left="620"/>
              <w:spacing w:after="0"/>
              <w:rPr>
                <w:sz w:val="20"/>
                <w:szCs w:val="20"/>
                <w:color w:val="auto"/>
              </w:rPr>
            </w:pPr>
            <w:r>
              <w:rPr>
                <w:rFonts w:ascii="Arial" w:cs="Arial" w:eastAsia="Arial" w:hAnsi="Arial"/>
                <w:sz w:val="18"/>
                <w:szCs w:val="18"/>
                <w:color w:val="auto"/>
              </w:rPr>
              <w:t>Bad debt expense</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Deferred financing cost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882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6,706</w:t>
            </w: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Loss (gain) on sale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8820" w:type="dxa"/>
            <w:vAlign w:val="bottom"/>
          </w:tcPr>
          <w:p>
            <w:pPr>
              <w:ind w:left="620"/>
              <w:spacing w:after="0"/>
              <w:rPr>
                <w:sz w:val="20"/>
                <w:szCs w:val="20"/>
                <w:color w:val="auto"/>
              </w:rPr>
            </w:pPr>
            <w:r>
              <w:rPr>
                <w:rFonts w:ascii="Arial" w:cs="Arial" w:eastAsia="Arial" w:hAnsi="Arial"/>
                <w:sz w:val="18"/>
                <w:szCs w:val="18"/>
                <w:color w:val="auto"/>
              </w:rPr>
              <w:t>Non-cash compensation expense</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34,622</w:t>
            </w:r>
          </w:p>
        </w:tc>
      </w:tr>
      <w:tr>
        <w:trPr>
          <w:trHeight w:val="243"/>
        </w:trPr>
        <w:tc>
          <w:tcPr>
            <w:tcW w:w="882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4,992</w:t>
            </w:r>
          </w:p>
        </w:tc>
      </w:tr>
      <w:tr>
        <w:trPr>
          <w:trHeight w:val="243"/>
        </w:trPr>
        <w:tc>
          <w:tcPr>
            <w:tcW w:w="8820" w:type="dxa"/>
            <w:vAlign w:val="bottom"/>
          </w:tcPr>
          <w:p>
            <w:pPr>
              <w:ind w:left="6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(1,721)</w:t>
            </w: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Costs and estimated earnings in excess of billings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(8,990)</w:t>
            </w:r>
          </w:p>
        </w:tc>
      </w:tr>
      <w:tr>
        <w:trPr>
          <w:trHeight w:val="243"/>
        </w:trPr>
        <w:tc>
          <w:tcPr>
            <w:tcW w:w="8820" w:type="dxa"/>
            <w:vAlign w:val="bottom"/>
          </w:tcPr>
          <w:p>
            <w:pPr>
              <w:ind w:left="6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(1,645)</w:t>
            </w: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8820" w:type="dxa"/>
            <w:vAlign w:val="bottom"/>
          </w:tcPr>
          <w:p>
            <w:pPr>
              <w:ind w:left="6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20,132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(6,862)</w:t>
            </w: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Billings in excess of costs and estimated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r>
      <w:tr>
        <w:trPr>
          <w:trHeight w:val="243"/>
        </w:trPr>
        <w:tc>
          <w:tcPr>
            <w:tcW w:w="8820" w:type="dxa"/>
            <w:vAlign w:val="bottom"/>
          </w:tcPr>
          <w:p>
            <w:pPr>
              <w:ind w:left="6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8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4,978</w:t>
            </w:r>
          </w:p>
        </w:tc>
      </w:tr>
      <w:tr>
        <w:trPr>
          <w:trHeight w:val="237"/>
        </w:trPr>
        <w:tc>
          <w:tcPr>
            <w:tcW w:w="88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r>
      <w:tr>
        <w:trPr>
          <w:trHeight w:val="243"/>
        </w:trPr>
        <w:tc>
          <w:tcPr>
            <w:tcW w:w="882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in conjunction with business combinations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r>
      <w:tr>
        <w:trPr>
          <w:trHeight w:val="237"/>
        </w:trPr>
        <w:tc>
          <w:tcPr>
            <w:tcW w:w="88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(9,257)</w:t>
            </w:r>
          </w:p>
        </w:tc>
      </w:tr>
      <w:tr>
        <w:trPr>
          <w:trHeight w:val="27"/>
        </w:trPr>
        <w:tc>
          <w:tcPr>
            <w:tcW w:w="8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820" w:type="dxa"/>
            <w:vAlign w:val="bottom"/>
          </w:tcPr>
          <w:p>
            <w:pPr>
              <w:ind w:left="380"/>
              <w:spacing w:after="0"/>
              <w:rPr>
                <w:sz w:val="20"/>
                <w:szCs w:val="20"/>
                <w:color w:val="auto"/>
              </w:rPr>
            </w:pPr>
            <w:r>
              <w:rPr>
                <w:rFonts w:ascii="Arial" w:cs="Arial" w:eastAsia="Arial" w:hAnsi="Arial"/>
                <w:sz w:val="18"/>
                <w:szCs w:val="18"/>
                <w:color w:val="auto"/>
              </w:rPr>
              <w:t>Borrowings of debt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22,468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debt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8820" w:type="dxa"/>
            <w:vAlign w:val="bottom"/>
          </w:tcPr>
          <w:p>
            <w:pPr>
              <w:ind w:left="380"/>
              <w:spacing w:after="0"/>
              <w:rPr>
                <w:sz w:val="20"/>
                <w:szCs w:val="20"/>
                <w:color w:val="auto"/>
              </w:rPr>
            </w:pPr>
            <w:r>
              <w:rPr>
                <w:rFonts w:ascii="Arial" w:cs="Arial" w:eastAsia="Arial" w:hAnsi="Arial"/>
                <w:sz w:val="18"/>
                <w:szCs w:val="18"/>
                <w:color w:val="auto"/>
              </w:rPr>
              <w:t>Distribution to noncontrolling interest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43"/>
        </w:trPr>
        <w:tc>
          <w:tcPr>
            <w:tcW w:w="8820" w:type="dxa"/>
            <w:vAlign w:val="bottom"/>
          </w:tcPr>
          <w:p>
            <w:pPr>
              <w:ind w:left="380"/>
              <w:spacing w:after="0"/>
              <w:rPr>
                <w:sz w:val="20"/>
                <w:szCs w:val="20"/>
                <w:color w:val="auto"/>
              </w:rPr>
            </w:pPr>
            <w:r>
              <w:rPr>
                <w:rFonts w:ascii="Arial" w:cs="Arial" w:eastAsia="Arial" w:hAnsi="Arial"/>
                <w:sz w:val="18"/>
                <w:szCs w:val="18"/>
                <w:color w:val="auto"/>
              </w:rPr>
              <w:t>Options exercised</w:t>
            </w:r>
          </w:p>
        </w:tc>
        <w:tc>
          <w:tcPr>
            <w:tcW w:w="18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r>
      <w:tr>
        <w:trPr>
          <w:trHeight w:val="237"/>
        </w:trPr>
        <w:tc>
          <w:tcPr>
            <w:tcW w:w="882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(6,598)</w:t>
            </w: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28,290</w:t>
            </w:r>
          </w:p>
        </w:tc>
      </w:tr>
      <w:tr>
        <w:trPr>
          <w:trHeight w:val="324"/>
        </w:trPr>
        <w:tc>
          <w:tcPr>
            <w:tcW w:w="8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13,104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21,692</w:t>
            </w:r>
          </w:p>
        </w:tc>
      </w:tr>
      <w:tr>
        <w:trPr>
          <w:trHeight w:val="284"/>
        </w:trPr>
        <w:tc>
          <w:tcPr>
            <w:tcW w:w="8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Cash paid for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43"/>
        </w:trPr>
        <w:tc>
          <w:tcPr>
            <w:tcW w:w="8820" w:type="dxa"/>
            <w:vAlign w:val="bottom"/>
          </w:tcPr>
          <w:p>
            <w:pPr>
              <w:ind w:left="620"/>
              <w:spacing w:after="0"/>
              <w:rPr>
                <w:sz w:val="20"/>
                <w:szCs w:val="20"/>
                <w:color w:val="auto"/>
              </w:rPr>
            </w:pPr>
            <w:r>
              <w:rPr>
                <w:rFonts w:ascii="Arial" w:cs="Arial" w:eastAsia="Arial" w:hAnsi="Arial"/>
                <w:sz w:val="18"/>
                <w:szCs w:val="18"/>
                <w:color w:val="auto"/>
              </w:rPr>
              <w:t>Cash paid for income taxes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2,313</w:t>
            </w:r>
          </w:p>
        </w:tc>
      </w:tr>
    </w:tbl>
    <w:p>
      <w:pPr>
        <w:spacing w:after="0" w:line="200" w:lineRule="exact"/>
        <w:rPr>
          <w:sz w:val="20"/>
          <w:szCs w:val="20"/>
          <w:color w:val="auto"/>
        </w:rPr>
      </w:pPr>
    </w:p>
    <w:p>
      <w:pPr>
        <w:spacing w:after="0" w:line="24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53"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53"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IES Holdings, Inc. is a holding company that owns and manages operating subsidiaries in business activities across a variety of end markets. Our operations are currently organized into four principal business segments, based upon the nature of our current services:</w:t>
      </w:r>
    </w:p>
    <w:p>
      <w:pPr>
        <w:spacing w:after="0" w:line="170"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Commercial &amp; Industrial</w:t>
      </w:r>
      <w:r>
        <w:rPr>
          <w:rFonts w:ascii="Arial" w:cs="Arial" w:eastAsia="Arial" w:hAnsi="Arial"/>
          <w:sz w:val="18"/>
          <w:szCs w:val="18"/>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Communications</w:t>
      </w:r>
      <w:r>
        <w:rPr>
          <w:rFonts w:ascii="Arial" w:cs="Arial" w:eastAsia="Arial" w:hAnsi="Arial"/>
          <w:sz w:val="17"/>
          <w:szCs w:val="17"/>
          <w:color w:val="auto"/>
        </w:rPr>
        <w:t xml:space="preserve"> – Nationwide provider of technology infrastructure products and services to large corporations and independent businesses.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Infrastructure Solutions</w:t>
      </w:r>
      <w:r>
        <w:rPr>
          <w:rFonts w:ascii="Arial" w:cs="Arial" w:eastAsia="Arial" w:hAnsi="Arial"/>
          <w:sz w:val="18"/>
          <w:szCs w:val="18"/>
          <w:color w:val="auto"/>
        </w:rPr>
        <w:t xml:space="preserve"> – Provider of electro-mechanical solutions for industrial operations, including apparatus repair and custom-engineered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Regional provider of electrical installation services for single-family housing and multi-family apartment complexes.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words “IES”, the “Company”, “we”, “our”, and “us” refer to IES Holdings, Inc. and, except as otherwise specified herein, to our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Results of operations from our Residential construction segment are seasonal, depending on weather trends, with typically higher revenues generated during spring and summer and lower revenues generated during fall and winter, with an impact from precipitation in the warmer months.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Our service and maintenance business is generally not affected by seasonality. Our volume of business may be adversely affected by declines in construction projects resulting from adverse regional or national economic conditions. Quarterly results may also be materially affected by the timing of new construction projects. Results for our Infrastructure Solutions segment may be affected by the timing of outages at our customers’ facilities. Accordingly, operating results for any fiscal period are not necessarily indicative of results that may be achieved for any subsequent fiscal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Financial Statement Preparation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2018.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our acquisitions of STR Mechanical, LLC (“STR Mechanical”) in fiscal 2016 and NEXT Electric, LLC (“NEXT Electric”) in fiscal 2017,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 amounts assuming the noncontrolling interests were redeemable 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the balance sheet date. If all of these interests had been redeemable at June 30, 2019, the redemption amount would have been $2,446. For the nine months ended June 30, 2018, we recorded an increase to retained earnings of $44 to decrease the carrying amount of the noncontrolling interest in STR Mechanical to the balance determined under ASC 810, as, if it had been redeemable at June 30, 2018, the redemption amount would have been less than the carrying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nine months ended June 30, 2019, our effective tax rate differed from the statutory rate as a result of a benefit of $4,020 related to the recognition of previously unrecognized tax benefits. In December 2017, the Tax Cuts and Jobs Act (the “Act”) was enacted, which, among other changes, reduced the federal statutory corporate tax rate from 35% to 21%, effective January 1, 2018. As a result of this change, the Company’s statutory tax rate for fiscal 2018 was a blended rate of 24.53% and decreased to 21% in 2019. For the nine months ended June 30, 2018, our effective tax rate differed from the statutory tax rate as a result of a charge of $31,506 to re-measure our deferred tax assets and liabilities to reflect the impact of the new statutory tax rate, slightly offset by a benefit of $1,840 related to the reversal of unrecognized tax benefits. The Company completed its accounting for the income tax effects of the Act and fully recorded the impact in the year ended September 30,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2016, the Financial Accounting Standards Board (“FASB”) issued Accounting Standard Update No. 2016-02, Leases (“ASU 2016-02”). Under ASU 2016-02, lessees will need to recognize a right-of-use asset and a lease liability on our Balance Sheet for all leases, other than those that meet the definition of a short-term lease. For income statement purposes, leases must be classified as either operating or finance. Operating leases will result in straight-line expense, similar to current operating leases, while finance leases will be accounted for similar to current capital leases. ASU 2016-02 becomes effective for the fiscal year ended September 30, 2020. We are currently evaluating the impact it will have on our Condensed Consolidated Financial Statements. We anticipate the adoption will result in a significant amount of lease right-of-use assets and corresponding lease liabilities being recorded on our balance sheets. We plan to adopt this standard on October 1, 2019 and will apply the transition method that allows the recognition of a cumulative-effect adjustment to retained earnings on such date.</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2016, the FASB issued Accounting Standard Update No. 2016-13, Financial Instruments – Credit Losses (“ASU 2016-13”), which requires companies to consider historical experiences, current market conditions and reasonable and supportable forecasts in the measurement of expected credit losses, with further clarifications made in April 2019 and May 2019 with the issuances of Accounting Standard Updates No. 2019-04 and 2019-05. This update is effective for fiscal years beginning after December 15, 2019 and for interim periods within those fiscal years, although early adoption is permitted. We are currently evaluating the impact it will have on our Condensed Consolidated Financial Statements. We plan to adopt this standard on October 1, 2020.</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2018, the FASB issued Accounting Standard Update No. 2018-07, Compensation—Stock Compensation (“ASU 2018-07”), to simplify the accounting for share-based payments to nonemployees by aligning it with the accounting for share-based payments for employees, with certain exceptions. Under the new guidance, the cost for nonemployee awards may be lower and less volatile than under current GAAP because the measurement generally will occur earlier and will be fixed at the grant date. This update is effective for the fiscal year ended September 30, 2020.</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the FASB issued Accounting Standard Update No. 2018-13, Fair Value Measurement Disclosure Framework (“ASU 2018-13”), to modify certain disclosure requirements for fair value measurements. Under the new guidance, registrants will need to disclose weighted average information for significant unobservable inputs for all Level 3 fair value measurements. The guidance does not specify how entities should calculate the weighted average, but requires them to explain their calculation. The new guidance also requires disclosing the changes in unrealized gain and losses for the period included in other comprehensive income for recurring Level 3 fair value measurements of instruments held at the end of the reporting period. This guidance is effective for fiscal years beginning after December 15, 2019 and for interim periods within those fiscal years, although early adoption is permitted for either the entire standard or only the provisions that eliminate or modify the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ASU 2018-07 or ASU 2018-13 to have a material effect on our Condensed Consolidated Financial Statements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we plan to adopt these standards on October 1, 2019 and October 1,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2014, the FASB issued Accounting Standard Update No. 2014-09, which provides a single comprehensive accounting standard for revenue recognition for contracts with customers and supersedes prior industry-specific guidance. The new standard requires companies to recognize revenue when control of promised goods or services is transferred to customers at an amount that reflects the consideration to which the company expects to be entitled. The new model requires companies to identify contractual performance obligations and determine whether revenue should be recognized at a point in time or over time for each obligation. The new standard also expands disclosure requirements regarding revenue and cash flows arising from contracts with customers.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adopted the new revenue recognition standard on October 1, 2018 (“Adoption Date”), using the modified retrospective method, which provides for a cumulative effect adjustment to beginning fiscal 2019 retained earnings for uncompleted contracts impacted by the adoption. We recorded an adjustment of $102 to beginning fiscal 2019 retained earnings as a result of adoption of the new standard. The changes to the method and/or timing of our revenue recognition associated with the new standard primarily affect revenue recognition within our Infrastructure Solutions segment for which, as of October 1, 2018, certain of our contracts do not qualify for revenue recognition over time. In addition, we have now combined in process contracts that historically had been accounted for as separate contracts in cases where those contracts meet the criteria for combination of contracts under the new standard, and we now capitalize certain commissions which were previously expensed when incurred. The impact on our results for the three and nine months ended June 30, 2019, of applying the new standard to our contracts was not material.</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our adoption method, the comparative prior period information for the three and nine months ended June 30, 2018, continues to be reported using the previous accounting standards in effect for the period presented. We have elected to utilize the modified retrospective transition practical expedient that allows us to evaluate the impact of contract modifications as of the Adoption Date rather than evaluating the impact of the modifications at the time they occurred prior to the Adoption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3, “Revenue Recognition” for additional discussion of our revenue recognition accounting policies and expanded disclosures.</w:t>
      </w:r>
    </w:p>
    <w:p>
      <w:pPr>
        <w:spacing w:after="0" w:line="225" w:lineRule="exact"/>
        <w:rPr>
          <w:sz w:val="20"/>
          <w:szCs w:val="20"/>
          <w:color w:val="auto"/>
        </w:rPr>
      </w:pPr>
    </w:p>
    <w:p>
      <w:pPr>
        <w:jc w:val="both"/>
        <w:spacing w:after="0" w:line="224" w:lineRule="exact"/>
        <w:rPr>
          <w:sz w:val="20"/>
          <w:szCs w:val="20"/>
          <w:color w:val="auto"/>
        </w:rPr>
      </w:pPr>
      <w:r>
        <w:rPr>
          <w:rFonts w:ascii="Arial" w:cs="Arial" w:eastAsia="Arial" w:hAnsi="Arial"/>
          <w:sz w:val="16"/>
          <w:szCs w:val="16"/>
          <w:color w:val="auto"/>
        </w:rPr>
        <w:t>In January 2016, the FASB issued Accounting Standard Update No. 2016</w:t>
      </w:r>
      <w:r>
        <w:rPr>
          <w:rFonts w:ascii="MS PGothic" w:cs="MS PGothic" w:eastAsia="MS PGothic" w:hAnsi="MS PGothic"/>
          <w:sz w:val="16"/>
          <w:szCs w:val="16"/>
          <w:color w:val="auto"/>
        </w:rPr>
        <w:t>‑</w:t>
      </w:r>
      <w:r>
        <w:rPr>
          <w:rFonts w:ascii="Arial" w:cs="Arial" w:eastAsia="Arial" w:hAnsi="Arial"/>
          <w:sz w:val="16"/>
          <w:szCs w:val="16"/>
          <w:color w:val="auto"/>
        </w:rPr>
        <w:t>01, Financial Instruments. This standard is associated with the recognition and measurement of financial assets and liabilities, with further clarifications made in February 2018 with the issuance of Accounting Standard Update No. 2018-</w:t>
      </w:r>
    </w:p>
    <w:p>
      <w:pPr>
        <w:jc w:val="both"/>
        <w:ind w:firstLine="8"/>
        <w:spacing w:after="0" w:line="252" w:lineRule="auto"/>
        <w:tabs>
          <w:tab w:leader="none" w:pos="27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Our adoption of this standard on October 1, 2018 had no impact on our Condensed Consolidated Financial Statements.</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January 2017, the FASB issued Accounting Standard Update No. 2017-01, Business Combinations. This standard clarifies the definition of a business to assist entities with evaluation of whether transactions should be accounted for as acquisitions or disposals of assets or businesses. Our adoption of this standard on October 1, 2018 using the prospective transition method had no impact on our Condensed Consolidated Financial Statements.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2017, the FASB issued Accounting Standard Update No. 2017-09, Compensation—Stock Compensation, to reduce the diversity in practice and the cost and complexity when changing the terms or conditions of a share-based payment award. Our adoption of this standard on October 1, 2018 using the prospective transition method had no impact on our Condensed Consolidated Financial Statements.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CONTROLLING STOCKHOLDER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Tontine Associates, L.L.C. and its affiliates (collectively, “Tontine”), is the Company’s controlling stockholder, owning approximately 57.4 percent of the Company’s outstanding common stock according to a Form 4 filed with the SEC by Tontine on July 3, 2019. Accordingly, Tontine has the ability to exercise significant control over our affairs, including the election of directors and most actions requiring the approval of stockholders.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jc w:val="both"/>
        <w:spacing w:after="0" w:line="272" w:lineRule="auto"/>
        <w:rPr>
          <w:sz w:val="20"/>
          <w:szCs w:val="20"/>
          <w:color w:val="auto"/>
        </w:rPr>
      </w:pPr>
      <w:r>
        <w:rPr>
          <w:rFonts w:ascii="Arial" w:cs="Arial" w:eastAsia="Arial" w:hAnsi="Arial"/>
          <w:sz w:val="17"/>
          <w:szCs w:val="17"/>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new tax benefit protection plan (the “NOL Rights Plan”). The NOL Rights Plan was designed to deter an acquisition of the Company's stock in excess of a threshold amount that could trigger a change of control within the meaning of Internal Revenue Code Section 382. There can be no assurance that the NOL Rights Plan will be effective in deterring a change of ownership or protecting the NOLs. Furthermore, a change in control would trigger the change of control provisions in a number of our material agreements, including our credit facility, bonding agreements with our sureties and our severance arrangements.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Jeffrey L. Gendell was appointed as a member of the Board of Directors and as Chairman of the Board in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is party to a sublease agreement with Tontine Associates, L.L.C. for corporate office space in Greenwich, Connecticut. On May 1, 2019, the sublease was extended for a six month term expiring December 31, 2019, with an increase in the monthly rent to $9, reflecting the increase paid by Tontine Associates, L.L.C. to its landlord. The lease has terms at market rates, and payments by the Company are at a rate consistent with that paid by Tontine Associates, L.L.C. to its landlord.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6, 2018, the Company entered into a Board Observer Letter Agreement with Tontine Associates, L.L.C. in order to assist Tontine in managing its investment in the Company. Subject to the terms and conditions set forth in the Letter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Letter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revenue is derived from contracts with customers, and we determine the appropriate accounting treatment for each contract at contract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transaction price for our contracts may include variable consideration, which includes increases to transaction price for approved and unapproved change orders, claims and incentives, and reductions to transaction price for liquidated damages.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excluded from transaction price in the case of liquidated damages) are not resolved in our favor, or to the extent incentives reflected in transaction price are not earned, there could be reductions in, or reversals of, previously recognized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Obtaining a Contract</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certain of our operations, we incur commission costs related to entering into a contract that we only incurred because of that contract. When this occurs, we capitalize that cost and amortize it over the expected term of the contract. At June 30, 2019, we had capitalized commission costs of $96.</w:t>
      </w:r>
    </w:p>
    <w:p>
      <w:pPr>
        <w:spacing w:after="0" w:line="147"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We generally do not incur significant incremental costs related to obtaining or fulfilling a contract prior to the start of a project. When significant pre</w:t>
      </w:r>
      <w:r>
        <w:rPr>
          <w:rFonts w:ascii="MS PGothic" w:cs="MS PGothic" w:eastAsia="MS PGothic" w:hAnsi="MS PGothic"/>
          <w:sz w:val="18"/>
          <w:szCs w:val="18"/>
          <w:color w:val="auto"/>
        </w:rPr>
        <w:t>‑</w:t>
      </w:r>
      <w:r>
        <w:rPr>
          <w:rFonts w:ascii="Arial" w:cs="Arial" w:eastAsia="Arial" w:hAnsi="Arial"/>
          <w:sz w:val="18"/>
          <w:szCs w:val="18"/>
          <w:color w:val="auto"/>
        </w:rPr>
        <w:t>contract costs are incurred, they will be capitalized and amortized on a percentage of completion basis over the life of the contract.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disaggregate our revenue from contracts with customers by activity and contract type, as these categories reflect how the nature, amount, timing and uncertainty of our revenue and cash flows are affected by economic factors. Our consolidated 2019 and 2018 revenue was derived from the following service activities. See details in the following tables: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5"/>
          </w:tcPr>
          <w:p>
            <w:pPr>
              <w:ind w:left="200"/>
              <w:spacing w:after="0"/>
              <w:rPr>
                <w:sz w:val="20"/>
                <w:szCs w:val="20"/>
                <w:color w:val="auto"/>
              </w:rPr>
            </w:pPr>
            <w:r>
              <w:rPr>
                <w:rFonts w:ascii="Arial" w:cs="Arial" w:eastAsia="Arial" w:hAnsi="Arial"/>
                <w:sz w:val="18"/>
                <w:szCs w:val="18"/>
                <w:color w:val="auto"/>
              </w:rPr>
              <w:t>Three Months Ended June 30,</w:t>
            </w:r>
          </w:p>
        </w:tc>
        <w:tc>
          <w:tcPr>
            <w:tcW w:w="320" w:type="dxa"/>
            <w:vAlign w:val="bottom"/>
          </w:tcPr>
          <w:p>
            <w:pPr>
              <w:spacing w:after="0"/>
              <w:rPr>
                <w:sz w:val="20"/>
                <w:szCs w:val="20"/>
                <w:color w:val="auto"/>
              </w:rPr>
            </w:pPr>
          </w:p>
        </w:tc>
        <w:tc>
          <w:tcPr>
            <w:tcW w:w="2740" w:type="dxa"/>
            <w:vAlign w:val="bottom"/>
            <w:gridSpan w:val="4"/>
          </w:tcPr>
          <w:p>
            <w:pPr>
              <w:jc w:val="right"/>
              <w:ind w:right="370"/>
              <w:spacing w:after="0"/>
              <w:rPr>
                <w:sz w:val="20"/>
                <w:szCs w:val="20"/>
                <w:color w:val="auto"/>
              </w:rPr>
            </w:pPr>
            <w:r>
              <w:rPr>
                <w:rFonts w:ascii="Arial" w:cs="Arial" w:eastAsia="Arial" w:hAnsi="Arial"/>
                <w:sz w:val="18"/>
                <w:szCs w:val="18"/>
                <w:color w:val="auto"/>
                <w:w w:val="97"/>
              </w:rPr>
              <w:t>Nine Months Ended June 30,</w:t>
            </w: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Commercial &amp; Industrial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196,747</w:t>
            </w:r>
          </w:p>
        </w:tc>
      </w:tr>
      <w:tr>
        <w:trPr>
          <w:trHeight w:val="243"/>
        </w:trPr>
        <w:tc>
          <w:tcPr>
            <w:tcW w:w="5160" w:type="dxa"/>
            <w:vAlign w:val="bottom"/>
          </w:tcPr>
          <w:p>
            <w:pPr>
              <w:ind w:left="60"/>
              <w:spacing w:after="0"/>
              <w:rPr>
                <w:sz w:val="20"/>
                <w:szCs w:val="20"/>
                <w:color w:val="auto"/>
              </w:rPr>
            </w:pPr>
            <w:r>
              <w:rPr>
                <w:rFonts w:ascii="Arial" w:cs="Arial" w:eastAsia="Arial" w:hAnsi="Arial"/>
                <w:sz w:val="18"/>
                <w:szCs w:val="18"/>
                <w:color w:val="auto"/>
              </w:rPr>
              <w:t>Communications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90,438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54,368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230,200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159,071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Infrastructure Solutions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Industrial Services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12,339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32,874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Custom Power Solutions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37,533</w:t>
            </w:r>
          </w:p>
        </w:tc>
      </w:tr>
      <w:tr>
        <w:trPr>
          <w:trHeight w:val="237"/>
        </w:trPr>
        <w:tc>
          <w:tcPr>
            <w:tcW w:w="5160" w:type="dxa"/>
            <w:vAlign w:val="bottom"/>
          </w:tcPr>
          <w:p>
            <w:pPr>
              <w:ind w:left="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36,109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24,856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100,038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70,407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Residential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Single-family</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54,200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51,028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139,235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Multi-family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71,093</w:t>
            </w:r>
          </w:p>
        </w:tc>
      </w:tr>
      <w:tr>
        <w:trPr>
          <w:trHeight w:val="237"/>
        </w:trPr>
        <w:tc>
          <w:tcPr>
            <w:tcW w:w="5160" w:type="dxa"/>
            <w:vAlign w:val="bottom"/>
          </w:tcPr>
          <w:p>
            <w:pPr>
              <w:ind w:left="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80,716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75,196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225,223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210,328</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282,633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232,576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783,389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636,553</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gridSpan w:val="6"/>
          </w:tcPr>
          <w:p>
            <w:pPr>
              <w:jc w:val="center"/>
              <w:ind w:left="610"/>
              <w:spacing w:after="0"/>
              <w:rPr>
                <w:sz w:val="20"/>
                <w:szCs w:val="20"/>
                <w:color w:val="auto"/>
              </w:rPr>
            </w:pPr>
            <w:r>
              <w:rPr>
                <w:rFonts w:ascii="Arial" w:cs="Arial" w:eastAsia="Arial" w:hAnsi="Arial"/>
                <w:sz w:val="18"/>
                <w:szCs w:val="18"/>
                <w:color w:val="auto"/>
                <w:w w:val="89"/>
              </w:rPr>
              <w:t>Three Months Ended June 30, 2019</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Commercial &amp;</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Infrastructure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Industrial</w:t>
            </w:r>
          </w:p>
        </w:tc>
        <w:tc>
          <w:tcPr>
            <w:tcW w:w="20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Communications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Solutions</w:t>
            </w:r>
          </w:p>
        </w:tc>
        <w:tc>
          <w:tcPr>
            <w:tcW w:w="2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7"/>
        </w:trPr>
        <w:tc>
          <w:tcPr>
            <w:tcW w:w="3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Fixed-price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246,777</w:t>
            </w:r>
          </w:p>
        </w:tc>
      </w:tr>
      <w:tr>
        <w:trPr>
          <w:trHeight w:val="243"/>
        </w:trPr>
        <w:tc>
          <w:tcPr>
            <w:tcW w:w="4040" w:type="dxa"/>
            <w:vAlign w:val="bottom"/>
            <w:gridSpan w:val="2"/>
          </w:tcPr>
          <w:p>
            <w:pPr>
              <w:ind w:left="60"/>
              <w:spacing w:after="0"/>
              <w:rPr>
                <w:sz w:val="20"/>
                <w:szCs w:val="20"/>
                <w:color w:val="auto"/>
              </w:rPr>
            </w:pPr>
            <w:r>
              <w:rPr>
                <w:rFonts w:ascii="Arial" w:cs="Arial" w:eastAsia="Arial" w:hAnsi="Arial"/>
                <w:sz w:val="18"/>
                <w:szCs w:val="18"/>
                <w:color w:val="auto"/>
              </w:rPr>
              <w:t>Time-and-material</w:t>
            </w: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35,856</w:t>
            </w:r>
          </w:p>
        </w:tc>
      </w:tr>
      <w:tr>
        <w:trPr>
          <w:trHeight w:val="27"/>
        </w:trPr>
        <w:tc>
          <w:tcPr>
            <w:tcW w:w="3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80,716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282,633</w:t>
            </w: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7"/>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6"/>
          </w:tcPr>
          <w:p>
            <w:pPr>
              <w:jc w:val="center"/>
              <w:ind w:left="610"/>
              <w:spacing w:after="0"/>
              <w:rPr>
                <w:sz w:val="20"/>
                <w:szCs w:val="20"/>
                <w:color w:val="auto"/>
              </w:rPr>
            </w:pPr>
            <w:r>
              <w:rPr>
                <w:rFonts w:ascii="Arial" w:cs="Arial" w:eastAsia="Arial" w:hAnsi="Arial"/>
                <w:sz w:val="18"/>
                <w:szCs w:val="18"/>
                <w:color w:val="auto"/>
                <w:w w:val="89"/>
              </w:rPr>
              <w:t>Three Months Ended June 30, 2018</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3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Commercial &amp;</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Infrastructure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Industrial</w:t>
            </w:r>
          </w:p>
        </w:tc>
        <w:tc>
          <w:tcPr>
            <w:tcW w:w="20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Communications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Solutions</w:t>
            </w:r>
          </w:p>
        </w:tc>
        <w:tc>
          <w:tcPr>
            <w:tcW w:w="2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7"/>
        </w:trPr>
        <w:tc>
          <w:tcPr>
            <w:tcW w:w="3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Fixed-price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206,750</w:t>
            </w:r>
          </w:p>
        </w:tc>
      </w:tr>
      <w:tr>
        <w:trPr>
          <w:trHeight w:val="243"/>
        </w:trPr>
        <w:tc>
          <w:tcPr>
            <w:tcW w:w="4040" w:type="dxa"/>
            <w:vAlign w:val="bottom"/>
            <w:gridSpan w:val="2"/>
          </w:tcPr>
          <w:p>
            <w:pPr>
              <w:ind w:left="60"/>
              <w:spacing w:after="0"/>
              <w:rPr>
                <w:sz w:val="20"/>
                <w:szCs w:val="20"/>
                <w:color w:val="auto"/>
              </w:rPr>
            </w:pPr>
            <w:r>
              <w:rPr>
                <w:rFonts w:ascii="Arial" w:cs="Arial" w:eastAsia="Arial" w:hAnsi="Arial"/>
                <w:sz w:val="18"/>
                <w:szCs w:val="18"/>
                <w:color w:val="auto"/>
              </w:rPr>
              <w:t>Time-and-material</w:t>
            </w: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11,441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25,826</w:t>
            </w:r>
          </w:p>
        </w:tc>
      </w:tr>
      <w:tr>
        <w:trPr>
          <w:trHeight w:val="27"/>
        </w:trPr>
        <w:tc>
          <w:tcPr>
            <w:tcW w:w="3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78,156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75,196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232,576</w:t>
            </w: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7"/>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6"/>
          </w:tcPr>
          <w:p>
            <w:pPr>
              <w:jc w:val="center"/>
              <w:ind w:left="610"/>
              <w:spacing w:after="0"/>
              <w:rPr>
                <w:sz w:val="20"/>
                <w:szCs w:val="20"/>
                <w:color w:val="auto"/>
              </w:rPr>
            </w:pPr>
            <w:r>
              <w:rPr>
                <w:rFonts w:ascii="Arial" w:cs="Arial" w:eastAsia="Arial" w:hAnsi="Arial"/>
                <w:sz w:val="18"/>
                <w:szCs w:val="18"/>
                <w:color w:val="auto"/>
                <w:w w:val="90"/>
              </w:rPr>
              <w:t>Nine Months Ended June 30, 2019</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3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Commercial &amp;</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Infrastructure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Industrial</w:t>
            </w:r>
          </w:p>
        </w:tc>
        <w:tc>
          <w:tcPr>
            <w:tcW w:w="20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Communications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Solutions</w:t>
            </w:r>
          </w:p>
        </w:tc>
        <w:tc>
          <w:tcPr>
            <w:tcW w:w="2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7"/>
        </w:trPr>
        <w:tc>
          <w:tcPr>
            <w:tcW w:w="3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Fixed-price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688,653</w:t>
            </w:r>
          </w:p>
        </w:tc>
      </w:tr>
      <w:tr>
        <w:trPr>
          <w:trHeight w:val="243"/>
        </w:trPr>
        <w:tc>
          <w:tcPr>
            <w:tcW w:w="4040" w:type="dxa"/>
            <w:vAlign w:val="bottom"/>
            <w:gridSpan w:val="2"/>
          </w:tcPr>
          <w:p>
            <w:pPr>
              <w:ind w:left="60"/>
              <w:spacing w:after="0"/>
              <w:rPr>
                <w:sz w:val="20"/>
                <w:szCs w:val="20"/>
                <w:color w:val="auto"/>
              </w:rPr>
            </w:pPr>
            <w:r>
              <w:rPr>
                <w:rFonts w:ascii="Arial" w:cs="Arial" w:eastAsia="Arial" w:hAnsi="Arial"/>
                <w:sz w:val="18"/>
                <w:szCs w:val="18"/>
                <w:color w:val="auto"/>
              </w:rPr>
              <w:t>Time-and-material</w:t>
            </w: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14,714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67,550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12,472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94,736</w:t>
            </w:r>
          </w:p>
        </w:tc>
      </w:tr>
      <w:tr>
        <w:trPr>
          <w:trHeight w:val="27"/>
        </w:trPr>
        <w:tc>
          <w:tcPr>
            <w:tcW w:w="3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227,928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230,200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225,223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783,389</w:t>
            </w: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7"/>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6"/>
          </w:tcPr>
          <w:p>
            <w:pPr>
              <w:jc w:val="center"/>
              <w:ind w:left="610"/>
              <w:spacing w:after="0"/>
              <w:rPr>
                <w:sz w:val="20"/>
                <w:szCs w:val="20"/>
                <w:color w:val="auto"/>
              </w:rPr>
            </w:pPr>
            <w:r>
              <w:rPr>
                <w:rFonts w:ascii="Arial" w:cs="Arial" w:eastAsia="Arial" w:hAnsi="Arial"/>
                <w:sz w:val="18"/>
                <w:szCs w:val="18"/>
                <w:color w:val="auto"/>
                <w:w w:val="90"/>
              </w:rPr>
              <w:t>Nine Months Ended June 30, 2018</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Commercial &amp;</w:t>
            </w: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Infrastructure</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Industrial</w:t>
            </w:r>
          </w:p>
        </w:tc>
        <w:tc>
          <w:tcPr>
            <w:tcW w:w="20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Communications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Solutions</w:t>
            </w:r>
          </w:p>
        </w:tc>
        <w:tc>
          <w:tcPr>
            <w:tcW w:w="2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7"/>
        </w:trPr>
        <w:tc>
          <w:tcPr>
            <w:tcW w:w="3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Fixed-price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570,794</w:t>
            </w:r>
          </w:p>
        </w:tc>
      </w:tr>
      <w:tr>
        <w:trPr>
          <w:trHeight w:val="243"/>
        </w:trPr>
        <w:tc>
          <w:tcPr>
            <w:tcW w:w="4040" w:type="dxa"/>
            <w:vAlign w:val="bottom"/>
            <w:gridSpan w:val="2"/>
          </w:tcPr>
          <w:p>
            <w:pPr>
              <w:ind w:left="60"/>
              <w:spacing w:after="0"/>
              <w:rPr>
                <w:sz w:val="20"/>
                <w:szCs w:val="20"/>
                <w:color w:val="auto"/>
              </w:rPr>
            </w:pPr>
            <w:r>
              <w:rPr>
                <w:rFonts w:ascii="Arial" w:cs="Arial" w:eastAsia="Arial" w:hAnsi="Arial"/>
                <w:sz w:val="18"/>
                <w:szCs w:val="18"/>
                <w:color w:val="auto"/>
              </w:rPr>
              <w:t>Time-and-material</w:t>
            </w: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20,881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34,643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10,235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65,759</w:t>
            </w:r>
          </w:p>
        </w:tc>
      </w:tr>
      <w:tr>
        <w:trPr>
          <w:trHeight w:val="27"/>
        </w:trPr>
        <w:tc>
          <w:tcPr>
            <w:tcW w:w="3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196,747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159,071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210,328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636,553</w:t>
            </w: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Accounts receivable include amounts which we have billed or have an unconditional right to bill our customers. As of June 30, 2019, Accounts receivable included $10,617 of unbilled receivables for which we have an unconditional right to bill.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 cumulative billings and unbilled receivables to the customer under the contract are reflected as a current asset in our balance sheet under the caption “Costs and estimated earnings in excess of billings”. To the extent amounts by which cumulative billings to the customer under a contract as of a given date exceed cumulative contract revenue recognized are reflected as a current liability in our balance sheet under the caption “Billings in excess of costs and estimated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net asset (liability) position for contracts in process consisted of the following:</w:t>
      </w:r>
    </w:p>
    <w:p>
      <w:pPr>
        <w:spacing w:after="0" w:line="200" w:lineRule="exact"/>
        <w:rPr>
          <w:sz w:val="20"/>
          <w:szCs w:val="20"/>
          <w:color w:val="auto"/>
        </w:rPr>
      </w:pPr>
    </w:p>
    <w:p>
      <w:pPr>
        <w:spacing w:after="0" w:line="228"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89"/>
              </w:rPr>
              <w:t>September 30,</w:t>
            </w:r>
          </w:p>
        </w:tc>
      </w:tr>
      <w:tr>
        <w:trPr>
          <w:trHeight w:val="270"/>
        </w:trPr>
        <w:tc>
          <w:tcPr>
            <w:tcW w:w="5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estimated earnings on uncompleted contracts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539,226</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Less: Billings to date and unbilled accounts receivable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(721,521)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(541,606)</w:t>
            </w:r>
          </w:p>
        </w:tc>
      </w:tr>
      <w:tr>
        <w:trPr>
          <w:trHeight w:val="27"/>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30"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The net asset (liability) position for contracts in process included in the accompanying consolidated balance sheets was as follows:</w:t>
      </w:r>
    </w:p>
    <w:p>
      <w:pPr>
        <w:spacing w:after="0" w:line="200" w:lineRule="exact"/>
        <w:rPr>
          <w:sz w:val="20"/>
          <w:szCs w:val="20"/>
          <w:color w:val="auto"/>
        </w:rPr>
      </w:pPr>
    </w:p>
    <w:p>
      <w:pPr>
        <w:spacing w:after="0" w:line="228"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89"/>
              </w:rPr>
              <w:t>September 30,</w:t>
            </w:r>
          </w:p>
        </w:tc>
      </w:tr>
      <w:tr>
        <w:trPr>
          <w:trHeight w:val="270"/>
        </w:trPr>
        <w:tc>
          <w:tcPr>
            <w:tcW w:w="5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31,446</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Billings in excess of costs and estimated earnings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(33,826)</w:t>
            </w:r>
          </w:p>
        </w:tc>
      </w:tr>
      <w:tr>
        <w:trPr>
          <w:trHeight w:val="27"/>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June 30, 2019, and 2018, we recognized revenue of $18,472 and $15,076 related to our contract liabilities at April 1, 2019 and 2018, respectively. During the nine months ended June 30, 2019, and 2018, we recognized revenue of $28,816 and $28,627 related to our contract liabilities at October 1,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any impairment losses recognized on our receivables or contract assets for the three and nine months ended June 30, 2019 or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June 30, 2019, we had remaining performance obligations of $487. The Company expects to recognize revenue on approximately $387 of the remaining performance obligations over the next 12 months, with the remaining recognized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June 30, 2019, net revenue recognized from our performance obligations satisfied in previous periods was not material.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2019, and September 30, 2018, our long-term debt of $9,915 and $29,564, respectively, primarily related to amounts drawn on our revolving credit facility. Our weighted-average annual interest rate on these borrowings was 4.48% at June 30, 2019, and 3.86% at September 30, 2018. At June 30, 2019, we also had $6,551 in outstanding letters of credit and total availability of $85,024 under our revolving credit facility without violating our financial covenants.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our Second Amended and Restated Credit and Security Agreement with Wells Fargo Bank, N.A. (as amended, the “Credit Agreement”), the Company is subject to the financial or other covenants disclosed in Item 7 of our Annual Report on Form 10-K for the year ended September 30, 2018.</w:t>
      </w:r>
    </w:p>
    <w:p>
      <w:pPr>
        <w:spacing w:after="0" w:line="14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Effective May 20, 2019, the Company entered into a Fourth Amendment to the Credit Agreement, which permits the Company to repurchase up to 1.0 million additional shares of common stock pursuant to its previously authorized stock repurchase program for an aggregate purchase price (including for any remaining shares under the previous share repurchase authorization) not to exceed $25,000. There have been no other changes to the financial or other covenants disclosed in Item 7 of our Annual Report on Form 10-K for the year ended September 30, 2018. The Company was in compliance with the financial covenants as of June 30, 2019.</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At June 30, 2019, the carrying value of amounts outstanding on our revolving credit facility approximated fair value, as debt incurs interest at a variable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debt is classified as a Level 2 measurement.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5. PER SHARE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reconcile the components of basic and diluted earnings per share for the three and nine months ended June 30, 2019, and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4"/>
          </w:tcPr>
          <w:p>
            <w:pPr>
              <w:jc w:val="right"/>
              <w:ind w:right="370"/>
              <w:spacing w:after="0"/>
              <w:rPr>
                <w:sz w:val="20"/>
                <w:szCs w:val="20"/>
                <w:color w:val="auto"/>
              </w:rPr>
            </w:pPr>
            <w:r>
              <w:rPr>
                <w:rFonts w:ascii="Arial" w:cs="Arial" w:eastAsia="Arial" w:hAnsi="Arial"/>
                <w:sz w:val="18"/>
                <w:szCs w:val="18"/>
                <w:color w:val="auto"/>
                <w:w w:val="94"/>
              </w:rPr>
              <w:t>Three Months Ended June 30,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 of IES Holdings,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10,826</w:t>
            </w:r>
          </w:p>
        </w:tc>
        <w:tc>
          <w:tcPr>
            <w:tcW w:w="100" w:type="dxa"/>
            <w:vAlign w:val="bottom"/>
          </w:tcPr>
          <w:p>
            <w:pPr>
              <w:spacing w:after="0"/>
              <w:rPr>
                <w:sz w:val="21"/>
                <w:szCs w:val="21"/>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restricted stockholders of IES Holdings, Inc.</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IES Holdings,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10,972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84"/>
        </w:trPr>
        <w:tc>
          <w:tcPr>
            <w:tcW w:w="8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21,043,425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21,200,635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Effect of dilutive stock options and non-vested restricted stock</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257,810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131,248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and common equivalent shares outstanding — diluted</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21,301,235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21,331,883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IES Holdings, Inc.: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540"/>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390"/>
              <w:spacing w:after="0"/>
              <w:rPr>
                <w:sz w:val="20"/>
                <w:szCs w:val="20"/>
                <w:color w:val="auto"/>
              </w:rPr>
            </w:pPr>
            <w:r>
              <w:rPr>
                <w:rFonts w:ascii="Arial" w:cs="Arial" w:eastAsia="Arial" w:hAnsi="Arial"/>
                <w:sz w:val="18"/>
                <w:szCs w:val="18"/>
                <w:color w:val="auto"/>
                <w:w w:val="98"/>
              </w:rPr>
              <w:t>Nine Months Ended June 30,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36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 of IES Holdings,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Decrease in noncontrolling interest</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restricted stockholders of IES Holdings, Inc.</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IES Holdings,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23,345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(18,832)</w:t>
            </w:r>
          </w:p>
        </w:tc>
        <w:tc>
          <w:tcPr>
            <w:tcW w:w="0" w:type="dxa"/>
            <w:vAlign w:val="bottom"/>
          </w:tcPr>
          <w:p>
            <w:pPr>
              <w:spacing w:after="0"/>
              <w:rPr>
                <w:sz w:val="1"/>
                <w:szCs w:val="1"/>
                <w:color w:val="auto"/>
              </w:rPr>
            </w:pPr>
          </w:p>
        </w:tc>
      </w:tr>
      <w:tr>
        <w:trPr>
          <w:trHeight w:val="284"/>
        </w:trPr>
        <w:tc>
          <w:tcPr>
            <w:tcW w:w="8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21,139,697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21,193,306</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Effect of dilutive stock options and non-vested restricted stock</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242,481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and common equivalent shares outstanding — diluted</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21,382,178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21,193,306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attributable to IES Holdings, Inc.: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7"/>
        </w:trPr>
        <w:tc>
          <w:tcPr>
            <w:tcW w:w="8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an entity has a net loss, it is prohibited from including potential common shares in the computation of diluted per share amounts. Accordingly, we have utilized basic shares outstanding to calculate both basic and diluted loss per share for the nine months ended June 30, 2018. The number of potential anti-dilutive shares excluded from the calculation was 211,669 shares. For the three months ended June 30, 2018, and the three and nine months ended June 30, 2019, the average price of our common shares exceeded the exercise price of all of our outstanding options; therefore, all of our outstanding stock options were included in the computation of fully diluted earnings per share.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OPERATING SEGMENTS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manage and measure performance of our business in four distinct operating segments: Commercial &amp; Industrial, Communications, Infrastructure Solutions and Residential. These segments are reflective of how the Company’s Chief Operating Decision Maker (“CODM”) reviews operating results for the purpose of allocating resources and assessing performance. The Company’s CODM is its Chief Executive Officer.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Transactions between segments, if any, are eliminated in consolidation. Our corporate office provides general and administrative, as well as support services, to our four operating segments. Management allocates certain shared costs between segments for selling, general and administrative expenses and depreciation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and nine months ended June 30, 2019, and 2018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gridSpan w:val="11"/>
          </w:tcPr>
          <w:p>
            <w:pPr>
              <w:ind w:left="1200"/>
              <w:spacing w:after="0"/>
              <w:rPr>
                <w:sz w:val="20"/>
                <w:szCs w:val="20"/>
                <w:color w:val="auto"/>
              </w:rPr>
            </w:pPr>
            <w:r>
              <w:rPr>
                <w:rFonts w:ascii="Arial" w:cs="Arial" w:eastAsia="Arial" w:hAnsi="Arial"/>
                <w:sz w:val="16"/>
                <w:szCs w:val="16"/>
                <w:color w:val="auto"/>
              </w:rPr>
              <w:t>Three Months Ended June 30, 2019</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18"/>
                <w:szCs w:val="18"/>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6"/>
                <w:szCs w:val="16"/>
                <w:color w:val="auto"/>
                <w:w w:val="95"/>
              </w:rPr>
              <w:t>Commercial &amp;</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Infrastructure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color w:val="auto"/>
                <w:w w:val="95"/>
              </w:rPr>
              <w:t>Industrial</w:t>
            </w:r>
          </w:p>
        </w:tc>
        <w:tc>
          <w:tcPr>
            <w:tcW w:w="100" w:type="dxa"/>
            <w:vAlign w:val="bottom"/>
          </w:tcPr>
          <w:p>
            <w:pPr>
              <w:spacing w:after="0"/>
              <w:rPr>
                <w:sz w:val="17"/>
                <w:szCs w:val="17"/>
                <w:color w:val="auto"/>
              </w:rPr>
            </w:pPr>
          </w:p>
        </w:tc>
        <w:tc>
          <w:tcPr>
            <w:tcW w:w="1460" w:type="dxa"/>
            <w:vAlign w:val="bottom"/>
            <w:gridSpan w:val="3"/>
          </w:tcPr>
          <w:p>
            <w:pPr>
              <w:ind w:left="80"/>
              <w:spacing w:after="0"/>
              <w:rPr>
                <w:sz w:val="20"/>
                <w:szCs w:val="20"/>
                <w:color w:val="auto"/>
              </w:rPr>
            </w:pPr>
            <w:r>
              <w:rPr>
                <w:rFonts w:ascii="Arial" w:cs="Arial" w:eastAsia="Arial" w:hAnsi="Arial"/>
                <w:sz w:val="16"/>
                <w:szCs w:val="16"/>
                <w:color w:val="auto"/>
              </w:rPr>
              <w:t>Communications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Solutions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ind w:left="80"/>
              <w:spacing w:after="0"/>
              <w:rPr>
                <w:sz w:val="20"/>
                <w:szCs w:val="20"/>
                <w:color w:val="auto"/>
              </w:rPr>
            </w:pPr>
            <w:r>
              <w:rPr>
                <w:rFonts w:ascii="Arial" w:cs="Arial" w:eastAsia="Arial" w:hAnsi="Arial"/>
                <w:sz w:val="16"/>
                <w:szCs w:val="16"/>
                <w:color w:val="auto"/>
              </w:rPr>
              <w:t>Residential</w:t>
            </w:r>
          </w:p>
        </w:tc>
        <w:tc>
          <w:tcPr>
            <w:tcW w:w="14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color w:val="auto"/>
              </w:rPr>
              <w:t>Corporate</w:t>
            </w:r>
          </w:p>
        </w:tc>
        <w:tc>
          <w:tcPr>
            <w:tcW w:w="26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75,370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90,438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282,633</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Cost of services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69,171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75,044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27,671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64,350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236,236</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46,397</w:t>
            </w:r>
          </w:p>
        </w:tc>
        <w:tc>
          <w:tcPr>
            <w:tcW w:w="0" w:type="dxa"/>
            <w:vAlign w:val="bottom"/>
          </w:tcPr>
          <w:p>
            <w:pPr>
              <w:spacing w:after="0"/>
              <w:rPr>
                <w:sz w:val="1"/>
                <w:szCs w:val="1"/>
                <w:color w:val="auto"/>
              </w:rPr>
            </w:pPr>
          </w:p>
        </w:tc>
      </w:tr>
      <w:tr>
        <w:trPr>
          <w:trHeight w:val="217"/>
        </w:trPr>
        <w:tc>
          <w:tcPr>
            <w:tcW w:w="380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6,827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8,406</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4,937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11,812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4,351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36,333</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Loss (gain) on sale of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10,235</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40"/>
              <w:spacing w:after="0"/>
              <w:rPr>
                <w:sz w:val="20"/>
                <w:szCs w:val="20"/>
                <w:color w:val="auto"/>
              </w:rPr>
            </w:pPr>
            <w:r>
              <w:rPr>
                <w:rFonts w:ascii="Arial" w:cs="Arial" w:eastAsia="Arial" w:hAnsi="Arial"/>
                <w:sz w:val="16"/>
                <w:szCs w:val="16"/>
                <w:color w:val="auto"/>
              </w:rPr>
              <w:t>Other data:</w:t>
            </w: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37"/>
        </w:trPr>
        <w:tc>
          <w:tcPr>
            <w:tcW w:w="38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438,364</w:t>
            </w:r>
          </w:p>
        </w:tc>
        <w:tc>
          <w:tcPr>
            <w:tcW w:w="0" w:type="dxa"/>
            <w:vAlign w:val="bottom"/>
          </w:tcPr>
          <w:p>
            <w:pPr>
              <w:spacing w:after="0"/>
              <w:rPr>
                <w:sz w:val="1"/>
                <w:szCs w:val="1"/>
                <w:color w:val="auto"/>
              </w:rPr>
            </w:pPr>
          </w:p>
        </w:tc>
      </w:tr>
      <w:tr>
        <w:trPr>
          <w:trHeight w:val="629"/>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gridSpan w:val="11"/>
          </w:tcPr>
          <w:p>
            <w:pPr>
              <w:ind w:left="1180"/>
              <w:spacing w:after="0"/>
              <w:rPr>
                <w:sz w:val="20"/>
                <w:szCs w:val="20"/>
                <w:color w:val="auto"/>
              </w:rPr>
            </w:pPr>
            <w:r>
              <w:rPr>
                <w:rFonts w:ascii="Arial" w:cs="Arial" w:eastAsia="Arial" w:hAnsi="Arial"/>
                <w:sz w:val="16"/>
                <w:szCs w:val="16"/>
                <w:color w:val="auto"/>
              </w:rPr>
              <w:t>Three Months Ended June 30, 2018</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18"/>
                <w:szCs w:val="18"/>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6"/>
                <w:szCs w:val="16"/>
                <w:color w:val="auto"/>
                <w:w w:val="95"/>
              </w:rPr>
              <w:t>Commercial &amp;</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Infrastructure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color w:val="auto"/>
                <w:w w:val="95"/>
              </w:rPr>
              <w:t>Industrial</w:t>
            </w:r>
          </w:p>
        </w:tc>
        <w:tc>
          <w:tcPr>
            <w:tcW w:w="10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Arial" w:cs="Arial" w:eastAsia="Arial" w:hAnsi="Arial"/>
                <w:sz w:val="16"/>
                <w:szCs w:val="16"/>
                <w:color w:val="auto"/>
              </w:rPr>
              <w:t>Communications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Solutions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Arial" w:cs="Arial" w:eastAsia="Arial" w:hAnsi="Arial"/>
                <w:sz w:val="16"/>
                <w:szCs w:val="16"/>
                <w:color w:val="auto"/>
              </w:rPr>
              <w:t>Residential</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color w:val="auto"/>
              </w:rPr>
              <w:t>Corporate</w:t>
            </w:r>
          </w:p>
        </w:tc>
        <w:tc>
          <w:tcPr>
            <w:tcW w:w="26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78,156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75,196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232,576</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Cost of services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67,839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43,436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18,701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60,063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190,039</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42,537</w:t>
            </w:r>
          </w:p>
        </w:tc>
        <w:tc>
          <w:tcPr>
            <w:tcW w:w="0" w:type="dxa"/>
            <w:vAlign w:val="bottom"/>
          </w:tcPr>
          <w:p>
            <w:pPr>
              <w:spacing w:after="0"/>
              <w:rPr>
                <w:sz w:val="1"/>
                <w:szCs w:val="1"/>
                <w:color w:val="auto"/>
              </w:rPr>
            </w:pPr>
          </w:p>
        </w:tc>
      </w:tr>
      <w:tr>
        <w:trPr>
          <w:trHeight w:val="217"/>
        </w:trPr>
        <w:tc>
          <w:tcPr>
            <w:tcW w:w="380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6,980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7,193</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4,568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10,941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2,690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32,372</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Loss (gain) on sale of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10,089</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40"/>
              <w:spacing w:after="0"/>
              <w:rPr>
                <w:sz w:val="20"/>
                <w:szCs w:val="20"/>
                <w:color w:val="auto"/>
              </w:rPr>
            </w:pPr>
            <w:r>
              <w:rPr>
                <w:rFonts w:ascii="Arial" w:cs="Arial" w:eastAsia="Arial" w:hAnsi="Arial"/>
                <w:sz w:val="16"/>
                <w:szCs w:val="16"/>
                <w:color w:val="auto"/>
              </w:rPr>
              <w:t>Other data:</w:t>
            </w: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2,437</w:t>
            </w:r>
          </w:p>
        </w:tc>
        <w:tc>
          <w:tcPr>
            <w:tcW w:w="0" w:type="dxa"/>
            <w:vAlign w:val="bottom"/>
          </w:tcPr>
          <w:p>
            <w:pPr>
              <w:spacing w:after="0"/>
              <w:rPr>
                <w:sz w:val="1"/>
                <w:szCs w:val="1"/>
                <w:color w:val="auto"/>
              </w:rPr>
            </w:pPr>
          </w:p>
        </w:tc>
      </w:tr>
      <w:tr>
        <w:trPr>
          <w:trHeight w:val="237"/>
        </w:trPr>
        <w:tc>
          <w:tcPr>
            <w:tcW w:w="38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395,963</w:t>
            </w:r>
          </w:p>
        </w:tc>
        <w:tc>
          <w:tcPr>
            <w:tcW w:w="0" w:type="dxa"/>
            <w:vAlign w:val="bottom"/>
          </w:tcPr>
          <w:p>
            <w:pPr>
              <w:spacing w:after="0"/>
              <w:rPr>
                <w:sz w:val="1"/>
                <w:szCs w:val="1"/>
                <w:color w:val="auto"/>
              </w:rPr>
            </w:pPr>
          </w:p>
        </w:tc>
      </w:tr>
      <w:tr>
        <w:trPr>
          <w:trHeight w:val="588"/>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gridSpan w:val="11"/>
          </w:tcPr>
          <w:p>
            <w:pPr>
              <w:ind w:left="1200"/>
              <w:spacing w:after="0"/>
              <w:rPr>
                <w:sz w:val="20"/>
                <w:szCs w:val="20"/>
                <w:color w:val="auto"/>
              </w:rPr>
            </w:pPr>
            <w:r>
              <w:rPr>
                <w:rFonts w:ascii="Arial" w:cs="Arial" w:eastAsia="Arial" w:hAnsi="Arial"/>
                <w:sz w:val="16"/>
                <w:szCs w:val="16"/>
                <w:color w:val="auto"/>
              </w:rPr>
              <w:t>Nine Months Ended June 30, 2019</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Commercial &amp;</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w w:val="95"/>
              </w:rPr>
              <w:t>Infrastructure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Industrial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color w:val="auto"/>
              </w:rPr>
              <w:t>Communications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Solutions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color w:val="auto"/>
              </w:rPr>
              <w:t>Corporate</w:t>
            </w:r>
          </w:p>
        </w:tc>
        <w:tc>
          <w:tcPr>
            <w:tcW w:w="26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227,928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230,200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225,223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783,389</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Cost of services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204,263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190,895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78,227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178,771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652,156</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23,665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131,233</w:t>
            </w:r>
          </w:p>
        </w:tc>
        <w:tc>
          <w:tcPr>
            <w:tcW w:w="0" w:type="dxa"/>
            <w:vAlign w:val="bottom"/>
          </w:tcPr>
          <w:p>
            <w:pPr>
              <w:spacing w:after="0"/>
              <w:rPr>
                <w:sz w:val="1"/>
                <w:szCs w:val="1"/>
                <w:color w:val="auto"/>
              </w:rPr>
            </w:pPr>
          </w:p>
        </w:tc>
      </w:tr>
      <w:tr>
        <w:trPr>
          <w:trHeight w:val="217"/>
        </w:trPr>
        <w:tc>
          <w:tcPr>
            <w:tcW w:w="380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20,906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23,006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14,103</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34,136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103,489</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Loss (gain) on sale of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7,889</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27,935</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40"/>
              <w:spacing w:after="0"/>
              <w:rPr>
                <w:sz w:val="20"/>
                <w:szCs w:val="20"/>
                <w:color w:val="auto"/>
              </w:rPr>
            </w:pPr>
            <w:r>
              <w:rPr>
                <w:rFonts w:ascii="Arial" w:cs="Arial" w:eastAsia="Arial" w:hAnsi="Arial"/>
                <w:sz w:val="16"/>
                <w:szCs w:val="16"/>
                <w:color w:val="auto"/>
              </w:rPr>
              <w:t>Other data:</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7,200</w:t>
            </w:r>
          </w:p>
        </w:tc>
        <w:tc>
          <w:tcPr>
            <w:tcW w:w="0" w:type="dxa"/>
            <w:vAlign w:val="bottom"/>
          </w:tcPr>
          <w:p>
            <w:pPr>
              <w:spacing w:after="0"/>
              <w:rPr>
                <w:sz w:val="1"/>
                <w:szCs w:val="1"/>
                <w:color w:val="auto"/>
              </w:rPr>
            </w:pPr>
          </w:p>
        </w:tc>
      </w:tr>
      <w:tr>
        <w:trPr>
          <w:trHeight w:val="237"/>
        </w:trPr>
        <w:tc>
          <w:tcPr>
            <w:tcW w:w="38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1,974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5,172</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81,693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111,270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118,143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57,866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69,392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438,364</w:t>
            </w:r>
          </w:p>
        </w:tc>
        <w:tc>
          <w:tcPr>
            <w:tcW w:w="0" w:type="dxa"/>
            <w:vAlign w:val="bottom"/>
          </w:tcPr>
          <w:p>
            <w:pPr>
              <w:spacing w:after="0"/>
              <w:rPr>
                <w:sz w:val="1"/>
                <w:szCs w:val="1"/>
                <w:color w:val="auto"/>
              </w:rPr>
            </w:pPr>
          </w:p>
        </w:tc>
      </w:tr>
      <w:tr>
        <w:trPr>
          <w:trHeight w:val="33"/>
        </w:trPr>
        <w:tc>
          <w:tcPr>
            <w:tcW w:w="3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84"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6"/>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gridSpan w:val="8"/>
          </w:tcPr>
          <w:p>
            <w:pPr>
              <w:ind w:left="1200"/>
              <w:spacing w:after="0"/>
              <w:rPr>
                <w:sz w:val="20"/>
                <w:szCs w:val="20"/>
                <w:color w:val="auto"/>
              </w:rPr>
            </w:pPr>
            <w:r>
              <w:rPr>
                <w:rFonts w:ascii="Arial" w:cs="Arial" w:eastAsia="Arial" w:hAnsi="Arial"/>
                <w:sz w:val="16"/>
                <w:szCs w:val="16"/>
                <w:color w:val="auto"/>
              </w:rPr>
              <w:t>Nine Months Ended June 30, 2018</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Commercial &amp;</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Infrastructure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Industrial</w:t>
            </w: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Communications</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Solutions</w:t>
            </w: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color w:val="auto"/>
              </w:rPr>
              <w:t>Residential</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color w:val="auto"/>
              </w:rPr>
              <w:t>Corporate</w:t>
            </w:r>
          </w:p>
        </w:tc>
        <w:tc>
          <w:tcPr>
            <w:tcW w:w="260" w:type="dxa"/>
            <w:vAlign w:val="bottom"/>
          </w:tcPr>
          <w:p>
            <w:pPr>
              <w:spacing w:after="0"/>
              <w:rPr>
                <w:sz w:val="17"/>
                <w:szCs w:val="17"/>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196,747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159,071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210,328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636,553</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Cost of services</w:t>
            </w: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175,066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129,667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54,543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167,836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527,112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109,441</w:t>
            </w:r>
          </w:p>
        </w:tc>
        <w:tc>
          <w:tcPr>
            <w:tcW w:w="0" w:type="dxa"/>
            <w:vAlign w:val="bottom"/>
          </w:tcPr>
          <w:p>
            <w:pPr>
              <w:spacing w:after="0"/>
              <w:rPr>
                <w:sz w:val="1"/>
                <w:szCs w:val="1"/>
                <w:color w:val="auto"/>
              </w:rPr>
            </w:pPr>
          </w:p>
        </w:tc>
      </w:tr>
      <w:tr>
        <w:trPr>
          <w:trHeight w:val="21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19,624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19,478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13,762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30,995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8,249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92,108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Loss (gain) on sale of assets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17,220</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ind w:left="40"/>
              <w:spacing w:after="0"/>
              <w:rPr>
                <w:sz w:val="20"/>
                <w:szCs w:val="20"/>
                <w:color w:val="auto"/>
              </w:rPr>
            </w:pPr>
            <w:r>
              <w:rPr>
                <w:rFonts w:ascii="Arial" w:cs="Arial" w:eastAsia="Arial" w:hAnsi="Arial"/>
                <w:sz w:val="16"/>
                <w:szCs w:val="16"/>
                <w:color w:val="auto"/>
              </w:rPr>
              <w:t>Other data:</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Depreciation and amortization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6,706</w:t>
            </w:r>
          </w:p>
        </w:tc>
        <w:tc>
          <w:tcPr>
            <w:tcW w:w="0" w:type="dxa"/>
            <w:vAlign w:val="bottom"/>
          </w:tcPr>
          <w:p>
            <w:pPr>
              <w:spacing w:after="0"/>
              <w:rPr>
                <w:sz w:val="1"/>
                <w:szCs w:val="1"/>
                <w:color w:val="auto"/>
              </w:rPr>
            </w:pPr>
          </w:p>
        </w:tc>
      </w:tr>
      <w:tr>
        <w:trPr>
          <w:trHeight w:val="237"/>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3,383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86,012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67,270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102,233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52,500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87,948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395,963</w:t>
            </w:r>
          </w:p>
        </w:tc>
        <w:tc>
          <w:tcPr>
            <w:tcW w:w="0" w:type="dxa"/>
            <w:vAlign w:val="bottom"/>
          </w:tcPr>
          <w:p>
            <w:pPr>
              <w:spacing w:after="0"/>
              <w:rPr>
                <w:sz w:val="1"/>
                <w:szCs w:val="1"/>
                <w:color w:val="auto"/>
              </w:rPr>
            </w:pPr>
          </w:p>
        </w:tc>
      </w:tr>
      <w:tr>
        <w:trPr>
          <w:trHeight w:val="33"/>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847,891 shares were available for issuance at June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2015, our Board of Directors authorized a stock repurchase program for the purchase from time to time of up to 1.5 million shares of the Company’s common stock, and on May 2, 2019, authorized the repurchase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162,993 and 398,947 shares, respectively, of our common stock during the three and nine months ended June 30, 2019, in open market transactions at an average price of $17.88 and $17.11, respectively, per share. We repurchased 20,810 and 100,627 shares of our common stock during the three and nine months ended June 30, 2018, in open market transactions at an average price of $15.45 and $15.41 per share.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nine months ended June 30, 2019, we issued 212,688 shares of common stock from treasury stock to employees and repurchased 87,609 shares of common stock from our employees to satisfy statutory tax withholding requirements upon the vesting of certain performance phantom stock units under the Equity Incentive Plan. We also repurchased 398,947 shares of common stock on the open market pursuant to our stock repurchase program. We issued 3,991 shares of treasury stock as payment for outstanding phantom stock units that vested upon the departure of the Company’s President and issued 283,195 shares out of treasury stock for restricted shares granted upon the appointment of the Company’s Chief Executive Officer (“CEO”) in March 2019.</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June 30, 2018, we repurchased 32,832 shares of common stock from our employees to satisfy minimum tax withholding requirements upon the vesting of restricted stock under the Equity Incentive Plan and repurchased 100,627 shares of common stock on the open market pursuant to our stock repurchase program. During the nine months ended June 30, 2018, we issued 520 unrestricted shares of common stock from treasury stock to members of our Board of Directors as part of their overall compensation and 1,500 unrestricted shares of common stock to satisfy the exercise of outstanding options for employees.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4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4, 2019, we granted 283,195 restricted shares, pursuant to four award agreements, in conjunction with the appointment of the Company’s CEO. These awards include restricted shares subject to the achievement of specified levels of cumulative net income before taxes or specified stock price levels, as well as shares that vest based on the passage of time. During the three and nine months ended June 30, 2019, we recognized $333 and $443, respectively, in compensation expense related to these restricted stock awards. During the three and nine months ended June 30, 2018, we recognized $11 and $256, respectively, in compensation expense related to restricted stock awards granted in prior years. At June 30, 2019, the unamortized compensation cost related to outstanding unvested restricted stock was $3,352.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Director phantom stock units (“Director PSUs”) are primarily granted to the members of the Board of Directors as part of their overall compensation. These Director PSUs are paid via unrestricted stock grants to each director upon their departure from the Board of Directors or upon a change of control. We record compensation expense for the full value of the grant on the date of grant. During the three months ended June 30, 2019, and 2018, we recognized $100 and $49, respectively, in compensation expense related to these grants. During the nine months ended June 30, 2019, and 2018, we recognized $200 and $140, respectively, in compensation expense related to these grants.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Phantom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performance based phantom stock unit (a “PPSU”) is a contractual right to receive one share of the Company’s common stock upon the achievement of certain specified performance objectives and continued performance of services. On February 6, 2019, the Company granted an additional 230,274 PPSUs, of which 59,924 shares were subsequently forfeited in conjunction with the departure of the Company’s President. At June 30, 2019, the Company had outstanding an aggregate of 170,350 PPSUs.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June 30, 2019, we recognized $427 and $892 in compensation expense, respectively, related to these grants. During the three and nine months ended June 30, 2018, we recognized a benefit to compensation expense of $343 and $792, respectively, related to these grants. This benefit was the result of a reduction in the estimated number of units deemed probable of vesting based on the projected achievement of specified performance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SECURITIES AND EQUITY INVESTMENTS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instruments consist of cash and cash equivalents, accounts receivable, notes receivable, investments, accounts payable and a loan agreement. We believe that the carrying value of these financial instruments in the accompanying Condensed Consolidated Balance Sheets approximates their fair value due to their short-term nature. At June 30, 2019, and September 30, 2018, we carried a cost method investment at $408 and $558, respectively, which is equal to our cost less impairment.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November 1998, we established the IES Holdings, Inc. 401(k) Retirement Savings Plan. All full-time IES employees and full-time employees of participating subsidiaries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During the three months ended June 30, 2019, and 2018, we recognized $538 and $466, respectively, in matching expense. During the nine months ended June 30, 2019, and 2018, we recognized $1,561 and $1,380, respectively, in matching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Retirement Benefit Plans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individuals at one of the Company’s locations are entitled to receive fixed annual payments pursuant to post retirement benefit plans. We had an unfunded benefit liability of $710 and $755 recorded as of June 30, 2019, and September 30, 2018, respectively, related to such plans.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Accounting</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Fair value is considered the price to sell an asset, or transfer a liability, between market participants on the measurement date. Fair value measurements assume that the asset or liability is (1)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4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June 30, 2019,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certain of our acquisitions.</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as of June 30, 2019, and September 30, 2018, are summarized in the following tables by the type of inputs applicable to the fair value measurements: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June 30, 2019</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Quoted Prices</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Unobservable</w:t>
            </w:r>
          </w:p>
        </w:tc>
      </w:tr>
      <w:tr>
        <w:trPr>
          <w:trHeight w:val="230"/>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Total Fair Value</w:t>
            </w:r>
          </w:p>
        </w:tc>
        <w:tc>
          <w:tcPr>
            <w:tcW w:w="2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(Level 1)</w:t>
            </w:r>
          </w:p>
        </w:tc>
        <w:tc>
          <w:tcPr>
            <w:tcW w:w="2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Inputs (Level 3)</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Executive savings plan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Executive savings plan liabilities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57"/>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22"/>
        </w:trPr>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color w:val="auto"/>
              </w:rPr>
              <w:t>September 30, 2018</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Quoted Prices</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Unobservable</w:t>
            </w:r>
          </w:p>
        </w:tc>
      </w:tr>
      <w:tr>
        <w:trPr>
          <w:trHeight w:val="230"/>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Total Fair Value</w:t>
            </w:r>
          </w:p>
        </w:tc>
        <w:tc>
          <w:tcPr>
            <w:tcW w:w="2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(Level 1)</w:t>
            </w:r>
          </w:p>
        </w:tc>
        <w:tc>
          <w:tcPr>
            <w:tcW w:w="2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Inputs (Level 3)</w:t>
            </w:r>
          </w:p>
        </w:tc>
      </w:tr>
      <w:tr>
        <w:trPr>
          <w:trHeight w:val="27"/>
        </w:trPr>
        <w:tc>
          <w:tcPr>
            <w:tcW w:w="63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Executive savings plan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Executive savings plan liabilities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57"/>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0"/>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fiscal years 2016, 2017 and 2018, we entered into contingent consideration arrangements related to certain acquisitions. At June 30, 2019, we estimated the fair value of these contingent consideration liabilities at $108. The table below presents a reconciliation of the fair value of these obligations, which used significant unobservable inputs (Level 3).</w:t>
      </w:r>
    </w:p>
    <w:p>
      <w:pPr>
        <w:spacing w:after="0" w:line="384" w:lineRule="exact"/>
        <w:rPr>
          <w:sz w:val="20"/>
          <w:szCs w:val="20"/>
          <w:color w:val="auto"/>
        </w:rPr>
      </w:pPr>
    </w:p>
    <w:tbl>
      <w:tblPr>
        <w:tblLayout w:type="fixed"/>
        <w:tblInd w:w="270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w w:val="95"/>
              </w:rPr>
              <w:t>Contingent Consideration</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Agreements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Fair value at September 30, 2018</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43"/>
        </w:trPr>
        <w:tc>
          <w:tcPr>
            <w:tcW w:w="268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13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adjustments to fair value</w:t>
            </w:r>
          </w:p>
        </w:tc>
        <w:tc>
          <w:tcPr>
            <w:tcW w:w="13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57"/>
        </w:trPr>
        <w:tc>
          <w:tcPr>
            <w:tcW w:w="2680" w:type="dxa"/>
            <w:vAlign w:val="bottom"/>
          </w:tcPr>
          <w:p>
            <w:pPr>
              <w:ind w:left="40"/>
              <w:spacing w:after="0"/>
              <w:rPr>
                <w:sz w:val="20"/>
                <w:szCs w:val="20"/>
                <w:color w:val="auto"/>
              </w:rPr>
            </w:pPr>
            <w:r>
              <w:rPr>
                <w:rFonts w:ascii="Arial" w:cs="Arial" w:eastAsia="Arial" w:hAnsi="Arial"/>
                <w:sz w:val="18"/>
                <w:szCs w:val="18"/>
                <w:color w:val="auto"/>
              </w:rPr>
              <w:t>Fair value at June 30, 2019</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320" w:type="dxa"/>
            <w:vAlign w:val="bottom"/>
            <w:vMerge w:val="restart"/>
          </w:tcPr>
          <w:p>
            <w:pPr>
              <w:jc w:val="right"/>
              <w:ind w:right="810"/>
              <w:spacing w:after="0"/>
              <w:rPr>
                <w:sz w:val="20"/>
                <w:szCs w:val="20"/>
                <w:color w:val="auto"/>
              </w:rPr>
            </w:pPr>
            <w:r>
              <w:rPr>
                <w:rFonts w:ascii="Arial" w:cs="Arial" w:eastAsia="Arial" w:hAnsi="Arial"/>
                <w:sz w:val="18"/>
                <w:szCs w:val="18"/>
                <w:color w:val="auto"/>
              </w:rPr>
              <w:t>22</w:t>
            </w: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68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11. INVENTORY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gridSpan w:val="6"/>
          </w:tcPr>
          <w:p>
            <w:pPr>
              <w:jc w:val="center"/>
              <w:ind w:right="410"/>
              <w:spacing w:after="0"/>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gridSpan w:val="5"/>
          </w:tcPr>
          <w:p>
            <w:pPr>
              <w:jc w:val="center"/>
              <w:ind w:left="30"/>
              <w:spacing w:after="0"/>
              <w:rPr>
                <w:sz w:val="20"/>
                <w:szCs w:val="20"/>
                <w:color w:val="auto"/>
              </w:rPr>
            </w:pPr>
            <w:r>
              <w:rPr>
                <w:rFonts w:ascii="Arial" w:cs="Arial" w:eastAsia="Arial" w:hAnsi="Arial"/>
                <w:sz w:val="18"/>
                <w:szCs w:val="18"/>
                <w:color w:val="auto"/>
                <w:w w:val="89"/>
              </w:rPr>
              <w:t>2019</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630"/>
              <w:spacing w:after="0"/>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Parts and supplies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24,350</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20,966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12. GOODWILL AND INTANGIBLE ASSETS</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96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11"/>
          </w:tcPr>
          <w:p>
            <w:pPr>
              <w:spacing w:after="0"/>
              <w:rPr>
                <w:sz w:val="20"/>
                <w:szCs w:val="20"/>
                <w:color w:val="auto"/>
              </w:rPr>
            </w:pPr>
            <w:r>
              <w:rPr>
                <w:rFonts w:ascii="Arial" w:cs="Arial" w:eastAsia="Arial" w:hAnsi="Arial"/>
                <w:sz w:val="18"/>
                <w:szCs w:val="18"/>
                <w:color w:val="auto"/>
                <w:w w:val="91"/>
              </w:rPr>
              <w:t>The following is a progression of goodwill by segment for the nine months ended June 30, 2019:</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0"/>
        </w:trPr>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Commercial &amp;</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Infrastructure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Industrial</w:t>
            </w:r>
          </w:p>
        </w:tc>
        <w:tc>
          <w:tcPr>
            <w:tcW w:w="200" w:type="dxa"/>
            <w:vAlign w:val="bottom"/>
          </w:tcPr>
          <w:p>
            <w:pPr>
              <w:spacing w:after="0"/>
              <w:rPr>
                <w:sz w:val="20"/>
                <w:szCs w:val="20"/>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Communications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50"/>
              <w:spacing w:after="0"/>
              <w:rPr>
                <w:sz w:val="20"/>
                <w:szCs w:val="20"/>
                <w:color w:val="auto"/>
              </w:rPr>
            </w:pPr>
            <w:r>
              <w:rPr>
                <w:rFonts w:ascii="Arial" w:cs="Arial" w:eastAsia="Arial" w:hAnsi="Arial"/>
                <w:sz w:val="18"/>
                <w:szCs w:val="18"/>
                <w:color w:val="auto"/>
                <w:w w:val="91"/>
              </w:rPr>
              <w:t>Solutions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5"/>
          </w:tcPr>
          <w:p>
            <w:pPr>
              <w:jc w:val="right"/>
              <w:ind w:right="360"/>
              <w:spacing w:after="0"/>
              <w:rPr>
                <w:sz w:val="20"/>
                <w:szCs w:val="20"/>
                <w:color w:val="auto"/>
              </w:rPr>
            </w:pPr>
            <w:r>
              <w:rPr>
                <w:rFonts w:ascii="Arial" w:cs="Arial" w:eastAsia="Arial" w:hAnsi="Arial"/>
                <w:sz w:val="18"/>
                <w:szCs w:val="18"/>
                <w:color w:val="auto"/>
                <w:w w:val="89"/>
              </w:rPr>
              <w:t>Residential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Goodwill at September 30,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30,931</w:t>
            </w:r>
          </w:p>
        </w:tc>
        <w:tc>
          <w:tcPr>
            <w:tcW w:w="520" w:type="dxa"/>
            <w:vAlign w:val="bottom"/>
            <w:tcBorders>
              <w:bottom w:val="single" w:sz="8" w:color="CCEEFF"/>
            </w:tcBorders>
            <w:gridSpan w:val="5"/>
            <w:shd w:val="clear" w:color="auto" w:fill="CCEEFF"/>
          </w:tcPr>
          <w:p>
            <w:pPr>
              <w:jc w:val="center"/>
              <w:ind w:lef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9,979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50,702</w:t>
            </w:r>
          </w:p>
        </w:tc>
        <w:tc>
          <w:tcPr>
            <w:tcW w:w="0" w:type="dxa"/>
            <w:vAlign w:val="bottom"/>
          </w:tcPr>
          <w:p>
            <w:pPr>
              <w:spacing w:after="0"/>
              <w:rPr>
                <w:sz w:val="1"/>
                <w:szCs w:val="1"/>
                <w:color w:val="auto"/>
              </w:rPr>
            </w:pPr>
          </w:p>
        </w:tc>
      </w:tr>
      <w:tr>
        <w:trPr>
          <w:trHeight w:val="243"/>
        </w:trPr>
        <w:tc>
          <w:tcPr>
            <w:tcW w:w="3220" w:type="dxa"/>
            <w:vAlign w:val="bottom"/>
          </w:tcPr>
          <w:p>
            <w:pPr>
              <w:ind w:left="60"/>
              <w:spacing w:after="0"/>
              <w:rPr>
                <w:sz w:val="20"/>
                <w:szCs w:val="20"/>
                <w:color w:val="auto"/>
              </w:rPr>
            </w:pPr>
            <w:r>
              <w:rPr>
                <w:rFonts w:ascii="Arial" w:cs="Arial" w:eastAsia="Arial" w:hAnsi="Arial"/>
                <w:sz w:val="18"/>
                <w:szCs w:val="18"/>
                <w:color w:val="auto"/>
              </w:rPr>
              <w:t>Divestitures (See Note 14)</w:t>
            </w:r>
          </w:p>
        </w:tc>
        <w:tc>
          <w:tcPr>
            <w:tcW w:w="180" w:type="dxa"/>
            <w:vAlign w:val="bottom"/>
          </w:tcPr>
          <w:p>
            <w:pPr>
              <w:spacing w:after="0"/>
              <w:rPr>
                <w:sz w:val="21"/>
                <w:szCs w:val="21"/>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3220" w:type="dxa"/>
            <w:vAlign w:val="bottom"/>
          </w:tcPr>
          <w:p>
            <w:pPr>
              <w:ind w:left="60"/>
              <w:spacing w:after="0"/>
              <w:rPr>
                <w:sz w:val="20"/>
                <w:szCs w:val="20"/>
                <w:color w:val="auto"/>
              </w:rPr>
            </w:pPr>
            <w:r>
              <w:rPr>
                <w:rFonts w:ascii="Arial" w:cs="Arial" w:eastAsia="Arial" w:hAnsi="Arial"/>
                <w:sz w:val="18"/>
                <w:szCs w:val="18"/>
                <w:color w:val="auto"/>
              </w:rPr>
              <w:t>Goodwill at June 30,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6,976</w:t>
            </w: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2,816</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30,812</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gridSpan w:val="3"/>
          </w:tcPr>
          <w:p>
            <w:pPr>
              <w:spacing w:after="0"/>
              <w:rPr>
                <w:sz w:val="22"/>
                <w:szCs w:val="22"/>
                <w:color w:val="auto"/>
              </w:rPr>
            </w:pP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10,018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50,622</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i w:val="1"/>
                <w:iCs w:val="1"/>
                <w:color w:val="auto"/>
              </w:rPr>
              <w:t>Intangible Assets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w w:val="98"/>
              </w:rPr>
              <w:t>Intangible assets consist of the following:</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Estimated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6"/>
          </w:tcPr>
          <w:p>
            <w:pPr>
              <w:jc w:val="right"/>
              <w:ind w:right="420"/>
              <w:spacing w:after="0"/>
              <w:rPr>
                <w:sz w:val="20"/>
                <w:szCs w:val="20"/>
                <w:color w:val="auto"/>
              </w:rPr>
            </w:pPr>
            <w:r>
              <w:rPr>
                <w:rFonts w:ascii="Arial" w:cs="Arial" w:eastAsia="Arial" w:hAnsi="Arial"/>
                <w:sz w:val="18"/>
                <w:szCs w:val="18"/>
                <w:color w:val="auto"/>
                <w:w w:val="89"/>
              </w:rPr>
              <w:t>June 30, 2019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Useful Lives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0"/>
              </w:rPr>
              <w:t>Gross Carrying</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w w:val="97"/>
              </w:rPr>
              <w:t>Accumulated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 Years)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10"/>
              <w:spacing w:after="0"/>
              <w:rPr>
                <w:sz w:val="20"/>
                <w:szCs w:val="20"/>
                <w:color w:val="auto"/>
              </w:rPr>
            </w:pPr>
            <w:r>
              <w:rPr>
                <w:rFonts w:ascii="Arial" w:cs="Arial" w:eastAsia="Arial" w:hAnsi="Arial"/>
                <w:sz w:val="18"/>
                <w:szCs w:val="18"/>
                <w:color w:val="auto"/>
                <w:w w:val="96"/>
              </w:rPr>
              <w:t>Amount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Trademarks/trade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520" w:type="dxa"/>
            <w:vAlign w:val="bottom"/>
            <w:tcBorders>
              <w:bottom w:val="single" w:sz="8" w:color="CCEEFF"/>
            </w:tcBorders>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4"/>
              </w:rPr>
              <w:t>(1,163)</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43"/>
        </w:trPr>
        <w:tc>
          <w:tcPr>
            <w:tcW w:w="3220" w:type="dxa"/>
            <w:vAlign w:val="bottom"/>
          </w:tcPr>
          <w:p>
            <w:pPr>
              <w:ind w:left="60"/>
              <w:spacing w:after="0"/>
              <w:rPr>
                <w:sz w:val="20"/>
                <w:szCs w:val="20"/>
                <w:color w:val="auto"/>
              </w:rPr>
            </w:pPr>
            <w:r>
              <w:rPr>
                <w:rFonts w:ascii="Arial" w:cs="Arial" w:eastAsia="Arial" w:hAnsi="Arial"/>
                <w:sz w:val="18"/>
                <w:szCs w:val="18"/>
                <w:color w:val="auto"/>
              </w:rPr>
              <w:t>Technical library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5"/>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(10,256)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23,283</w:t>
            </w:r>
          </w:p>
        </w:tc>
        <w:tc>
          <w:tcPr>
            <w:tcW w:w="0" w:type="dxa"/>
            <w:vAlign w:val="bottom"/>
          </w:tcPr>
          <w:p>
            <w:pPr>
              <w:spacing w:after="0"/>
              <w:rPr>
                <w:sz w:val="1"/>
                <w:szCs w:val="1"/>
                <w:color w:val="auto"/>
              </w:rPr>
            </w:pPr>
          </w:p>
        </w:tc>
      </w:tr>
      <w:tr>
        <w:trPr>
          <w:trHeight w:val="243"/>
        </w:trPr>
        <w:tc>
          <w:tcPr>
            <w:tcW w:w="3220" w:type="dxa"/>
            <w:vAlign w:val="bottom"/>
          </w:tcPr>
          <w:p>
            <w:pPr>
              <w:ind w:left="60"/>
              <w:spacing w:after="0"/>
              <w:rPr>
                <w:sz w:val="20"/>
                <w:szCs w:val="20"/>
                <w:color w:val="auto"/>
              </w:rPr>
            </w:pPr>
            <w:r>
              <w:rPr>
                <w:rFonts w:ascii="Arial" w:cs="Arial" w:eastAsia="Arial" w:hAnsi="Arial"/>
                <w:sz w:val="18"/>
                <w:szCs w:val="18"/>
                <w:color w:val="auto"/>
              </w:rPr>
              <w:t>Non-competition arrangements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Backlog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220" w:type="dxa"/>
            <w:vAlign w:val="bottom"/>
          </w:tcPr>
          <w:p>
            <w:pPr>
              <w:ind w:left="60"/>
              <w:spacing w:after="0"/>
              <w:rPr>
                <w:sz w:val="20"/>
                <w:szCs w:val="20"/>
                <w:color w:val="auto"/>
              </w:rPr>
            </w:pPr>
            <w:r>
              <w:rPr>
                <w:rFonts w:ascii="Arial" w:cs="Arial" w:eastAsia="Arial" w:hAnsi="Arial"/>
                <w:sz w:val="18"/>
                <w:szCs w:val="18"/>
                <w:color w:val="auto"/>
              </w:rPr>
              <w:t>Construction contracts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39,662</w:t>
            </w:r>
          </w:p>
        </w:tc>
        <w:tc>
          <w:tcPr>
            <w:tcW w:w="52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(12,127)</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27,535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7"/>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Estimated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9"/>
          </w:tcPr>
          <w:p>
            <w:pPr>
              <w:jc w:val="right"/>
              <w:ind w:right="200"/>
              <w:spacing w:after="0"/>
              <w:rPr>
                <w:sz w:val="20"/>
                <w:szCs w:val="20"/>
                <w:color w:val="auto"/>
              </w:rPr>
            </w:pPr>
            <w:r>
              <w:rPr>
                <w:rFonts w:ascii="Arial" w:cs="Arial" w:eastAsia="Arial" w:hAnsi="Arial"/>
                <w:sz w:val="18"/>
                <w:szCs w:val="18"/>
                <w:color w:val="auto"/>
                <w:w w:val="89"/>
              </w:rPr>
              <w:t>September 30, 2018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Useful Lives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0"/>
              </w:rPr>
              <w:t>Gross Carrying</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w w:val="97"/>
              </w:rPr>
              <w:t>Accumulated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 Years)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10"/>
              <w:spacing w:after="0"/>
              <w:rPr>
                <w:sz w:val="20"/>
                <w:szCs w:val="20"/>
                <w:color w:val="auto"/>
              </w:rPr>
            </w:pPr>
            <w:r>
              <w:rPr>
                <w:rFonts w:ascii="Arial" w:cs="Arial" w:eastAsia="Arial" w:hAnsi="Arial"/>
                <w:sz w:val="18"/>
                <w:szCs w:val="18"/>
                <w:color w:val="auto"/>
                <w:w w:val="96"/>
              </w:rPr>
              <w:t>Amount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Trademarks/trade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520" w:type="dxa"/>
            <w:vAlign w:val="bottom"/>
            <w:tcBorders>
              <w:bottom w:val="single" w:sz="8" w:color="CCEEFF"/>
            </w:tcBorders>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43"/>
        </w:trPr>
        <w:tc>
          <w:tcPr>
            <w:tcW w:w="3220" w:type="dxa"/>
            <w:vAlign w:val="bottom"/>
          </w:tcPr>
          <w:p>
            <w:pPr>
              <w:ind w:left="60"/>
              <w:spacing w:after="0"/>
              <w:rPr>
                <w:sz w:val="20"/>
                <w:szCs w:val="20"/>
                <w:color w:val="auto"/>
              </w:rPr>
            </w:pPr>
            <w:r>
              <w:rPr>
                <w:rFonts w:ascii="Arial" w:cs="Arial" w:eastAsia="Arial" w:hAnsi="Arial"/>
                <w:sz w:val="18"/>
                <w:szCs w:val="18"/>
                <w:color w:val="auto"/>
              </w:rPr>
              <w:t>Technical library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4"/>
              </w:rPr>
              <w:t>(7,870)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25,669</w:t>
            </w:r>
          </w:p>
        </w:tc>
        <w:tc>
          <w:tcPr>
            <w:tcW w:w="0" w:type="dxa"/>
            <w:vAlign w:val="bottom"/>
          </w:tcPr>
          <w:p>
            <w:pPr>
              <w:spacing w:after="0"/>
              <w:rPr>
                <w:sz w:val="1"/>
                <w:szCs w:val="1"/>
                <w:color w:val="auto"/>
              </w:rPr>
            </w:pPr>
          </w:p>
        </w:tc>
      </w:tr>
      <w:tr>
        <w:trPr>
          <w:trHeight w:val="243"/>
        </w:trPr>
        <w:tc>
          <w:tcPr>
            <w:tcW w:w="3220" w:type="dxa"/>
            <w:vAlign w:val="bottom"/>
          </w:tcPr>
          <w:p>
            <w:pPr>
              <w:ind w:left="60"/>
              <w:spacing w:after="0"/>
              <w:rPr>
                <w:sz w:val="20"/>
                <w:szCs w:val="20"/>
                <w:color w:val="auto"/>
              </w:rPr>
            </w:pPr>
            <w:r>
              <w:rPr>
                <w:rFonts w:ascii="Arial" w:cs="Arial" w:eastAsia="Arial" w:hAnsi="Arial"/>
                <w:sz w:val="18"/>
                <w:szCs w:val="18"/>
                <w:color w:val="auto"/>
              </w:rPr>
              <w:t>Non-competition arrangements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Backlog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3220" w:type="dxa"/>
            <w:vAlign w:val="bottom"/>
          </w:tcPr>
          <w:p>
            <w:pPr>
              <w:ind w:left="60"/>
              <w:spacing w:after="0"/>
              <w:rPr>
                <w:sz w:val="20"/>
                <w:szCs w:val="20"/>
                <w:color w:val="auto"/>
              </w:rPr>
            </w:pPr>
            <w:r>
              <w:rPr>
                <w:rFonts w:ascii="Arial" w:cs="Arial" w:eastAsia="Arial" w:hAnsi="Arial"/>
                <w:sz w:val="18"/>
                <w:szCs w:val="18"/>
                <w:color w:val="auto"/>
              </w:rPr>
              <w:t>Construction contracts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4"/>
              </w:rPr>
              <w:t>(2,056)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41,625</w:t>
            </w:r>
          </w:p>
        </w:tc>
        <w:tc>
          <w:tcPr>
            <w:tcW w:w="52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(11,035)</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30,590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Risk-Management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June 30, 2019, and September 30, 2018, we had $6,218 and $6,202, respectively, accrued for self-insurance liabilities. We are also subject to construction defect liabilities, primarily within our Residential segment. As of June 30, 2019, and September 30, 2018, we had $97 and $171,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June 30, 2019, and September 30, 2018, $6,351 and $6,101, respectively, of our outstanding letters of credit was utilized to collateralize our insurance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the estimated cost to complete our bonded projects was approximately $89,753.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June 30, 2019, and September 30, 2018, $200 and $508, respectively, of our outstanding letters of credit were to collateralize our vendors.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2019, we had no such material commitments.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COMBINATIONS AND DIVESTITURES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2019, our management committed to a plan for the sale of substantially all of the operating assets at one of our operating facilities within the Infrastructure Solutions segment. In connection with the plan, we allocated $119 of goodwill to the disposal group. In conjunction with the write down of these assets to their net realizable value of $450, we recognized a loss of $101, recorded within “Loss (gain) on sale of assets” within our Condensed Consolidated Statements of Comprehensive Income for the nine months ended June 30, 2019. The sale of these assets to a third party was completed in May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The following discussion and analysis should be read in conjunction with our Consolidated Financial Statements and the notes thereto, set forth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as set forth in our Annual Report on Form 10-K for the year ended September 30, 2018, and the Condensed Consolidated Financial Statements and notes thereto included in Part I, Item 1 of this Quarterly Report on Form 10-Q</w:t>
      </w:r>
      <w:r>
        <w:rPr>
          <w:rFonts w:ascii="Arial" w:cs="Arial" w:eastAsia="Arial" w:hAnsi="Arial"/>
          <w:sz w:val="21"/>
          <w:szCs w:val="21"/>
          <w:color w:val="auto"/>
        </w:rPr>
        <w:t>.</w:t>
      </w:r>
      <w:r>
        <w:rPr>
          <w:rFonts w:ascii="Arial" w:cs="Arial" w:eastAsia="Arial" w:hAnsi="Arial"/>
          <w:sz w:val="18"/>
          <w:szCs w:val="18"/>
          <w:color w:val="auto"/>
        </w:rPr>
        <w:t xml:space="preserve"> The following discussion may contain forward looking statements. For additional information, see </w:t>
      </w:r>
      <w:r>
        <w:rPr>
          <w:rFonts w:ascii="Arial" w:cs="Arial" w:eastAsia="Arial" w:hAnsi="Arial"/>
          <w:sz w:val="18"/>
          <w:szCs w:val="18"/>
          <w:i w:val="1"/>
          <w:iCs w:val="1"/>
          <w:color w:val="auto"/>
        </w:rPr>
        <w:t>“Disclosure Regarding Forward Looking Statements”</w:t>
      </w:r>
      <w:r>
        <w:rPr>
          <w:rFonts w:ascii="Arial" w:cs="Arial" w:eastAsia="Arial" w:hAnsi="Arial"/>
          <w:sz w:val="18"/>
          <w:szCs w:val="18"/>
          <w:color w:val="auto"/>
        </w:rPr>
        <w:t xml:space="preserve"> in Part I of this Quarterly Report on Form 10-Q.</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Please refer to Part I,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of our Annual Report on Form 10-K for the year ended September 30, 2018, for a discussion of the Company’s services and corporate strategy. IES Holdings, Inc., a Delaware corporation, is a holding company that owns and manages operating subsidiaries, comprised of providers of industrial products and infrastructure services, to a variety of end markets. Our operations are currently organized into four principal business segments: Commercial &amp; Industrial, Communications, Infrastructure Solutions and Residential.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report our operating results across our four operating segments: Commercial &amp; Industrial, Communications, Infrastructure Solutions and Residential. Expenses associated with our corporate office are classified separately. The following table presents selected historical results of operations of IES Holdings, Inc., as well as the results of acquired businesses from the dates acquired.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8"/>
          </w:tcPr>
          <w:p>
            <w:pPr>
              <w:jc w:val="center"/>
              <w:ind w:right="320"/>
              <w:spacing w:after="0"/>
              <w:rPr>
                <w:sz w:val="20"/>
                <w:szCs w:val="20"/>
                <w:color w:val="auto"/>
              </w:rPr>
            </w:pPr>
            <w:r>
              <w:rPr>
                <w:rFonts w:ascii="Arial" w:cs="Arial" w:eastAsia="Arial" w:hAnsi="Arial"/>
                <w:sz w:val="18"/>
                <w:szCs w:val="18"/>
                <w:color w:val="auto"/>
                <w:w w:val="89"/>
              </w:rPr>
              <w:t>Three Months Ended June 30,</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10"/>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17"/>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10"/>
          </w:tcPr>
          <w:p>
            <w:pPr>
              <w:jc w:val="center"/>
              <w:ind w:left="511"/>
              <w:spacing w:after="0"/>
              <w:rPr>
                <w:sz w:val="20"/>
                <w:szCs w:val="20"/>
                <w:color w:val="auto"/>
              </w:rPr>
            </w:pPr>
            <w:r>
              <w:rPr>
                <w:rFonts w:ascii="Arial" w:cs="Arial" w:eastAsia="Arial" w:hAnsi="Arial"/>
                <w:sz w:val="16"/>
                <w:szCs w:val="16"/>
                <w:color w:val="auto"/>
                <w:w w:val="90"/>
              </w:rPr>
              <w:t>(Dollars in thousands, Percentage of revenues)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3"/>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236,236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83.6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190,039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36,333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12.9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32,372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Gain on sale of assets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64"/>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780" w:type="dxa"/>
            <w:vAlign w:val="bottom"/>
          </w:tcPr>
          <w:p>
            <w:pPr>
              <w:ind w:left="38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64"/>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7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7"/>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IES Holdings,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revenues for the three months ended June 30, 2019, were $50.1 million higher than for the three months ended June 30, 2018, an increase of 21.5%, with increases at our Communications, Infrastructure Solutions, and Residential segments, driven by strong demand. Revenues decreased at our Commercial &amp; Industrial segment, where many of our markets remain highly competitive.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for the three months ended June 30, 2019, increased $3.9 million compared with the three months ended June 30, 2018. Our overall gross profit percentage decreased to 16.4% during the three months ended June 30, 2019, as compared to 18.3% during the three months ended June 30, 2018. Gross profit as a percentage of revenue decreased at each of our segments, with the exception of our Residential segment. See further discussion below of changes in gross margin for our individual segments.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ectPr>
          <w:pgSz w:w="11900" w:h="16838" w:orient="portrait"/>
          <w:cols w:equalWidth="0" w:num="1">
            <w:col w:w="11420"/>
          </w:cols>
          <w:pgMar w:left="240" w:top="364"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64" w:right="239" w:bottom="1440" w:gutter="0" w:footer="0" w:header="0"/>
          <w:type w:val="continuous"/>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During the three months ended June 30, 2019, our selling, general and administrative expenses were $36.3 million, an increase of $4.0 million, or 12.2%, over the three months ended June 30, 2018, driven by increased personnel costs at our operating segments in connection with their growth. This increase also includes an increase in stock based compensation expenses at the Corporate level. However, selling, general and administrative expense as a percent of revenue decreased from 13.9% for the three months ended June 30, 2018, to 12.9% for the three months ended June 30, 2019, as we benefited from the increased scale of our operations.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7"/>
          </w:tcPr>
          <w:p>
            <w:pPr>
              <w:jc w:val="right"/>
              <w:ind w:right="580"/>
              <w:spacing w:after="0"/>
              <w:rPr>
                <w:sz w:val="20"/>
                <w:szCs w:val="20"/>
                <w:color w:val="auto"/>
              </w:rPr>
            </w:pPr>
            <w:r>
              <w:rPr>
                <w:rFonts w:ascii="Arial" w:cs="Arial" w:eastAsia="Arial" w:hAnsi="Arial"/>
                <w:sz w:val="18"/>
                <w:szCs w:val="18"/>
                <w:color w:val="auto"/>
                <w:w w:val="89"/>
              </w:rPr>
              <w:t>Nine Months Ended June 30,</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17"/>
        </w:trPr>
        <w:tc>
          <w:tcPr>
            <w:tcW w:w="6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40" w:type="dxa"/>
            <w:vAlign w:val="bottom"/>
            <w:gridSpan w:val="10"/>
          </w:tcPr>
          <w:p>
            <w:pPr>
              <w:jc w:val="center"/>
              <w:ind w:left="371"/>
              <w:spacing w:after="0"/>
              <w:rPr>
                <w:sz w:val="20"/>
                <w:szCs w:val="20"/>
                <w:color w:val="auto"/>
              </w:rPr>
            </w:pPr>
            <w:r>
              <w:rPr>
                <w:rFonts w:ascii="Arial" w:cs="Arial" w:eastAsia="Arial" w:hAnsi="Arial"/>
                <w:sz w:val="16"/>
                <w:szCs w:val="16"/>
                <w:color w:val="auto"/>
                <w:w w:val="90"/>
              </w:rPr>
              <w:t>(Dollars in thousands, Percentage of revenues)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783,389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636,553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tcPr>
          <w:p>
            <w:pPr>
              <w:ind w:left="380"/>
              <w:spacing w:after="0"/>
              <w:rPr>
                <w:sz w:val="20"/>
                <w:szCs w:val="20"/>
                <w:color w:val="auto"/>
              </w:rPr>
            </w:pPr>
            <w:r>
              <w:rPr>
                <w:rFonts w:ascii="Arial" w:cs="Arial" w:eastAsia="Arial" w:hAnsi="Arial"/>
                <w:sz w:val="18"/>
                <w:szCs w:val="18"/>
                <w:color w:val="auto"/>
              </w:rPr>
              <w:t>Cost of services</w:t>
            </w: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652,156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2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527,112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103,489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2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92,108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tcPr>
          <w:p>
            <w:pPr>
              <w:ind w:left="380"/>
              <w:spacing w:after="0"/>
              <w:rPr>
                <w:sz w:val="20"/>
                <w:szCs w:val="20"/>
                <w:color w:val="auto"/>
              </w:rPr>
            </w:pPr>
            <w:r>
              <w:rPr>
                <w:rFonts w:ascii="Arial" w:cs="Arial" w:eastAsia="Arial" w:hAnsi="Arial"/>
                <w:sz w:val="18"/>
                <w:szCs w:val="18"/>
                <w:color w:val="auto"/>
              </w:rPr>
              <w:t>Loss (gain) on sale of assets</w:t>
            </w: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64"/>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360" w:type="dxa"/>
            <w:vAlign w:val="bottom"/>
          </w:tcPr>
          <w:p>
            <w:pPr>
              <w:ind w:left="380"/>
              <w:spacing w:after="0"/>
              <w:rPr>
                <w:sz w:val="20"/>
                <w:szCs w:val="20"/>
                <w:color w:val="auto"/>
              </w:rPr>
            </w:pPr>
            <w:r>
              <w:rPr>
                <w:rFonts w:ascii="Arial" w:cs="Arial" w:eastAsia="Arial" w:hAnsi="Arial"/>
                <w:sz w:val="18"/>
                <w:szCs w:val="18"/>
                <w:color w:val="auto"/>
              </w:rPr>
              <w:t>Interest and other (income) expense, net</w:t>
            </w: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34,622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3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w:t>
            </w: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IES Holdings, Inc.</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 2018 includes a charge of $31.5 million to re-measure our net deferred tax assets in connection with the Tax Cuts and Jobs Act.</w:t>
      </w:r>
    </w:p>
    <w:p>
      <w:pPr>
        <w:spacing w:after="0" w:line="2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Consolidated revenues for the nine months ended June 30, 2019, were $146.8 million higher than for the nine months ended June 30, 2018, an increase of 23.1%, with increases at all of our operating segments, driven by strong demand.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overall gross profit percentage decreased to 16.8% during the nine months ended June 30, 2019, as compared to 17.2% during the nine months ended June 30, 2018. Gross profit as a percentage of revenue increased at our Residential segment, but decreased slightly at each of our other segments. See further discussion below of changes in gross margin for our individual segments.</w:t>
      </w:r>
    </w:p>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nine months ended June 30, 2019, our selling, general and administrative expenses were $103.5 million, an increase of $11.4 million, or 12.4%, over the nine months ended June 30, 2018, driven by increased personnel costs at our operating segments in connection with their growth. This increase also includes a $3.1 million increase in expenses at the corporate level, related to a severance payment to our outgoing President, as well as an increase in stock-based compensation expense. However, selling, general and administrative expense as a percent of revenue decreased from 14.5% for the nine months ended June 30, 2018, to 13.2% for the nine months ended June 30, 2019, as we benefited from the increased scale of our operations.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Commercial &amp; Industrial</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80" w:type="dxa"/>
            <w:vAlign w:val="bottom"/>
            <w:gridSpan w:val="7"/>
          </w:tcPr>
          <w:p>
            <w:pPr>
              <w:jc w:val="center"/>
              <w:ind w:right="740"/>
              <w:spacing w:after="0"/>
              <w:rPr>
                <w:sz w:val="20"/>
                <w:szCs w:val="20"/>
                <w:color w:val="auto"/>
              </w:rPr>
            </w:pPr>
            <w:r>
              <w:rPr>
                <w:rFonts w:ascii="Arial" w:cs="Arial" w:eastAsia="Arial" w:hAnsi="Arial"/>
                <w:sz w:val="18"/>
                <w:szCs w:val="18"/>
                <w:color w:val="auto"/>
                <w:w w:val="89"/>
              </w:rPr>
              <w:t>Three Months Ended June 30,</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3"/>
          </w:tcPr>
          <w:p>
            <w:pPr>
              <w:jc w:val="right"/>
              <w:ind w:right="39"/>
              <w:spacing w:after="0"/>
              <w:rPr>
                <w:sz w:val="20"/>
                <w:szCs w:val="20"/>
                <w:color w:val="auto"/>
              </w:rPr>
            </w:pPr>
            <w:r>
              <w:rPr>
                <w:rFonts w:ascii="Arial" w:cs="Arial" w:eastAsia="Arial" w:hAnsi="Arial"/>
                <w:sz w:val="18"/>
                <w:szCs w:val="18"/>
                <w:color w:val="auto"/>
              </w:rPr>
              <w:t>2019</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8"/>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7"/>
        </w:trPr>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8"/>
          </w:tcPr>
          <w:p>
            <w:pPr>
              <w:jc w:val="center"/>
              <w:ind w:right="460"/>
              <w:spacing w:after="0"/>
              <w:rPr>
                <w:sz w:val="20"/>
                <w:szCs w:val="20"/>
                <w:color w:val="auto"/>
              </w:rPr>
            </w:pPr>
            <w:r>
              <w:rPr>
                <w:rFonts w:ascii="Arial" w:cs="Arial" w:eastAsia="Arial" w:hAnsi="Arial"/>
                <w:sz w:val="16"/>
                <w:szCs w:val="16"/>
                <w:color w:val="auto"/>
                <w:w w:val="90"/>
              </w:rPr>
              <w:t>(Dollars in thousands, Percentage of revenues)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7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69,171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91.8</w:t>
            </w:r>
          </w:p>
        </w:tc>
        <w:tc>
          <w:tcPr>
            <w:tcW w:w="28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67,839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9.1</w:t>
            </w:r>
          </w:p>
        </w:tc>
        <w:tc>
          <w:tcPr>
            <w:tcW w:w="28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Gain on sale of assets</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ind w:left="6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68" w:right="239" w:bottom="1440" w:gutter="0" w:footer="0" w:header="0"/>
          <w:type w:val="continuous"/>
        </w:sectPr>
      </w:pPr>
    </w:p>
    <w:bookmarkStart w:id="26" w:name="page27"/>
    <w:bookmarkEnd w:id="26"/>
    <w:p>
      <w:pPr>
        <w:jc w:val="both"/>
        <w:spacing w:after="0" w:line="30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Revenues in our Commercial &amp; Industrial segment decreased $2.8 million, or 3.6%, during the three months ended June 30, 2019,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2018. The decrease was largely driven by a reduction in time-and-material work, as well as a lower volume of large, industrial jobs in the Southeastern U.S. Several large projects underway during the three months ended June 30, 2018 have since been completed, and the timing of our customers' capital spending needs can cause variations in revenue from quarter to quarter. The market for this segment’s services remains highly competitive.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Commercial &amp; Industrial segment’s gross profit during the three months ended June 30, 2019, decreased by $4.1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2018. The decrease is due to the reduction in volumes, as well as project inefficiencies at our Nebraska branch driven by weather and other factors. Gross margin as a percent of revenue decreased 5.0% to 8.2% during the three months ended June 30, 2019, as compared to the three months ended June 30, 2018, as a result of a reduction in efficiency, as well as the reduction in volumes resulting in a higher rate of fixed overhead costs as a percentage of revenue.</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Commercial &amp; Industrial segment’s selling, general and administrative expenses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2019, decreased $0.2 million, or 2.2%, compared to the three months ended June 30, 2018. Selling, general and administrative expenses as a percentage of revenues increased 0.2% to 9.1% during the three months ended June 30, 2019, compared to the three months ended June 30, 2018.</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7"/>
          </w:tcPr>
          <w:p>
            <w:pPr>
              <w:jc w:val="right"/>
              <w:ind w:right="940"/>
              <w:spacing w:after="0"/>
              <w:rPr>
                <w:sz w:val="20"/>
                <w:szCs w:val="20"/>
                <w:color w:val="auto"/>
              </w:rPr>
            </w:pPr>
            <w:r>
              <w:rPr>
                <w:rFonts w:ascii="Arial" w:cs="Arial" w:eastAsia="Arial" w:hAnsi="Arial"/>
                <w:sz w:val="18"/>
                <w:szCs w:val="18"/>
                <w:color w:val="auto"/>
                <w:w w:val="94"/>
              </w:rPr>
              <w:t>Nine Months Ended June 30,</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0" w:type="dxa"/>
            <w:vAlign w:val="bottom"/>
            <w:gridSpan w:val="10"/>
          </w:tcPr>
          <w:p>
            <w:pPr>
              <w:ind w:left="960"/>
              <w:spacing w:after="0"/>
              <w:rPr>
                <w:sz w:val="20"/>
                <w:szCs w:val="20"/>
                <w:color w:val="auto"/>
              </w:rPr>
            </w:pPr>
            <w:r>
              <w:rPr>
                <w:rFonts w:ascii="Arial" w:cs="Arial" w:eastAsia="Arial" w:hAnsi="Arial"/>
                <w:sz w:val="16"/>
                <w:szCs w:val="16"/>
                <w:color w:val="auto"/>
              </w:rPr>
              <w:t>(Dollars in thousands, Percentage of revenues)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97"/>
        </w:trPr>
        <w:tc>
          <w:tcPr>
            <w:tcW w:w="5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227,928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21"/>
                <w:szCs w:val="21"/>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196,747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91"/>
        </w:trPr>
        <w:tc>
          <w:tcPr>
            <w:tcW w:w="538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204,263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12"/>
              <w:spacing w:after="0"/>
              <w:rPr>
                <w:sz w:val="20"/>
                <w:szCs w:val="20"/>
                <w:color w:val="auto"/>
              </w:rPr>
            </w:pPr>
            <w:r>
              <w:rPr>
                <w:rFonts w:ascii="Arial" w:cs="Arial" w:eastAsia="Arial" w:hAnsi="Arial"/>
                <w:sz w:val="18"/>
                <w:szCs w:val="18"/>
                <w:color w:val="auto"/>
              </w:rPr>
              <w:t xml:space="preserve">89.6 </w:t>
            </w:r>
            <w:r>
              <w:rPr>
                <w:rFonts w:ascii="Arial" w:cs="Arial" w:eastAsia="Arial" w:hAnsi="Arial"/>
                <w:sz w:val="21"/>
                <w:szCs w:val="21"/>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175,066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r>
      <w:tr>
        <w:trPr>
          <w:trHeight w:val="284"/>
        </w:trPr>
        <w:tc>
          <w:tcPr>
            <w:tcW w:w="53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23,665</w:t>
            </w: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21,681</w:t>
            </w:r>
          </w:p>
        </w:tc>
        <w:tc>
          <w:tcPr>
            <w:tcW w:w="10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89"/>
        </w:trPr>
        <w:tc>
          <w:tcPr>
            <w:tcW w:w="538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20,906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12"/>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21"/>
                <w:szCs w:val="21"/>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19,624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r>
      <w:tr>
        <w:trPr>
          <w:trHeight w:val="306"/>
        </w:trPr>
        <w:tc>
          <w:tcPr>
            <w:tcW w:w="5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Gain on sale of assets</w:t>
            </w: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r>
      <w:tr>
        <w:trPr>
          <w:trHeight w:val="260"/>
        </w:trPr>
        <w:tc>
          <w:tcPr>
            <w:tcW w:w="5380" w:type="dxa"/>
            <w:vAlign w:val="bottom"/>
          </w:tcPr>
          <w:p>
            <w:pPr>
              <w:ind w:left="6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2,767</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r>
    </w:tbl>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 our Commercial &amp; Industrial segment increased $31.2 million during the nine months ended June 30, 2019, an increase of 15.8%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June 30, 2018. The increase in revenue over this period was driven by an increase in large, agricultural and other projects in the Midwest. The market for this segment’s services in many geographic regions remains highly competitive.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Commercial &amp; Industrial segment’s gross profit during the nine months ended June 30, 2019, increased by $2.0 million, or 9.2%,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June 30, 2018. We did benefit from higher volumes; however, these benefits were partly offset by certain project inefficiencies in the quarter ended June 30, 2019. As a percentage of revenue, gross profit decreased slightly, from 11.0% for the nine months ended June 30, 2018, to 10.4% for the nine months ended June 30, 2019 as a result of some project inefficiencies.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Commercial &amp; Industrial segment’s selling, general and administrative expenses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increased $1.3 million, or 6.5%, compared to the nine months ended June 30, 2018, but decreased 0.8% as a percentage of revenue, as we benefited from the increased scale of our operations.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Communications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80" w:type="dxa"/>
            <w:vAlign w:val="bottom"/>
            <w:gridSpan w:val="7"/>
          </w:tcPr>
          <w:p>
            <w:pPr>
              <w:jc w:val="center"/>
              <w:ind w:right="740"/>
              <w:spacing w:after="0"/>
              <w:rPr>
                <w:sz w:val="20"/>
                <w:szCs w:val="20"/>
                <w:color w:val="auto"/>
              </w:rPr>
            </w:pPr>
            <w:r>
              <w:rPr>
                <w:rFonts w:ascii="Arial" w:cs="Arial" w:eastAsia="Arial" w:hAnsi="Arial"/>
                <w:sz w:val="18"/>
                <w:szCs w:val="18"/>
                <w:color w:val="auto"/>
                <w:w w:val="89"/>
              </w:rPr>
              <w:t>Three Months Ended June 30,</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ind w:right="39"/>
              <w:spacing w:after="0"/>
              <w:rPr>
                <w:sz w:val="20"/>
                <w:szCs w:val="20"/>
                <w:color w:val="auto"/>
              </w:rPr>
            </w:pPr>
            <w:r>
              <w:rPr>
                <w:rFonts w:ascii="Arial" w:cs="Arial" w:eastAsia="Arial" w:hAnsi="Arial"/>
                <w:sz w:val="18"/>
                <w:szCs w:val="18"/>
                <w:color w:val="auto"/>
              </w:rPr>
              <w:t>2019</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8"/>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7"/>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8"/>
          </w:tcPr>
          <w:p>
            <w:pPr>
              <w:jc w:val="center"/>
              <w:ind w:right="460"/>
              <w:spacing w:after="0"/>
              <w:rPr>
                <w:sz w:val="20"/>
                <w:szCs w:val="20"/>
                <w:color w:val="auto"/>
              </w:rPr>
            </w:pPr>
            <w:r>
              <w:rPr>
                <w:rFonts w:ascii="Arial" w:cs="Arial" w:eastAsia="Arial" w:hAnsi="Arial"/>
                <w:sz w:val="16"/>
                <w:szCs w:val="16"/>
                <w:color w:val="auto"/>
                <w:w w:val="90"/>
              </w:rPr>
              <w:t>(Dollars in thousands, Percentage of revenues)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75,044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w:t>
            </w:r>
          </w:p>
        </w:tc>
        <w:tc>
          <w:tcPr>
            <w:tcW w:w="34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43,436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8,406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90"/>
              <w:spacing w:after="0"/>
              <w:rPr>
                <w:sz w:val="20"/>
                <w:szCs w:val="20"/>
                <w:color w:val="auto"/>
              </w:rPr>
            </w:pPr>
            <w:r>
              <w:rPr>
                <w:rFonts w:ascii="Arial" w:cs="Arial" w:eastAsia="Arial" w:hAnsi="Arial"/>
                <w:sz w:val="18"/>
                <w:szCs w:val="18"/>
                <w:color w:val="auto"/>
                <w:w w:val="99"/>
              </w:rPr>
              <w:t>27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8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Communications segment’s revenues increased by $36.1 million during the three months ended June 30, 2019, or 66.3%,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2018. The increase primarily resulted from increased demand driven by several of our large data center customers. Revenues in our Communications segment can vary from quarter to quarter based on the capital spending cycles of our customers.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Communications segment’s gross profit during the three months ended June 30, 2019, increased by $4.5 million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While total gross profit increased in connection with higher volumes, gross profit as a percentage of revenue decreased, as we took on a larger proportion of cost-plus arrangements. These arrangements provide us with a reimbursement for our costs plus a markup, and are typically lower margin, but also lower risk, as compared with our fixed-cost arrangements.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Communications segment’s selling, general and administrative expenses increased by $1.2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16.9%, during the three months ended June 30, 2019, compared to the three months ended June 30, 2018. The increase is a result of higher personnel cost, particularly related to continuing investment to support the growth of the business, along with higher incentive compensation expense in connection with improved profitability and cash flows. Selling, general and administrative expenses as a percentage of revenues in the Communications segment decreased 3.9% to 9.3% of segment revenue during the three months ended June 30, 2019, compared to the three months ended June 30, 2018, as we benefited from the increased scale of our operations.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7"/>
          </w:tcPr>
          <w:p>
            <w:pPr>
              <w:jc w:val="right"/>
              <w:ind w:right="920"/>
              <w:spacing w:after="0"/>
              <w:rPr>
                <w:sz w:val="20"/>
                <w:szCs w:val="20"/>
                <w:color w:val="auto"/>
              </w:rPr>
            </w:pPr>
            <w:r>
              <w:rPr>
                <w:rFonts w:ascii="Arial" w:cs="Arial" w:eastAsia="Arial" w:hAnsi="Arial"/>
                <w:sz w:val="18"/>
                <w:szCs w:val="18"/>
                <w:color w:val="auto"/>
                <w:w w:val="95"/>
              </w:rPr>
              <w:t>Nine Months Ended June 30,</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2019</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gridSpan w:val="10"/>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0" w:type="dxa"/>
            <w:vAlign w:val="bottom"/>
            <w:gridSpan w:val="10"/>
          </w:tcPr>
          <w:p>
            <w:pPr>
              <w:jc w:val="right"/>
              <w:ind w:right="460"/>
              <w:spacing w:after="0"/>
              <w:rPr>
                <w:sz w:val="20"/>
                <w:szCs w:val="20"/>
                <w:color w:val="auto"/>
              </w:rPr>
            </w:pPr>
            <w:r>
              <w:rPr>
                <w:rFonts w:ascii="Arial" w:cs="Arial" w:eastAsia="Arial" w:hAnsi="Arial"/>
                <w:sz w:val="18"/>
                <w:szCs w:val="18"/>
                <w:color w:val="auto"/>
              </w:rPr>
              <w:t>(Dollars in thousands, Percentage of revenues)</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190,895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82.9</w:t>
            </w:r>
          </w:p>
        </w:tc>
        <w:tc>
          <w:tcPr>
            <w:tcW w:w="26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129,667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23,006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26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Gain on sale of assets</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ind w:left="6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9,935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Communications segment revenues increased by $71.1 million during the nine months ended June 30, 2019, or 44.7%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The increase primarily resulted from increased demand from several of our data center customers. Revenues in our Communications segment can vary from quarter to quarter based on the capital spending cycles of our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Communications segment’s gross profit during the nine months ended June 30, 2019, increased $9.9 million, or 33.7%,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June 30, 2018. While total gross profit increased in connection with higher volumes, gross profit as a percentage of revenue decreased, as we took on a larger proportion of cost-plus arrangements. These arrangements provide us with a reimbursement for our costs plus a markup, and are typically lower margin, but also lower risk, as compared with our fixed-cost arrangements.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Communications segment’s selling, general and administrative expenses increased $3.5 million, or 18.1%,</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June 30, 2019, compared to the nine months ended June 30, 2018. The increase is a result of higher personnel cost, particularly related to continuing investment to support the growth of the business, along with higher incentive compensation expense in connection with improved profitability and cash flows. Selling, general and administrative expenses as a percentage of revenues in the Communications segment decreased by 2.2% to 10.0% of segment revenue during the nine months ended June 30, 2019, compared to the nine months ended June 30, 2018, as we benefited from the increased scale of our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Infrastructure Solutions</w:t>
            </w: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94"/>
        </w:trPr>
        <w:tc>
          <w:tcPr>
            <w:tcW w:w="5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130"/>
              <w:spacing w:after="0"/>
              <w:rPr>
                <w:sz w:val="20"/>
                <w:szCs w:val="20"/>
                <w:color w:val="auto"/>
              </w:rPr>
            </w:pPr>
            <w:r>
              <w:rPr>
                <w:rFonts w:ascii="Arial" w:cs="Arial" w:eastAsia="Arial" w:hAnsi="Arial"/>
                <w:sz w:val="18"/>
                <w:szCs w:val="18"/>
                <w:color w:val="auto"/>
                <w:w w:val="93"/>
              </w:rPr>
              <w:t>Three Months Ended June 30,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
        </w:trPr>
        <w:tc>
          <w:tcPr>
            <w:tcW w:w="56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2019</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gridSpan w:val="2"/>
          </w:tcPr>
          <w:p>
            <w:pPr>
              <w:jc w:val="right"/>
              <w:ind w:right="850"/>
              <w:spacing w:after="0"/>
              <w:rPr>
                <w:sz w:val="20"/>
                <w:szCs w:val="20"/>
                <w:color w:val="auto"/>
              </w:rPr>
            </w:pPr>
            <w:r>
              <w:rPr>
                <w:rFonts w:ascii="Arial" w:cs="Arial" w:eastAsia="Arial" w:hAnsi="Arial"/>
                <w:sz w:val="18"/>
                <w:szCs w:val="18"/>
                <w:color w:val="auto"/>
                <w:w w:val="84"/>
              </w:rPr>
              <w:t>2018</w:t>
            </w:r>
          </w:p>
        </w:tc>
        <w:tc>
          <w:tcPr>
            <w:tcW w:w="2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gridSpan w:val="10"/>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60" w:type="dxa"/>
            <w:vAlign w:val="bottom"/>
            <w:gridSpan w:val="10"/>
          </w:tcPr>
          <w:p>
            <w:pPr>
              <w:jc w:val="right"/>
              <w:ind w:right="1170"/>
              <w:spacing w:after="0"/>
              <w:rPr>
                <w:sz w:val="20"/>
                <w:szCs w:val="20"/>
                <w:color w:val="auto"/>
              </w:rPr>
            </w:pPr>
            <w:r>
              <w:rPr>
                <w:rFonts w:ascii="Arial" w:cs="Arial" w:eastAsia="Arial" w:hAnsi="Arial"/>
                <w:sz w:val="16"/>
                <w:szCs w:val="16"/>
                <w:color w:val="auto"/>
              </w:rPr>
              <w:t>(Dollars in thousands, Percentage of revenues)</w:t>
            </w:r>
          </w:p>
        </w:tc>
        <w:tc>
          <w:tcPr>
            <w:tcW w:w="2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7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36,109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24,856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76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w w:val="87"/>
              </w:rPr>
              <w:t>27,671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76.6</w:t>
            </w:r>
          </w:p>
        </w:tc>
        <w:tc>
          <w:tcPr>
            <w:tcW w:w="28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18,701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7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76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4,937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13.7</w:t>
            </w:r>
          </w:p>
        </w:tc>
        <w:tc>
          <w:tcPr>
            <w:tcW w:w="28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4,568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Contingent consideration</w:t>
            </w:r>
          </w:p>
        </w:tc>
        <w:tc>
          <w:tcPr>
            <w:tcW w:w="7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60"/>
              <w:spacing w:after="0"/>
              <w:rPr>
                <w:sz w:val="20"/>
                <w:szCs w:val="20"/>
                <w:color w:val="auto"/>
              </w:rPr>
            </w:pPr>
            <w:r>
              <w:rPr>
                <w:rFonts w:ascii="Arial" w:cs="Arial" w:eastAsia="Arial" w:hAnsi="Arial"/>
                <w:sz w:val="18"/>
                <w:szCs w:val="18"/>
                <w:color w:val="auto"/>
              </w:rPr>
              <w:t>Loss on sale of assets</w:t>
            </w:r>
          </w:p>
        </w:tc>
        <w:tc>
          <w:tcPr>
            <w:tcW w:w="7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3,668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 our Infrastructure Solutions segment increased $11.3 million during the three months ended June 30, 2019, an increase of 45.3%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June 30, 2018. The increase in revenue was driven primarily by our generator enclosure business, driven by increased demand for enclosures to be used at data centers.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Infrastructure Solutions segment’s gross profit during the three months ended June 30, 2019, increased $2.3 million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2018, primarily as a result of the increase in volume. However, gross profit as a percentage of revenue decreased 1.4% to 23.4%, as the manufacture of generator enclosures continues to grow as a proportion of our business. While margins on generation enclosures are improving, they are typically lower than margins in our motor repair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Infrastructure Solutions segment’s selling, general and administrative expenses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increased by $0.4 million compared to the three months ended June 30, 2018, primarily as a result of increased health care costs. Selling, general and administrative expense as a percent of revenue decreased from 18.4% to 13.7%, as we were able to scale our business effectively without adding significant general and administrative expense.</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7"/>
          </w:tcPr>
          <w:p>
            <w:pPr>
              <w:jc w:val="center"/>
              <w:ind w:right="660"/>
              <w:spacing w:after="0"/>
              <w:rPr>
                <w:sz w:val="20"/>
                <w:szCs w:val="20"/>
                <w:color w:val="auto"/>
              </w:rPr>
            </w:pPr>
            <w:r>
              <w:rPr>
                <w:rFonts w:ascii="Arial" w:cs="Arial" w:eastAsia="Arial" w:hAnsi="Arial"/>
                <w:sz w:val="18"/>
                <w:szCs w:val="18"/>
                <w:color w:val="auto"/>
                <w:w w:val="90"/>
              </w:rPr>
              <w:t>Nine Months Ended June 30,</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7"/>
        </w:trPr>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20" w:type="dxa"/>
            <w:vAlign w:val="bottom"/>
            <w:gridSpan w:val="9"/>
          </w:tcPr>
          <w:p>
            <w:pPr>
              <w:jc w:val="center"/>
              <w:ind w:right="240"/>
              <w:spacing w:after="0"/>
              <w:rPr>
                <w:sz w:val="20"/>
                <w:szCs w:val="20"/>
                <w:color w:val="auto"/>
              </w:rPr>
            </w:pPr>
            <w:r>
              <w:rPr>
                <w:rFonts w:ascii="Arial" w:cs="Arial" w:eastAsia="Arial" w:hAnsi="Arial"/>
                <w:sz w:val="16"/>
                <w:szCs w:val="16"/>
                <w:color w:val="auto"/>
                <w:w w:val="90"/>
              </w:rPr>
              <w:t>(Dollars in thousands, Percentage of revenues)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78,227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78.2</w:t>
            </w:r>
          </w:p>
        </w:tc>
        <w:tc>
          <w:tcPr>
            <w:tcW w:w="280" w:type="dxa"/>
            <w:vAlign w:val="bottom"/>
          </w:tcPr>
          <w:p>
            <w:pPr>
              <w:ind w:left="12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54,543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14,103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280" w:type="dxa"/>
            <w:vAlign w:val="bottom"/>
          </w:tcPr>
          <w:p>
            <w:pPr>
              <w:ind w:left="12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13,762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Contingent consideration</w:t>
            </w: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60"/>
              <w:spacing w:after="0"/>
              <w:rPr>
                <w:sz w:val="20"/>
                <w:szCs w:val="20"/>
                <w:color w:val="auto"/>
              </w:rPr>
            </w:pPr>
            <w:r>
              <w:rPr>
                <w:rFonts w:ascii="Arial" w:cs="Arial" w:eastAsia="Arial" w:hAnsi="Arial"/>
                <w:sz w:val="18"/>
                <w:szCs w:val="18"/>
                <w:color w:val="auto"/>
              </w:rPr>
              <w:t>Loss on sale of assets</w:t>
            </w: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80" w:type="dxa"/>
            <w:vAlign w:val="bottom"/>
          </w:tcPr>
          <w:p>
            <w:pPr>
              <w:ind w:left="12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Operating income</w:t>
            </w: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4440" w:type="dxa"/>
            <w:vAlign w:val="bottom"/>
          </w:tcPr>
          <w:p>
            <w:pPr>
              <w:spacing w:after="0"/>
              <w:rPr>
                <w:sz w:val="24"/>
                <w:szCs w:val="2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9" w:name="page30"/>
    <w:bookmarkEnd w:id="29"/>
    <w:p>
      <w:pPr>
        <w:jc w:val="both"/>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 our Infrastructure Solutions segment increased $29.6 million during the nine months ended June 30, 2019, an increase of 42.1%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June 30, 2018. The increase in revenue relates primarily to our bus duct and enclosure business, driven by increased demand for enclosures to be used at data centers, as well as an increase in revenue from our motor repair business.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Infrastructure Solutions segment’s gross profit during the nine months ended June 30, 2019, increased $5.9 million as compared to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2018, primarily as a result of increased volumes. Gross profit as a percentage of revenues decreased 0.7% to 21.8% for the nine months ended June 30, 2019, largely as the result of a change in the mix of work performed. Our generator enclosure business generally has lower margins than our motor repair business, and the sale of generator enclosures now makes up a greater proportion of our revenue as compared with the prior year.</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Infrastructure Solutions segment’s selling, general and administrative expenses during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2019, increased by $0.3 million compared to the nine months ended June 30, 2018, primarily as a result of increased health care costs. However, selling, general and administrative expense as a percent of revenue decreased from 19.5% for the nine months ended June 30, 2018 to 14.1% for the nine months ended June 30, 2019, as we were able to scale our business effectively without adding significant general and administrative expense.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Residential</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7"/>
          </w:tcPr>
          <w:p>
            <w:pPr>
              <w:jc w:val="center"/>
              <w:ind w:right="620"/>
              <w:spacing w:after="0"/>
              <w:rPr>
                <w:sz w:val="20"/>
                <w:szCs w:val="20"/>
                <w:color w:val="auto"/>
              </w:rPr>
            </w:pPr>
            <w:r>
              <w:rPr>
                <w:rFonts w:ascii="Arial" w:cs="Arial" w:eastAsia="Arial" w:hAnsi="Arial"/>
                <w:sz w:val="18"/>
                <w:szCs w:val="18"/>
                <w:color w:val="auto"/>
                <w:w w:val="89"/>
              </w:rPr>
              <w:t>Three Months Ended June 30,</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2019</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9"/>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17"/>
        </w:trPr>
        <w:tc>
          <w:tcPr>
            <w:tcW w:w="5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320" w:type="dxa"/>
            <w:vAlign w:val="bottom"/>
            <w:gridSpan w:val="9"/>
          </w:tcPr>
          <w:p>
            <w:pPr>
              <w:jc w:val="center"/>
              <w:ind w:right="240"/>
              <w:spacing w:after="0"/>
              <w:rPr>
                <w:sz w:val="20"/>
                <w:szCs w:val="20"/>
                <w:color w:val="auto"/>
              </w:rPr>
            </w:pPr>
            <w:r>
              <w:rPr>
                <w:rFonts w:ascii="Arial" w:cs="Arial" w:eastAsia="Arial" w:hAnsi="Arial"/>
                <w:sz w:val="16"/>
                <w:szCs w:val="16"/>
                <w:color w:val="auto"/>
                <w:w w:val="90"/>
              </w:rPr>
              <w:t>(Dollars in thousands, Percentage of revenues)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64,350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79.7</w:t>
            </w:r>
          </w:p>
        </w:tc>
        <w:tc>
          <w:tcPr>
            <w:tcW w:w="34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60,063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37"/>
        </w:trPr>
        <w:tc>
          <w:tcPr>
            <w:tcW w:w="5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Residential segment’s revenues increased by $5.5 million during the three months ended June 30, 2019, an increase of 7.3%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2018. The increase is driven by both our single-family and multi-family business, where revenues each increased by $3.3 million for the three months ended June 30, 2019, compared with the three months ended June 30, 2018. These increases were partly offset by a $1.0 million decrease in solar and cable service business for the three months ended June 30, 2019, compared with the same period in the prior year.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During the three months ended June 30, 2019, our Residential segment's gross profit increased by $1.2 million, or 8.1%,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2018. The increase in gross profit was driven primarily by higher volumes. Gross margin as a percentage of revenue increased 0.2% to 20.3% during the quarter ended June 30, 2019, as compared with the quarter ended June 30, 2018, as we benefited from the increased scale of our operations.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Residential segment's selling, general and administrative expense increased by $0.9 million, or 8.0%,</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three months ended June 30, 2019, compared to the three months ended June 30, 2018, primarily as a result of higher incentive compensation expense in connection with higher profitability. Selling, general and administrative expenses as a percentage of revenues in the Residential segment increased slightly to 14.6% of segment revenue during the three months ended June 30, 2019, compared to 14.5% in the three months ended June 30,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7"/>
          </w:tcPr>
          <w:p>
            <w:pPr>
              <w:jc w:val="center"/>
              <w:ind w:right="660"/>
              <w:spacing w:after="0"/>
              <w:rPr>
                <w:sz w:val="20"/>
                <w:szCs w:val="20"/>
                <w:color w:val="auto"/>
              </w:rPr>
            </w:pPr>
            <w:r>
              <w:rPr>
                <w:rFonts w:ascii="Arial" w:cs="Arial" w:eastAsia="Arial" w:hAnsi="Arial"/>
                <w:sz w:val="18"/>
                <w:szCs w:val="18"/>
                <w:color w:val="auto"/>
                <w:w w:val="89"/>
              </w:rPr>
              <w:t>Nine Months Ended June 30,</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2019</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9"/>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7"/>
        </w:trPr>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40" w:type="dxa"/>
            <w:vAlign w:val="bottom"/>
            <w:gridSpan w:val="9"/>
          </w:tcPr>
          <w:p>
            <w:pPr>
              <w:jc w:val="center"/>
              <w:ind w:right="260"/>
              <w:spacing w:after="0"/>
              <w:rPr>
                <w:sz w:val="20"/>
                <w:szCs w:val="20"/>
                <w:color w:val="auto"/>
              </w:rPr>
            </w:pPr>
            <w:r>
              <w:rPr>
                <w:rFonts w:ascii="Arial" w:cs="Arial" w:eastAsia="Arial" w:hAnsi="Arial"/>
                <w:sz w:val="16"/>
                <w:szCs w:val="16"/>
                <w:color w:val="auto"/>
                <w:w w:val="90"/>
              </w:rPr>
              <w:t>(Dollars in thousands, Percentage of revenues)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7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60"/>
              <w:spacing w:after="0"/>
              <w:rPr>
                <w:sz w:val="20"/>
                <w:szCs w:val="20"/>
                <w:color w:val="auto"/>
              </w:rPr>
            </w:pPr>
            <w:r>
              <w:rPr>
                <w:rFonts w:ascii="Arial" w:cs="Arial" w:eastAsia="Arial" w:hAnsi="Arial"/>
                <w:sz w:val="18"/>
                <w:szCs w:val="18"/>
                <w:color w:val="auto"/>
              </w:rPr>
              <w:t>Cost of services</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178,771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26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167,836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26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30,995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Gain on sale of assets</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Pr>
          <w:p>
            <w:pPr>
              <w:ind w:left="6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11,498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Residential segment revenues increased by $14.9 million during the nine months ended June 30, 2019, an increase of 7.1%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June 30, 2018. The increase is driven by our single-family business, where revenues increased by $17.1 million for the nine months ended June 30, 2019, compared with the nine months ended June 30, 2018. This increase was partly offset by a $2.4 million decrease in our solar and service revenues for the nine months ended June 30, 2019, compared with the same period in the prior year.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During the nine months ended June 30, 2019, our Residential segment gross profit increased by $4.0 million, or 9.3%, as compared to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2018. The increase in gross profit was driven primarily by higher volumes, but also benefited from improved copper and other commodity prices. Gross margin as a percentage of revenue increased 0.4% to 20.6% during the nine months ended June 30, 2019, as compared with the nine months ended June 30, 2018, as we benefited from improved commodity prices and the increased scale of our operations.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Residential segment's selling, general and administrative expenses increased by $3.1 million, or 10.1%,</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nine months ended June 30, 2019, compared to the nine months ended June 30, 2018. This increase was driven by increased compensation expense in connection with a growing business, including incentive profit sharing for division management. Selling, general and administrative expenses as a percentage of revenues in the Residential segment increased by 0.5% to 15.2% of segment revenue during the nine months ended June 30,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5840" w:type="dxa"/>
            <w:vAlign w:val="bottom"/>
            <w:gridSpan w:val="2"/>
          </w:tcPr>
          <w:p>
            <w:pPr>
              <w:jc w:val="right"/>
              <w:ind w:right="1670"/>
              <w:spacing w:after="0"/>
              <w:rPr>
                <w:sz w:val="20"/>
                <w:szCs w:val="20"/>
                <w:color w:val="auto"/>
              </w:rPr>
            </w:pPr>
            <w:r>
              <w:rPr>
                <w:rFonts w:ascii="Arial" w:cs="Arial" w:eastAsia="Arial" w:hAnsi="Arial"/>
                <w:sz w:val="18"/>
                <w:szCs w:val="18"/>
                <w:b w:val="1"/>
                <w:bCs w:val="1"/>
                <w:color w:val="auto"/>
              </w:rPr>
              <w:t>INTEREST AND OTHER EXPENSE, NET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635"/>
        </w:trPr>
        <w:tc>
          <w:tcPr>
            <w:tcW w:w="33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88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 June 30,</w:t>
            </w:r>
          </w:p>
        </w:tc>
        <w:tc>
          <w:tcPr>
            <w:tcW w:w="520" w:type="dxa"/>
            <w:vAlign w:val="bottom"/>
          </w:tcPr>
          <w:p>
            <w:pPr>
              <w:spacing w:after="0"/>
              <w:rPr>
                <w:sz w:val="24"/>
                <w:szCs w:val="24"/>
                <w:color w:val="auto"/>
              </w:rPr>
            </w:pPr>
          </w:p>
        </w:tc>
      </w:tr>
      <w:tr>
        <w:trPr>
          <w:trHeight w:val="27"/>
        </w:trPr>
        <w:tc>
          <w:tcPr>
            <w:tcW w:w="3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5840" w:type="dxa"/>
            <w:vAlign w:val="bottom"/>
            <w:gridSpan w:val="2"/>
          </w:tcPr>
          <w:p>
            <w:pPr>
              <w:jc w:val="right"/>
              <w:ind w:right="1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7"/>
        </w:trPr>
        <w:tc>
          <w:tcPr>
            <w:tcW w:w="33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40" w:type="dxa"/>
            <w:vAlign w:val="bottom"/>
            <w:gridSpan w:val="3"/>
          </w:tcPr>
          <w:p>
            <w:pPr>
              <w:jc w:val="right"/>
              <w:ind w:right="630"/>
              <w:spacing w:after="0"/>
              <w:rPr>
                <w:sz w:val="20"/>
                <w:szCs w:val="20"/>
                <w:color w:val="auto"/>
              </w:rPr>
            </w:pPr>
            <w:r>
              <w:rPr>
                <w:rFonts w:ascii="Arial" w:cs="Arial" w:eastAsia="Arial" w:hAnsi="Arial"/>
                <w:sz w:val="16"/>
                <w:szCs w:val="16"/>
                <w:color w:val="auto"/>
                <w:w w:val="97"/>
              </w:rPr>
              <w:t>(In thousands)</w:t>
            </w:r>
          </w:p>
        </w:tc>
        <w:tc>
          <w:tcPr>
            <w:tcW w:w="52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5840" w:type="dxa"/>
            <w:vAlign w:val="bottom"/>
            <w:tcBorders>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Deferred financing charges</w:t>
            </w:r>
          </w:p>
        </w:tc>
        <w:tc>
          <w:tcPr>
            <w:tcW w:w="4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3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4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4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3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interest and other expense, net</w:t>
            </w:r>
          </w:p>
        </w:tc>
        <w:tc>
          <w:tcPr>
            <w:tcW w:w="584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months ended June 30, 2019, we incurred interest expense of $0.5 million primarily comprised of interest expense from our revolving credit facility with Wells Fargo Bank, N.A. (“Wells Fargo”), an average letter of credit balance of $6.6 million under our revolving credit facility and an average unused line of credit balance of $74.7 million under our revolving credit facility. This compares to interest expense of $0.5 million for the three months ended June 30, 2018, primarily comprised of interest expense from our revolving credit facility, an average letter of credit balance of $6.8 million under our revolving credit facility and an average unused line of credit balance of $62.9 million under our revolving credit facility.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3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2660" w:type="dxa"/>
            <w:vAlign w:val="bottom"/>
            <w:gridSpan w:val="4"/>
          </w:tcPr>
          <w:p>
            <w:pPr>
              <w:jc w:val="right"/>
              <w:spacing w:after="0"/>
              <w:rPr>
                <w:sz w:val="20"/>
                <w:szCs w:val="20"/>
                <w:color w:val="auto"/>
              </w:rPr>
            </w:pPr>
            <w:r>
              <w:rPr>
                <w:rFonts w:ascii="Arial" w:cs="Arial" w:eastAsia="Arial" w:hAnsi="Arial"/>
                <w:sz w:val="18"/>
                <w:szCs w:val="18"/>
                <w:color w:val="auto"/>
              </w:rPr>
              <w:t>Nine Months Ended June 30,</w:t>
            </w:r>
          </w:p>
        </w:tc>
        <w:tc>
          <w:tcPr>
            <w:tcW w:w="52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7"/>
        </w:trPr>
        <w:tc>
          <w:tcPr>
            <w:tcW w:w="8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gridSpan w:val="3"/>
          </w:tcPr>
          <w:p>
            <w:pPr>
              <w:jc w:val="right"/>
              <w:ind w:right="510"/>
              <w:spacing w:after="0"/>
              <w:rPr>
                <w:sz w:val="20"/>
                <w:szCs w:val="20"/>
                <w:color w:val="auto"/>
              </w:rPr>
            </w:pPr>
            <w:r>
              <w:rPr>
                <w:rFonts w:ascii="Arial" w:cs="Arial" w:eastAsia="Arial" w:hAnsi="Arial"/>
                <w:sz w:val="16"/>
                <w:szCs w:val="16"/>
                <w:color w:val="auto"/>
                <w:w w:val="99"/>
              </w:rPr>
              <w:t>(In thousands)</w:t>
            </w:r>
          </w:p>
        </w:tc>
        <w:tc>
          <w:tcPr>
            <w:tcW w:w="52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1,213</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Deferred financing charges</w:t>
            </w:r>
          </w:p>
        </w:tc>
        <w:tc>
          <w:tcPr>
            <w:tcW w:w="102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8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1,427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8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and other expense, net</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1,404</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1,175</w:t>
            </w:r>
          </w:p>
        </w:tc>
      </w:tr>
      <w:tr>
        <w:trPr>
          <w:trHeight w:val="20"/>
        </w:trPr>
        <w:tc>
          <w:tcPr>
            <w:tcW w:w="8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June 30, 2019, we incurred interest expense of $1.5 million primarily comprised of interest expense from our revolving credit facility, an average letter of credit balance of $6.6 million under our revolving credit facility and an average unused line of credit balance of $68.1 million under our revolving credit facility. This compares to interest expense of $1.4 million for the nine months ended June 30, 2018, primarily comprised of interest expense from our revolving credit facility, an average letter of credit balance of $6.6 million under our revolving credit facility and an average unused line of credit balance of $63.2 million under our revolving credit facility.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income tax benefit of $1.2 million for the three months ended June 30, 2019, compared to income tax expense of $1.0 million for the three months ended June 30, 2018. For the three months ended June 30, 2019 and 2018, our income tax expense was offset by benefits of $4.0 million and $1.8 million, respectively, associated with the recognition of previously unrecognized tax benefits.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income tax expense of $3.0 million for the nine months ended June 30, 2019, compared to income tax expense of $34.6 million for the nine months ended June 30, 2018. For the nine months ended June 30, 2019 and 2018, our income tax expense was offset by benefits of $4.0 million and $1.8 million, respectively, associated with the recognition of previously unrecognized tax benefits.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June 30, 2018, our income tax expense included a charge of $31.5 million to re-measure our deferred tax assets and liabilities to reflect the impact of the new statutory tax rate enacted during the nine months ended June 30, 2018. The Company completed its accounting for the income tax effects of the Tax Cuts and Jobs Act and fully recorded the impact in the year ended September 30,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Condensed Consolidated Financial Statements included in this report on Form 10-Q, which have been prepared in accordance with U.S. generally accepted accounting principles.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same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BACKLOG</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635"/>
        </w:trPr>
        <w:tc>
          <w:tcPr>
            <w:tcW w:w="50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June 30,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w w:val="89"/>
              </w:rPr>
              <w:t>September 30,</w:t>
            </w:r>
          </w:p>
        </w:tc>
      </w:tr>
      <w:tr>
        <w:trPr>
          <w:trHeight w:val="270"/>
        </w:trPr>
        <w:tc>
          <w:tcPr>
            <w:tcW w:w="504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2018</w:t>
            </w:r>
          </w:p>
        </w:tc>
      </w:tr>
      <w:tr>
        <w:trPr>
          <w:trHeight w:val="27"/>
        </w:trPr>
        <w:tc>
          <w:tcPr>
            <w:tcW w:w="50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Remaining performance obligations</w:t>
            </w:r>
          </w:p>
        </w:tc>
        <w:tc>
          <w:tcPr>
            <w:tcW w:w="118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r>
        <w:trPr>
          <w:trHeight w:val="270"/>
        </w:trPr>
        <w:tc>
          <w:tcPr>
            <w:tcW w:w="5040" w:type="dxa"/>
            <w:vAlign w:val="bottom"/>
            <w:tcBorders>
              <w:bottom w:val="single" w:sz="8" w:color="CCEEFF"/>
            </w:tcBorders>
          </w:tcPr>
          <w:p>
            <w:pPr>
              <w:ind w:left="60"/>
              <w:spacing w:after="0" w:line="270" w:lineRule="exact"/>
              <w:rPr>
                <w:sz w:val="20"/>
                <w:szCs w:val="20"/>
                <w:color w:val="auto"/>
              </w:rPr>
            </w:pPr>
            <w:r>
              <w:rPr>
                <w:rFonts w:ascii="Arial" w:cs="Arial" w:eastAsia="Arial" w:hAnsi="Arial"/>
                <w:sz w:val="18"/>
                <w:szCs w:val="18"/>
                <w:color w:val="auto"/>
              </w:rPr>
              <w:t xml:space="preserve">Agreements without an enforceable obligation </w:t>
            </w:r>
            <w:r>
              <w:rPr>
                <w:rFonts w:ascii="Arial" w:cs="Arial" w:eastAsia="Arial" w:hAnsi="Arial"/>
                <w:sz w:val="25"/>
                <w:szCs w:val="25"/>
                <w:color w:val="auto"/>
                <w:vertAlign w:val="superscript"/>
              </w:rPr>
              <w:t>(1)</w:t>
            </w:r>
          </w:p>
        </w:tc>
        <w:tc>
          <w:tcPr>
            <w:tcW w:w="11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r>
      <w:tr>
        <w:trPr>
          <w:trHeight w:val="257"/>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Backlog</w:t>
            </w:r>
          </w:p>
        </w:tc>
        <w:tc>
          <w:tcPr>
            <w:tcW w:w="118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20"/>
        </w:trPr>
        <w:tc>
          <w:tcPr>
            <w:tcW w:w="5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ind w:left="60" w:right="200" w:firstLine="2"/>
        <w:spacing w:after="0" w:line="280" w:lineRule="auto"/>
        <w:tabs>
          <w:tab w:leader="none" w:pos="29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30" w:right="239" w:bottom="1440" w:gutter="0" w:footer="0" w:header="0"/>
        </w:sectPr>
      </w:pPr>
    </w:p>
    <w:bookmarkStart w:id="32" w:name="page33"/>
    <w:bookmarkEnd w:id="32"/>
    <w:p>
      <w:pPr>
        <w:ind w:right="100"/>
        <w:spacing w:after="0" w:line="337" w:lineRule="auto"/>
        <w:rPr>
          <w:sz w:val="20"/>
          <w:szCs w:val="20"/>
          <w:color w:val="auto"/>
        </w:rPr>
      </w:pPr>
      <w:r>
        <w:rPr>
          <w:rFonts w:ascii="Arial" w:cs="Arial" w:eastAsia="Arial" w:hAnsi="Arial"/>
          <w:sz w:val="16"/>
          <w:szCs w:val="16"/>
          <w:color w:val="auto"/>
        </w:rPr>
        <w:t>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 needed basis. Additionally, electrical installation services for single-family housing at our Residential segment is completed on a short-term basis and is therefore excluded from backlog. In addition, certain service work is performed under master service agreements on an as-needed basis and is therefore excluded from backlog. Our backlog has increased from $482 million at September 30, 2018, to $546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at June 30, 2019.</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June 30, 2019, working capital exclusive of cash increased by $13.6 million from September 30, 2018, reflecting a $35.5 million increase in current assets excluding cash and a $21.8 million increase in current liabilities during the period, reflecting a continued investment in growing our business.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June 30, 2019, our current assets exclusive of cash increased to $271.9 million, as compared to $236.4 million as of September 30, 2018. The increase primarily relates to a $24.9 million increase in accounts receivable, in connection with growth in our business. Days sales outstanding decreased to 61 at June 30, 2019, from 62 at September 30, 2018. While the rate of collections may vary, our typically secured position, resulting from our ability in general to secure liens against our customers’ overdue receivables, offers some protection that collection will occur eventually to the extent that our security retains value.</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nine months ended June 30, 2019, our total current liabilities increased by $21.8 million to $186.3 million, compared to $164.4 million as of September 30, 2018, primarily related to an increase in accounts payable and accrued liabilities in connection with the growth of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the bonding capacity presently provided by our sureties is adequate for our current operations and will be adequate for our operations for the foreseeable future. As of June 30, 2019, the estimated cost to complete our bonded projects was approximately $89.8 million.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Revolving Credit Facility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$100 million revolving credit facility with Wells Fargo that matures August 9, 2021, pursuant to a Second Amended and Restated Credit and Security Agreement with Wells Fargo dated as of April 10, 2017, which was amended on July 14, 2017, August 2, 2017, July 23, 2018 and May 17, 2019 (as amended, the “Amended Credit Agreement”). The Fourth Amendment to the Second Amended and Restated Credit and Security Agreement, which was entered into on May 20, 2019, permits the Company to repurchase up to 1.0 million additional shares of common stock pursuant to its previously authorized stock repurchase program for an aggregate purchase price (including for any remaining shares under the previous share repurchase authorization) not to exceed $25.0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Amended Credit Agreement contains customary affirmative, negative and financial covenants as well as events of default.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we were in compliance with the financial covenants under the Amended Credit Agreement, requiring that we maintain:</w:t>
      </w:r>
    </w:p>
    <w:p>
      <w:pPr>
        <w:spacing w:after="0" w:line="225" w:lineRule="exact"/>
        <w:rPr>
          <w:sz w:val="20"/>
          <w:szCs w:val="20"/>
          <w:color w:val="auto"/>
        </w:rPr>
      </w:pPr>
    </w:p>
    <w:p>
      <w:pPr>
        <w:ind w:left="1540" w:hanging="330"/>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Fixed Charge Coverage Ratio (as defined in the Amended Credit Agreement), measured quarterly on a trailing four-quarter basis at the end of each quarter, of at least 1.1 to 1.0; and</w:t>
      </w:r>
    </w:p>
    <w:p>
      <w:pPr>
        <w:spacing w:after="0" w:line="170" w:lineRule="exact"/>
        <w:rPr>
          <w:rFonts w:ascii="Arial" w:cs="Arial" w:eastAsia="Arial" w:hAnsi="Arial"/>
          <w:sz w:val="18"/>
          <w:szCs w:val="18"/>
          <w:color w:val="auto"/>
        </w:rPr>
      </w:pPr>
    </w:p>
    <w:p>
      <w:pPr>
        <w:jc w:val="both"/>
        <w:ind w:left="1540" w:hanging="330"/>
        <w:spacing w:after="0" w:line="264"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Liquidity (as defined in the Amended Credit Agreement) of at least thirty percent (30%) of the Maximum Revolver Amount (as defined in the Amended Credit Agreement), or $30 million; with, for purposes of this covenant, at least fifty percent (50%) of our Liquidity comprised of Excess Availability (as defined in the Amended Credit Agreement).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2019, our Liquidity was $98.1 million, our Excess Availability was $85.0 million (or greater than 50% of minimum Liquidity), and our Fixed Charge Coverage Ratio was 4.7:1.0. Because our Excess Availability at June 30, 2019, exceeded $30 million, we were not required to comply with minimum EBITDA financial covenant of the Amended Credit Agreement, which would have required that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11" w:right="239" w:bottom="1440" w:gutter="0" w:footer="0" w:header="0"/>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color w:val="auto"/>
        </w:rPr>
        <w:t>have a minimum EBITDA for the four quarters ended June 30, 2019, of $35 million. Our EBITDA, as defined in the Amended Credit Agreement for the four quarters ended June 30, 2019, was $48.7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 the future our Liquidity falls below $30 million (or Excess Availability falls below 50% or our minimum Liquidity), our Fixed Charge Coverage Ratio is less than 1.1:1.0, we fail to meet our minimum EBITDA requirement when it is required to be tested, or if we otherwise fail to perform or otherwise comply with certain of our covenants or other agreements under the Amended Credit Agreement, it would result in an event of default under the Amended Credit Agreement, which could result in some or all of our indebtedness becoming immediately due and payable.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we had $6.6 million in outstanding letters of credit with Wells Fargo and outstanding borrowings of $10.4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activities provided net cash of $20.3 million during the nine months ended June 30, 2019, as compared to $5.0 million of net cash provided in the nine months ended June 30, 2018. The increase in operating cash flow resulted primarily from an increase in earnings, partly offset by an increase in working capital in support of our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$5.1 million for the nine months ended June 30, 2019, compared with $9.3 million for the nine months ended June 30, 2018. We used cash of $5.2 million for purchases of fixed assets in the nine months ended June 30, 2019. For the nine months ended June 30, 2018, we used $3.4 million of cash for the purchase of fixed assets, and $6.0 in connection with a business combination.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for the nine months ended June 30, 2019 was $28.3 million, compared with $2.3 million in the nine months ended June 30, 2018. For the nine months ended June 30, 2019, we used $42.3 million to repay a portion of our revolving credit facility, partly offset by $22.5 of additional borrowings. We also used $8.3 million to repurchase our shares to satisfy statutory withholding requirements upon the vesting of employee stock compensation, as well as in conjunction with our stock repurchase plan. For the nine months ended June 30, 2018, we used $2.1 million to repurchase our shares to satisfy statutory withholding requirements upon the vesting of employee stock compensation, as well as market repurchases under our stock repurchase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2015, our Board of Directors authorized a stock repurchase program for the purchase from time to time of up to 1.5 million shares of the Company’s common stock, and on May 2, 2019 authorized the repurchase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398,947 shares pursuant to this program during the nine months ended June 30, 2019.</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in our contractual obligations and commitments from those disclosed in our Annual Report on Form 10-K for the fiscal year ended September 30,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debt obligations on the Amended Credit Agreement. For additional information see </w:t>
      </w:r>
      <w:r>
        <w:rPr>
          <w:rFonts w:ascii="Arial" w:cs="Arial" w:eastAsia="Arial" w:hAnsi="Arial"/>
          <w:sz w:val="18"/>
          <w:szCs w:val="18"/>
          <w:i w:val="1"/>
          <w:iCs w:val="1"/>
          <w:color w:val="auto"/>
        </w:rPr>
        <w:t>“Disclosure Regarding Forward-Looking Statements”</w:t>
      </w:r>
      <w:r>
        <w:rPr>
          <w:rFonts w:ascii="Arial" w:cs="Arial" w:eastAsia="Arial" w:hAnsi="Arial"/>
          <w:sz w:val="18"/>
          <w:szCs w:val="18"/>
          <w:color w:val="auto"/>
        </w:rPr>
        <w:t xml:space="preserve"> in Part I of this Quarterly Report on Form 10-Q and our risk factors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September 30,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 The Company has not entered into any commodity price risk hedging instruments.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interest rate risk on our floating interest rate borrowings on the Amended Credit Agreement. If LIBOR were to increase, our interest payment obligations on outstanding borrowings would increase, having a negative effect on our cash flow and financial condition. We currently do not maintain any hedging contracts that would limit our exposure to variable rates of interest when we have outstanding borrowings. Floating rate debt, where the interest rate fluctuates periodically, exposes us to short-term changes in market interest rates.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the long-term debt outstanding under our revolving credit facility is structured on floating interest rate terms. A one percentage point increase in the interest rates on our long-term debt outstanding under our revolving credit facility as of June 30, 2019, would cause a $0.1 million pre-tax annual increase in interest expense.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June 30, 2019,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For information regarding legal proceedings, see Note 13</w:t>
      </w:r>
      <w:r>
        <w:rPr>
          <w:rFonts w:ascii="Arial" w:cs="Arial" w:eastAsia="Arial" w:hAnsi="Arial"/>
          <w:sz w:val="21"/>
          <w:szCs w:val="21"/>
          <w:color w:val="auto"/>
        </w:rPr>
        <w:t>, “</w:t>
      </w:r>
      <w:r>
        <w:rPr>
          <w:rFonts w:ascii="Arial" w:cs="Arial" w:eastAsia="Arial" w:hAnsi="Arial"/>
          <w:sz w:val="18"/>
          <w:szCs w:val="18"/>
          <w:color w:val="auto"/>
        </w:rPr>
        <w:t xml:space="preserve">Commitments and Contingencies </w:t>
      </w:r>
      <w:r>
        <w:rPr>
          <w:rFonts w:ascii="Arial" w:cs="Arial" w:eastAsia="Arial" w:hAnsi="Arial"/>
          <w:sz w:val="21"/>
          <w:szCs w:val="21"/>
          <w:color w:val="auto"/>
        </w:rPr>
        <w:t>–</w:t>
      </w:r>
      <w:r>
        <w:rPr>
          <w:rFonts w:ascii="Arial" w:cs="Arial" w:eastAsia="Arial" w:hAnsi="Arial"/>
          <w:sz w:val="18"/>
          <w:szCs w:val="18"/>
          <w:color w:val="auto"/>
        </w:rPr>
        <w:t xml:space="preserve"> Legal Matters” in the Notes to our Condensed Consolidated Financial Statements set forth in Part I, Item 1 of this Quarterly Report on Form 10-Q, which is incorporated herein by reference.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material changes to the risk factors disclosed under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September 30,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with respect to purchases of common stock of the Company made during the three months ended June 30, 2019:</w:t>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Date</w:t>
            </w:r>
          </w:p>
        </w:tc>
        <w:tc>
          <w:tcPr>
            <w:tcW w:w="2240" w:type="dxa"/>
            <w:vAlign w:val="bottom"/>
          </w:tcPr>
          <w:p>
            <w:pPr>
              <w:jc w:val="center"/>
              <w:ind w:left="670"/>
              <w:spacing w:after="0"/>
              <w:rPr>
                <w:sz w:val="20"/>
                <w:szCs w:val="20"/>
                <w:color w:val="auto"/>
              </w:rPr>
            </w:pPr>
            <w:r>
              <w:rPr>
                <w:rFonts w:ascii="Arial" w:cs="Arial" w:eastAsia="Arial" w:hAnsi="Arial"/>
                <w:sz w:val="18"/>
                <w:szCs w:val="18"/>
                <w:color w:val="auto"/>
                <w:w w:val="92"/>
              </w:rPr>
              <w:t>Total Number of</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w w:val="97"/>
              </w:rPr>
              <w:t>Average Price</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Maximum Number of Shares</w:t>
            </w:r>
          </w:p>
        </w:tc>
      </w:tr>
      <w:tr>
        <w:trPr>
          <w:trHeight w:val="216"/>
        </w:trPr>
        <w:tc>
          <w:tcPr>
            <w:tcW w:w="3080" w:type="dxa"/>
            <w:vAlign w:val="bottom"/>
          </w:tcPr>
          <w:p>
            <w:pPr>
              <w:spacing w:after="0"/>
              <w:rPr>
                <w:sz w:val="18"/>
                <w:szCs w:val="18"/>
                <w:color w:val="auto"/>
              </w:rPr>
            </w:pPr>
          </w:p>
        </w:tc>
        <w:tc>
          <w:tcPr>
            <w:tcW w:w="2240" w:type="dxa"/>
            <w:vAlign w:val="bottom"/>
          </w:tcPr>
          <w:p>
            <w:pPr>
              <w:jc w:val="center"/>
              <w:ind w:left="650"/>
              <w:spacing w:after="0"/>
              <w:rPr>
                <w:sz w:val="20"/>
                <w:szCs w:val="20"/>
                <w:color w:val="auto"/>
              </w:rPr>
            </w:pPr>
            <w:r>
              <w:rPr>
                <w:rFonts w:ascii="Arial" w:cs="Arial" w:eastAsia="Arial" w:hAnsi="Arial"/>
                <w:sz w:val="18"/>
                <w:szCs w:val="18"/>
                <w:color w:val="auto"/>
                <w:w w:val="85"/>
              </w:rPr>
              <w:t>Shares Purchased</w:t>
            </w:r>
          </w:p>
        </w:tc>
        <w:tc>
          <w:tcPr>
            <w:tcW w:w="1220" w:type="dxa"/>
            <w:vAlign w:val="bottom"/>
          </w:tcPr>
          <w:p>
            <w:pPr>
              <w:jc w:val="right"/>
              <w:spacing w:after="0"/>
              <w:rPr>
                <w:sz w:val="20"/>
                <w:szCs w:val="20"/>
                <w:color w:val="auto"/>
              </w:rPr>
            </w:pPr>
            <w:r>
              <w:rPr>
                <w:rFonts w:ascii="Arial" w:cs="Arial" w:eastAsia="Arial" w:hAnsi="Arial"/>
                <w:sz w:val="18"/>
                <w:szCs w:val="18"/>
                <w:color w:val="auto"/>
                <w:w w:val="91"/>
              </w:rPr>
              <w:t>Paid Per Share</w:t>
            </w:r>
          </w:p>
        </w:tc>
        <w:tc>
          <w:tcPr>
            <w:tcW w:w="1880" w:type="dxa"/>
            <w:vAlign w:val="bottom"/>
          </w:tcPr>
          <w:p>
            <w:pPr>
              <w:jc w:val="center"/>
              <w:spacing w:after="0"/>
              <w:rPr>
                <w:sz w:val="20"/>
                <w:szCs w:val="20"/>
                <w:color w:val="auto"/>
              </w:rPr>
            </w:pPr>
            <w:r>
              <w:rPr>
                <w:rFonts w:ascii="Arial" w:cs="Arial" w:eastAsia="Arial" w:hAnsi="Arial"/>
                <w:sz w:val="18"/>
                <w:szCs w:val="18"/>
                <w:color w:val="auto"/>
                <w:w w:val="86"/>
              </w:rPr>
              <w:t>Purchased as Part of a</w:t>
            </w: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That May Yet Be Purchased</w:t>
            </w:r>
          </w:p>
        </w:tc>
      </w:tr>
      <w:tr>
        <w:trPr>
          <w:trHeight w:val="216"/>
        </w:trPr>
        <w:tc>
          <w:tcPr>
            <w:tcW w:w="3080" w:type="dxa"/>
            <w:vAlign w:val="bottom"/>
          </w:tcPr>
          <w:p>
            <w:pPr>
              <w:spacing w:after="0"/>
              <w:rPr>
                <w:sz w:val="18"/>
                <w:szCs w:val="18"/>
                <w:color w:val="auto"/>
              </w:rPr>
            </w:pPr>
          </w:p>
        </w:tc>
        <w:tc>
          <w:tcPr>
            <w:tcW w:w="2240" w:type="dxa"/>
            <w:vAlign w:val="bottom"/>
          </w:tcPr>
          <w:p>
            <w:pPr>
              <w:jc w:val="center"/>
              <w:ind w:left="650"/>
              <w:spacing w:after="0"/>
              <w:rPr>
                <w:sz w:val="20"/>
                <w:szCs w:val="20"/>
                <w:color w:val="auto"/>
              </w:rPr>
            </w:pPr>
            <w:r>
              <w:rPr>
                <w:rFonts w:ascii="Arial" w:cs="Arial" w:eastAsia="Arial" w:hAnsi="Arial"/>
                <w:sz w:val="18"/>
                <w:szCs w:val="18"/>
                <w:color w:val="auto"/>
                <w:w w:val="99"/>
              </w:rPr>
              <w:t>(1)</w:t>
            </w:r>
          </w:p>
        </w:tc>
        <w:tc>
          <w:tcPr>
            <w:tcW w:w="12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Publicly Announced</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Under the Publicly Announced</w:t>
            </w:r>
          </w:p>
        </w:tc>
      </w:tr>
      <w:tr>
        <w:trPr>
          <w:trHeight w:val="230"/>
        </w:trPr>
        <w:tc>
          <w:tcPr>
            <w:tcW w:w="30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Plan as of June 30, 2019 (2)</w:t>
            </w:r>
          </w:p>
        </w:tc>
      </w:tr>
      <w:tr>
        <w:trPr>
          <w:trHeight w:val="27"/>
        </w:trPr>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2019 – April 30, 2019</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481,302</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May 1, 2019 – May 31, 2019</w:t>
            </w:r>
          </w:p>
        </w:tc>
        <w:tc>
          <w:tcPr>
            <w:tcW w:w="2240" w:type="dxa"/>
            <w:vAlign w:val="bottom"/>
          </w:tcPr>
          <w:p>
            <w:pPr>
              <w:jc w:val="right"/>
              <w:spacing w:after="0"/>
              <w:rPr>
                <w:sz w:val="20"/>
                <w:szCs w:val="20"/>
                <w:color w:val="auto"/>
              </w:rPr>
            </w:pPr>
            <w:r>
              <w:rPr>
                <w:rFonts w:ascii="Arial" w:cs="Arial" w:eastAsia="Arial" w:hAnsi="Arial"/>
                <w:sz w:val="18"/>
                <w:szCs w:val="18"/>
                <w:color w:val="auto"/>
              </w:rPr>
              <w:t>44,104</w:t>
            </w:r>
          </w:p>
        </w:tc>
        <w:tc>
          <w:tcPr>
            <w:tcW w:w="1220" w:type="dxa"/>
            <w:vAlign w:val="bottom"/>
          </w:tcPr>
          <w:p>
            <w:pPr>
              <w:jc w:val="right"/>
              <w:spacing w:after="0"/>
              <w:rPr>
                <w:sz w:val="20"/>
                <w:szCs w:val="20"/>
                <w:color w:val="auto"/>
              </w:rPr>
            </w:pPr>
            <w:r>
              <w:rPr>
                <w:rFonts w:ascii="Arial" w:cs="Arial" w:eastAsia="Arial" w:hAnsi="Arial"/>
                <w:sz w:val="18"/>
                <w:szCs w:val="18"/>
                <w:color w:val="auto"/>
              </w:rPr>
              <w:t>$18.11</w:t>
            </w:r>
          </w:p>
        </w:tc>
        <w:tc>
          <w:tcPr>
            <w:tcW w:w="1880" w:type="dxa"/>
            <w:vAlign w:val="bottom"/>
          </w:tcPr>
          <w:p>
            <w:pPr>
              <w:jc w:val="right"/>
              <w:spacing w:after="0"/>
              <w:rPr>
                <w:sz w:val="20"/>
                <w:szCs w:val="20"/>
                <w:color w:val="auto"/>
              </w:rPr>
            </w:pPr>
            <w:r>
              <w:rPr>
                <w:rFonts w:ascii="Arial" w:cs="Arial" w:eastAsia="Arial" w:hAnsi="Arial"/>
                <w:sz w:val="18"/>
                <w:szCs w:val="18"/>
                <w:color w:val="auto"/>
              </w:rPr>
              <w:t>44,104</w:t>
            </w:r>
          </w:p>
        </w:tc>
        <w:tc>
          <w:tcPr>
            <w:tcW w:w="2340" w:type="dxa"/>
            <w:vAlign w:val="bottom"/>
          </w:tcPr>
          <w:p>
            <w:pPr>
              <w:jc w:val="right"/>
              <w:spacing w:after="0"/>
              <w:rPr>
                <w:sz w:val="20"/>
                <w:szCs w:val="20"/>
                <w:color w:val="auto"/>
              </w:rPr>
            </w:pPr>
            <w:r>
              <w:rPr>
                <w:rFonts w:ascii="Arial" w:cs="Arial" w:eastAsia="Arial" w:hAnsi="Arial"/>
                <w:sz w:val="18"/>
                <w:szCs w:val="18"/>
                <w:color w:val="auto"/>
              </w:rPr>
              <w:t>1,437,198</w:t>
            </w:r>
          </w:p>
        </w:tc>
      </w:tr>
      <w:tr>
        <w:trPr>
          <w:trHeight w:val="27"/>
        </w:trPr>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2019 – June 30, 2019</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111,341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111,341</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1,325,857</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Total</w:t>
            </w:r>
          </w:p>
        </w:tc>
        <w:tc>
          <w:tcPr>
            <w:tcW w:w="2240" w:type="dxa"/>
            <w:vAlign w:val="bottom"/>
          </w:tcPr>
          <w:p>
            <w:pPr>
              <w:jc w:val="right"/>
              <w:spacing w:after="0"/>
              <w:rPr>
                <w:sz w:val="20"/>
                <w:szCs w:val="20"/>
                <w:color w:val="auto"/>
              </w:rPr>
            </w:pPr>
            <w:r>
              <w:rPr>
                <w:rFonts w:ascii="Arial" w:cs="Arial" w:eastAsia="Arial" w:hAnsi="Arial"/>
                <w:sz w:val="18"/>
                <w:szCs w:val="18"/>
                <w:color w:val="auto"/>
              </w:rPr>
              <w:t>162,993</w:t>
            </w:r>
          </w:p>
        </w:tc>
        <w:tc>
          <w:tcPr>
            <w:tcW w:w="1220" w:type="dxa"/>
            <w:vAlign w:val="bottom"/>
          </w:tcPr>
          <w:p>
            <w:pPr>
              <w:jc w:val="right"/>
              <w:spacing w:after="0"/>
              <w:rPr>
                <w:sz w:val="20"/>
                <w:szCs w:val="20"/>
                <w:color w:val="auto"/>
              </w:rPr>
            </w:pPr>
            <w:r>
              <w:rPr>
                <w:rFonts w:ascii="Arial" w:cs="Arial" w:eastAsia="Arial" w:hAnsi="Arial"/>
                <w:sz w:val="18"/>
                <w:szCs w:val="18"/>
                <w:color w:val="auto"/>
              </w:rPr>
              <w:t>$17.88</w:t>
            </w:r>
          </w:p>
        </w:tc>
        <w:tc>
          <w:tcPr>
            <w:tcW w:w="1880" w:type="dxa"/>
            <w:vAlign w:val="bottom"/>
          </w:tcPr>
          <w:p>
            <w:pPr>
              <w:jc w:val="right"/>
              <w:spacing w:after="0"/>
              <w:rPr>
                <w:sz w:val="20"/>
                <w:szCs w:val="20"/>
                <w:color w:val="auto"/>
              </w:rPr>
            </w:pPr>
            <w:r>
              <w:rPr>
                <w:rFonts w:ascii="Arial" w:cs="Arial" w:eastAsia="Arial" w:hAnsi="Arial"/>
                <w:sz w:val="18"/>
                <w:szCs w:val="18"/>
                <w:color w:val="auto"/>
              </w:rPr>
              <w:t>162,993</w:t>
            </w:r>
          </w:p>
        </w:tc>
        <w:tc>
          <w:tcPr>
            <w:tcW w:w="2340" w:type="dxa"/>
            <w:vAlign w:val="bottom"/>
          </w:tcPr>
          <w:p>
            <w:pPr>
              <w:jc w:val="right"/>
              <w:spacing w:after="0"/>
              <w:rPr>
                <w:sz w:val="20"/>
                <w:szCs w:val="20"/>
                <w:color w:val="auto"/>
              </w:rPr>
            </w:pPr>
            <w:r>
              <w:rPr>
                <w:rFonts w:ascii="Arial" w:cs="Arial" w:eastAsia="Arial" w:hAnsi="Arial"/>
                <w:sz w:val="18"/>
                <w:szCs w:val="18"/>
                <w:color w:val="auto"/>
              </w:rPr>
              <w:t>1,325,857</w:t>
            </w:r>
          </w:p>
        </w:tc>
      </w:tr>
    </w:tbl>
    <w:p>
      <w:pPr>
        <w:spacing w:after="0" w:line="21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total number of shares purchased includes shares purchased pursuant to the plan described in footnote (2) below.</w:t>
      </w:r>
    </w:p>
    <w:p>
      <w:pPr>
        <w:spacing w:after="0" w:line="21" w:lineRule="exact"/>
        <w:rPr>
          <w:rFonts w:ascii="Arial" w:cs="Arial" w:eastAsia="Arial" w:hAnsi="Arial"/>
          <w:sz w:val="14"/>
          <w:szCs w:val="14"/>
          <w:color w:val="auto"/>
        </w:rPr>
      </w:pPr>
    </w:p>
    <w:p>
      <w:pPr>
        <w:ind w:left="660" w:right="280" w:hanging="328"/>
        <w:spacing w:after="0" w:line="26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2015, our Board of Directors authorized a stock repurchase program for the purchase of up to 1.5 million shares of the Company’s common stock from time to time, and on May 2, 2019, authorized the repurchase of up to an additional 1.0 million shares of the Company’s common stock under the stock repurchase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64"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3040" w:type="dxa"/>
            <w:vAlign w:val="bottom"/>
            <w:gridSpan w:val="3"/>
          </w:tcPr>
          <w:p>
            <w:pPr>
              <w:spacing w:after="0"/>
              <w:rPr>
                <w:sz w:val="20"/>
                <w:szCs w:val="20"/>
                <w:color w:val="auto"/>
              </w:rPr>
            </w:pPr>
            <w:r>
              <w:rPr>
                <w:rFonts w:ascii="Arial" w:cs="Arial" w:eastAsia="Arial" w:hAnsi="Arial"/>
                <w:sz w:val="16"/>
                <w:szCs w:val="16"/>
                <w:b w:val="1"/>
                <w:bCs w:val="1"/>
                <w:color w:val="auto"/>
              </w:rPr>
              <w:t>Exhibit</w:t>
            </w:r>
          </w:p>
        </w:tc>
        <w:tc>
          <w:tcPr>
            <w:tcW w:w="3340" w:type="dxa"/>
            <w:vAlign w:val="bottom"/>
            <w:gridSpan w:val="2"/>
          </w:tcPr>
          <w:p>
            <w:pPr>
              <w:ind w:left="2540"/>
              <w:spacing w:after="0"/>
              <w:rPr>
                <w:sz w:val="20"/>
                <w:szCs w:val="20"/>
                <w:color w:val="auto"/>
              </w:rPr>
            </w:pPr>
            <w:r>
              <w:rPr>
                <w:rFonts w:ascii="Arial" w:cs="Arial" w:eastAsia="Arial" w:hAnsi="Arial"/>
                <w:sz w:val="16"/>
                <w:szCs w:val="16"/>
                <w:b w:val="1"/>
                <w:bCs w:val="1"/>
                <w:color w:val="auto"/>
                <w:w w:val="88"/>
              </w:rPr>
              <w:t>Description</w:t>
            </w:r>
          </w:p>
        </w:tc>
      </w:tr>
      <w:tr>
        <w:trPr>
          <w:trHeight w:val="196"/>
        </w:trPr>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5"/>
              </w:rPr>
              <w:t>No.</w:t>
            </w:r>
          </w:p>
        </w:tc>
        <w:tc>
          <w:tcPr>
            <w:tcW w:w="26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47" w:lineRule="exact"/>
        <w:rPr>
          <w:sz w:val="20"/>
          <w:szCs w:val="20"/>
          <w:color w:val="auto"/>
        </w:rPr>
      </w:pPr>
    </w:p>
    <w:p>
      <w:pPr>
        <w:jc w:val="both"/>
        <w:ind w:left="1520" w:hanging="458"/>
        <w:spacing w:after="0" w:line="264" w:lineRule="auto"/>
        <w:rPr>
          <w:rFonts w:ascii="Arial" w:cs="Arial" w:eastAsia="Arial" w:hAnsi="Arial"/>
          <w:sz w:val="18"/>
          <w:szCs w:val="18"/>
          <w:u w:val="single" w:color="auto"/>
          <w:color w:val="0000FF"/>
        </w:rPr>
      </w:pPr>
      <w:r>
        <w:rPr>
          <w:rFonts w:ascii="Arial" w:cs="Arial" w:eastAsia="Arial" w:hAnsi="Arial"/>
          <w:sz w:val="16"/>
          <w:szCs w:val="16"/>
          <w:color w:val="auto"/>
        </w:rPr>
        <w:t xml:space="preserve">3.1 — </w:t>
      </w:r>
      <w:hyperlink r:id="rId32">
        <w:r>
          <w:rPr>
            <w:rFonts w:ascii="Arial" w:cs="Arial" w:eastAsia="Arial" w:hAnsi="Arial"/>
            <w:sz w:val="18"/>
            <w:szCs w:val="18"/>
            <w:u w:val="single" w:color="auto"/>
            <w:color w:val="0000FF"/>
          </w:rPr>
          <w:t>Second Amended and Restated Certificate of Incorporation of IES Holdings, Inc., as amended by the Certificate of Amendment thereto,</w:t>
        </w:r>
      </w:hyperlink>
      <w:r>
        <w:rPr>
          <w:rFonts w:ascii="Arial" w:cs="Arial" w:eastAsia="Arial" w:hAnsi="Arial"/>
          <w:sz w:val="16"/>
          <w:szCs w:val="16"/>
          <w:color w:val="auto"/>
        </w:rPr>
        <w:t xml:space="preserve"> </w:t>
      </w:r>
      <w:hyperlink r:id="rId32">
        <w:r>
          <w:rPr>
            <w:rFonts w:ascii="Arial" w:cs="Arial" w:eastAsia="Arial" w:hAnsi="Arial"/>
            <w:sz w:val="18"/>
            <w:szCs w:val="18"/>
            <w:u w:val="single" w:color="auto"/>
            <w:color w:val="0000FF"/>
          </w:rPr>
          <w:t>effective May 24, 2016 (composite). (Incorporated by reference to Exhibit 3.1 to the Company’s Quarterly Report on Form 10-Q filed</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on August 8, 2016)</w:t>
        </w:r>
      </w:hyperlink>
    </w:p>
    <w:p>
      <w:pPr>
        <w:spacing w:after="0" w:line="19" w:lineRule="exact"/>
        <w:rPr>
          <w:rFonts w:ascii="Arial" w:cs="Arial" w:eastAsia="Arial" w:hAnsi="Arial"/>
          <w:sz w:val="16"/>
          <w:szCs w:val="16"/>
          <w:color w:val="auto"/>
        </w:rPr>
      </w:pPr>
    </w:p>
    <w:p>
      <w:pPr>
        <w:jc w:val="both"/>
        <w:ind w:left="1520" w:right="20" w:hanging="458"/>
        <w:spacing w:after="0" w:line="277" w:lineRule="auto"/>
        <w:rPr>
          <w:rFonts w:ascii="Arial" w:cs="Arial" w:eastAsia="Arial" w:hAnsi="Arial"/>
          <w:sz w:val="18"/>
          <w:szCs w:val="18"/>
          <w:u w:val="single" w:color="auto"/>
          <w:color w:val="0000FF"/>
        </w:rPr>
      </w:pPr>
      <w:r>
        <w:rPr>
          <w:rFonts w:ascii="Arial" w:cs="Arial" w:eastAsia="Arial" w:hAnsi="Arial"/>
          <w:sz w:val="16"/>
          <w:szCs w:val="16"/>
          <w:color w:val="auto"/>
        </w:rPr>
        <w:t xml:space="preserve">3.2 — </w:t>
      </w:r>
      <w:hyperlink r:id="rId33">
        <w:r>
          <w:rPr>
            <w:rFonts w:ascii="Arial" w:cs="Arial" w:eastAsia="Arial" w:hAnsi="Arial"/>
            <w:sz w:val="18"/>
            <w:szCs w:val="18"/>
            <w:u w:val="single" w:color="auto"/>
            <w:color w:val="0000FF"/>
          </w:rPr>
          <w:t>Certificate of Designation of Series A Junior Participating Preferred Stock (Incorporated by reference to Exhibit 3.1 to the Company’s</w:t>
        </w:r>
      </w:hyperlink>
      <w:r>
        <w:rPr>
          <w:rFonts w:ascii="Arial" w:cs="Arial" w:eastAsia="Arial" w:hAnsi="Arial"/>
          <w:sz w:val="16"/>
          <w:szCs w:val="16"/>
          <w:color w:val="auto"/>
        </w:rPr>
        <w:t xml:space="preserve"> </w:t>
      </w:r>
      <w:hyperlink r:id="rId33">
        <w:r>
          <w:rPr>
            <w:rFonts w:ascii="Arial" w:cs="Arial" w:eastAsia="Arial" w:hAnsi="Arial"/>
            <w:sz w:val="18"/>
            <w:szCs w:val="18"/>
            <w:u w:val="single" w:color="auto"/>
            <w:color w:val="0000FF"/>
          </w:rPr>
          <w:t>Current Report on Form 8-K filed on January 28,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1520" w:hanging="458"/>
        <w:spacing w:after="0" w:line="277" w:lineRule="auto"/>
        <w:rPr>
          <w:rFonts w:ascii="Arial" w:cs="Arial" w:eastAsia="Arial" w:hAnsi="Arial"/>
          <w:sz w:val="18"/>
          <w:szCs w:val="18"/>
          <w:u w:val="single" w:color="auto"/>
          <w:color w:val="0000FF"/>
        </w:rPr>
      </w:pPr>
      <w:r>
        <w:rPr>
          <w:rFonts w:ascii="Arial" w:cs="Arial" w:eastAsia="Arial" w:hAnsi="Arial"/>
          <w:sz w:val="16"/>
          <w:szCs w:val="16"/>
          <w:color w:val="auto"/>
        </w:rPr>
        <w:t xml:space="preserve">3.3 — </w:t>
      </w:r>
      <w:hyperlink r:id="rId35">
        <w:r>
          <w:rPr>
            <w:rFonts w:ascii="Arial" w:cs="Arial" w:eastAsia="Arial" w:hAnsi="Arial"/>
            <w:sz w:val="18"/>
            <w:szCs w:val="18"/>
            <w:u w:val="single" w:color="auto"/>
            <w:color w:val="0000FF"/>
          </w:rPr>
          <w:t>Amended and Restated Bylaws of IES Holdings, Inc., effective May 24, 2016. (Incorporated by reference to Exhibit 3.2 to the</w:t>
        </w:r>
      </w:hyperlink>
      <w:r>
        <w:rPr>
          <w:rFonts w:ascii="Arial" w:cs="Arial" w:eastAsia="Arial" w:hAnsi="Arial"/>
          <w:sz w:val="16"/>
          <w:szCs w:val="16"/>
          <w:color w:val="auto"/>
        </w:rPr>
        <w:t xml:space="preserve"> </w:t>
      </w:r>
      <w:hyperlink r:id="rId35">
        <w:r>
          <w:rPr>
            <w:rFonts w:ascii="Arial" w:cs="Arial" w:eastAsia="Arial" w:hAnsi="Arial"/>
            <w:sz w:val="18"/>
            <w:szCs w:val="18"/>
            <w:u w:val="single" w:color="auto"/>
            <w:color w:val="0000FF"/>
          </w:rPr>
          <w:t>Company’s Current Report on Form 8-K filed on May 24, 2016)</w:t>
        </w:r>
      </w:hyperlink>
    </w:p>
    <w:p>
      <w:pPr>
        <w:spacing w:after="0" w:line="8" w:lineRule="exact"/>
        <w:rPr>
          <w:sz w:val="20"/>
          <w:szCs w:val="20"/>
          <w:color w:val="auto"/>
        </w:rPr>
      </w:pPr>
    </w:p>
    <w:p>
      <w:pPr>
        <w:jc w:val="both"/>
        <w:ind w:left="1520" w:right="20" w:hanging="458"/>
        <w:spacing w:after="0" w:line="277" w:lineRule="auto"/>
        <w:rPr>
          <w:rFonts w:ascii="Arial" w:cs="Arial" w:eastAsia="Arial" w:hAnsi="Arial"/>
          <w:sz w:val="18"/>
          <w:szCs w:val="18"/>
          <w:u w:val="single" w:color="auto"/>
          <w:color w:val="0000FF"/>
        </w:rPr>
      </w:pPr>
      <w:r>
        <w:rPr>
          <w:rFonts w:ascii="Arial" w:cs="Arial" w:eastAsia="Arial" w:hAnsi="Arial"/>
          <w:sz w:val="16"/>
          <w:szCs w:val="16"/>
          <w:color w:val="auto"/>
        </w:rPr>
        <w:t xml:space="preserve">4.1 — </w:t>
      </w:r>
      <w:hyperlink r:id="rId36">
        <w:r>
          <w:rPr>
            <w:rFonts w:ascii="Arial" w:cs="Arial" w:eastAsia="Arial" w:hAnsi="Arial"/>
            <w:sz w:val="18"/>
            <w:szCs w:val="18"/>
            <w:u w:val="single" w:color="auto"/>
            <w:color w:val="0000FF"/>
          </w:rPr>
          <w:t>Specimen common stock certificate. (Incorporated by reference to Exhibit 4.1 to the Company’s Annual Report on Form 10-K filed on</w:t>
        </w:r>
      </w:hyperlink>
      <w:r>
        <w:rPr>
          <w:rFonts w:ascii="Arial" w:cs="Arial" w:eastAsia="Arial" w:hAnsi="Arial"/>
          <w:sz w:val="16"/>
          <w:szCs w:val="16"/>
          <w:color w:val="auto"/>
        </w:rPr>
        <w:t xml:space="preserve"> </w:t>
      </w:r>
      <w:hyperlink r:id="rId36">
        <w:r>
          <w:rPr>
            <w:rFonts w:ascii="Arial" w:cs="Arial" w:eastAsia="Arial" w:hAnsi="Arial"/>
            <w:sz w:val="18"/>
            <w:szCs w:val="18"/>
            <w:u w:val="single" w:color="auto"/>
            <w:color w:val="0000FF"/>
          </w:rPr>
          <w:t>December 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582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jc w:val="both"/>
        <w:ind w:left="1520" w:hanging="458"/>
        <w:spacing w:after="0" w:line="259" w:lineRule="auto"/>
        <w:rPr>
          <w:rFonts w:ascii="Arial" w:cs="Arial" w:eastAsia="Arial" w:hAnsi="Arial"/>
          <w:sz w:val="18"/>
          <w:szCs w:val="18"/>
          <w:u w:val="single" w:color="auto"/>
          <w:color w:val="0000FF"/>
        </w:rPr>
      </w:pPr>
      <w:r>
        <w:rPr>
          <w:rFonts w:ascii="Arial" w:cs="Arial" w:eastAsia="Arial" w:hAnsi="Arial"/>
          <w:sz w:val="16"/>
          <w:szCs w:val="16"/>
          <w:color w:val="auto"/>
        </w:rPr>
        <w:t xml:space="preserve">4.2 — </w:t>
      </w:r>
      <w:hyperlink r:id="rId38">
        <w:r>
          <w:rPr>
            <w:rFonts w:ascii="Arial" w:cs="Arial" w:eastAsia="Arial" w:hAnsi="Arial"/>
            <w:sz w:val="18"/>
            <w:szCs w:val="18"/>
            <w:u w:val="single" w:color="auto"/>
            <w:color w:val="0000FF"/>
          </w:rPr>
          <w:t>Tax Benefit Protection Plan Agreement by and between IES Holdings, Inc. and American Stock Transfer &amp; Trust Company, LLC, as</w:t>
        </w:r>
      </w:hyperlink>
      <w:r>
        <w:rPr>
          <w:rFonts w:ascii="Arial" w:cs="Arial" w:eastAsia="Arial" w:hAnsi="Arial"/>
          <w:sz w:val="16"/>
          <w:szCs w:val="16"/>
          <w:color w:val="auto"/>
        </w:rPr>
        <w:t xml:space="preserve"> </w:t>
      </w:r>
      <w:hyperlink r:id="rId38">
        <w:r>
          <w:rPr>
            <w:rFonts w:ascii="Arial" w:cs="Arial" w:eastAsia="Arial" w:hAnsi="Arial"/>
            <w:sz w:val="18"/>
            <w:szCs w:val="18"/>
            <w:u w:val="single" w:color="auto"/>
            <w:color w:val="0000FF"/>
          </w:rPr>
          <w:t>Rights Agent, dated as of November 8, 2016, including the form of Rights Certificate and Summary of Stockholder Rights Plan attached</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thereto as Exhibits A and B, respectively. (Incorporated by reference to Exhibit 4.1 to the Company’s Current Report on Form 8-K filed</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on November 9, 2016)</w:t>
        </w:r>
      </w:hyperlink>
    </w:p>
    <w:p>
      <w:pPr>
        <w:spacing w:after="0" w:line="25" w:lineRule="exact"/>
        <w:rPr>
          <w:rFonts w:ascii="Arial" w:cs="Arial" w:eastAsia="Arial" w:hAnsi="Arial"/>
          <w:sz w:val="18"/>
          <w:szCs w:val="18"/>
          <w:u w:val="single" w:color="auto"/>
          <w:color w:val="0000FF"/>
        </w:rPr>
      </w:pPr>
    </w:p>
    <w:p>
      <w:pPr>
        <w:jc w:val="both"/>
        <w:ind w:left="1520" w:hanging="539"/>
        <w:spacing w:after="0" w:line="264" w:lineRule="auto"/>
        <w:rPr>
          <w:rFonts w:ascii="Arial" w:cs="Arial" w:eastAsia="Arial" w:hAnsi="Arial"/>
          <w:sz w:val="18"/>
          <w:szCs w:val="18"/>
          <w:u w:val="single" w:color="auto"/>
          <w:color w:val="0000FF"/>
        </w:rPr>
      </w:pPr>
      <w:r>
        <w:rPr>
          <w:rFonts w:ascii="Arial" w:cs="Arial" w:eastAsia="Arial" w:hAnsi="Arial"/>
          <w:sz w:val="16"/>
          <w:szCs w:val="16"/>
          <w:color w:val="auto"/>
        </w:rPr>
        <w:t xml:space="preserve">10.1 — </w:t>
      </w:r>
      <w:hyperlink r:id="rId39">
        <w:r>
          <w:rPr>
            <w:rFonts w:ascii="Arial" w:cs="Arial" w:eastAsia="Arial" w:hAnsi="Arial"/>
            <w:sz w:val="18"/>
            <w:szCs w:val="18"/>
            <w:u w:val="single" w:color="auto"/>
            <w:color w:val="0000FF"/>
          </w:rPr>
          <w:t>Second Amendment, dated as of May 1, 2019, to Sublease Agreement, dated as of March 29, 2012 and amended as of March 31, 2016,</w:t>
        </w:r>
      </w:hyperlink>
      <w:r>
        <w:rPr>
          <w:rFonts w:ascii="Arial" w:cs="Arial" w:eastAsia="Arial" w:hAnsi="Arial"/>
          <w:sz w:val="16"/>
          <w:szCs w:val="16"/>
          <w:color w:val="auto"/>
        </w:rPr>
        <w:t xml:space="preserve"> </w:t>
      </w:r>
      <w:hyperlink r:id="rId39">
        <w:r>
          <w:rPr>
            <w:rFonts w:ascii="Arial" w:cs="Arial" w:eastAsia="Arial" w:hAnsi="Arial"/>
            <w:sz w:val="18"/>
            <w:szCs w:val="18"/>
            <w:u w:val="single" w:color="auto"/>
            <w:color w:val="0000FF"/>
          </w:rPr>
          <w:t>between Tontine Associates, L.L.C. and IES Management ROO, L.P. (Incorporated by reference to Exhibit 10.12 to the Company’s</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Quarterly Report on Form 10-Q filed on May 6, 2019)</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1520" w:hanging="539"/>
        <w:spacing w:after="0" w:line="243" w:lineRule="auto"/>
        <w:rPr>
          <w:rFonts w:ascii="Arial" w:cs="Arial" w:eastAsia="Arial" w:hAnsi="Arial"/>
          <w:sz w:val="18"/>
          <w:szCs w:val="18"/>
          <w:color w:val="0000FF"/>
        </w:rPr>
      </w:pPr>
      <w:r>
        <w:rPr>
          <w:rFonts w:ascii="Arial" w:cs="Arial" w:eastAsia="Arial" w:hAnsi="Arial"/>
          <w:sz w:val="16"/>
          <w:szCs w:val="16"/>
          <w:color w:val="auto"/>
        </w:rPr>
        <w:t xml:space="preserve">10.2 — </w:t>
      </w:r>
      <w:hyperlink w:anchor="page39">
        <w:r>
          <w:rPr>
            <w:rFonts w:ascii="Arial" w:cs="Arial" w:eastAsia="Arial" w:hAnsi="Arial"/>
            <w:sz w:val="18"/>
            <w:szCs w:val="18"/>
            <w:u w:val="single" w:color="auto"/>
            <w:color w:val="0000FF"/>
          </w:rPr>
          <w:t>Fourth Amendment, dated as of May 20, 2019, to Second Amended and Restated Credit and Security Agreement, dated as of April 10,</w:t>
        </w:r>
      </w:hyperlink>
      <w:r>
        <w:rPr>
          <w:rFonts w:ascii="Arial" w:cs="Arial" w:eastAsia="Arial" w:hAnsi="Arial"/>
          <w:sz w:val="16"/>
          <w:szCs w:val="16"/>
          <w:color w:val="auto"/>
        </w:rPr>
        <w:t xml:space="preserve"> </w:t>
      </w:r>
      <w:hyperlink w:anchor="page39">
        <w:r>
          <w:rPr>
            <w:rFonts w:ascii="Arial" w:cs="Arial" w:eastAsia="Arial" w:hAnsi="Arial"/>
            <w:sz w:val="18"/>
            <w:szCs w:val="18"/>
            <w:u w:val="single" w:color="auto"/>
            <w:color w:val="0000FF"/>
          </w:rPr>
          <w:t>2017, by and among IES Holdings, Inc., each of the other Borrowers and Guarantors named therein and Wells Fargo Bank, National</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Association.</w:t>
        </w:r>
        <w:r>
          <w:rPr>
            <w:rFonts w:ascii="Arial" w:cs="Arial" w:eastAsia="Arial" w:hAnsi="Arial"/>
            <w:sz w:val="25"/>
            <w:szCs w:val="25"/>
            <w:color w:val="000000"/>
            <w:vertAlign w:val="superscript"/>
          </w:rPr>
          <w:t>(1)</w:t>
        </w:r>
      </w:hyperlink>
    </w:p>
    <w:p>
      <w:pPr>
        <w:ind w:left="980"/>
        <w:spacing w:after="0" w:line="227" w:lineRule="auto"/>
        <w:rPr>
          <w:rFonts w:ascii="Arial" w:cs="Arial" w:eastAsia="Arial" w:hAnsi="Arial"/>
          <w:sz w:val="16"/>
          <w:szCs w:val="16"/>
          <w:color w:val="auto"/>
        </w:rPr>
      </w:pPr>
      <w:r>
        <w:rPr>
          <w:rFonts w:ascii="Arial" w:cs="Arial" w:eastAsia="Arial" w:hAnsi="Arial"/>
          <w:sz w:val="16"/>
          <w:szCs w:val="16"/>
          <w:color w:val="auto"/>
        </w:rPr>
        <w:t xml:space="preserve">31.1 — </w:t>
      </w:r>
      <w:hyperlink w:anchor="page47">
        <w:r>
          <w:rPr>
            <w:rFonts w:ascii="Arial" w:cs="Arial" w:eastAsia="Arial" w:hAnsi="Arial"/>
            <w:sz w:val="18"/>
            <w:szCs w:val="18"/>
            <w:u w:val="single" w:color="auto"/>
            <w:color w:val="0000FF"/>
          </w:rPr>
          <w:t>Rule 13a-14(a)/15d-14(a) Certification of Gary S. Matthews, Chief Executive Officer</w:t>
        </w:r>
        <w:r>
          <w:rPr>
            <w:rFonts w:ascii="Arial" w:cs="Arial" w:eastAsia="Arial" w:hAnsi="Arial"/>
            <w:sz w:val="16"/>
            <w:szCs w:val="16"/>
            <w:u w:val="single" w:color="auto"/>
            <w:color w:val="auto"/>
          </w:rPr>
          <w:t xml:space="preserve"> </w:t>
        </w:r>
      </w:hyperlink>
      <w:r>
        <w:rPr>
          <w:rFonts w:ascii="Arial" w:cs="Arial" w:eastAsia="Arial" w:hAnsi="Arial"/>
          <w:sz w:val="25"/>
          <w:szCs w:val="25"/>
          <w:color w:val="auto"/>
          <w:vertAlign w:val="superscript"/>
        </w:rPr>
        <w:t>(1)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980"/>
        <w:spacing w:after="0" w:line="235" w:lineRule="auto"/>
        <w:rPr>
          <w:rFonts w:ascii="Arial" w:cs="Arial" w:eastAsia="Arial" w:hAnsi="Arial"/>
          <w:sz w:val="16"/>
          <w:szCs w:val="16"/>
          <w:color w:val="auto"/>
        </w:rPr>
      </w:pPr>
      <w:r>
        <w:rPr>
          <w:rFonts w:ascii="Arial" w:cs="Arial" w:eastAsia="Arial" w:hAnsi="Arial"/>
          <w:sz w:val="16"/>
          <w:szCs w:val="16"/>
          <w:color w:val="auto"/>
        </w:rPr>
        <w:t xml:space="preserve">31.2 — </w:t>
      </w:r>
      <w:hyperlink w:anchor="page48">
        <w:r>
          <w:rPr>
            <w:rFonts w:ascii="Arial" w:cs="Arial" w:eastAsia="Arial" w:hAnsi="Arial"/>
            <w:sz w:val="17"/>
            <w:szCs w:val="17"/>
            <w:u w:val="single" w:color="auto"/>
            <w:color w:val="0000FF"/>
          </w:rPr>
          <w:t>Rule 13a-14(a)/15d-14(a) Certification of Tracy A. McLauchlin, Senior Vice President, Chief Financial Officer and Treasurer</w:t>
        </w:r>
        <w:r>
          <w:rPr>
            <w:rFonts w:ascii="Arial" w:cs="Arial" w:eastAsia="Arial" w:hAnsi="Arial"/>
            <w:sz w:val="16"/>
            <w:szCs w:val="16"/>
            <w:u w:val="single" w:color="auto"/>
            <w:color w:val="auto"/>
          </w:rPr>
          <w:t xml:space="preserve"> </w:t>
        </w:r>
      </w:hyperlink>
      <w:r>
        <w:rPr>
          <w:rFonts w:ascii="Arial" w:cs="Arial" w:eastAsia="Arial" w:hAnsi="Arial"/>
          <w:sz w:val="24"/>
          <w:szCs w:val="24"/>
          <w:color w:val="auto"/>
          <w:vertAlign w:val="superscript"/>
        </w:rPr>
        <w:t>(1)</w:t>
      </w:r>
    </w:p>
    <w:p>
      <w:pPr>
        <w:ind w:left="980"/>
        <w:spacing w:after="0" w:line="225" w:lineRule="auto"/>
        <w:rPr>
          <w:rFonts w:ascii="Arial" w:cs="Arial" w:eastAsia="Arial" w:hAnsi="Arial"/>
          <w:sz w:val="16"/>
          <w:szCs w:val="16"/>
          <w:color w:val="auto"/>
        </w:rPr>
      </w:pPr>
      <w:r>
        <w:rPr>
          <w:rFonts w:ascii="Arial" w:cs="Arial" w:eastAsia="Arial" w:hAnsi="Arial"/>
          <w:sz w:val="16"/>
          <w:szCs w:val="16"/>
          <w:color w:val="auto"/>
        </w:rPr>
        <w:t xml:space="preserve">32.1 — </w:t>
      </w:r>
      <w:hyperlink w:anchor="page49">
        <w:r>
          <w:rPr>
            <w:rFonts w:ascii="Arial" w:cs="Arial" w:eastAsia="Arial" w:hAnsi="Arial"/>
            <w:sz w:val="18"/>
            <w:szCs w:val="18"/>
            <w:u w:val="single" w:color="auto"/>
            <w:color w:val="0000FF"/>
          </w:rPr>
          <w:t>Section 1350 Certification of Gary S. Matthews, Chief Executive Officer</w:t>
        </w:r>
        <w:r>
          <w:rPr>
            <w:rFonts w:ascii="Arial" w:cs="Arial" w:eastAsia="Arial" w:hAnsi="Arial"/>
            <w:sz w:val="16"/>
            <w:szCs w:val="16"/>
            <w:u w:val="single" w:color="auto"/>
            <w:color w:val="auto"/>
          </w:rPr>
          <w:t xml:space="preserve"> </w:t>
        </w:r>
      </w:hyperlink>
      <w:r>
        <w:rPr>
          <w:rFonts w:ascii="Arial" w:cs="Arial" w:eastAsia="Arial" w:hAnsi="Arial"/>
          <w:sz w:val="25"/>
          <w:szCs w:val="25"/>
          <w:color w:val="auto"/>
          <w:vertAlign w:val="superscript"/>
        </w:rPr>
        <w:t>(2)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980"/>
        <w:spacing w:after="0" w:line="226" w:lineRule="auto"/>
        <w:rPr>
          <w:rFonts w:ascii="Arial" w:cs="Arial" w:eastAsia="Arial" w:hAnsi="Arial"/>
          <w:sz w:val="16"/>
          <w:szCs w:val="16"/>
          <w:color w:val="auto"/>
        </w:rPr>
      </w:pPr>
      <w:r>
        <w:rPr>
          <w:rFonts w:ascii="Arial" w:cs="Arial" w:eastAsia="Arial" w:hAnsi="Arial"/>
          <w:sz w:val="16"/>
          <w:szCs w:val="16"/>
          <w:color w:val="auto"/>
        </w:rPr>
        <w:t xml:space="preserve">32.2 — </w:t>
      </w:r>
      <w:hyperlink w:anchor="page50">
        <w:r>
          <w:rPr>
            <w:rFonts w:ascii="Arial" w:cs="Arial" w:eastAsia="Arial" w:hAnsi="Arial"/>
            <w:sz w:val="18"/>
            <w:szCs w:val="18"/>
            <w:u w:val="single" w:color="auto"/>
            <w:color w:val="0000FF"/>
          </w:rPr>
          <w:t>Section 1350 Certification of Tracy A. McLauchlin, Senior Vice President, Chief Financial Officer and Treasurer</w:t>
        </w:r>
        <w:r>
          <w:rPr>
            <w:rFonts w:ascii="Arial" w:cs="Arial" w:eastAsia="Arial" w:hAnsi="Arial"/>
            <w:sz w:val="16"/>
            <w:szCs w:val="16"/>
            <w:u w:val="single" w:color="auto"/>
            <w:color w:val="auto"/>
          </w:rPr>
          <w:t xml:space="preserve"> </w:t>
        </w:r>
      </w:hyperlink>
      <w:r>
        <w:rPr>
          <w:rFonts w:ascii="Arial" w:cs="Arial" w:eastAsia="Arial" w:hAnsi="Arial"/>
          <w:sz w:val="25"/>
          <w:szCs w:val="25"/>
          <w:color w:val="auto"/>
          <w:vertAlign w:val="superscript"/>
        </w:rPr>
        <w:t>(2)</w:t>
      </w:r>
    </w:p>
    <w:p>
      <w:pPr>
        <w:ind w:left="860"/>
        <w:spacing w:after="0" w:line="225" w:lineRule="auto"/>
        <w:rPr>
          <w:sz w:val="20"/>
          <w:szCs w:val="20"/>
          <w:color w:val="auto"/>
        </w:rPr>
      </w:pPr>
      <w:r>
        <w:rPr>
          <w:rFonts w:ascii="Arial" w:cs="Arial" w:eastAsia="Arial" w:hAnsi="Arial"/>
          <w:sz w:val="18"/>
          <w:szCs w:val="18"/>
          <w:color w:val="auto"/>
        </w:rPr>
        <w:t xml:space="preserve">101.INS XBRL Instance Document </w:t>
      </w:r>
      <w:r>
        <w:rPr>
          <w:rFonts w:ascii="Arial" w:cs="Arial" w:eastAsia="Arial" w:hAnsi="Arial"/>
          <w:sz w:val="25"/>
          <w:szCs w:val="25"/>
          <w:color w:val="auto"/>
          <w:vertAlign w:val="superscript"/>
        </w:rPr>
        <w:t>(1)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800"/>
        <w:spacing w:after="0" w:line="226" w:lineRule="auto"/>
        <w:rPr>
          <w:sz w:val="20"/>
          <w:szCs w:val="20"/>
          <w:color w:val="auto"/>
        </w:rPr>
      </w:pPr>
      <w:r>
        <w:rPr>
          <w:rFonts w:ascii="Arial" w:cs="Arial" w:eastAsia="Arial" w:hAnsi="Arial"/>
          <w:sz w:val="18"/>
          <w:szCs w:val="18"/>
          <w:color w:val="auto"/>
        </w:rPr>
        <w:t xml:space="preserve">101.SCH XBRL Schema Document </w:t>
      </w:r>
      <w:r>
        <w:rPr>
          <w:rFonts w:ascii="Arial" w:cs="Arial" w:eastAsia="Arial" w:hAnsi="Arial"/>
          <w:sz w:val="25"/>
          <w:szCs w:val="25"/>
          <w:color w:val="auto"/>
          <w:vertAlign w:val="superscript"/>
        </w:rPr>
        <w:t>(1)</w:t>
      </w:r>
    </w:p>
    <w:p>
      <w:pPr>
        <w:ind w:left="800"/>
        <w:spacing w:after="0" w:line="225" w:lineRule="auto"/>
        <w:rPr>
          <w:sz w:val="20"/>
          <w:szCs w:val="20"/>
          <w:color w:val="auto"/>
        </w:rPr>
      </w:pPr>
      <w:r>
        <w:rPr>
          <w:rFonts w:ascii="Arial" w:cs="Arial" w:eastAsia="Arial" w:hAnsi="Arial"/>
          <w:sz w:val="18"/>
          <w:szCs w:val="18"/>
          <w:color w:val="auto"/>
        </w:rPr>
        <w:t xml:space="preserve">101.LAB XBRL Label Linkbase Document </w:t>
      </w:r>
      <w:r>
        <w:rPr>
          <w:rFonts w:ascii="Arial" w:cs="Arial" w:eastAsia="Arial" w:hAnsi="Arial"/>
          <w:sz w:val="25"/>
          <w:szCs w:val="25"/>
          <w:color w:val="auto"/>
          <w:vertAlign w:val="superscript"/>
        </w:rPr>
        <w:t>(1)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820"/>
        <w:spacing w:after="0" w:line="226" w:lineRule="auto"/>
        <w:rPr>
          <w:sz w:val="20"/>
          <w:szCs w:val="20"/>
          <w:color w:val="auto"/>
        </w:rPr>
      </w:pPr>
      <w:r>
        <w:rPr>
          <w:rFonts w:ascii="Arial" w:cs="Arial" w:eastAsia="Arial" w:hAnsi="Arial"/>
          <w:sz w:val="18"/>
          <w:szCs w:val="18"/>
          <w:color w:val="auto"/>
        </w:rPr>
        <w:t xml:space="preserve">101.PRE XBRL Presentation Linkbase Document </w:t>
      </w:r>
      <w:r>
        <w:rPr>
          <w:rFonts w:ascii="Arial" w:cs="Arial" w:eastAsia="Arial" w:hAnsi="Arial"/>
          <w:sz w:val="25"/>
          <w:szCs w:val="25"/>
          <w:color w:val="auto"/>
          <w:vertAlign w:val="superscript"/>
        </w:rPr>
        <w:t>(1)</w:t>
      </w:r>
    </w:p>
    <w:p>
      <w:pPr>
        <w:ind w:left="820"/>
        <w:spacing w:after="0" w:line="225" w:lineRule="auto"/>
        <w:rPr>
          <w:sz w:val="20"/>
          <w:szCs w:val="20"/>
          <w:color w:val="auto"/>
        </w:rPr>
      </w:pPr>
      <w:r>
        <w:rPr>
          <w:rFonts w:ascii="Arial" w:cs="Arial" w:eastAsia="Arial" w:hAnsi="Arial"/>
          <w:sz w:val="18"/>
          <w:szCs w:val="18"/>
          <w:color w:val="auto"/>
        </w:rPr>
        <w:t xml:space="preserve">101.DEF XBRL Definition Linkbase Document </w:t>
      </w:r>
      <w:r>
        <w:rPr>
          <w:rFonts w:ascii="Arial" w:cs="Arial" w:eastAsia="Arial" w:hAnsi="Arial"/>
          <w:sz w:val="25"/>
          <w:szCs w:val="25"/>
          <w:color w:val="auto"/>
          <w:vertAlign w:val="superscript"/>
        </w:rPr>
        <w:t>(1)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 xml:space="preserve">101.CAL XBRL Calculation Linkbase Document </w:t>
      </w:r>
      <w:r>
        <w:rPr>
          <w:rFonts w:ascii="Arial" w:cs="Arial" w:eastAsia="Arial" w:hAnsi="Arial"/>
          <w:sz w:val="25"/>
          <w:szCs w:val="25"/>
          <w:color w:val="auto"/>
          <w:vertAlign w:val="superscript"/>
        </w:rPr>
        <w:t>(1)</w:t>
      </w:r>
    </w:p>
    <w:p>
      <w:pPr>
        <w:spacing w:after="0" w:line="270" w:lineRule="exact"/>
        <w:rPr>
          <w:rFonts w:ascii="Arial" w:cs="Arial" w:eastAsia="Arial" w:hAnsi="Arial"/>
          <w:sz w:val="16"/>
          <w:szCs w:val="16"/>
          <w:color w:val="auto"/>
        </w:rPr>
      </w:pPr>
    </w:p>
    <w:p>
      <w:pPr>
        <w:ind w:left="1520" w:hanging="263"/>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rFonts w:ascii="Arial" w:cs="Arial" w:eastAsia="Arial" w:hAnsi="Arial"/>
          <w:sz w:val="18"/>
          <w:szCs w:val="18"/>
          <w:color w:val="auto"/>
        </w:rPr>
      </w:pPr>
    </w:p>
    <w:p>
      <w:pPr>
        <w:ind w:left="1520" w:hanging="263"/>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1"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64" w:right="2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August 2, 2019.</w:t>
      </w:r>
    </w:p>
    <w:p>
      <w:pPr>
        <w:spacing w:after="0" w:line="3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IES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92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6531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57"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Tracy A. McLauchlin</w:t>
      </w:r>
    </w:p>
    <w:p>
      <w:pPr>
        <w:spacing w:after="0" w:line="63"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63"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CREDIT AND SECURITY AGREEMENT</w:t>
      </w:r>
    </w:p>
    <w:p>
      <w:pPr>
        <w:spacing w:after="0" w:line="200" w:lineRule="exact"/>
        <w:rPr>
          <w:sz w:val="20"/>
          <w:szCs w:val="20"/>
          <w:color w:val="auto"/>
        </w:rPr>
      </w:pP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FOURTH AMENDMENT TO SECOND AMENDED AND RESTATED CREDIT AND SECURITY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dated May 17, 2019, is made and entered into by and among </w:t>
      </w:r>
      <w:r>
        <w:rPr>
          <w:rFonts w:ascii="Arial" w:cs="Arial" w:eastAsia="Arial" w:hAnsi="Arial"/>
          <w:sz w:val="22"/>
          <w:szCs w:val="22"/>
          <w:b w:val="1"/>
          <w:bCs w:val="1"/>
          <w:color w:val="auto"/>
        </w:rPr>
        <w:t>IES HOLDINGS, INC.</w:t>
      </w:r>
      <w:r>
        <w:rPr>
          <w:rFonts w:ascii="Arial" w:cs="Arial" w:eastAsia="Arial" w:hAnsi="Arial"/>
          <w:sz w:val="22"/>
          <w:szCs w:val="22"/>
          <w:color w:val="auto"/>
        </w:rPr>
        <w:t>, a Delaware corporation, on behalf of itself and each other Borrower and Guarantor (the "</w:t>
      </w:r>
      <w:r>
        <w:rPr>
          <w:rFonts w:ascii="Arial" w:cs="Arial" w:eastAsia="Arial" w:hAnsi="Arial"/>
          <w:sz w:val="22"/>
          <w:szCs w:val="22"/>
          <w:u w:val="single" w:color="auto"/>
          <w:color w:val="auto"/>
        </w:rPr>
        <w:t>Administrative Borrower</w:t>
      </w:r>
      <w:r>
        <w:rPr>
          <w:rFonts w:ascii="Arial" w:cs="Arial" w:eastAsia="Arial" w:hAnsi="Arial"/>
          <w:sz w:val="22"/>
          <w:szCs w:val="22"/>
          <w:color w:val="auto"/>
        </w:rPr>
        <w:t xml:space="preserve">"), and </w:t>
      </w:r>
      <w:r>
        <w:rPr>
          <w:rFonts w:ascii="Arial" w:cs="Arial" w:eastAsia="Arial" w:hAnsi="Arial"/>
          <w:sz w:val="22"/>
          <w:szCs w:val="22"/>
          <w:b w:val="1"/>
          <w:bCs w:val="1"/>
          <w:color w:val="auto"/>
        </w:rPr>
        <w:t>WELLS FARGO BANK,</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NATIONAL ASSOCIATION </w:t>
      </w: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56"/>
        <w:spacing w:after="0" w:line="254" w:lineRule="auto"/>
        <w:tabs>
          <w:tab w:leader="none" w:pos="1471" w:val="left"/>
        </w:tabs>
        <w:numPr>
          <w:ilvl w:val="0"/>
          <w:numId w:val="11"/>
        </w:numPr>
        <w:rPr>
          <w:rFonts w:ascii="Arial" w:cs="Arial" w:eastAsia="Arial" w:hAnsi="Arial"/>
          <w:sz w:val="18"/>
          <w:szCs w:val="18"/>
          <w:color w:val="auto"/>
        </w:rPr>
      </w:pPr>
      <w:r>
        <w:rPr>
          <w:rFonts w:ascii="Arial" w:cs="Arial" w:eastAsia="Arial" w:hAnsi="Arial"/>
          <w:sz w:val="22"/>
          <w:szCs w:val="22"/>
          <w:color w:val="auto"/>
        </w:rPr>
        <w:t>WHEREAS, Borrowers, Guarantors and Lender have entered into that certain Second Amended and Restated Credit and Security Agreement dated as of April 10, 2017 (as amended,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Capitalized terms used but not otherwise defined herein shall have the meanings ascribed to them in the Credit Agreement.</w:t>
      </w:r>
    </w:p>
    <w:p>
      <w:pPr>
        <w:spacing w:after="0" w:line="185" w:lineRule="exact"/>
        <w:rPr>
          <w:rFonts w:ascii="Arial" w:cs="Arial" w:eastAsia="Arial" w:hAnsi="Arial"/>
          <w:sz w:val="18"/>
          <w:szCs w:val="18"/>
          <w:color w:val="auto"/>
        </w:rPr>
      </w:pPr>
    </w:p>
    <w:p>
      <w:pPr>
        <w:ind w:right="20" w:firstLine="656"/>
        <w:spacing w:after="0" w:line="276" w:lineRule="auto"/>
        <w:tabs>
          <w:tab w:leader="none" w:pos="1462" w:val="left"/>
        </w:tabs>
        <w:numPr>
          <w:ilvl w:val="0"/>
          <w:numId w:val="11"/>
        </w:numPr>
        <w:rPr>
          <w:rFonts w:ascii="Arial" w:cs="Arial" w:eastAsia="Arial" w:hAnsi="Arial"/>
          <w:sz w:val="18"/>
          <w:szCs w:val="18"/>
          <w:color w:val="auto"/>
        </w:rPr>
      </w:pPr>
      <w:r>
        <w:rPr>
          <w:rFonts w:ascii="Arial" w:cs="Arial" w:eastAsia="Arial" w:hAnsi="Arial"/>
          <w:sz w:val="22"/>
          <w:szCs w:val="22"/>
          <w:color w:val="auto"/>
        </w:rPr>
        <w:t>WHEREAS, Administrative Borrower, on behalf of itself and each other Borrower and Guarantor, has requested that Lender amend certain provisions in the Credit Agreement as set forth herein.</w:t>
      </w:r>
    </w:p>
    <w:p>
      <w:pPr>
        <w:spacing w:after="0" w:line="160" w:lineRule="exact"/>
        <w:rPr>
          <w:rFonts w:ascii="Arial" w:cs="Arial" w:eastAsia="Arial" w:hAnsi="Arial"/>
          <w:sz w:val="18"/>
          <w:szCs w:val="18"/>
          <w:color w:val="auto"/>
        </w:rPr>
      </w:pPr>
    </w:p>
    <w:p>
      <w:pPr>
        <w:ind w:left="1460" w:hanging="804"/>
        <w:spacing w:after="0"/>
        <w:tabs>
          <w:tab w:leader="none" w:pos="1460" w:val="left"/>
        </w:tabs>
        <w:numPr>
          <w:ilvl w:val="0"/>
          <w:numId w:val="11"/>
        </w:numPr>
        <w:rPr>
          <w:rFonts w:ascii="Arial" w:cs="Arial" w:eastAsia="Arial" w:hAnsi="Arial"/>
          <w:sz w:val="16"/>
          <w:szCs w:val="16"/>
          <w:color w:val="auto"/>
        </w:rPr>
      </w:pPr>
      <w:r>
        <w:rPr>
          <w:rFonts w:ascii="Arial" w:cs="Arial" w:eastAsia="Arial" w:hAnsi="Arial"/>
          <w:sz w:val="19"/>
          <w:szCs w:val="19"/>
          <w:color w:val="auto"/>
        </w:rPr>
        <w:t>WHEREAS, Lender has agreed to amend the Credit Agreement on the terms and conditions as set forth herein.</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the mutual covenants herein contained, and for other good and valuable consideration, the receipt and sufficiency of which are hereby acknowledged, the parties, intending to be legally bound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Effective as of the Effective Date (as defined below), the Credit Agreement is hereby amended and supplemented as follows:</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Amendment to Schedule 1.1</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60" w:lineRule="auto"/>
        <w:tabs>
          <w:tab w:leader="none" w:pos="2144" w:val="left"/>
        </w:tabs>
        <w:numPr>
          <w:ilvl w:val="0"/>
          <w:numId w:val="12"/>
        </w:numPr>
        <w:rPr>
          <w:rFonts w:ascii="Arial" w:cs="Arial" w:eastAsia="Arial" w:hAnsi="Arial"/>
          <w:sz w:val="18"/>
          <w:szCs w:val="18"/>
          <w:color w:val="auto"/>
        </w:rPr>
      </w:pPr>
      <w:r>
        <w:rPr>
          <w:rFonts w:ascii="Arial" w:cs="Arial" w:eastAsia="Arial" w:hAnsi="Arial"/>
          <w:sz w:val="22"/>
          <w:szCs w:val="22"/>
          <w:color w:val="auto"/>
        </w:rPr>
        <w:t>The definition of "Restricted Junior Payment" set forth in Schedule 1.1 of the Credit Agreement is hereby amended by (i) deleting and replacing the reference to "and" at the end of clause (iii) and before clause (iv) with a reference to ",", and (ii) inserting the following at the end of clause (iv) and before the period:</w:t>
      </w:r>
    </w:p>
    <w:p>
      <w:pPr>
        <w:spacing w:after="0" w:line="177" w:lineRule="exact"/>
        <w:rPr>
          <w:sz w:val="20"/>
          <w:szCs w:val="20"/>
          <w:color w:val="auto"/>
        </w:rPr>
      </w:pPr>
    </w:p>
    <w:p>
      <w:pPr>
        <w:jc w:val="both"/>
        <w:ind w:left="660" w:firstLine="645"/>
        <w:spacing w:after="0" w:line="302" w:lineRule="auto"/>
        <w:tabs>
          <w:tab w:leader="none" w:pos="1416" w:val="left"/>
        </w:tabs>
        <w:numPr>
          <w:ilvl w:val="0"/>
          <w:numId w:val="13"/>
        </w:numPr>
        <w:rPr>
          <w:rFonts w:ascii="Arial" w:cs="Arial" w:eastAsia="Arial" w:hAnsi="Arial"/>
          <w:sz w:val="19"/>
          <w:szCs w:val="19"/>
          <w:color w:val="auto"/>
        </w:rPr>
      </w:pPr>
      <w:r>
        <w:rPr>
          <w:rFonts w:ascii="Arial" w:cs="Arial" w:eastAsia="Arial" w:hAnsi="Arial"/>
          <w:sz w:val="19"/>
          <w:szCs w:val="19"/>
          <w:color w:val="auto"/>
        </w:rPr>
        <w:t>and (v) in addition to the repurchase of 1,500,000 shares of Stock issued by Parent, which repurchase was approved by Lender as of December 10, 2015 pursuant to a Limited Consent and Waiver entered into as of such date (the “</w:t>
      </w:r>
      <w:r>
        <w:rPr>
          <w:rFonts w:ascii="Arial" w:cs="Arial" w:eastAsia="Arial" w:hAnsi="Arial"/>
          <w:sz w:val="19"/>
          <w:szCs w:val="19"/>
          <w:u w:val="single" w:color="auto"/>
          <w:color w:val="auto"/>
        </w:rPr>
        <w:t>Original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Repurchase Amount</w:t>
      </w:r>
      <w:r>
        <w:rPr>
          <w:rFonts w:ascii="Arial" w:cs="Arial" w:eastAsia="Arial" w:hAnsi="Arial"/>
          <w:sz w:val="19"/>
          <w:szCs w:val="19"/>
          <w:color w:val="auto"/>
        </w:rPr>
        <w:t>”), Parent may repurchase 1,000,000 shares of Stock issued by Parent for an aggregate purchase price (including the purchase price for any remaining shares of Parent Stock available for repurchase under the Original</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tcPr>
          <w:p>
            <w:pPr>
              <w:spacing w:after="0"/>
              <w:rPr>
                <w:sz w:val="20"/>
                <w:szCs w:val="20"/>
                <w:color w:val="auto"/>
              </w:rPr>
            </w:pPr>
            <w:r>
              <w:rPr>
                <w:rFonts w:ascii="Arial" w:cs="Arial" w:eastAsia="Arial" w:hAnsi="Arial"/>
                <w:sz w:val="14"/>
                <w:szCs w:val="14"/>
                <w:color w:val="auto"/>
              </w:rPr>
              <w:t>10583589v4 5/15/2019 10:25 PM</w:t>
            </w:r>
          </w:p>
        </w:tc>
        <w:tc>
          <w:tcPr>
            <w:tcW w:w="1440" w:type="dxa"/>
            <w:vAlign w:val="bottom"/>
          </w:tcPr>
          <w:p>
            <w:pPr>
              <w:jc w:val="right"/>
              <w:spacing w:after="0"/>
              <w:rPr>
                <w:sz w:val="20"/>
                <w:szCs w:val="20"/>
                <w:color w:val="auto"/>
              </w:rPr>
            </w:pPr>
            <w:r>
              <w:rPr>
                <w:rFonts w:ascii="Arial" w:cs="Arial" w:eastAsia="Arial" w:hAnsi="Arial"/>
                <w:sz w:val="14"/>
                <w:szCs w:val="14"/>
                <w:color w:val="auto"/>
              </w:rPr>
              <w:t>1989.520</w:t>
            </w:r>
          </w:p>
        </w:tc>
      </w:tr>
    </w:tbl>
    <w:p>
      <w:pPr>
        <w:sectPr>
          <w:pgSz w:w="11900" w:h="16838" w:orient="portrait"/>
          <w:cols w:equalWidth="0" w:num="1">
            <w:col w:w="11420"/>
          </w:cols>
          <w:pgMar w:left="240" w:top="769" w:right="239" w:bottom="1440" w:gutter="0" w:footer="0" w:header="0"/>
        </w:sectPr>
      </w:pPr>
    </w:p>
    <w:bookmarkStart w:id="39" w:name="page40"/>
    <w:bookmarkEnd w:id="39"/>
    <w:p>
      <w:pPr>
        <w:ind w:left="660"/>
        <w:spacing w:after="0" w:line="263" w:lineRule="auto"/>
        <w:rPr>
          <w:sz w:val="20"/>
          <w:szCs w:val="20"/>
          <w:color w:val="auto"/>
        </w:rPr>
      </w:pPr>
      <w:r>
        <w:rPr>
          <w:rFonts w:ascii="Arial" w:cs="Arial" w:eastAsia="Arial" w:hAnsi="Arial"/>
          <w:sz w:val="22"/>
          <w:szCs w:val="22"/>
          <w:color w:val="auto"/>
        </w:rPr>
        <w:t>Repurchase Amount, which available shares shall not exceed 465,061 shares of Stock issued by Parent as of the date hereof) not to exceed $25,000,000, in the aggregate.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Amendment to Schedule A-2 (Authorized Person)</w:t>
      </w:r>
      <w:r>
        <w:rPr>
          <w:rFonts w:ascii="Arial" w:cs="Arial" w:eastAsia="Arial" w:hAnsi="Arial"/>
          <w:sz w:val="22"/>
          <w:szCs w:val="22"/>
          <w:color w:val="auto"/>
        </w:rPr>
        <w:t>. Schedule A-2 of the Credit Agreement is hereby amended to include Gary S. Matthews as an Authorized Person.</w:t>
      </w:r>
    </w:p>
    <w:p>
      <w:pPr>
        <w:spacing w:after="0" w:line="16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5080"/>
        <w:spacing w:after="0"/>
        <w:rPr>
          <w:sz w:val="20"/>
          <w:szCs w:val="20"/>
          <w:color w:val="auto"/>
        </w:rPr>
      </w:pPr>
      <w:r>
        <w:rPr>
          <w:rFonts w:ascii="Arial" w:cs="Arial" w:eastAsia="Arial" w:hAnsi="Arial"/>
          <w:sz w:val="22"/>
          <w:szCs w:val="22"/>
          <w:b w:val="1"/>
          <w:bCs w:val="1"/>
          <w:u w:val="single" w:color="auto"/>
          <w:color w:val="auto"/>
        </w:rPr>
        <w:t>NO WAIVER</w:t>
      </w:r>
    </w:p>
    <w:p>
      <w:pPr>
        <w:spacing w:after="0" w:line="19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2.01 </w:t>
      </w:r>
      <w:r>
        <w:rPr>
          <w:rFonts w:ascii="Arial" w:cs="Arial" w:eastAsia="Arial" w:hAnsi="Arial"/>
          <w:sz w:val="22"/>
          <w:szCs w:val="22"/>
          <w:b w:val="1"/>
          <w:bCs w:val="1"/>
          <w:u w:val="single" w:color="auto"/>
          <w:color w:val="auto"/>
        </w:rPr>
        <w:t>No Waiver</w:t>
      </w:r>
      <w:r>
        <w:rPr>
          <w:rFonts w:ascii="Arial" w:cs="Arial" w:eastAsia="Arial" w:hAnsi="Arial"/>
          <w:sz w:val="22"/>
          <w:szCs w:val="22"/>
          <w:color w:val="auto"/>
        </w:rPr>
        <w:t xml:space="preserve">. Other than as set forth above in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hereof, nothing contained in this Amendment shall be construed as an amendment of, consent to, or waiver by, Lender of any covenant or provision of the Credit Agreement, the other Loan Documents, this Amendment, or of any other contract or instrument between any Loan Party and Lender, and the failure of Lender at any time or times hereafter to require strict performance by the Loan Parties of any provision thereof shall not waive, affect or diminish any right of Lender to thereafter demand strict compliance therewith. Lender hereby reserves all rights granted under the Credit Agreement, the other Loan Documents, this Amendment and any other contract or instrument between any Loan Party and Lender.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PRECEDENT</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3.01 </w:t>
      </w:r>
      <w:r>
        <w:rPr>
          <w:rFonts w:ascii="Arial" w:cs="Arial" w:eastAsia="Arial" w:hAnsi="Arial"/>
          <w:sz w:val="22"/>
          <w:szCs w:val="22"/>
          <w:b w:val="1"/>
          <w:bCs w:val="1"/>
          <w:u w:val="single" w:color="auto"/>
          <w:color w:val="auto"/>
        </w:rPr>
        <w:t>Conditions to Effectiveness</w:t>
      </w:r>
      <w:r>
        <w:rPr>
          <w:rFonts w:ascii="Arial" w:cs="Arial" w:eastAsia="Arial" w:hAnsi="Arial"/>
          <w:sz w:val="22"/>
          <w:szCs w:val="22"/>
          <w:color w:val="auto"/>
        </w:rPr>
        <w:t>. This Amendment shall become effective only upon the satisfaction in full, in a manner satisfactory to Lender, of the following conditions precedent (the first date upon which all such conditions have been satisfied being herein called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82" w:lineRule="exact"/>
        <w:rPr>
          <w:sz w:val="20"/>
          <w:szCs w:val="20"/>
          <w:color w:val="auto"/>
        </w:rPr>
      </w:pPr>
    </w:p>
    <w:p>
      <w:pPr>
        <w:ind w:firstLine="1305"/>
        <w:spacing w:after="0" w:line="276" w:lineRule="auto"/>
        <w:tabs>
          <w:tab w:leader="none" w:pos="2155" w:val="left"/>
        </w:tabs>
        <w:numPr>
          <w:ilvl w:val="0"/>
          <w:numId w:val="14"/>
        </w:numPr>
        <w:rPr>
          <w:rFonts w:ascii="Arial" w:cs="Arial" w:eastAsia="Arial" w:hAnsi="Arial"/>
          <w:sz w:val="18"/>
          <w:szCs w:val="18"/>
          <w:color w:val="auto"/>
        </w:rPr>
      </w:pPr>
      <w:r>
        <w:rPr>
          <w:rFonts w:ascii="Arial" w:cs="Arial" w:eastAsia="Arial" w:hAnsi="Arial"/>
          <w:sz w:val="22"/>
          <w:szCs w:val="22"/>
          <w:color w:val="auto"/>
        </w:rPr>
        <w:t>Lender shall have received the following documents or items, each in form and substance satisfactory to Lender and its legal counsel (unless such conditions are waived by Lender in its sole discretion):</w:t>
      </w:r>
    </w:p>
    <w:p>
      <w:pPr>
        <w:spacing w:after="0" w:line="160" w:lineRule="exact"/>
        <w:rPr>
          <w:rFonts w:ascii="Arial" w:cs="Arial" w:eastAsia="Arial" w:hAnsi="Arial"/>
          <w:sz w:val="18"/>
          <w:szCs w:val="18"/>
          <w:color w:val="auto"/>
        </w:rPr>
      </w:pPr>
    </w:p>
    <w:p>
      <w:pPr>
        <w:ind w:left="2780" w:hanging="827"/>
        <w:spacing w:after="0"/>
        <w:tabs>
          <w:tab w:leader="none" w:pos="2780" w:val="left"/>
        </w:tabs>
        <w:numPr>
          <w:ilvl w:val="1"/>
          <w:numId w:val="14"/>
        </w:numPr>
        <w:rPr>
          <w:rFonts w:ascii="Arial" w:cs="Arial" w:eastAsia="Arial" w:hAnsi="Arial"/>
          <w:sz w:val="18"/>
          <w:szCs w:val="18"/>
          <w:color w:val="auto"/>
        </w:rPr>
      </w:pPr>
      <w:r>
        <w:rPr>
          <w:rFonts w:ascii="Arial" w:cs="Arial" w:eastAsia="Arial" w:hAnsi="Arial"/>
          <w:sz w:val="22"/>
          <w:szCs w:val="22"/>
          <w:color w:val="auto"/>
        </w:rPr>
        <w:t>an executed copy of this Amendment; and</w:t>
      </w:r>
    </w:p>
    <w:p>
      <w:pPr>
        <w:spacing w:after="0" w:line="233" w:lineRule="exact"/>
        <w:rPr>
          <w:rFonts w:ascii="Arial" w:cs="Arial" w:eastAsia="Arial" w:hAnsi="Arial"/>
          <w:sz w:val="18"/>
          <w:szCs w:val="18"/>
          <w:color w:val="auto"/>
        </w:rPr>
      </w:pPr>
    </w:p>
    <w:p>
      <w:pPr>
        <w:jc w:val="both"/>
        <w:ind w:left="660" w:firstLine="1293"/>
        <w:spacing w:after="0" w:line="251" w:lineRule="auto"/>
        <w:tabs>
          <w:tab w:leader="none" w:pos="2825" w:val="left"/>
        </w:tabs>
        <w:numPr>
          <w:ilvl w:val="1"/>
          <w:numId w:val="14"/>
        </w:numPr>
        <w:rPr>
          <w:rFonts w:ascii="Arial" w:cs="Arial" w:eastAsia="Arial" w:hAnsi="Arial"/>
          <w:sz w:val="18"/>
          <w:szCs w:val="18"/>
          <w:color w:val="auto"/>
        </w:rPr>
      </w:pPr>
      <w:r>
        <w:rPr>
          <w:rFonts w:ascii="Arial" w:cs="Arial" w:eastAsia="Arial" w:hAnsi="Arial"/>
          <w:sz w:val="22"/>
          <w:szCs w:val="22"/>
          <w:color w:val="auto"/>
        </w:rPr>
        <w:t>(x) payment of a nonrefundable amendment fee of $10,000 to Lender, which shall be fully earned and payable on the date hereof, (y) all other documents Lender may reasonably request with respect to any matter relevant to this Amendment or the transactions contemplated hereby, and (z) Borrowers shall have paid Lender, or made arrangements satisfactory to Lender to pay, all Lender Expenses, incurred prior to or in connection with the preparation of this Amendment.</w:t>
      </w:r>
    </w:p>
    <w:p>
      <w:pPr>
        <w:spacing w:after="0" w:line="189" w:lineRule="exact"/>
        <w:rPr>
          <w:rFonts w:ascii="Arial" w:cs="Arial" w:eastAsia="Arial" w:hAnsi="Arial"/>
          <w:sz w:val="18"/>
          <w:szCs w:val="18"/>
          <w:color w:val="auto"/>
        </w:rPr>
      </w:pPr>
    </w:p>
    <w:p>
      <w:pPr>
        <w:jc w:val="both"/>
        <w:ind w:firstLine="1305"/>
        <w:spacing w:after="0" w:line="320" w:lineRule="auto"/>
        <w:tabs>
          <w:tab w:leader="none" w:pos="2144" w:val="left"/>
        </w:tabs>
        <w:numPr>
          <w:ilvl w:val="0"/>
          <w:numId w:val="14"/>
        </w:numPr>
        <w:rPr>
          <w:rFonts w:ascii="Arial" w:cs="Arial" w:eastAsia="Arial" w:hAnsi="Arial"/>
          <w:sz w:val="16"/>
          <w:szCs w:val="16"/>
          <w:color w:val="auto"/>
        </w:rPr>
      </w:pPr>
      <w:r>
        <w:rPr>
          <w:rFonts w:ascii="Arial" w:cs="Arial" w:eastAsia="Arial" w:hAnsi="Arial"/>
          <w:sz w:val="19"/>
          <w:szCs w:val="19"/>
          <w:color w:val="auto"/>
        </w:rPr>
        <w:t>After giving effect to this Amendment, the representations and warranties made by each Loan Party contained herein and in the Credit Agreement, as amended hereby, and the other Loan Documents, shall be true and correct in all material respects as of the date hereof, as if those representations and warranties were made for the first time on such date.</w:t>
      </w:r>
    </w:p>
    <w:p>
      <w:pPr>
        <w:spacing w:after="0" w:line="125" w:lineRule="exact"/>
        <w:rPr>
          <w:rFonts w:ascii="Arial" w:cs="Arial" w:eastAsia="Arial" w:hAnsi="Arial"/>
          <w:sz w:val="16"/>
          <w:szCs w:val="16"/>
          <w:color w:val="auto"/>
        </w:rPr>
      </w:pPr>
    </w:p>
    <w:p>
      <w:pPr>
        <w:ind w:right="20" w:firstLine="1305"/>
        <w:spacing w:after="0" w:line="276" w:lineRule="auto"/>
        <w:tabs>
          <w:tab w:leader="none" w:pos="2155" w:val="left"/>
        </w:tabs>
        <w:numPr>
          <w:ilvl w:val="0"/>
          <w:numId w:val="14"/>
        </w:numPr>
        <w:rPr>
          <w:rFonts w:ascii="Arial" w:cs="Arial" w:eastAsia="Arial" w:hAnsi="Arial"/>
          <w:sz w:val="18"/>
          <w:szCs w:val="18"/>
          <w:color w:val="auto"/>
        </w:rPr>
      </w:pPr>
      <w:r>
        <w:rPr>
          <w:rFonts w:ascii="Arial" w:cs="Arial" w:eastAsia="Arial" w:hAnsi="Arial"/>
          <w:sz w:val="22"/>
          <w:szCs w:val="22"/>
          <w:color w:val="auto"/>
        </w:rPr>
        <w:t>After giving effect to this Amendment, each Loan Party is in compliance with all applicable covenants and agreements contained in the Credit Agreement and the other Loan Documents.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591" w:right="239" w:bottom="1440" w:gutter="0" w:footer="0" w:header="0"/>
        </w:sectPr>
      </w:pPr>
    </w:p>
    <w:bookmarkStart w:id="40" w:name="page41"/>
    <w:bookmarkEnd w:id="40"/>
    <w:p>
      <w:pPr>
        <w:jc w:val="both"/>
        <w:ind w:firstLine="1305"/>
        <w:spacing w:after="0" w:line="260" w:lineRule="auto"/>
        <w:tabs>
          <w:tab w:leader="none" w:pos="2144" w:val="left"/>
        </w:tabs>
        <w:numPr>
          <w:ilvl w:val="0"/>
          <w:numId w:val="15"/>
        </w:numPr>
        <w:rPr>
          <w:rFonts w:ascii="Arial" w:cs="Arial" w:eastAsia="Arial" w:hAnsi="Arial"/>
          <w:sz w:val="18"/>
          <w:szCs w:val="18"/>
          <w:color w:val="auto"/>
        </w:rPr>
      </w:pPr>
      <w:r>
        <w:rPr>
          <w:rFonts w:ascii="Arial" w:cs="Arial" w:eastAsia="Arial" w:hAnsi="Arial"/>
          <w:sz w:val="22"/>
          <w:szCs w:val="22"/>
          <w:color w:val="auto"/>
        </w:rPr>
        <w:t>No Default or Event of Default shall exist under any of the Loan Documents (as amended hereby), and no Default or Event of Default will result under any of the Loan Documents from the execution, delivery or performance of this Amendment.</w:t>
      </w:r>
    </w:p>
    <w:p>
      <w:pPr>
        <w:spacing w:after="0" w:line="177" w:lineRule="exact"/>
        <w:rPr>
          <w:rFonts w:ascii="Arial" w:cs="Arial" w:eastAsia="Arial" w:hAnsi="Arial"/>
          <w:sz w:val="18"/>
          <w:szCs w:val="18"/>
          <w:color w:val="auto"/>
        </w:rPr>
      </w:pPr>
    </w:p>
    <w:p>
      <w:pPr>
        <w:ind w:firstLine="1305"/>
        <w:spacing w:after="0" w:line="358" w:lineRule="auto"/>
        <w:tabs>
          <w:tab w:leader="none" w:pos="2125" w:val="left"/>
        </w:tabs>
        <w:numPr>
          <w:ilvl w:val="0"/>
          <w:numId w:val="15"/>
        </w:numPr>
        <w:rPr>
          <w:rFonts w:ascii="Arial" w:cs="Arial" w:eastAsia="Arial" w:hAnsi="Arial"/>
          <w:sz w:val="16"/>
          <w:szCs w:val="16"/>
          <w:color w:val="auto"/>
        </w:rPr>
      </w:pPr>
      <w:r>
        <w:rPr>
          <w:rFonts w:ascii="Arial" w:cs="Arial" w:eastAsia="Arial" w:hAnsi="Arial"/>
          <w:sz w:val="19"/>
          <w:szCs w:val="19"/>
          <w:color w:val="auto"/>
        </w:rPr>
        <w:t>All corporate and other proceedings, and all documents instruments and other legal matters in connection with the transactions contemplated by this Amendment shall be satisfactory in form and substance to Lender and its counsel.</w:t>
      </w:r>
    </w:p>
    <w:p>
      <w:pPr>
        <w:spacing w:after="0" w:line="90" w:lineRule="exact"/>
        <w:rPr>
          <w:rFonts w:ascii="Arial" w:cs="Arial" w:eastAsia="Arial" w:hAnsi="Arial"/>
          <w:sz w:val="16"/>
          <w:szCs w:val="16"/>
          <w:color w:val="auto"/>
        </w:rPr>
      </w:pPr>
    </w:p>
    <w:p>
      <w:pPr>
        <w:ind w:left="2160" w:hanging="855"/>
        <w:spacing w:after="0"/>
        <w:tabs>
          <w:tab w:leader="none" w:pos="2160" w:val="left"/>
        </w:tabs>
        <w:numPr>
          <w:ilvl w:val="0"/>
          <w:numId w:val="15"/>
        </w:numPr>
        <w:rPr>
          <w:rFonts w:ascii="Arial" w:cs="Arial" w:eastAsia="Arial" w:hAnsi="Arial"/>
          <w:sz w:val="16"/>
          <w:szCs w:val="16"/>
          <w:color w:val="auto"/>
        </w:rPr>
      </w:pPr>
      <w:r>
        <w:rPr>
          <w:rFonts w:ascii="Arial" w:cs="Arial" w:eastAsia="Arial" w:hAnsi="Arial"/>
          <w:sz w:val="19"/>
          <w:szCs w:val="19"/>
          <w:color w:val="auto"/>
        </w:rPr>
        <w:t>Lender shall have received final credit approval for the Credit Facility and the transactions described in</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this Amendment.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RATIFICATIONS, REPRESENTATIONS AND WARRANTIES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4.01 </w:t>
      </w:r>
      <w:r>
        <w:rPr>
          <w:rFonts w:ascii="Arial" w:cs="Arial" w:eastAsia="Arial" w:hAnsi="Arial"/>
          <w:sz w:val="19"/>
          <w:szCs w:val="19"/>
          <w:b w:val="1"/>
          <w:bCs w:val="1"/>
          <w:u w:val="single" w:color="auto"/>
          <w:color w:val="auto"/>
        </w:rPr>
        <w:t>Ratifications</w:t>
      </w:r>
      <w:r>
        <w:rPr>
          <w:rFonts w:ascii="Arial" w:cs="Arial" w:eastAsia="Arial" w:hAnsi="Arial"/>
          <w:sz w:val="19"/>
          <w:szCs w:val="19"/>
          <w:color w:val="auto"/>
        </w:rPr>
        <w:t>. The terms and provisions set forth in this Amendment shall modify and supersede all inconsistent terms and provisions set forth in the Credit Agreement and the other Loan Documents, and, except as expressly modified and superseded by this Amendment, the terms and provisions of the Credit Agreement and the other Loan Documents are ratified and confirmed and shall continue in full force and effect. Administrative Borrower, on behalf of itself and each other Loan Party, hereby agrees that all liens and security interest securing payment of the Obligations under the Credit Agreement are hereby collectively renewed, ratified and brought forward as security for the payment and performance of the Obligations. Administrative Borrower, on behalf of itself and each other Loan Party, and Lender agree that the Credit Agreement and the other Loan Documents, as amended hereby, shall continue to be legal, valid, binding and enforceable in accordance with their respective terms.</w:t>
      </w:r>
    </w:p>
    <w:p>
      <w:pPr>
        <w:spacing w:after="0" w:line="15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4.02 </w:t>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color w:val="auto"/>
        </w:rPr>
        <w:t>. Administrative Borrower, on behalf of itself and each other Loan Party, hereby represents and warrants, jointly and severally, to Lender as of the date hereof as follows: (a) it is duly organized, validly existing and in good standing under the laws of its jurisdiction of organization; (b) the execution, delivery and performance by it of this Amendment, the Credit Agreement and all other Loan Documents executed and/or delivered in connection herewith are within its powers, have been duly authorized, and do not contravene (i) its Governing Documents or (ii) any applicable law; (c) no consent, license, permit, approval or authorization of, or registration, filing or declaration with any governmental body or other Person, is required in connection with the execution, delivery, performance, validity or enforceability of this Amendment, the Credit Agreement or any of the other Loan Documents executed and/or delivered in connection herewith by or against it, except for those consents, approvals or authorizations which (i) will have been duly obtained, made or compiled prior to the Effective Date and which are in full force and effect or (ii) the failure to obtain could not individually or in the aggregate reasonably be expected to cause a Material Adverse Change; (d) this Amendment, the Credit Agreement and all other Loan Documents executed and/or delivered in connection herewith have been duly executed and delivered by it; (e) this Amendment, the Credit Agreement and all other Loan Documents executed and/or delivered in connection herewith constitute its legal, valid and binding obligation enforceable against it in accordance with their terms, except as enforceability may be limited by applicable bankruptcy, insolvency, reorganization, moratorium or similar laws affecting the enforcement of creditors' rights generally or by general principles of equity; (f) no Default or Event of Default exists, has occurred and is continuing or would result by the execution, delivery or performance of this Amendment; (g) each Loan Party is in compliance with all applicable covenants and agreements contained in the Credit Agreement and the other Loan Documents, as amended hereby; and (h) the representations and warranties contained in the Credit Agreement and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591" w:right="239" w:bottom="1440" w:gutter="0" w:footer="0" w:header="0"/>
        </w:sectPr>
      </w:pPr>
    </w:p>
    <w:bookmarkStart w:id="41" w:name="page42"/>
    <w:bookmarkEnd w:id="41"/>
    <w:p>
      <w:pPr>
        <w:jc w:val="both"/>
        <w:spacing w:after="0" w:line="312" w:lineRule="auto"/>
        <w:rPr>
          <w:sz w:val="20"/>
          <w:szCs w:val="20"/>
          <w:color w:val="auto"/>
        </w:rPr>
      </w:pPr>
      <w:r>
        <w:rPr>
          <w:rFonts w:ascii="Arial" w:cs="Arial" w:eastAsia="Arial" w:hAnsi="Arial"/>
          <w:sz w:val="19"/>
          <w:szCs w:val="19"/>
          <w:color w:val="auto"/>
        </w:rPr>
        <w:t>the other Loan Documents are true and correct in all material respects on and as of the date hereof as though made on and as of each such date, except to the extent that such representations and warranties expressly relate solely to an earlier date (in which case such representations and warranties shall have been true and complete on and as of such earlier date).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5.01 </w:t>
      </w:r>
      <w:r>
        <w:rPr>
          <w:rFonts w:ascii="Arial" w:cs="Arial" w:eastAsia="Arial" w:hAnsi="Arial"/>
          <w:sz w:val="22"/>
          <w:szCs w:val="22"/>
          <w:b w:val="1"/>
          <w:bCs w:val="1"/>
          <w:u w:val="single" w:color="auto"/>
          <w:color w:val="auto"/>
        </w:rPr>
        <w:t>Survival of Representations and Warranties</w:t>
      </w:r>
      <w:r>
        <w:rPr>
          <w:rFonts w:ascii="Arial" w:cs="Arial" w:eastAsia="Arial" w:hAnsi="Arial"/>
          <w:sz w:val="22"/>
          <w:szCs w:val="22"/>
          <w:color w:val="auto"/>
        </w:rPr>
        <w:t>. All representations and warranties made in the Credit Agreement or the other Loan Documents, including, without limitation, any document furnished in connection with this Amendment, shall survive the execution and delivery of this Amendment and the other Loan Documents, and no investigation by Lender shall affect the representations and warranties or the right of Lender to rely upon them.</w:t>
      </w:r>
    </w:p>
    <w:p>
      <w:pPr>
        <w:spacing w:after="0" w:line="18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5.02 </w:t>
      </w:r>
      <w:r>
        <w:rPr>
          <w:rFonts w:ascii="Arial" w:cs="Arial" w:eastAsia="Arial" w:hAnsi="Arial"/>
          <w:sz w:val="19"/>
          <w:szCs w:val="19"/>
          <w:b w:val="1"/>
          <w:bCs w:val="1"/>
          <w:u w:val="single" w:color="auto"/>
          <w:color w:val="auto"/>
        </w:rPr>
        <w:t>Reference to Credit Agreement</w:t>
      </w:r>
      <w:r>
        <w:rPr>
          <w:rFonts w:ascii="Arial" w:cs="Arial" w:eastAsia="Arial" w:hAnsi="Arial"/>
          <w:sz w:val="19"/>
          <w:szCs w:val="19"/>
          <w:color w:val="auto"/>
        </w:rPr>
        <w:t>. Each of the Credit Agreement and the other Loan Documents, and any and all other agreements,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w:t>
      </w:r>
    </w:p>
    <w:p>
      <w:pPr>
        <w:spacing w:after="0" w:line="1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5.03 </w:t>
      </w:r>
      <w:r>
        <w:rPr>
          <w:rFonts w:ascii="Arial" w:cs="Arial" w:eastAsia="Arial" w:hAnsi="Arial"/>
          <w:sz w:val="22"/>
          <w:szCs w:val="22"/>
          <w:b w:val="1"/>
          <w:bCs w:val="1"/>
          <w:u w:val="single" w:color="auto"/>
          <w:color w:val="auto"/>
        </w:rPr>
        <w:t>Expenses of Lender</w:t>
      </w:r>
      <w:r>
        <w:rPr>
          <w:rFonts w:ascii="Arial" w:cs="Arial" w:eastAsia="Arial" w:hAnsi="Arial"/>
          <w:sz w:val="22"/>
          <w:szCs w:val="22"/>
          <w:color w:val="auto"/>
        </w:rPr>
        <w:t>. Administrative Borrower, on behalf of itself and each other Borrower and Guarantor, agrees to pay on demand all reasonable costs and expenses incurred by Lender in connection with any and all amendments, modifications, and supplements to the other Loan Documents, including, without limitation, the reasonable costs and fees of Lender's legal counsel, and all costs and expenses incurred by Lender in connection with the enforcement or preservation of any rights under the Credit Agreement, as amended hereby, or any other Loan Documents, including, without, limitation, the costs and fees of Lender's legal counsel.</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5.04 </w:t>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Any provision of this Amendment held by a court of competent jurisdiction to be invalid or unenforceable shall not impair or invalidate the remainder of this Amendment and the effect thereof shall be confined to the provision so held to be invalid or unenforceable.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5.05 </w:t>
      </w: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This Amendment is binding upon and shall inure to the benefit of Lender and each Loan Party and their respective successors and assigns, except that no Loan Party may assign or transfer any of its respective rights or obligations hereunder without the prior written consent of Lender.</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5.06 </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in one or more counterparts (including by electronic .pdf), each of which when so executed shall be deemed to be an original, but all of which when taken together shall constitute one and the same instrument.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5.07 </w:t>
      </w:r>
      <w:r>
        <w:rPr>
          <w:rFonts w:ascii="Arial" w:cs="Arial" w:eastAsia="Arial" w:hAnsi="Arial"/>
          <w:sz w:val="22"/>
          <w:szCs w:val="22"/>
          <w:b w:val="1"/>
          <w:bCs w:val="1"/>
          <w:u w:val="single" w:color="auto"/>
          <w:color w:val="auto"/>
        </w:rPr>
        <w:t>Effect of Waiver</w:t>
      </w:r>
      <w:r>
        <w:rPr>
          <w:rFonts w:ascii="Arial" w:cs="Arial" w:eastAsia="Arial" w:hAnsi="Arial"/>
          <w:sz w:val="22"/>
          <w:szCs w:val="22"/>
          <w:color w:val="auto"/>
        </w:rPr>
        <w:t>. No consent or waiver, express or implied, by Lender to or for any breach of or deviation from any covenant or condition by any Loan Party shall be deemed a consent to or waiver of any other breach of the same or any other covenant, condition or duty.</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5.08 </w:t>
      </w: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headings, captions, and arrangements used in this Amendment are for convenience only and shall not affect the interpretation of this Amendment.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91" w:right="239" w:bottom="1440" w:gutter="0" w:footer="0" w:header="0"/>
        </w:sectPr>
      </w:pPr>
    </w:p>
    <w:bookmarkStart w:id="42" w:name="page43"/>
    <w:bookmarkEnd w:id="42"/>
    <w:p>
      <w:pPr>
        <w:jc w:val="both"/>
        <w:ind w:firstLine="648"/>
        <w:spacing w:after="0" w:line="256" w:lineRule="auto"/>
        <w:rPr>
          <w:sz w:val="20"/>
          <w:szCs w:val="20"/>
          <w:color w:val="auto"/>
        </w:rPr>
      </w:pPr>
      <w:r>
        <w:rPr>
          <w:rFonts w:ascii="Arial" w:cs="Arial" w:eastAsia="Arial" w:hAnsi="Arial"/>
          <w:sz w:val="22"/>
          <w:szCs w:val="22"/>
          <w:color w:val="auto"/>
        </w:rPr>
        <w:t xml:space="preserve">5.09 </w:t>
      </w:r>
      <w:r>
        <w:rPr>
          <w:rFonts w:ascii="Arial" w:cs="Arial" w:eastAsia="Arial" w:hAnsi="Arial"/>
          <w:sz w:val="22"/>
          <w:szCs w:val="22"/>
          <w:b w:val="1"/>
          <w:bCs w:val="1"/>
          <w:u w:val="single" w:color="auto"/>
          <w:color w:val="auto"/>
        </w:rPr>
        <w:t>Applicable Law</w:t>
      </w:r>
      <w:r>
        <w:rPr>
          <w:rFonts w:ascii="Arial" w:cs="Arial" w:eastAsia="Arial" w:hAnsi="Arial"/>
          <w:sz w:val="22"/>
          <w:szCs w:val="22"/>
          <w:color w:val="auto"/>
        </w:rPr>
        <w:t>. THIS AMENDMENT AND ALL OTHER AGREEMENTS EXECUTED PURSUANT HERETO SHALL BE DEEMED TO HAVE BEEN MADE AND TO BE PERFORMABLE IN AND SHALL BE GOVERNED BY AND CONSTRUED IN ACCORDANCE WITH THE LAWS OF THE STATE OF TEXAS.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b w:val="1"/>
          <w:bCs w:val="1"/>
          <w:u w:val="single" w:color="auto"/>
          <w:color w:val="auto"/>
        </w:rPr>
        <w:t>Final Agreement</w:t>
      </w:r>
      <w:r>
        <w:rPr>
          <w:rFonts w:ascii="Arial" w:cs="Arial" w:eastAsia="Arial" w:hAnsi="Arial"/>
          <w:sz w:val="22"/>
          <w:szCs w:val="22"/>
          <w:color w:val="auto"/>
        </w:rPr>
        <w:t>. THE CREDIT AGREEMENT AND THE OTHER LOAN DOCUMENTS, EACH AS MODIFIED HEREBY, REPRESENT THE ENTIRE EXPRESSION OF THE PARTIES WITH RESPECT TO THE SUBJECT MATTER HEREOF ON THE DATE THIS AMENDMENT IS EXECUTED. THE CREDIT AGREEMENT AND THE OTHER LOAN DOCUMENTS, AS MODIFIED HEREBY, MAY NOT BE CONTRADICTED BY EVIDENCE OF PRIOR, CONTEMPORANEOUS OR SUBSEQUENT ORAL AGREEMENTS OF THE PARTIES. THERE ARE NO UNWRITTEN ORAL AGREEMENTS BETWEEN THE PARTIES. NO MODIFICATION, RESCISSION, WAIVER, RELEASE OR AGREEMENT OF ANY PROVISION OF THIS AMENDMENT SHALL BE MADE, EXCEPT BY A WRITTEN AGREEMENT SIGNED BY THE BORROWERS AND LENDER.</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5.11 </w:t>
      </w:r>
      <w:r>
        <w:rPr>
          <w:rFonts w:ascii="Arial" w:cs="Arial" w:eastAsia="Arial" w:hAnsi="Arial"/>
          <w:sz w:val="21"/>
          <w:szCs w:val="21"/>
          <w:b w:val="1"/>
          <w:bCs w:val="1"/>
          <w:u w:val="single" w:color="auto"/>
          <w:color w:val="auto"/>
        </w:rPr>
        <w:t>Release</w:t>
      </w:r>
      <w:r>
        <w:rPr>
          <w:rFonts w:ascii="Arial" w:cs="Arial" w:eastAsia="Arial" w:hAnsi="Arial"/>
          <w:sz w:val="21"/>
          <w:szCs w:val="21"/>
          <w:color w:val="auto"/>
        </w:rPr>
        <w:t>. ADMINISTRATIVE BORROWER, ON BEHALF OF ITSELF AND EACH LOAN PARTY, HEREBY ACKNOWLEDGES THAT IT HAS NO DEFENSE, COUNTERCLAIM, OFFSET, CROSS COMPLAINT, CLAIM OR DEMAND OF ANY KIND OR NATURE WHATSOEVER THAT CAN BE ASSERTED TO REDUCE OR ELIMINATE ALL OR ANY PART OF ITS LIABILITY TO REPAY ANY LOANS OR EXTENSIONS OF CREDIT FROM LENDER TO THE BORROWERS UNDER THE CREDIT AGREEMENT OR THE OTHER LOAN DOCUMENTS OR TO SEEK AFFIRMATIVE RELIEF OR DAMAGES OF ANY KIND OR NATURE FROM LENDER. ADMINISTRATIVE BORROWER, ON BEHALF OF ITSELF AND EACH LOAN PARTY, HEREBY VOLUNTARILY AND KNOWINGLY RELEASES AND FOREVER DISCHARGES LENDER, ITS PREDECESSORS, AGENTS, EMPLOYEES, SUCCESSORS AND ASSIGNS, FROM ALL POSSIBLE CLAIMS, DEMANDS, ACTIONS, CAUSES OF ACTION, DAMAGES, COSTS, EXPENSES, AND LIABILITIES WHATSOEVER, KNOWN OR UNKNOWN, ANTICIPATED OR UNANTICIPATED, SUSPECTED OR UNSUSPECTED, FIXED, CONTINGENT, OR CONDITIONAL, AT LAW OR IN EQUITY, ORIGINATING IN WHOLE OR IN PART ON OR BEFORE THE DATE THIS AMENDMENT IS EXECUTED, WHICH ANY LOAN PARTY MAY NOW OR HEREAFTER HAVE AGAINST LENDER, ITS PREDECESSORS, AGENTS, EMPLOYEES, SUCCESSORS AND ASSIGNS, IF ANY, AND IRRESPECTIVE OF WHETHER ANY SUCH CLAIMS ARISE OUT OF CONTRACT, TORT, VIOLATION OF LAW OR REGULATIONS, OR OTHERWISE, AND ARISING FROM ANY LOANS OR EXTENSIONS OF CREDIT FROM LENDER TO THE BORROWERS UNDER THE CREDIT AGREEMENT OR THE OTHER LOAN DOCUMENTS, INCLUDING, WITHOUT LIMITATION, ANY CONTRACTING FOR, CHARGING, TAKING, RESERVING, COLLECTING OR RECEIVING INTEREST IN EXCESS OF THE HIGHEST LAWFUL RATE APPLICABLE, THE EXERCISE OF ANY RIGHTS AND REMEDIES UNDER THE CREDIT AGREEMENT OR LOAN DOCUMENTS, AND NEGOTIATION FOR AND EXECUTION OF THIS AMENDMENT.</w:t>
      </w:r>
    </w:p>
    <w:p>
      <w:pPr>
        <w:spacing w:after="0" w:line="1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5.12 </w:t>
      </w:r>
      <w:r>
        <w:rPr>
          <w:rFonts w:ascii="Arial" w:cs="Arial" w:eastAsia="Arial" w:hAnsi="Arial"/>
          <w:sz w:val="21"/>
          <w:szCs w:val="21"/>
          <w:b w:val="1"/>
          <w:bCs w:val="1"/>
          <w:u w:val="single" w:color="auto"/>
          <w:color w:val="auto"/>
        </w:rPr>
        <w:t>Consent of Guarantors</w:t>
      </w:r>
      <w:r>
        <w:rPr>
          <w:rFonts w:ascii="Arial" w:cs="Arial" w:eastAsia="Arial" w:hAnsi="Arial"/>
          <w:sz w:val="21"/>
          <w:szCs w:val="21"/>
          <w:color w:val="auto"/>
        </w:rPr>
        <w:t>. The Administrative Borrower, on behalf of each Guarantor, hereby (a) consents to the transactions contemplated by this Amendment; and (b) agrees that the Credit Agreement and the other Loan Documents (as amended, restated, supplemented or otherwise modified from time to time) are and shall remain in full force and effect. Although each Guarantor has been informed of the matters set forth herein and Administrative Borrower, on behalf of the Guarantors, has acknowledged and agreed to same, it understands that the Lender has no obligation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585" w:right="239" w:bottom="1440" w:gutter="0" w:footer="0" w:header="0"/>
        </w:sectPr>
      </w:pPr>
    </w:p>
    <w:bookmarkStart w:id="43" w:name="page44"/>
    <w:bookmarkEnd w:id="43"/>
    <w:p>
      <w:pPr>
        <w:jc w:val="both"/>
        <w:spacing w:after="0" w:line="294" w:lineRule="auto"/>
        <w:rPr>
          <w:sz w:val="20"/>
          <w:szCs w:val="20"/>
          <w:color w:val="auto"/>
        </w:rPr>
      </w:pPr>
      <w:r>
        <w:rPr>
          <w:rFonts w:ascii="Arial" w:cs="Arial" w:eastAsia="Arial" w:hAnsi="Arial"/>
          <w:sz w:val="19"/>
          <w:szCs w:val="19"/>
          <w:color w:val="auto"/>
        </w:rPr>
        <w:t>to inform it of such matters in the future or to seek its acknowledgment or agreement to future amendments, and nothing herein shall create such a duty. Administrative Borrower, on behalf of each Guarantor, acknowledges that its Guaranty is in full force and effect and ratifies the same, acknowledges that the undersigned has no defense, counterclaim, set-off or any other claim to diminish the undersigned's liability under such documents, that the undersigned's consent is not required to the effectiveness of the Credit Agreement and that no consent by it is required for the effectiveness of any future amendment, modification, forbearance or other action with respect to the Collateral, the Advances, the Credit Agreement or any of the other Loan Documents.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591"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22"/>
          <w:szCs w:val="22"/>
          <w:color w:val="auto"/>
        </w:rPr>
        <w:t>IN WITNESS WHEREOF, the undersigned has executed this Amendment as of the date first above written.</w:t>
      </w:r>
    </w:p>
    <w:p>
      <w:pPr>
        <w:spacing w:after="0" w:line="362" w:lineRule="exact"/>
        <w:rPr>
          <w:sz w:val="20"/>
          <w:szCs w:val="20"/>
          <w:color w:val="auto"/>
        </w:rPr>
      </w:pPr>
    </w:p>
    <w:p>
      <w:pPr>
        <w:ind w:left="5340"/>
        <w:spacing w:after="0"/>
        <w:rPr>
          <w:sz w:val="20"/>
          <w:szCs w:val="20"/>
          <w:color w:val="auto"/>
        </w:rPr>
      </w:pPr>
      <w:r>
        <w:rPr>
          <w:rFonts w:ascii="Arial" w:cs="Arial" w:eastAsia="Arial" w:hAnsi="Arial"/>
          <w:sz w:val="22"/>
          <w:szCs w:val="22"/>
          <w:b w:val="1"/>
          <w:bCs w:val="1"/>
          <w:u w:val="single" w:color="auto"/>
          <w:color w:val="auto"/>
        </w:rPr>
        <w:t>ADMINISTRATIVE BORROWER</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IES HOLDINGS, INC.</w:t>
      </w:r>
    </w:p>
    <w:p>
      <w:pPr>
        <w:spacing w:after="0" w:line="200" w:lineRule="exact"/>
        <w:rPr>
          <w:sz w:val="20"/>
          <w:szCs w:val="20"/>
          <w:color w:val="auto"/>
        </w:rPr>
      </w:pPr>
    </w:p>
    <w:p>
      <w:pPr>
        <w:spacing w:after="0" w:line="363" w:lineRule="exact"/>
        <w:rPr>
          <w:sz w:val="20"/>
          <w:szCs w:val="20"/>
          <w:color w:val="auto"/>
        </w:rPr>
      </w:pPr>
    </w:p>
    <w:tbl>
      <w:tblPr>
        <w:tblLayout w:type="fixed"/>
        <w:tblInd w:w="5340" w:type="dxa"/>
        <w:tblCellMar>
          <w:top w:w="0" w:type="dxa"/>
          <w:left w:w="0" w:type="dxa"/>
          <w:bottom w:w="0" w:type="dxa"/>
          <w:right w:w="0" w:type="dxa"/>
        </w:tblCellMar>
      </w:tblPr>
      <w:tr>
        <w:trPr>
          <w:trHeight w:val="339"/>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Tracy A. McLauchlin</w:t>
            </w:r>
          </w:p>
        </w:tc>
      </w:tr>
      <w:tr>
        <w:trPr>
          <w:trHeight w:val="280"/>
        </w:trPr>
        <w:tc>
          <w:tcPr>
            <w:tcW w:w="120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40"/>
              <w:spacing w:after="0"/>
              <w:rPr>
                <w:sz w:val="20"/>
                <w:szCs w:val="20"/>
                <w:color w:val="auto"/>
              </w:rPr>
            </w:pPr>
            <w:r>
              <w:rPr>
                <w:rFonts w:ascii="Arial" w:cs="Arial" w:eastAsia="Arial" w:hAnsi="Arial"/>
                <w:sz w:val="22"/>
                <w:szCs w:val="22"/>
                <w:color w:val="auto"/>
              </w:rPr>
              <w:t>Tracy A. McLauchlin</w:t>
            </w:r>
          </w:p>
        </w:tc>
      </w:tr>
      <w:tr>
        <w:trPr>
          <w:trHeight w:val="351"/>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40"/>
              <w:spacing w:after="0"/>
              <w:rPr>
                <w:sz w:val="20"/>
                <w:szCs w:val="20"/>
                <w:color w:val="auto"/>
              </w:rPr>
            </w:pPr>
            <w:r>
              <w:rPr>
                <w:rFonts w:ascii="Arial" w:cs="Arial" w:eastAsia="Arial" w:hAnsi="Arial"/>
                <w:sz w:val="22"/>
                <w:szCs w:val="22"/>
                <w:color w:val="auto"/>
              </w:rPr>
              <w:t>Senior Vice President, CFO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Fourth Amendment to Second Amended and Restated Credit and Security Agreement</w:t>
      </w:r>
    </w:p>
    <w:p>
      <w:pPr>
        <w:sectPr>
          <w:pgSz w:w="11900" w:h="16838" w:orient="portrait"/>
          <w:cols w:equalWidth="0" w:num="1">
            <w:col w:w="11420"/>
          </w:cols>
          <w:pgMar w:left="240" w:top="375" w:right="239" w:bottom="1440" w:gutter="0" w:footer="0" w:header="0"/>
        </w:sectPr>
      </w:pPr>
    </w:p>
    <w:bookmarkStart w:id="45" w:name="page46"/>
    <w:bookmarkEnd w:id="45"/>
    <w:p>
      <w:pPr>
        <w:ind w:left="5340"/>
        <w:spacing w:after="0"/>
        <w:rPr>
          <w:sz w:val="20"/>
          <w:szCs w:val="20"/>
          <w:color w:val="auto"/>
        </w:rPr>
      </w:pPr>
      <w:r>
        <w:rPr>
          <w:rFonts w:ascii="Arial" w:cs="Arial" w:eastAsia="Arial" w:hAnsi="Arial"/>
          <w:sz w:val="22"/>
          <w:szCs w:val="22"/>
          <w:b w:val="1"/>
          <w:bCs w:val="1"/>
          <w:color w:val="auto"/>
        </w:rPr>
        <w:t>WELLS FARGO BANK, NATIONAL ASSOCIATION</w:t>
      </w:r>
    </w:p>
    <w:p>
      <w:pPr>
        <w:spacing w:after="0" w:line="200" w:lineRule="exact"/>
        <w:rPr>
          <w:sz w:val="20"/>
          <w:szCs w:val="20"/>
          <w:color w:val="auto"/>
        </w:rPr>
      </w:pPr>
    </w:p>
    <w:p>
      <w:pPr>
        <w:spacing w:after="0" w:line="363" w:lineRule="exact"/>
        <w:rPr>
          <w:sz w:val="20"/>
          <w:szCs w:val="20"/>
          <w:color w:val="auto"/>
        </w:rPr>
      </w:pPr>
    </w:p>
    <w:tbl>
      <w:tblPr>
        <w:tblLayout w:type="fixed"/>
        <w:tblInd w:w="5340" w:type="dxa"/>
        <w:tblCellMar>
          <w:top w:w="0" w:type="dxa"/>
          <w:left w:w="0" w:type="dxa"/>
          <w:bottom w:w="0" w:type="dxa"/>
          <w:right w:w="0" w:type="dxa"/>
        </w:tblCellMar>
      </w:tblPr>
      <w:tr>
        <w:trPr>
          <w:trHeight w:val="339"/>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Michael L. Gerard</w:t>
            </w:r>
          </w:p>
        </w:tc>
      </w:tr>
      <w:tr>
        <w:trPr>
          <w:trHeight w:val="280"/>
        </w:trPr>
        <w:tc>
          <w:tcPr>
            <w:tcW w:w="120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40"/>
              <w:spacing w:after="0"/>
              <w:rPr>
                <w:sz w:val="20"/>
                <w:szCs w:val="20"/>
                <w:color w:val="auto"/>
              </w:rPr>
            </w:pPr>
            <w:r>
              <w:rPr>
                <w:rFonts w:ascii="Arial" w:cs="Arial" w:eastAsia="Arial" w:hAnsi="Arial"/>
                <w:sz w:val="22"/>
                <w:szCs w:val="22"/>
                <w:color w:val="auto"/>
              </w:rPr>
              <w:t>Michael L. Gerard</w:t>
            </w:r>
          </w:p>
        </w:tc>
      </w:tr>
      <w:tr>
        <w:trPr>
          <w:trHeight w:val="351"/>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Fourth Amendment to Second Amended and Restated Credit and Security Agreement</w:t>
      </w:r>
    </w:p>
    <w:p>
      <w:pPr>
        <w:sectPr>
          <w:pgSz w:w="11900" w:h="16838" w:orient="portrait"/>
          <w:cols w:equalWidth="0" w:num="1">
            <w:col w:w="11420"/>
          </w:cols>
          <w:pgMar w:left="240" w:top="94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Gary S. Matthews, certify that:</w:t>
      </w:r>
    </w:p>
    <w:p>
      <w:pPr>
        <w:spacing w:after="0" w:line="131" w:lineRule="exact"/>
        <w:rPr>
          <w:sz w:val="20"/>
          <w:szCs w:val="20"/>
          <w:color w:val="auto"/>
        </w:rPr>
      </w:pPr>
    </w:p>
    <w:p>
      <w:pPr>
        <w:ind w:left="420" w:hanging="187"/>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130" w:lineRule="exact"/>
        <w:rPr>
          <w:rFonts w:ascii="Arial" w:cs="Arial" w:eastAsia="Arial" w:hAnsi="Arial"/>
          <w:sz w:val="18"/>
          <w:szCs w:val="18"/>
          <w:color w:val="auto"/>
        </w:rPr>
      </w:pPr>
    </w:p>
    <w:p>
      <w:pPr>
        <w:ind w:firstLine="315"/>
        <w:spacing w:after="0" w:line="342" w:lineRule="auto"/>
        <w:tabs>
          <w:tab w:leader="none" w:pos="504" w:val="left"/>
        </w:tabs>
        <w:numPr>
          <w:ilvl w:val="1"/>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firstLine="333"/>
        <w:spacing w:after="0" w:line="277" w:lineRule="auto"/>
        <w:tabs>
          <w:tab w:leader="none" w:pos="525" w:val="left"/>
        </w:tabs>
        <w:numPr>
          <w:ilvl w:val="2"/>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firstLine="365"/>
        <w:spacing w:after="0" w:line="264" w:lineRule="auto"/>
        <w:tabs>
          <w:tab w:leader="none" w:pos="561" w:val="left"/>
        </w:tabs>
        <w:numPr>
          <w:ilvl w:val="3"/>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jc w:val="both"/>
        <w:ind w:right="20" w:firstLine="272"/>
        <w:spacing w:after="0" w:line="264" w:lineRule="auto"/>
        <w:tabs>
          <w:tab w:leader="none" w:pos="517"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firstLine="233"/>
        <w:spacing w:after="0" w:line="264"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firstLine="233"/>
        <w:spacing w:after="0" w:line="277" w:lineRule="auto"/>
        <w:tabs>
          <w:tab w:leader="none" w:pos="4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firstLine="261"/>
        <w:spacing w:after="0" w:line="264" w:lineRule="auto"/>
        <w:tabs>
          <w:tab w:leader="none" w:pos="513" w:val="left"/>
        </w:tabs>
        <w:numPr>
          <w:ilvl w:val="2"/>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firstLine="298"/>
        <w:spacing w:after="0" w:line="308" w:lineRule="auto"/>
        <w:tabs>
          <w:tab w:leader="none" w:pos="4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firstLine="233"/>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firstLine="262"/>
        <w:spacing w:after="0" w:line="277" w:lineRule="auto"/>
        <w:tabs>
          <w:tab w:leader="none" w:pos="5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GARY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905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Gary S. Matthews</w:t>
      </w:r>
    </w:p>
    <w:p>
      <w:pPr>
        <w:spacing w:after="0" w:line="63"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Chief Executive Officer as Principal Executive Officer</w:t>
      </w:r>
    </w:p>
    <w:p>
      <w:pPr>
        <w:sectPr>
          <w:pgSz w:w="11900" w:h="16838" w:orient="portrait"/>
          <w:cols w:equalWidth="0" w:num="1">
            <w:col w:w="11420"/>
          </w:cols>
          <w:pgMar w:left="240" w:top="98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Tracy A. McLauchlin, certify that:</w:t>
      </w:r>
    </w:p>
    <w:p>
      <w:pPr>
        <w:spacing w:after="0" w:line="131" w:lineRule="exact"/>
        <w:rPr>
          <w:sz w:val="20"/>
          <w:szCs w:val="20"/>
          <w:color w:val="auto"/>
        </w:rPr>
      </w:pPr>
    </w:p>
    <w:p>
      <w:pPr>
        <w:ind w:left="420" w:hanging="187"/>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130" w:lineRule="exact"/>
        <w:rPr>
          <w:rFonts w:ascii="Arial" w:cs="Arial" w:eastAsia="Arial" w:hAnsi="Arial"/>
          <w:sz w:val="18"/>
          <w:szCs w:val="18"/>
          <w:color w:val="auto"/>
        </w:rPr>
      </w:pPr>
    </w:p>
    <w:p>
      <w:pPr>
        <w:ind w:firstLine="315"/>
        <w:spacing w:after="0" w:line="342" w:lineRule="auto"/>
        <w:tabs>
          <w:tab w:leader="none" w:pos="504" w:val="left"/>
        </w:tabs>
        <w:numPr>
          <w:ilvl w:val="1"/>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firstLine="333"/>
        <w:spacing w:after="0" w:line="277" w:lineRule="auto"/>
        <w:tabs>
          <w:tab w:leader="none" w:pos="525" w:val="left"/>
        </w:tabs>
        <w:numPr>
          <w:ilvl w:val="2"/>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firstLine="365"/>
        <w:spacing w:after="0" w:line="264" w:lineRule="auto"/>
        <w:tabs>
          <w:tab w:leader="none" w:pos="561" w:val="left"/>
        </w:tabs>
        <w:numPr>
          <w:ilvl w:val="3"/>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jc w:val="both"/>
        <w:ind w:left="40" w:right="20" w:firstLine="254"/>
        <w:spacing w:after="0" w:line="264" w:lineRule="auto"/>
        <w:tabs>
          <w:tab w:leader="none" w:pos="5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40" w:firstLine="251"/>
        <w:spacing w:after="0" w:line="264" w:lineRule="auto"/>
        <w:tabs>
          <w:tab w:leader="none" w:pos="55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0" w:firstLine="252"/>
        <w:spacing w:after="0" w:line="277" w:lineRule="auto"/>
        <w:tabs>
          <w:tab w:leader="none" w:pos="5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40" w:firstLine="243"/>
        <w:spacing w:after="0" w:line="264" w:lineRule="auto"/>
        <w:tabs>
          <w:tab w:leader="none" w:pos="5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firstLine="298"/>
        <w:spacing w:after="0" w:line="308"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40" w:right="20" w:firstLine="249"/>
        <w:spacing w:after="0" w:line="277" w:lineRule="auto"/>
        <w:tabs>
          <w:tab w:leader="none" w:pos="53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0" w:firstLine="244"/>
        <w:spacing w:after="0" w:line="277" w:lineRule="auto"/>
        <w:tabs>
          <w:tab w:leader="none" w:pos="53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31750</wp:posOffset>
            </wp:positionV>
            <wp:extent cx="35248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Tracy A. McLauchlin</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as Principal Financial Officer</w:t>
      </w:r>
    </w:p>
    <w:p>
      <w:pPr>
        <w:sectPr>
          <w:pgSz w:w="11900" w:h="16838" w:orient="portrait"/>
          <w:cols w:equalWidth="0" w:num="1">
            <w:col w:w="11420"/>
          </w:cols>
          <w:pgMar w:left="240" w:top="81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this Quarterly Report of IES Holdings, Inc. (the “Company”) on Form 10-Q for the period ending June 30, 2019 (the “Report”), I, Gary S. Matthews,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2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5020" w:val="left"/>
          <w:tab w:leader="none" w:pos="7100" w:val="left"/>
        </w:tabs>
        <w:rPr>
          <w:sz w:val="20"/>
          <w:szCs w:val="20"/>
          <w:color w:val="auto"/>
        </w:rPr>
      </w:pPr>
      <w:r>
        <w:rPr>
          <w:rFonts w:ascii="Arial" w:cs="Arial" w:eastAsia="Arial" w:hAnsi="Arial"/>
          <w:sz w:val="18"/>
          <w:szCs w:val="18"/>
          <w:color w:val="auto"/>
        </w:rPr>
        <w:t>Date: August 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GARY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31750</wp:posOffset>
            </wp:positionV>
            <wp:extent cx="32327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Gary S. Matthews</w:t>
      </w:r>
    </w:p>
    <w:p>
      <w:pPr>
        <w:spacing w:after="0" w:line="6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Chief Executive Officer as Principal Executive Officer</w:t>
      </w:r>
    </w:p>
    <w:p>
      <w:pPr>
        <w:sectPr>
          <w:pgSz w:w="11900" w:h="16838" w:orient="portrait"/>
          <w:cols w:equalWidth="0" w:num="1">
            <w:col w:w="11420"/>
          </w:cols>
          <w:pgMar w:left="240" w:top="769"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this Quarterly Report of IES Holdings, Inc. (the “Company”) on Form 10-Q for the period ending June 30, 2019 (the “Report”), I, Tracy A. McLauchlin, Senior Vice President, Chief Financial Officer and Treasurer of the Company, certify, pursuant to 18 U.S.C. § 1350, as adopted pursuant to</w:t>
      </w:r>
    </w:p>
    <w:p>
      <w:pPr>
        <w:ind w:left="140" w:hanging="132"/>
        <w:spacing w:after="0"/>
        <w:tabs>
          <w:tab w:leader="none" w:pos="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906 of the Sarbanes-Oxley Act of 2002, that:</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hanging="328"/>
        <w:spacing w:after="0"/>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4400" w:val="left"/>
          <w:tab w:leader="none" w:pos="6680" w:val="left"/>
        </w:tabs>
        <w:rPr>
          <w:sz w:val="20"/>
          <w:szCs w:val="20"/>
          <w:color w:val="auto"/>
        </w:rPr>
      </w:pPr>
      <w:r>
        <w:rPr>
          <w:rFonts w:ascii="Arial" w:cs="Arial" w:eastAsia="Arial" w:hAnsi="Arial"/>
          <w:sz w:val="18"/>
          <w:szCs w:val="18"/>
          <w:color w:val="auto"/>
        </w:rPr>
        <w:t>Date: August 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5845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5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Tracy A. McLauchlin</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Principal Financial Officer</w:t>
      </w: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upp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Letter"/>
      <w:start w:val="2"/>
    </w:lvl>
    <w:lvl w:ilvl="1">
      <w:lvlJc w:val="left"/>
      <w:lvlText w:val="(%2)"/>
      <w:numFmt w:val="lowerRoman"/>
      <w:start w:val="1"/>
    </w:lvl>
  </w:abstractNum>
  <w:abstractNum w:abstractNumId="14">
    <w:nsid w:val="257130A3"/>
    <w:multiLevelType w:val="hybridMultilevel"/>
    <w:lvl w:ilvl="0">
      <w:lvlJc w:val="left"/>
      <w:lvlText w:val="(%1)"/>
      <w:numFmt w:val="lowerLetter"/>
      <w:start w:val="5"/>
    </w:lvl>
  </w:abstractNum>
  <w:abstractNum w:abstractNumId="15">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6">
    <w:nsid w:val="436C612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
    <w:nsid w:val="628C895D"/>
    <w:multiLevelType w:val="hybridMultilevel"/>
    <w:lvl w:ilvl="0">
      <w:lvlJc w:val="left"/>
      <w:lvlText w:val="(%1)"/>
      <w:numFmt w:val="lowerLetter"/>
      <w:start w:val="2"/>
    </w:lvl>
    <w:lvl w:ilvl="1">
      <w:lvlJc w:val="left"/>
      <w:lvlText w:val="%2."/>
      <w:numFmt w:val="decimal"/>
      <w:start w:val="4"/>
    </w:lvl>
    <w:lvl w:ilvl="2">
      <w:lvlJc w:val="left"/>
      <w:lvlText w:val="(%3)"/>
      <w:numFmt w:val="lowerLetter"/>
      <w:start w:val="4"/>
    </w:lvl>
  </w:abstractNum>
  <w:abstractNum w:abstractNumId="18">
    <w:nsid w:val="333AB105"/>
    <w:multiLevelType w:val="hybridMultilevel"/>
    <w:lvl w:ilvl="0">
      <w:lvlJc w:val="left"/>
      <w:lvlText w:val="(%1)"/>
      <w:numFmt w:val="lowerLetter"/>
      <w:start w:val="1"/>
    </w:lvl>
    <w:lvl w:ilvl="1">
      <w:lvlJc w:val="left"/>
      <w:lvlText w:val="(%2)"/>
      <w:numFmt w:val="lowerLetter"/>
      <w:start w:val="2"/>
    </w:lvl>
  </w:abstractNum>
  <w:abstractNum w:abstractNumId="19">
    <w:nsid w:val="721DA31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5"/>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4" Type="http://schemas.openxmlformats.org/officeDocument/2006/relationships/image" Target="media/image25.png"/><Relationship Id="rId37"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32" Type="http://schemas.openxmlformats.org/officeDocument/2006/relationships/hyperlink" Target="http://www.sec.gov/Archives/edgar/data/1048268/000119312516674386/d211495dex31.htm" TargetMode="External"/><Relationship Id="rId33" Type="http://schemas.openxmlformats.org/officeDocument/2006/relationships/hyperlink" Target="http://www.sec.gov/Archives/edgar/data/1048268/000119312513026383/d474722dex31.htm" TargetMode="External"/><Relationship Id="rId35" Type="http://schemas.openxmlformats.org/officeDocument/2006/relationships/hyperlink" Target="http://www.sec.gov/Archives/edgar/data/1048268/000119312516600652/d197326dex31.htm" TargetMode="External"/><Relationship Id="rId36" Type="http://schemas.openxmlformats.org/officeDocument/2006/relationships/hyperlink" Target="http://www.sec.gov/Archives/edgar/data/1048268/000119312516789187/d310826dex41.htm" TargetMode="External"/><Relationship Id="rId38" Type="http://schemas.openxmlformats.org/officeDocument/2006/relationships/hyperlink" Target="http://www.sec.gov/Archives/edgar/data/1048268/000119312516763155/d487615dex41.htm" TargetMode="External"/><Relationship Id="rId39" Type="http://schemas.openxmlformats.org/officeDocument/2006/relationships/hyperlink" Target="http://www.sec.gov/Archives/edgar/data/1048268/000119312519138305/d740684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2019-12-28T09:27:01Z</dcterms:created>
  <dcterms:modified xsi:type="dcterms:W3CDTF">2019-12-28T09:27:01Z</dcterms:modified>
</cp:coreProperties>
</file>