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6" w:lineRule="exact"/>
        <w:rPr>
          <w:sz w:val="24"/>
          <w:szCs w:val="24"/>
          <w:color w:val="auto"/>
        </w:rPr>
      </w:pPr>
    </w:p>
    <w:p>
      <w:pPr>
        <w:ind w:left="640" w:right="80" w:hanging="43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640" w:right="80" w:hanging="436"/>
        <w:spacing w:after="0" w:line="237"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0"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2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172085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274955</wp:posOffset>
            </wp:positionV>
            <wp:extent cx="1569085" cy="702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IES Holdings,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4"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76-0542208</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2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5433 Westheimer Road, Suite 500, Houston, Texas 77056</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1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(713) 860-1500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172085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8" w:lineRule="exact"/>
        <w:rPr>
          <w:sz w:val="24"/>
          <w:szCs w:val="24"/>
          <w:color w:val="auto"/>
        </w:rPr>
      </w:pPr>
    </w:p>
    <w:p>
      <w:pPr>
        <w:ind w:left="20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20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left="200"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14" w:lineRule="exact"/>
        <w:rPr>
          <w:sz w:val="24"/>
          <w:szCs w:val="24"/>
          <w:color w:val="auto"/>
        </w:rPr>
      </w:pPr>
    </w:p>
    <w:p>
      <w:pPr>
        <w:ind w:left="200"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200" w:right="152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January 31, 2019, there were 21,138,486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146685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12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120" w:type="dxa"/>
            <w:vAlign w:val="bottom"/>
            <w:gridSpan w:val="21"/>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 Financial Statements</w:t>
              </w:r>
            </w:hyperlink>
          </w:p>
        </w:tc>
        <w:tc>
          <w:tcPr>
            <w:tcW w:w="724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as of December 31, 2018 and September 30, 2018</w:t>
              </w:r>
            </w:hyperlink>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Comprehensive Income for the Three Months Ended December 31, 2018 and 2017</w:t>
              </w:r>
            </w:hyperlink>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20" w:type="dxa"/>
            <w:vAlign w:val="bottom"/>
            <w:tcBorders>
              <w:top w:val="single" w:sz="8" w:color="0000EE"/>
            </w:tcBorders>
            <w:gridSpan w:val="18"/>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Condensed Consolidated Statement of Stockholders’ Equity for the Three Months Ended December 31, 2018 and 2017</w:t>
              </w:r>
            </w:hyperlink>
          </w:p>
        </w:tc>
        <w:tc>
          <w:tcPr>
            <w:tcW w:w="5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Three Months Ended December 31, 2018 and 2017</w:t>
              </w:r>
            </w:hyperlink>
          </w:p>
        </w:tc>
        <w:tc>
          <w:tcPr>
            <w:tcW w:w="600" w:type="dxa"/>
            <w:vAlign w:val="bottom"/>
            <w:tcBorders>
              <w:top w:val="single" w:sz="8" w:color="0000EE"/>
            </w:tcBorders>
          </w:tcPr>
          <w:p>
            <w:pPr>
              <w:spacing w:after="0"/>
              <w:rPr>
                <w:sz w:val="24"/>
                <w:szCs w:val="24"/>
                <w:color w:val="auto"/>
              </w:rPr>
            </w:pPr>
          </w:p>
        </w:tc>
        <w:tc>
          <w:tcPr>
            <w:tcW w:w="820" w:type="dxa"/>
            <w:vAlign w:val="bottom"/>
            <w:gridSpan w:val="2"/>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700" w:type="dxa"/>
            <w:vAlign w:val="bottom"/>
            <w:gridSpan w:val="4"/>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PART II. OTHER INFORMATION</w:t>
              </w:r>
            </w:hyperlink>
          </w:p>
        </w:tc>
        <w:tc>
          <w:tcPr>
            <w:tcW w:w="754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7860" w:type="dxa"/>
            <w:vAlign w:val="bottom"/>
            <w:gridSpan w:val="14"/>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8160" w:type="dxa"/>
            <w:vAlign w:val="bottom"/>
            <w:gridSpan w:val="16"/>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tcBorders>
              <w:top w:val="single" w:sz="8" w:color="0000EE"/>
            </w:tcBorders>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4860" w:type="dxa"/>
            <w:vAlign w:val="bottom"/>
            <w:gridSpan w:val="7"/>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880" w:type="dxa"/>
            <w:vAlign w:val="bottom"/>
            <w:tcBorders>
              <w:top w:val="single" w:sz="8" w:color="0000EE"/>
            </w:tcBorders>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Mine Safety Disclosures</w:t>
              </w:r>
            </w:hyperlink>
          </w:p>
        </w:tc>
        <w:tc>
          <w:tcPr>
            <w:tcW w:w="6880" w:type="dxa"/>
            <w:vAlign w:val="bottom"/>
            <w:gridSpan w:val="9"/>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4"/>
          </w:tcPr>
          <w:p>
            <w:pPr>
              <w:spacing w:after="0"/>
              <w:rPr>
                <w:sz w:val="24"/>
                <w:szCs w:val="24"/>
                <w:color w:val="auto"/>
              </w:rPr>
            </w:pPr>
          </w:p>
        </w:tc>
        <w:tc>
          <w:tcPr>
            <w:tcW w:w="7440" w:type="dxa"/>
            <w:vAlign w:val="bottom"/>
            <w:gridSpan w:val="11"/>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1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6. Exhibits</w:t>
              </w:r>
            </w:hyperlink>
          </w:p>
        </w:tc>
        <w:tc>
          <w:tcPr>
            <w:tcW w:w="8600" w:type="dxa"/>
            <w:vAlign w:val="bottom"/>
            <w:gridSpan w:val="17"/>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this Quarterly Report on Form 10-Q, the words “IES”, the “Company”, the “Registrant”, “we”, “our”, “ours” and “us” refer to IES Holdings,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except as otherwise specified herein, to our subsidiaries.</w:t>
      </w: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95"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controlling shareholder to take action not aligned with other shareholders;</w:t>
      </w:r>
    </w:p>
    <w:p>
      <w:pPr>
        <w:spacing w:after="0" w:line="130" w:lineRule="exact"/>
        <w:rPr>
          <w:rFonts w:ascii="Arial" w:cs="Arial" w:eastAsia="Arial" w:hAnsi="Arial"/>
          <w:sz w:val="18"/>
          <w:szCs w:val="18"/>
          <w:color w:val="auto"/>
        </w:rPr>
      </w:pPr>
    </w:p>
    <w:p>
      <w:pPr>
        <w:ind w:left="640" w:hanging="436"/>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controlling shareholder, which, under certain circumstances, would trigger change of control provisions in our severance plan or financing and surety arrangements, or any other substantial sale of our common stock, which could depress our stock price;</w:t>
      </w:r>
    </w:p>
    <w:p>
      <w:pPr>
        <w:spacing w:after="0" w:line="86" w:lineRule="exact"/>
        <w:rPr>
          <w:rFonts w:ascii="Arial" w:cs="Arial" w:eastAsia="Arial" w:hAnsi="Arial"/>
          <w:sz w:val="18"/>
          <w:szCs w:val="18"/>
          <w:color w:val="auto"/>
        </w:rPr>
      </w:pPr>
    </w:p>
    <w:p>
      <w:pPr>
        <w:ind w:left="640" w:right="80" w:hanging="436"/>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further change in the federal tax rate;</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or further write-downs on deferred tax assets;</w:t>
      </w:r>
    </w:p>
    <w:p>
      <w:pPr>
        <w:spacing w:after="0" w:line="130" w:lineRule="exact"/>
        <w:rPr>
          <w:rFonts w:ascii="Arial" w:cs="Arial" w:eastAsia="Arial" w:hAnsi="Arial"/>
          <w:sz w:val="18"/>
          <w:szCs w:val="18"/>
          <w:color w:val="auto"/>
        </w:rPr>
      </w:pPr>
    </w:p>
    <w:p>
      <w:pPr>
        <w:ind w:left="640" w:right="260" w:hanging="436"/>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and debt service;</w:t>
      </w:r>
    </w:p>
    <w:p>
      <w:pPr>
        <w:spacing w:after="0" w:line="142" w:lineRule="exact"/>
        <w:rPr>
          <w:rFonts w:ascii="Arial" w:cs="Arial" w:eastAsia="Arial" w:hAnsi="Arial"/>
          <w:sz w:val="17"/>
          <w:szCs w:val="17"/>
          <w:color w:val="auto"/>
        </w:rPr>
      </w:pPr>
    </w:p>
    <w:p>
      <w:pPr>
        <w:ind w:left="640" w:right="60" w:hanging="436"/>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credit facilities, including liquidity, EBITDA and other financial requirements, which could result in a default and acceleration of our indebtedness under our revolving credit facility;</w:t>
      </w:r>
    </w:p>
    <w:p>
      <w:pPr>
        <w:spacing w:after="0" w:line="75" w:lineRule="exact"/>
        <w:rPr>
          <w:rFonts w:ascii="Arial" w:cs="Arial" w:eastAsia="Arial" w:hAnsi="Arial"/>
          <w:sz w:val="18"/>
          <w:szCs w:val="18"/>
          <w:color w:val="auto"/>
        </w:rPr>
      </w:pPr>
    </w:p>
    <w:p>
      <w:pPr>
        <w:ind w:left="640" w:right="500" w:hanging="436"/>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which could depress our stock price;</w:t>
      </w:r>
    </w:p>
    <w:p>
      <w:pPr>
        <w:spacing w:after="0" w:line="130" w:lineRule="exact"/>
        <w:rPr>
          <w:rFonts w:ascii="Arial" w:cs="Arial" w:eastAsia="Arial" w:hAnsi="Arial"/>
          <w:sz w:val="18"/>
          <w:szCs w:val="18"/>
          <w:color w:val="auto"/>
        </w:rPr>
      </w:pPr>
    </w:p>
    <w:p>
      <w:pPr>
        <w:ind w:left="640" w:right="340" w:hanging="436"/>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capital expenditures and refurbishment, repair and upgrade costs; and delays in and costs of refurbishment, repair and upgrade projects;</w:t>
      </w:r>
    </w:p>
    <w:p>
      <w:pPr>
        <w:spacing w:after="0" w:line="153" w:lineRule="exact"/>
        <w:rPr>
          <w:rFonts w:ascii="Arial" w:cs="Arial" w:eastAsia="Arial" w:hAnsi="Arial"/>
          <w:sz w:val="16"/>
          <w:szCs w:val="16"/>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130" w:lineRule="exact"/>
        <w:rPr>
          <w:rFonts w:ascii="Arial" w:cs="Arial" w:eastAsia="Arial" w:hAnsi="Arial"/>
          <w:sz w:val="18"/>
          <w:szCs w:val="18"/>
          <w:color w:val="auto"/>
        </w:rPr>
      </w:pPr>
    </w:p>
    <w:p>
      <w:pPr>
        <w:ind w:left="640" w:right="520" w:hanging="436"/>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that may not be realized or may not result in profits;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130" w:lineRule="exact"/>
        <w:rPr>
          <w:rFonts w:ascii="Arial" w:cs="Arial" w:eastAsia="Arial" w:hAnsi="Arial"/>
          <w:sz w:val="18"/>
          <w:szCs w:val="18"/>
          <w:color w:val="auto"/>
        </w:rPr>
      </w:pPr>
    </w:p>
    <w:p>
      <w:pPr>
        <w:ind w:left="640" w:right="640" w:hanging="436"/>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75" w:lineRule="exact"/>
        <w:rPr>
          <w:rFonts w:ascii="Arial" w:cs="Arial" w:eastAsia="Arial" w:hAnsi="Arial"/>
          <w:sz w:val="18"/>
          <w:szCs w:val="18"/>
          <w:color w:val="auto"/>
        </w:rPr>
      </w:pPr>
    </w:p>
    <w:p>
      <w:pPr>
        <w:ind w:left="640" w:right="420" w:hanging="436"/>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75" w:lineRule="exact"/>
        <w:rPr>
          <w:rFonts w:ascii="Arial" w:cs="Arial" w:eastAsia="Arial" w:hAnsi="Arial"/>
          <w:sz w:val="18"/>
          <w:szCs w:val="18"/>
          <w:color w:val="auto"/>
        </w:rPr>
      </w:pPr>
    </w:p>
    <w:p>
      <w:pPr>
        <w:ind w:left="640" w:right="280" w:hanging="436"/>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or the housing market, seasonality and differing regional economic conditions;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153" w:lineRule="exact"/>
        <w:rPr>
          <w:rFonts w:ascii="Arial" w:cs="Arial" w:eastAsia="Arial" w:hAnsi="Arial"/>
          <w:sz w:val="16"/>
          <w:szCs w:val="16"/>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a policy at acceptable rates;</w:t>
      </w:r>
    </w:p>
    <w:p>
      <w:pPr>
        <w:spacing w:after="0" w:line="142" w:lineRule="exact"/>
        <w:rPr>
          <w:rFonts w:ascii="Arial" w:cs="Arial" w:eastAsia="Arial" w:hAnsi="Arial"/>
          <w:sz w:val="17"/>
          <w:szCs w:val="17"/>
          <w:color w:val="auto"/>
        </w:rPr>
      </w:pPr>
    </w:p>
    <w:p>
      <w:pPr>
        <w:ind w:left="640" w:hanging="436"/>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130" w:lineRule="exact"/>
        <w:rPr>
          <w:rFonts w:ascii="Arial" w:cs="Arial" w:eastAsia="Arial" w:hAnsi="Arial"/>
          <w:sz w:val="18"/>
          <w:szCs w:val="18"/>
          <w:color w:val="auto"/>
        </w:rPr>
      </w:pPr>
    </w:p>
    <w:p>
      <w:pPr>
        <w:ind w:left="640" w:right="600" w:hanging="436"/>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225"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You should understand that the foregoing, as well as other risk factors discussed in this document and those listed in Part I, Item 1A of our Annual Report on Form 10-K for the fiscal year ended September 30, 2018,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color w:val="auto"/>
                <w:w w:val="90"/>
              </w:rPr>
              <w:t>December 31,</w:t>
            </w:r>
          </w:p>
        </w:tc>
        <w:tc>
          <w:tcPr>
            <w:tcW w:w="1140" w:type="dxa"/>
            <w:vAlign w:val="bottom"/>
            <w:gridSpan w:val="4"/>
          </w:tcPr>
          <w:p>
            <w:pPr>
              <w:ind w:left="18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89"/>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20" w:type="dxa"/>
            <w:vAlign w:val="bottom"/>
            <w:vMerge w:val="restart"/>
          </w:tcPr>
          <w:p>
            <w:pPr>
              <w:ind w:left="392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w w:val="95"/>
              </w:rPr>
              <w:t>(Unaudited)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20,578</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Trade, net of allowance of $870 and $868,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161,290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151,578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Retainage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265,783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262,693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423,137</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125,877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130,591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161,181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164,417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194,575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198,355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$0.01 par value, 100,000,000 shares authorized; 22,049,529 issued and 21,286,103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21,205,536 outstanding,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Treasury stock, at cost, 763,426 and 843,993 shares,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(8,896)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194,607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225,231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423,137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300"/>
              <w:spacing w:after="0"/>
              <w:rPr>
                <w:sz w:val="20"/>
                <w:szCs w:val="20"/>
                <w:color w:val="auto"/>
              </w:rPr>
            </w:pPr>
            <w:r>
              <w:rPr>
                <w:rFonts w:ascii="Arial" w:cs="Arial" w:eastAsia="Arial" w:hAnsi="Arial"/>
                <w:sz w:val="14"/>
                <w:szCs w:val="14"/>
                <w:color w:val="auto"/>
                <w:w w:val="94"/>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Cost of services</w:t>
            </w:r>
          </w:p>
        </w:tc>
        <w:tc>
          <w:tcPr>
            <w:tcW w:w="1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(29,513)</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19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IES Holdings, Inc.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(29,569)</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earnings (loss) per share: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Basic</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21,233,132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21,196,854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21,261,065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21,196,854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60" w:type="dxa"/>
            <w:vAlign w:val="bottom"/>
            <w:gridSpan w:val="3"/>
            <w:vMerge w:val="restart"/>
          </w:tcPr>
          <w:p>
            <w:pPr>
              <w:ind w:left="340"/>
              <w:spacing w:after="0"/>
              <w:rPr>
                <w:sz w:val="20"/>
                <w:szCs w:val="20"/>
                <w:color w:val="auto"/>
              </w:rPr>
            </w:pPr>
            <w:r>
              <w:rPr>
                <w:rFonts w:ascii="Arial" w:cs="Arial" w:eastAsia="Arial" w:hAnsi="Arial"/>
                <w:sz w:val="14"/>
                <w:szCs w:val="14"/>
                <w:color w:val="auto"/>
                <w:w w:val="94"/>
              </w:rPr>
              <w:t>Common Stock</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5"/>
            <w:vMerge w:val="restart"/>
          </w:tcPr>
          <w:p>
            <w:pPr>
              <w:jc w:val="right"/>
              <w:ind w:right="48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4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color w:val="auto"/>
                <w:w w:val="99"/>
              </w:rPr>
              <w:t>Retained</w:t>
            </w:r>
          </w:p>
        </w:tc>
        <w:tc>
          <w:tcPr>
            <w:tcW w:w="10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Arial" w:cs="Arial" w:eastAsia="Arial" w:hAnsi="Arial"/>
                <w:sz w:val="14"/>
                <w:szCs w:val="14"/>
                <w:color w:val="auto"/>
              </w:rPr>
              <w:t>Shares</w:t>
            </w:r>
          </w:p>
        </w:tc>
        <w:tc>
          <w:tcPr>
            <w:tcW w:w="720" w:type="dxa"/>
            <w:vAlign w:val="bottom"/>
            <w:gridSpan w:val="3"/>
          </w:tcPr>
          <w:p>
            <w:pPr>
              <w:ind w:left="240"/>
              <w:spacing w:after="0"/>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APIC</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2018</w:t>
            </w:r>
          </w:p>
        </w:tc>
        <w:tc>
          <w:tcPr>
            <w:tcW w:w="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22,049,529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220</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$(8,937)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$196,810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$ 32,314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220,407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Issuances under compensation plans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(212,688)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2,252</w:t>
            </w:r>
          </w:p>
        </w:tc>
        <w:tc>
          <w:tcPr>
            <w:tcW w:w="1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(2,252)</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Cumulative effect adjustment from adoption of ASU</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2014-09</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Acquisition of treasury stock</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132,121</w:t>
            </w: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compensation</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Net income attributable to IES Holdings, Inc.</w:t>
            </w: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22,049,529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220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763,426</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194,607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$ 39,300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60" w:type="dxa"/>
            <w:vAlign w:val="bottom"/>
            <w:gridSpan w:val="3"/>
            <w:vMerge w:val="restart"/>
          </w:tcPr>
          <w:p>
            <w:pPr>
              <w:ind w:left="340"/>
              <w:spacing w:after="0"/>
              <w:rPr>
                <w:sz w:val="20"/>
                <w:szCs w:val="20"/>
                <w:color w:val="auto"/>
              </w:rPr>
            </w:pPr>
            <w:r>
              <w:rPr>
                <w:rFonts w:ascii="Arial" w:cs="Arial" w:eastAsia="Arial" w:hAnsi="Arial"/>
                <w:sz w:val="14"/>
                <w:szCs w:val="14"/>
                <w:color w:val="auto"/>
                <w:w w:val="94"/>
              </w:rPr>
              <w:t>Common Stock</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5"/>
            <w:vMerge w:val="restart"/>
          </w:tcPr>
          <w:p>
            <w:pPr>
              <w:jc w:val="right"/>
              <w:ind w:right="48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4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color w:val="auto"/>
                <w:w w:val="99"/>
              </w:rPr>
              <w:t>Retained</w:t>
            </w:r>
          </w:p>
        </w:tc>
        <w:tc>
          <w:tcPr>
            <w:tcW w:w="10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Arial" w:cs="Arial" w:eastAsia="Arial" w:hAnsi="Arial"/>
                <w:sz w:val="14"/>
                <w:szCs w:val="14"/>
                <w:color w:val="auto"/>
              </w:rPr>
              <w:t>Shares</w:t>
            </w:r>
          </w:p>
        </w:tc>
        <w:tc>
          <w:tcPr>
            <w:tcW w:w="720" w:type="dxa"/>
            <w:vAlign w:val="bottom"/>
            <w:gridSpan w:val="3"/>
          </w:tcPr>
          <w:p>
            <w:pPr>
              <w:ind w:left="240"/>
              <w:spacing w:after="0"/>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APIC</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2017</w:t>
            </w:r>
          </w:p>
        </w:tc>
        <w:tc>
          <w:tcPr>
            <w:tcW w:w="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22,049,529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220</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(712,554)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$(6,898)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$196,955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$ 46,427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236,704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Grants under compensation plans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Non-cash compensation</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IES Holdings, Inc.</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(29,569)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(29,569)</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BALANCE, December 31, 2017</w:t>
            </w:r>
          </w:p>
        </w:tc>
        <w:tc>
          <w:tcPr>
            <w:tcW w:w="8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22,049,529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220</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(710,784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(6,881</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197,312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$ 16,858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207,509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jc w:val="center"/>
        <w:ind w:left="9240"/>
        <w:spacing w:after="0"/>
        <w:rPr>
          <w:sz w:val="20"/>
          <w:szCs w:val="20"/>
          <w:color w:val="auto"/>
        </w:rPr>
      </w:pPr>
      <w:r>
        <w:rPr>
          <w:rFonts w:ascii="Arial" w:cs="Arial" w:eastAsia="Arial" w:hAnsi="Arial"/>
          <w:sz w:val="14"/>
          <w:szCs w:val="14"/>
          <w:color w:val="auto"/>
        </w:rPr>
        <w:t>Three Months Ended</w:t>
      </w:r>
    </w:p>
    <w:p>
      <w:pPr>
        <w:jc w:val="center"/>
        <w:ind w:left="9240"/>
        <w:spacing w:after="0" w:line="231" w:lineRule="auto"/>
        <w:rPr>
          <w:sz w:val="20"/>
          <w:szCs w:val="20"/>
          <w:color w:val="auto"/>
        </w:rPr>
      </w:pPr>
      <w:r>
        <w:rPr>
          <w:rFonts w:ascii="Arial" w:cs="Arial" w:eastAsia="Arial" w:hAnsi="Arial"/>
          <w:sz w:val="14"/>
          <w:szCs w:val="14"/>
          <w:color w:val="auto"/>
        </w:rPr>
        <w:t>December 31,</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6,983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(29,513)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Bad debt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financing cost amortization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sale of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Non-cash compensation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(9,750)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(2,915)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Other non-current 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Proceeds from sale of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in conjunction with business combinations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Borrowings of debt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debt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Issuance of shares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(2,219)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(5,669)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26,247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20,578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paid for interest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Cash paid for income taxes (net)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 AND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Description of the Business</w:t>
      </w:r>
    </w:p>
    <w:p>
      <w:pPr>
        <w:spacing w:after="0" w:line="117"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color w:val="auto"/>
        </w:rPr>
        <w:t>IES Holdings, Inc. is a holding company that owns and manages operating subsidiaries in business activities across a variety of end markets. Our operations are currently organized into four principal business segments, based upon the nature of our current services:</w:t>
      </w:r>
    </w:p>
    <w:p>
      <w:pPr>
        <w:spacing w:after="0" w:line="52" w:lineRule="exact"/>
        <w:rPr>
          <w:sz w:val="20"/>
          <w:szCs w:val="20"/>
          <w:color w:val="auto"/>
        </w:rPr>
      </w:pPr>
    </w:p>
    <w:p>
      <w:pPr>
        <w:ind w:left="1060" w:right="400" w:hanging="316"/>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29" w:lineRule="exact"/>
        <w:rPr>
          <w:rFonts w:ascii="Arial" w:cs="Arial" w:eastAsia="Arial" w:hAnsi="Arial"/>
          <w:sz w:val="16"/>
          <w:szCs w:val="16"/>
          <w:color w:val="auto"/>
        </w:rPr>
      </w:pPr>
    </w:p>
    <w:p>
      <w:pPr>
        <w:ind w:left="1060" w:right="84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 Nationwide provider of technology infrastructure products and services to large corporations and independent businesses.</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 including apparatus repair and custom-engineered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words “IES”, the “Company”, “we”, “our”, and “us” refer to IES Holdings, Inc. and, except as otherwise specified herein, to our subsidiaries.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Results of operations from our Residential construction segment are seasonal, depending on weather trends, with typically higher revenues generated during spring and summer and lower revenues generated during fall and winter, with an impact from precipitation in the warmer months.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of Financial Statement Preparation</w:t>
      </w:r>
    </w:p>
    <w:p>
      <w:pPr>
        <w:spacing w:after="0" w:line="11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its wholly-owned subsidiaries, and entities that we control due to ownership of a majority of voting interest and have been prepared in accordance with the instructions to interim financial reporting as prescribed by the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2018.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In connection with our acquisitions of STR Mechanical, LLC (“STR Mechanical”) in fiscal 2016 and NEXT Electric, LLC (“NEXT Electric”)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420"/>
        <w:spacing w:after="0" w:line="291" w:lineRule="auto"/>
        <w:rPr>
          <w:sz w:val="20"/>
          <w:szCs w:val="20"/>
          <w:color w:val="auto"/>
        </w:rPr>
      </w:pPr>
      <w:r>
        <w:rPr>
          <w:rFonts w:ascii="Arial" w:cs="Arial" w:eastAsia="Arial" w:hAnsi="Arial"/>
          <w:sz w:val="16"/>
          <w:szCs w:val="16"/>
          <w:color w:val="auto"/>
        </w:rPr>
        <w:t>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w:t>
      </w:r>
    </w:p>
    <w:p>
      <w:pPr>
        <w:ind w:left="200" w:right="80"/>
        <w:spacing w:after="0" w:line="261" w:lineRule="auto"/>
        <w:rPr>
          <w:sz w:val="20"/>
          <w:szCs w:val="20"/>
          <w:color w:val="auto"/>
        </w:rPr>
      </w:pPr>
      <w:r>
        <w:rPr>
          <w:rFonts w:ascii="Arial" w:cs="Arial" w:eastAsia="Arial" w:hAnsi="Arial"/>
          <w:sz w:val="18"/>
          <w:szCs w:val="18"/>
          <w:color w:val="auto"/>
        </w:rPr>
        <w:t>ASC 810 and the redemption amounts assuming the noncontrolling interests were redeemable at the balance sheet date. If all of these interests had been redeemable at December 31, 2018, the redemption amount would have been $2,126.</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In December 2017, the Tax Cuts and Jobs Act (the “Act”) was enacted, which, among other changes, reduced the federal statutory corporate tax rate from 35% to 21%, effective January 1, 2018. As a result of this change, the Company’s statutory tax rate for fiscal 2018 was a blended rate of 24.53% and decreased to 21% in 2019. For the three months ended December 31, 2017, our effective tax rate differed from the statutory tax rate as a result of a charge of $31,306 to re-measure our deferred tax assets and liabilities to reflect the impact of the new statutory tax rate. The company completed its accounting for the income tax effects of the Act and fully recorded the impact in the year ended September 30,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In February 2016, the Financial Accounting Standards Board (“FASB”) issued Accounting Standard Update No. 2016-02, Leases (“ASU 2016-02”). Under ASU 2016-02, lessees will need to recognize a right-of-use asset and a lease liability for all of their leases, other than those that meet the definition of a short-term lease. For income statement purposes, leases must be classified as either operating or finance. Operating leases will result in straight-line expense, similar to current operating leases, while finance leases will result in a front-loaded pattern, similar to current capital leases. ASU 2016-02 becomes effective for the fiscal year ended September 30, 2020. We are currently evaluating the impact it will have on our Condensed Consolidated Financial Statements.</w:t>
      </w:r>
    </w:p>
    <w:p>
      <w:pPr>
        <w:spacing w:after="0" w:line="193"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In June 2018, the FASB issued Accounting Standard Update No. 2018-07, Compensation—Stock Compensation (“ASU 2018-07”), to simplify the accounting for share-based payments to nonemployees by aligning it with the accounting for share-based payments for employees, with certain exceptions. Under the new guidance, the cost for nonemployee awards may be lower and less volatile than under current US GAAP because the measurement generally will occur earlier and will be fixed at the grant date. This update is effective for annual financial reporting periods, and interim periods within those annual periods, beginning after December 15, 2018, although early adoption is permitted.</w:t>
      </w:r>
    </w:p>
    <w:p>
      <w:pPr>
        <w:spacing w:after="0" w:line="173"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although early adoption is permitted for either the entire standard or only the provisions that eliminate or modify the requirements.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expect ASU 2018-07, or ASU 2018-13 to have a material effect on our Condensed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In May 2014, the FASB issued Accounting Standard Update No. 2014-09, which provides a single comprehensive accounting standard for revenue recognition for contracts with customers and supersedes prior industry-specific guidance. The new standard requires companies to recognize revenue when control of promised goods or services is transferred to customers at an amount that reflects the consideration to which the company expects to be entitled. The new model requires companies to identify contractual performance obligations and determine whether revenue should be recognized at a point in time or over time for each obligation. The new standard also expands disclosure requirements regarding revenue and cash flows arising from contracts with customers. The impact on our results for the quarter ended December 31, 2018, of applying the new standard to our contracts was not material.</w:t>
      </w:r>
    </w:p>
    <w:p>
      <w:pPr>
        <w:spacing w:after="0" w:line="18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We adopted the new standard on October 1, 2018 (“Adoption Date”), using the modified retrospective method, which provides for a cumulative effect adjustment to beginning fiscal 2019 retained earnings for uncompleted contracts impacted by the adoption. We recorded an adjustment of $102 to beginning fiscal 2019 retained earnings as a result of adoption of the new standard. The changes to the method and/or timing of our revenue recognition associated with the new standard primarily affect revenue recognition within our Infrastructure Solutions segment for which as of October 1, 2018 certain of our contracts do not qualify for revenue recognition over time. In addition, we have now combined in process contracts that historically had been accounted for as separate contracts in cases where those contracts meet the criteria for combination of contracts under the new standard, and we now capitalize certain commissions which were previously expensed when incurred.</w:t>
      </w:r>
    </w:p>
    <w:p>
      <w:pPr>
        <w:spacing w:after="0" w:line="17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Consistent with our adoption method, the comparative prior period information for the quarter ended December 31, 2017 continues to be reported using the previous accounting standards in effect for the period presented. We have elected to utilize the modified retrospective transition practical expedient that allows us to evaluate the impact of contract modifications as of the Adoption Date rather than evaluating the impact of the modifications at the time they occurred prior to the Adoption Date.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3, “Revenue Recognition” for additional discussion of our revenue recognition accounting policies and expanded disclosures.</w:t>
      </w:r>
    </w:p>
    <w:p>
      <w:pPr>
        <w:spacing w:after="0" w:line="225"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 January 2016, the FASB issued Accounting Standard Update No. 2016-01, Financial Instruments. This standard is associated with the recognition and measurement of financial assets and liabilities, with further clarifications made in February 2018 with the issuance of Accounting Standard Update No.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Our adoption of this standard on October 1, 2018 had no impact our condensed consolidated financial statements.</w:t>
      </w:r>
    </w:p>
    <w:p>
      <w:pPr>
        <w:spacing w:after="0" w:line="179"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In January 2017, the FASB issued Accounting Standard Update No. 2017-01, Business Combinations. This standard clarifies the definition of a business to assist entities with evaluation of whether transactions should be accounted for as acquisitions or disposals of assets or businesses. Our adoption of this standard on October 1, 2018 using the prospective transition method had no impact our condensed consolidated financial statements.</w:t>
      </w:r>
    </w:p>
    <w:p>
      <w:pPr>
        <w:spacing w:after="0" w:line="14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May 2017, the FASB issued Accounting Standard Update No. 2017-09, Compensation—Stock Compensation, to reduce the diversity in practice and the cost and complexity when changing the terms or conditions of a share-based payment award. Our adoption of this standard on October 1, 2018 using the prospective transition method had no impact our condensed consolidated financial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CONTROLLING SHAREHOLDER</w:t>
      </w:r>
    </w:p>
    <w:p>
      <w:pPr>
        <w:spacing w:after="0" w:line="121"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Tontine Associates, L.L.C. and its affiliates (collectively, “Tontine”), is the Company’s controlling shareholder, owning approximately 57.5 percent of the Company’s outstanding common stock according to a Schedule 13D/A filed with the SEC by Tontine on January 11, 2019. Accordingly, Tontine has the ability to exercise significant control over our affairs, including the election of directors and most actions requiring the approval of shareholders.</w:t>
      </w:r>
    </w:p>
    <w:p>
      <w:pPr>
        <w:spacing w:after="0" w:line="14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While Tontine is subject to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ectPr>
          <w:pgSz w:w="11900" w:h="16838" w:orient="portrait"/>
          <w:cols w:equalWidth="0" w:num="1">
            <w:col w:w="11200"/>
          </w:cols>
          <w:pgMar w:left="240" w:top="459" w:right="459" w:bottom="1440" w:gutter="0" w:footer="0" w:header="0"/>
        </w:sectPr>
      </w:pP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00"/>
          </w:cols>
          <w:pgMar w:left="240" w:top="459"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new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6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Jeffrey L. Gendell was appointed as a member of the Board of Directors and as Chairman of the Board in November 2016. He is the managing member and founder of Tontine, and the brother of David B. Gendell, who has served as a member of the Board of Directors since February 2012, as Interim Director of Operations from November 2017 to January 2019, and who previously served as Vice Chairman of the Board from November 2016 to November 2017 and as Chairman of the Board from January 2015 to November 2016. David B. Gendell was an employee of Tontine from 2004 until December 31, 2017.</w:t>
      </w:r>
    </w:p>
    <w:p>
      <w:pPr>
        <w:spacing w:after="0" w:line="188" w:lineRule="exact"/>
        <w:rPr>
          <w:sz w:val="20"/>
          <w:szCs w:val="20"/>
          <w:color w:val="auto"/>
        </w:rPr>
      </w:pPr>
    </w:p>
    <w:p>
      <w:pPr>
        <w:ind w:left="200" w:right="460"/>
        <w:spacing w:after="0" w:line="279" w:lineRule="auto"/>
        <w:rPr>
          <w:sz w:val="20"/>
          <w:szCs w:val="20"/>
          <w:color w:val="auto"/>
        </w:rPr>
      </w:pPr>
      <w:r>
        <w:rPr>
          <w:rFonts w:ascii="Arial" w:cs="Arial" w:eastAsia="Arial" w:hAnsi="Arial"/>
          <w:sz w:val="17"/>
          <w:szCs w:val="17"/>
          <w:color w:val="auto"/>
        </w:rPr>
        <w:t>The Company is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 landlord and the Company’s increased use of the corporate office space. The lease has terms at market rates, and payments by the Company are at a rate consistent with that paid by Tontine Associates, LLC to its landlord.</w:t>
      </w:r>
    </w:p>
    <w:p>
      <w:pPr>
        <w:spacing w:after="0" w:line="17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On December 6, 2018, the Company entered into a Board Observer Letter Agreement with Tontine Associates, LLC in order to assist Tontine in managing its investment in the Company. Subject to the terms and conditions set forth in the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Contracts</w:t>
      </w:r>
    </w:p>
    <w:p>
      <w:pPr>
        <w:spacing w:after="0" w:line="117"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Our revenue is derived from contracts with customers, and we determine the appropriate accounting treatment for each contract at contract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4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65"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The transaction price for our contracts may include variable consideration, which includes increases to transaction price for approved and unapproved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excluded from transaction price in the case of liquidated damages) are not resolved in our favor, or to the extent incentives reflected in transaction price are not earned, there could be reductions in, or reversals of, previously recognized revenue.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Costs of Obtaining a Contract</w:t>
      </w:r>
    </w:p>
    <w:p>
      <w:pPr>
        <w:spacing w:after="0" w:line="117"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In certain of our operations, we incur commission costs related to entering into a contract that we only incurred because of that contract. When this occurs, we capitalize that cost and amortize it over the expected term of the contract. At December 31, 2018, we had capitalized commission costs of $119.</w:t>
      </w:r>
    </w:p>
    <w:p>
      <w:pPr>
        <w:spacing w:after="0" w:line="18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We generally do not incur significant incremental costs related to obtaining or fulfilling a contract prior to the start of a project. On rare occasions, when significant pre-contract costs are incurred, they will be capitalized and amortized on a percentage of completion basis over the life of the contract.</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We disaggregate our revenue from contracts with customers by activity and contract type, as these categories reflect how the nature, amount, timing and uncertainty of our revenue and cash flows are affected by economic factors. Our consolidated 2018 revenue was derived from the following service activities. See details in the following tables:</w:t>
      </w:r>
    </w:p>
    <w:p>
      <w:pPr>
        <w:spacing w:after="0" w:line="203" w:lineRule="exact"/>
        <w:rPr>
          <w:sz w:val="20"/>
          <w:szCs w:val="20"/>
          <w:color w:val="auto"/>
        </w:rPr>
      </w:pPr>
    </w:p>
    <w:p>
      <w:pPr>
        <w:jc w:val="center"/>
        <w:ind w:left="6520"/>
        <w:spacing w:after="0"/>
        <w:rPr>
          <w:sz w:val="20"/>
          <w:szCs w:val="20"/>
          <w:color w:val="auto"/>
        </w:rPr>
      </w:pPr>
      <w:r>
        <w:rPr>
          <w:rFonts w:ascii="Arial" w:cs="Arial" w:eastAsia="Arial" w:hAnsi="Arial"/>
          <w:sz w:val="14"/>
          <w:szCs w:val="14"/>
          <w:color w:val="auto"/>
        </w:rPr>
        <w:t>Three Months Ended</w:t>
      </w:r>
    </w:p>
    <w:p>
      <w:pPr>
        <w:jc w:val="center"/>
        <w:ind w:left="6520"/>
        <w:spacing w:after="0" w:line="231" w:lineRule="auto"/>
        <w:rPr>
          <w:sz w:val="20"/>
          <w:szCs w:val="20"/>
          <w:color w:val="auto"/>
        </w:rPr>
      </w:pPr>
      <w:r>
        <w:rPr>
          <w:rFonts w:ascii="Arial" w:cs="Arial" w:eastAsia="Arial" w:hAnsi="Arial"/>
          <w:sz w:val="14"/>
          <w:szCs w:val="14"/>
          <w:color w:val="auto"/>
        </w:rPr>
        <w:t>December 31,</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Commercial &amp; Industrial</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43,282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29,141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Industrial</w:t>
            </w:r>
          </w:p>
        </w:tc>
        <w:tc>
          <w:tcPr>
            <w:tcW w:w="2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40" w:type="dxa"/>
            <w:vAlign w:val="bottom"/>
            <w:shd w:val="clear" w:color="auto" w:fill="CCEEFF"/>
          </w:tcPr>
          <w:p>
            <w:pPr>
              <w:spacing w:after="0"/>
              <w:rPr>
                <w:sz w:val="18"/>
                <w:szCs w:val="18"/>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72,583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53,002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Infrastructure Solutions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Industrial Services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Custom Power Solutions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Residential</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Single-family</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Multi-family</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40" w:type="dxa"/>
            <w:vAlign w:val="bottom"/>
            <w:shd w:val="clear" w:color="auto" w:fill="CCEEFF"/>
          </w:tcPr>
          <w:p>
            <w:pPr>
              <w:spacing w:after="0"/>
              <w:rPr>
                <w:sz w:val="18"/>
                <w:szCs w:val="18"/>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72,455</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69,154</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243,842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198,300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color w:val="auto"/>
              </w:rPr>
              <w:t>Three Months Ended December 31, 2018</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7"/>
              </w:rPr>
              <w:t>Commercial &amp;</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3"/>
          </w:tcPr>
          <w:p>
            <w:pPr>
              <w:ind w:left="340"/>
              <w:spacing w:after="0" w:line="123" w:lineRule="exact"/>
              <w:rPr>
                <w:sz w:val="20"/>
                <w:szCs w:val="20"/>
                <w:color w:val="auto"/>
              </w:rPr>
            </w:pPr>
            <w:r>
              <w:rPr>
                <w:rFonts w:ascii="Arial" w:cs="Arial" w:eastAsia="Arial" w:hAnsi="Arial"/>
                <w:sz w:val="14"/>
                <w:szCs w:val="14"/>
                <w:color w:val="auto"/>
                <w:w w:val="92"/>
              </w:rPr>
              <w:t>Infrastructure</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color w:val="auto"/>
                <w:w w:val="98"/>
              </w:rPr>
              <w:t>Industrial</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Communications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4"/>
                <w:szCs w:val="14"/>
                <w:color w:val="auto"/>
                <w:w w:val="93"/>
              </w:rPr>
              <w:t>Solutions</w:t>
            </w:r>
          </w:p>
        </w:tc>
        <w:tc>
          <w:tcPr>
            <w:tcW w:w="1000" w:type="dxa"/>
            <w:vAlign w:val="bottom"/>
            <w:gridSpan w:val="2"/>
          </w:tcPr>
          <w:p>
            <w:pPr>
              <w:ind w:left="340"/>
              <w:spacing w:after="0"/>
              <w:rPr>
                <w:sz w:val="20"/>
                <w:szCs w:val="20"/>
                <w:color w:val="auto"/>
              </w:rPr>
            </w:pPr>
            <w:r>
              <w:rPr>
                <w:rFonts w:ascii="Arial" w:cs="Arial" w:eastAsia="Arial" w:hAnsi="Arial"/>
                <w:sz w:val="14"/>
                <w:szCs w:val="14"/>
                <w:color w:val="auto"/>
                <w:w w:val="92"/>
              </w:rPr>
              <w:t>Residential</w:t>
            </w:r>
          </w:p>
        </w:tc>
        <w:tc>
          <w:tcPr>
            <w:tcW w:w="32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Fixed-price</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27,511</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$ 72,455</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$214,625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Time-and-material</w:t>
            </w: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20,496</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34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72,583</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29,479</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$ 72,455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243,842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color w:val="auto"/>
              </w:rPr>
              <w:t>Three Months Ended December 31, 2017</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7"/>
              </w:rPr>
              <w:t>Commercial &amp;</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3"/>
          </w:tcPr>
          <w:p>
            <w:pPr>
              <w:ind w:left="340"/>
              <w:spacing w:after="0" w:line="123" w:lineRule="exact"/>
              <w:rPr>
                <w:sz w:val="20"/>
                <w:szCs w:val="20"/>
                <w:color w:val="auto"/>
              </w:rPr>
            </w:pPr>
            <w:r>
              <w:rPr>
                <w:rFonts w:ascii="Arial" w:cs="Arial" w:eastAsia="Arial" w:hAnsi="Arial"/>
                <w:sz w:val="14"/>
                <w:szCs w:val="14"/>
                <w:color w:val="auto"/>
                <w:w w:val="92"/>
              </w:rPr>
              <w:t>Infrastructure</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color w:val="auto"/>
                <w:w w:val="98"/>
              </w:rPr>
              <w:t>Industrial</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Communications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4"/>
                <w:szCs w:val="14"/>
                <w:color w:val="auto"/>
                <w:w w:val="93"/>
              </w:rPr>
              <w:t>Solutions</w:t>
            </w:r>
          </w:p>
        </w:tc>
        <w:tc>
          <w:tcPr>
            <w:tcW w:w="1000" w:type="dxa"/>
            <w:vAlign w:val="bottom"/>
            <w:gridSpan w:val="2"/>
          </w:tcPr>
          <w:p>
            <w:pPr>
              <w:ind w:left="340"/>
              <w:spacing w:after="0"/>
              <w:rPr>
                <w:sz w:val="20"/>
                <w:szCs w:val="20"/>
                <w:color w:val="auto"/>
              </w:rPr>
            </w:pPr>
            <w:r>
              <w:rPr>
                <w:rFonts w:ascii="Arial" w:cs="Arial" w:eastAsia="Arial" w:hAnsi="Arial"/>
                <w:sz w:val="14"/>
                <w:szCs w:val="14"/>
                <w:color w:val="auto"/>
                <w:w w:val="92"/>
              </w:rPr>
              <w:t>Residential</w:t>
            </w:r>
          </w:p>
        </w:tc>
        <w:tc>
          <w:tcPr>
            <w:tcW w:w="32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Fixed-price</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$ 69,154</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$181,903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Time-and-material</w:t>
            </w: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53,002</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21,685</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$ 69,154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198,300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Accounts receivable include amounts which we have billed or have an unconditional right to bill our customers. As of December 31, 2018, Accounts receivable included $9,973 of unbilled receivables for which we have an unconditional right to bill.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 cumulative billings and unbilled receivables to the customer under the contract are reflected as a current asset in our balance sheet under the caption “Costs and estimated earnings in excess of billings”. To the extent amounts by which cumulative billings to the customer under a contract as of a given date exceed cumulative contract revenue recognized are reflected as a current liability in our balance sheet under the caption “Billings in excess of costs and estimated earnings”.</w:t>
      </w:r>
    </w:p>
    <w:p>
      <w:pPr>
        <w:sectPr>
          <w:pgSz w:w="11900" w:h="16838" w:orient="portrait"/>
          <w:cols w:equalWidth="0" w:num="1">
            <w:col w:w="11240"/>
          </w:cols>
          <w:pgMar w:left="240" w:top="459" w:right="419" w:bottom="1440" w:gutter="0" w:footer="0" w:header="0"/>
        </w:sectPr>
      </w:pP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240" w:top="459" w:right="4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net asset (liability) position for contracts in process consisted of the following:</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160" w:type="dxa"/>
            <w:vAlign w:val="bottom"/>
            <w:gridSpan w:val="4"/>
          </w:tcPr>
          <w:p>
            <w:pPr>
              <w:ind w:left="1040"/>
              <w:spacing w:after="0"/>
              <w:rPr>
                <w:sz w:val="20"/>
                <w:szCs w:val="20"/>
                <w:color w:val="auto"/>
              </w:rPr>
            </w:pPr>
            <w:r>
              <w:rPr>
                <w:rFonts w:ascii="Arial" w:cs="Arial" w:eastAsia="Arial" w:hAnsi="Arial"/>
                <w:sz w:val="14"/>
                <w:szCs w:val="14"/>
                <w:color w:val="auto"/>
              </w:rPr>
              <w:t>December 31,</w:t>
            </w:r>
          </w:p>
        </w:tc>
        <w:tc>
          <w:tcPr>
            <w:tcW w:w="1200" w:type="dxa"/>
            <w:vAlign w:val="bottom"/>
            <w:gridSpan w:val="4"/>
          </w:tcPr>
          <w:p>
            <w:pPr>
              <w:ind w:left="26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on uncompleted contracts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Billings to date and unbilled accounts receivable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(565,782)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(541,606)</w:t>
            </w: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(2,380)</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net asset (liability) position for contracts in process included in the accompanying consolidated balance sheets was as follows: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60" w:type="dxa"/>
            <w:vAlign w:val="bottom"/>
            <w:gridSpan w:val="4"/>
          </w:tcPr>
          <w:p>
            <w:pPr>
              <w:jc w:val="right"/>
              <w:ind w:right="340"/>
              <w:spacing w:after="0"/>
              <w:rPr>
                <w:sz w:val="20"/>
                <w:szCs w:val="20"/>
                <w:color w:val="auto"/>
              </w:rPr>
            </w:pPr>
            <w:r>
              <w:rPr>
                <w:rFonts w:ascii="Arial" w:cs="Arial" w:eastAsia="Arial" w:hAnsi="Arial"/>
                <w:sz w:val="14"/>
                <w:szCs w:val="14"/>
                <w:color w:val="auto"/>
              </w:rPr>
              <w:t>December 31,</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(35,304)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(33,826)</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(10,873)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(2,380)</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In the quarters ended December 31, 2018 and 2017, we recognized revenue of $20,167 and $16,555 related to our contract liabilities at October 1, 2018 and 2017, respectively.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did not have any impairment losses recognized on our receivables or contract assets for the quarters ended December 31, 2018 or 2017.</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December 31, 2018, we had remaining performance obligations of $406,917. The Company expects to recognize revenue on approximately $386,990 of the remaining performance obligations over the next 12 months, with the remaining recognized thereafter.</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first quarter of fiscal 2019, net revenue recognized from our performance obligations satisfied in previous periods was not material.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DEBT</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At December 31, 2018, and September 30, 2018, our long-term debt of $29,597 and $29,564, respectively, primarily related to amounts drawn on our revolving credit facility. Our weighted-average annual interest rate on these borrowings was 4.52% at December 31, 2018, and 3.86% at September 30, 2018. At December 31, 2018, we also had $6,809 in outstanding letters of credit and total availability of $57,920 under this facility without violating our financial covenants.</w:t>
      </w:r>
    </w:p>
    <w:p>
      <w:pPr>
        <w:spacing w:after="0" w:line="187"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color w:val="auto"/>
        </w:rPr>
        <w:t>Pursuant to our Second Amended and Restated Credit and Security Agreement (as amended, the “Credit Agreement”), the Company is subject to the financial or other covenants disclosed in Item 7 of our Annual Report on Form 10-K for the year ended September 30, 2018.</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financial covenants as of December 31, 2018.</w:t>
      </w:r>
    </w:p>
    <w:p>
      <w:pPr>
        <w:spacing w:after="0" w:line="22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At December 31, 2018, the carrying value of amounts outstanding on our revolving credit facility approximated fair value, as debt incurs interest at a variable rate. The fair value of the debt is classified as a Level 2 measurement.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PER SHARE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tables reconcile the components of basic and diluted earnings per share for the three months ended December 31, 2018, and 2017:</w:t>
      </w:r>
    </w:p>
    <w:p>
      <w:pPr>
        <w:spacing w:after="0" w:line="259"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4"/>
                <w:szCs w:val="14"/>
                <w:color w:val="auto"/>
                <w:w w:val="96"/>
              </w:rPr>
              <w:t>Three Months Ended December 31,</w:t>
            </w: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2018</w:t>
            </w:r>
          </w:p>
        </w:tc>
        <w:tc>
          <w:tcPr>
            <w:tcW w:w="6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(loss) attributable to IES Holdings,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(29,569)</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21,233,132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21,196,854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5180" w:type="dxa"/>
            <w:vAlign w:val="bottom"/>
            <w:gridSpan w:val="2"/>
          </w:tcPr>
          <w:p>
            <w:pPr>
              <w:spacing w:after="0"/>
              <w:rPr>
                <w:sz w:val="20"/>
                <w:szCs w:val="20"/>
                <w:color w:val="auto"/>
              </w:rPr>
            </w:pPr>
            <w:r>
              <w:rPr>
                <w:rFonts w:ascii="Arial" w:cs="Arial" w:eastAsia="Arial" w:hAnsi="Arial"/>
                <w:sz w:val="18"/>
                <w:szCs w:val="18"/>
                <w:color w:val="auto"/>
              </w:rPr>
              <w:t>Weighted average common and common equivalent shares</w:t>
            </w: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21,261,065</w:t>
            </w:r>
          </w:p>
        </w:tc>
        <w:tc>
          <w:tcPr>
            <w:tcW w:w="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21,196,854</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bl>
    <w:p>
      <w:pPr>
        <w:spacing w:after="0" w:line="202"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When an entity has a net loss, it is prohibited from including potential common shares in the computation of diluted per share amounts. Accordingly, we have utilized basic shares outstanding to calculate both basic and diluted loss per share for the three months ended December 31, 2017. The number of potential anti-dilutive shares excluded from the calculation was 255,306 shares. For the three months ended December 31, 2018, the average price of our common shares exceeded the exercise price of all of our outstanding options; therefore, all of our outstanding stock options were included in the computation of fully diluted earnings per share.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OPERATING SEGMENTS</w:t>
      </w:r>
    </w:p>
    <w:p>
      <w:pPr>
        <w:spacing w:after="0" w:line="121"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 of allocating resources and assessing performance. The Company’s CODM is its President.</w:t>
      </w:r>
    </w:p>
    <w:p>
      <w:pPr>
        <w:spacing w:after="0" w:line="166"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Segment information for the three months ended December 31, 2018, and 2017 is as follows: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color w:val="auto"/>
                <w:w w:val="95"/>
              </w:rPr>
              <w:t>Three Months Ended December 31, 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3"/>
          </w:tcPr>
          <w:p>
            <w:pPr>
              <w:jc w:val="right"/>
              <w:ind w:right="200"/>
              <w:spacing w:after="0" w:line="123" w:lineRule="exact"/>
              <w:rPr>
                <w:sz w:val="20"/>
                <w:szCs w:val="20"/>
                <w:color w:val="auto"/>
              </w:rPr>
            </w:pPr>
            <w:r>
              <w:rPr>
                <w:rFonts w:ascii="Arial" w:cs="Arial" w:eastAsia="Arial" w:hAnsi="Arial"/>
                <w:sz w:val="14"/>
                <w:szCs w:val="14"/>
                <w:color w:val="auto"/>
                <w:w w:val="93"/>
              </w:rPr>
              <w:t>Commercial &amp;</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Infrastructure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Industrial</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Communications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w w:val="93"/>
              </w:rPr>
              <w:t>Solutions</w:t>
            </w:r>
          </w:p>
        </w:tc>
        <w:tc>
          <w:tcPr>
            <w:tcW w:w="1060" w:type="dxa"/>
            <w:vAlign w:val="bottom"/>
            <w:gridSpan w:val="4"/>
          </w:tcPr>
          <w:p>
            <w:pPr>
              <w:ind w:left="260"/>
              <w:spacing w:after="0"/>
              <w:rPr>
                <w:sz w:val="20"/>
                <w:szCs w:val="20"/>
                <w:color w:val="auto"/>
              </w:rPr>
            </w:pPr>
            <w:r>
              <w:rPr>
                <w:rFonts w:ascii="Arial" w:cs="Arial" w:eastAsia="Arial" w:hAnsi="Arial"/>
                <w:sz w:val="14"/>
                <w:szCs w:val="14"/>
                <w:color w:val="auto"/>
              </w:rPr>
              <w:t>Residential</w:t>
            </w: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72,455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243,842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services</w:t>
            </w: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57,422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w w:val="86"/>
              </w:rPr>
              <w:t>102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78,924</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55,352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85,852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423,137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71"/>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ind w:left="360"/>
              <w:spacing w:after="0"/>
              <w:rPr>
                <w:sz w:val="20"/>
                <w:szCs w:val="20"/>
                <w:color w:val="auto"/>
              </w:rPr>
            </w:pPr>
            <w:r>
              <w:rPr>
                <w:rFonts w:ascii="Arial" w:cs="Arial" w:eastAsia="Arial" w:hAnsi="Arial"/>
                <w:sz w:val="14"/>
                <w:szCs w:val="14"/>
                <w:color w:val="auto"/>
                <w:w w:val="96"/>
              </w:rPr>
              <w:t>Three Months Ended December 31, 2017</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gridSpan w:val="3"/>
          </w:tcPr>
          <w:p>
            <w:pPr>
              <w:jc w:val="right"/>
              <w:ind w:right="180"/>
              <w:spacing w:after="0" w:line="123" w:lineRule="exact"/>
              <w:rPr>
                <w:sz w:val="20"/>
                <w:szCs w:val="20"/>
                <w:color w:val="auto"/>
              </w:rPr>
            </w:pPr>
            <w:r>
              <w:rPr>
                <w:rFonts w:ascii="Arial" w:cs="Arial" w:eastAsia="Arial" w:hAnsi="Arial"/>
                <w:sz w:val="14"/>
                <w:szCs w:val="14"/>
                <w:color w:val="auto"/>
                <w:w w:val="93"/>
              </w:rPr>
              <w:t>Commercial &amp;</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4"/>
          </w:tcPr>
          <w:p>
            <w:pPr>
              <w:jc w:val="right"/>
              <w:ind w:right="180"/>
              <w:spacing w:after="0" w:line="123" w:lineRule="exact"/>
              <w:rPr>
                <w:sz w:val="20"/>
                <w:szCs w:val="20"/>
                <w:color w:val="auto"/>
              </w:rPr>
            </w:pPr>
            <w:r>
              <w:rPr>
                <w:rFonts w:ascii="Arial" w:cs="Arial" w:eastAsia="Arial" w:hAnsi="Arial"/>
                <w:sz w:val="14"/>
                <w:szCs w:val="14"/>
                <w:color w:val="auto"/>
              </w:rPr>
              <w:t>Infrastructure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Industrial</w:t>
            </w:r>
          </w:p>
        </w:tc>
        <w:tc>
          <w:tcPr>
            <w:tcW w:w="1300" w:type="dxa"/>
            <w:vAlign w:val="bottom"/>
            <w:gridSpan w:val="4"/>
          </w:tcPr>
          <w:p>
            <w:pPr>
              <w:jc w:val="right"/>
              <w:ind w:right="180"/>
              <w:spacing w:after="0"/>
              <w:rPr>
                <w:sz w:val="20"/>
                <w:szCs w:val="20"/>
                <w:color w:val="auto"/>
              </w:rPr>
            </w:pPr>
            <w:r>
              <w:rPr>
                <w:rFonts w:ascii="Arial" w:cs="Arial" w:eastAsia="Arial" w:hAnsi="Arial"/>
                <w:sz w:val="14"/>
                <w:szCs w:val="14"/>
                <w:color w:val="auto"/>
              </w:rPr>
              <w:t>Communications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Solutions</w:t>
            </w:r>
          </w:p>
        </w:tc>
        <w:tc>
          <w:tcPr>
            <w:tcW w:w="900" w:type="dxa"/>
            <w:vAlign w:val="bottom"/>
            <w:gridSpan w:val="4"/>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69,154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198,300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services</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54,738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165,236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14,416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10,366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(3,287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18"/>
                <w:szCs w:val="18"/>
                <w:color w:val="auto"/>
              </w:rPr>
            </w:pP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63,085</w:t>
            </w:r>
          </w:p>
        </w:tc>
        <w:tc>
          <w:tcPr>
            <w:tcW w:w="160" w:type="dxa"/>
            <w:vAlign w:val="bottom"/>
          </w:tcPr>
          <w:p>
            <w:pPr>
              <w:spacing w:after="0"/>
              <w:rPr>
                <w:sz w:val="20"/>
                <w:szCs w:val="20"/>
                <w:color w:val="auto"/>
              </w:rPr>
            </w:pP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66,522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101,026</w:t>
            </w:r>
          </w:p>
        </w:tc>
        <w:tc>
          <w:tcPr>
            <w:tcW w:w="1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50,342</w:t>
            </w:r>
          </w:p>
        </w:tc>
        <w:tc>
          <w:tcPr>
            <w:tcW w:w="14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99,691</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380,666</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Incentive Plan</w:t>
      </w:r>
    </w:p>
    <w:p>
      <w:pPr>
        <w:spacing w:after="0" w:line="117"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1,299,815 shares were available for issuance at December 31, 2018.</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46,133 shares of our common stock during the three months ended December 31, 2018, in open market transactions at an average price of $16.08 per share. We made no purchases of stock pursuant to this plan during the three months ended December 31, 2017.</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During the three months ended December 31, 2018, we issued 212,688 shares of common stock from treasury stock to employees and repurchased 85,988 shares of common stock from our employees to satisfy statutory tax withholding requirements upon the vesting of certain performance phantom stock units under the Equity Incentive Plan. We also repurchased 46,133 shares of common stock on the open market pursuant to our stock repurchase program.</w:t>
      </w:r>
    </w:p>
    <w:p>
      <w:pPr>
        <w:spacing w:after="0" w:line="18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During the three months ended December 31, 2017, we issued 270 unrestricted shares of common stock from treasury stock to members of our Board of Directors as part of their overall compensation and 1,500 unrestricted shares of common stock to satisfy the exercise of outstanding options for employees and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200" w:right="540"/>
        <w:spacing w:after="0" w:line="342" w:lineRule="auto"/>
        <w:rPr>
          <w:sz w:val="20"/>
          <w:szCs w:val="20"/>
          <w:color w:val="auto"/>
        </w:rPr>
      </w:pPr>
      <w:r>
        <w:rPr>
          <w:rFonts w:ascii="Arial" w:cs="Arial" w:eastAsia="Arial" w:hAnsi="Arial"/>
          <w:sz w:val="16"/>
          <w:szCs w:val="16"/>
          <w:color w:val="auto"/>
        </w:rPr>
        <w:t>During the three months ended December 31, 2018, and 2017, we recognized zero and $114, respectively, in compensation expense related to our restricted stock awards. At December 31, 2018, the unamortized compensation cost related to outstanding unvested restricted stock was zero.</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Director phantom stock units (“Director PSUs”) are primarily granted to the members of the Board of Directors as part of their overall compensation. These Director PSUs are paid via unrestricted stock grants to each director upon their departure from the Board of Directors. We record compensation expense for the full value of the grant on the date of grant. During the three months ended December 31, 2018, and 2017, we recognized $42 and $36, respectively, in compensation expense related to these grants.</w:t>
      </w:r>
    </w:p>
    <w:p>
      <w:pPr>
        <w:sectPr>
          <w:pgSz w:w="11900" w:h="16838" w:orient="portrait"/>
          <w:cols w:equalWidth="0" w:num="1">
            <w:col w:w="11240"/>
          </w:cols>
          <w:pgMar w:left="240" w:top="459" w:right="419" w:bottom="1440" w:gutter="0" w:footer="0" w:header="0"/>
        </w:sectPr>
      </w:pP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240" w:top="459" w:right="4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Based Phantom Stock Units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 performance based phantom stock unit (a “PPSU”) is a contractual right to receive one share of the Company’s common stock upon the achievement of certain specified performance objectives and continued performance of services. During the three months ended December 31, 2018, the Company’s aggregate of three-year PPSUs vested, resulting in the issuance of common stock to employees, leaving no outstanding PPSUs at quarter end. During the three months ended December 31, 2018, and December 31, 2017, we recognized compensation expense of zero and $203, respectively, related to these grants.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SECURITIES AND EQUITY INVESTMENTS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Our financial instruments consist of cash and cash equivalents, accounts receivable, notes receivable, investments, accounts payable and a loan agreement. We believe that the carrying value of these financial instruments in the accompanying Condensed Consolidated Balance Sheets approximates their fair value due to their short-term nature. At December 31, 2018 and September 30, 2018, we carried a cost method investment at $558, which is equal to our cost less impairment.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EMPLOYEE BENEFIT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During the three months ended December 31, 2018 and 2017, we recognized $423 and $429, respectively, in matching expense.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 Retirement Benefit Plans</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Certain individuals at one of the Company’s locations are entitled to receive fixed annual payments pursuant to post retirement benefit plans. We had an unfunded benefit liability of $755 recorded as of December 31, 2018 and September 30, 2018, related to such plans.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Measurement Accounting</w:t>
      </w:r>
    </w:p>
    <w:p>
      <w:pPr>
        <w:spacing w:after="0" w:line="117"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6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At December 31, 2018,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December 31, 2018, and September 30, 2018, are summarized in the following tables by the type of inputs applicable to the fair value measurements:</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5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color w:val="auto"/>
                <w:w w:val="91"/>
              </w:rPr>
              <w:t>December 31, 2018</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4"/>
              <w:spacing w:after="0" w:line="123"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0"/>
                <w:szCs w:val="10"/>
                <w:color w:val="auto"/>
              </w:rPr>
            </w:pPr>
          </w:p>
        </w:tc>
      </w:tr>
      <w:tr>
        <w:trPr>
          <w:trHeight w:val="149"/>
        </w:trPr>
        <w:tc>
          <w:tcPr>
            <w:tcW w:w="5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Quoted Prices</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Unobservable</w:t>
            </w:r>
          </w:p>
        </w:tc>
      </w:tr>
      <w:tr>
        <w:trPr>
          <w:trHeight w:val="167"/>
        </w:trPr>
        <w:tc>
          <w:tcPr>
            <w:tcW w:w="50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Total Fair Value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color w:val="auto"/>
                <w:w w:val="95"/>
              </w:rPr>
              <w:t>(Level 1)</w:t>
            </w:r>
          </w:p>
        </w:tc>
        <w:tc>
          <w:tcPr>
            <w:tcW w:w="1040" w:type="dxa"/>
            <w:vAlign w:val="bottom"/>
            <w:gridSpan w:val="3"/>
          </w:tcPr>
          <w:p>
            <w:pPr>
              <w:spacing w:after="0"/>
              <w:rPr>
                <w:sz w:val="20"/>
                <w:szCs w:val="20"/>
                <w:color w:val="auto"/>
              </w:rPr>
            </w:pPr>
            <w:r>
              <w:rPr>
                <w:rFonts w:ascii="Arial" w:cs="Arial" w:eastAsia="Arial" w:hAnsi="Arial"/>
                <w:sz w:val="14"/>
                <w:szCs w:val="14"/>
                <w:color w:val="auto"/>
              </w:rPr>
              <w:t>Inputs (Level 3)</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3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center"/>
              <w:ind w:left="394"/>
              <w:spacing w:after="0"/>
              <w:rPr>
                <w:sz w:val="20"/>
                <w:szCs w:val="20"/>
                <w:color w:val="auto"/>
              </w:rPr>
            </w:pPr>
            <w:r>
              <w:rPr>
                <w:rFonts w:ascii="Arial" w:cs="Arial" w:eastAsia="Arial" w:hAnsi="Arial"/>
                <w:sz w:val="18"/>
                <w:szCs w:val="18"/>
                <w:color w:val="auto"/>
                <w:w w:val="80"/>
              </w:rPr>
              <w:t>(714)</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color w:val="auto"/>
                <w:w w:val="91"/>
              </w:rPr>
              <w:t>September 30, 2018</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5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4"/>
              <w:spacing w:after="0" w:line="123"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0"/>
                <w:szCs w:val="10"/>
                <w:color w:val="auto"/>
              </w:rPr>
            </w:pPr>
          </w:p>
        </w:tc>
      </w:tr>
      <w:tr>
        <w:trPr>
          <w:trHeight w:val="149"/>
        </w:trPr>
        <w:tc>
          <w:tcPr>
            <w:tcW w:w="5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Quoted Prices</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Unobservable</w:t>
            </w:r>
          </w:p>
        </w:tc>
      </w:tr>
      <w:tr>
        <w:trPr>
          <w:trHeight w:val="167"/>
        </w:trPr>
        <w:tc>
          <w:tcPr>
            <w:tcW w:w="50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Total Fair Value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color w:val="auto"/>
                <w:w w:val="95"/>
              </w:rPr>
              <w:t>(Level 1)</w:t>
            </w:r>
          </w:p>
        </w:tc>
        <w:tc>
          <w:tcPr>
            <w:tcW w:w="1040" w:type="dxa"/>
            <w:vAlign w:val="bottom"/>
            <w:gridSpan w:val="3"/>
          </w:tcPr>
          <w:p>
            <w:pPr>
              <w:spacing w:after="0"/>
              <w:rPr>
                <w:sz w:val="20"/>
                <w:szCs w:val="20"/>
                <w:color w:val="auto"/>
              </w:rPr>
            </w:pPr>
            <w:r>
              <w:rPr>
                <w:rFonts w:ascii="Arial" w:cs="Arial" w:eastAsia="Arial" w:hAnsi="Arial"/>
                <w:sz w:val="14"/>
                <w:szCs w:val="14"/>
                <w:color w:val="auto"/>
              </w:rPr>
              <w:t>Inputs (Level 3)</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3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center"/>
              <w:ind w:left="394"/>
              <w:spacing w:after="0"/>
              <w:rPr>
                <w:sz w:val="20"/>
                <w:szCs w:val="20"/>
                <w:color w:val="auto"/>
              </w:rPr>
            </w:pPr>
            <w:r>
              <w:rPr>
                <w:rFonts w:ascii="Arial" w:cs="Arial" w:eastAsia="Arial" w:hAnsi="Arial"/>
                <w:sz w:val="18"/>
                <w:szCs w:val="18"/>
                <w:color w:val="auto"/>
                <w:w w:val="80"/>
              </w:rPr>
              <w:t>(680)</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fiscal years 2016, 2017 and 2018, we entered into contingent consideration arrangements related to certain acquisitions. At December 31, 2018, we estimated the fair value of these contingent consideration liabilities at $714. The table below presents a reconciliation of the fair value of these obligations, which used significant unobservable inputs (Level 3).</w:t>
      </w:r>
    </w:p>
    <w:p>
      <w:pPr>
        <w:spacing w:after="0" w:line="19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Contingent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20" w:type="dxa"/>
            <w:vAlign w:val="bottom"/>
            <w:gridSpan w:val="4"/>
          </w:tcPr>
          <w:p>
            <w:pPr>
              <w:ind w:left="2100"/>
              <w:spacing w:after="0" w:line="149" w:lineRule="exact"/>
              <w:rPr>
                <w:sz w:val="20"/>
                <w:szCs w:val="20"/>
                <w:color w:val="auto"/>
              </w:rPr>
            </w:pPr>
            <w:r>
              <w:rPr>
                <w:rFonts w:ascii="Arial" w:cs="Arial" w:eastAsia="Arial" w:hAnsi="Arial"/>
                <w:sz w:val="14"/>
                <w:szCs w:val="14"/>
                <w:color w:val="auto"/>
              </w:rPr>
              <w:t>Consideration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w w:val="95"/>
              </w:rPr>
              <w:t>Agreements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2018</w:t>
            </w:r>
          </w:p>
        </w:tc>
        <w:tc>
          <w:tcPr>
            <w:tcW w:w="2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adjustments to fair value</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23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INVENTORY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Inventories consist of the following components: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20" w:type="dxa"/>
            <w:vAlign w:val="bottom"/>
            <w:gridSpan w:val="3"/>
          </w:tcPr>
          <w:p>
            <w:pPr>
              <w:ind w:left="3400"/>
              <w:spacing w:after="0"/>
              <w:rPr>
                <w:sz w:val="20"/>
                <w:szCs w:val="20"/>
                <w:color w:val="auto"/>
              </w:rPr>
            </w:pPr>
            <w:r>
              <w:rPr>
                <w:rFonts w:ascii="Arial" w:cs="Arial" w:eastAsia="Arial" w:hAnsi="Arial"/>
                <w:sz w:val="14"/>
                <w:szCs w:val="14"/>
                <w:color w:val="auto"/>
                <w:w w:val="90"/>
              </w:rPr>
              <w:t>December 31,</w:t>
            </w:r>
          </w:p>
        </w:tc>
        <w:tc>
          <w:tcPr>
            <w:tcW w:w="1460" w:type="dxa"/>
            <w:vAlign w:val="bottom"/>
            <w:gridSpan w:val="4"/>
          </w:tcPr>
          <w:p>
            <w:pPr>
              <w:ind w:left="580"/>
              <w:spacing w:after="0"/>
              <w:rPr>
                <w:sz w:val="20"/>
                <w:szCs w:val="20"/>
                <w:color w:val="auto"/>
              </w:rPr>
            </w:pPr>
            <w:r>
              <w:rPr>
                <w:rFonts w:ascii="Arial" w:cs="Arial" w:eastAsia="Arial" w:hAnsi="Arial"/>
                <w:sz w:val="14"/>
                <w:szCs w:val="14"/>
                <w:color w:val="auto"/>
                <w:w w:val="93"/>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Work in process</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Parts and supplies</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11,740</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58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23,881</w:t>
            </w:r>
          </w:p>
        </w:tc>
        <w:tc>
          <w:tcPr>
            <w:tcW w:w="7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0" w:type="dxa"/>
            <w:vAlign w:val="bottom"/>
            <w:vMerge w:val="restart"/>
          </w:tcPr>
          <w:p>
            <w:pPr>
              <w:jc w:val="right"/>
              <w:ind w:right="1736"/>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9" w:right="6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GOODWILL AND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progression of goodwill by segment for the three months ended December 31, 2018:</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00" w:type="dxa"/>
            <w:vAlign w:val="bottom"/>
            <w:gridSpan w:val="4"/>
          </w:tcPr>
          <w:p>
            <w:pPr>
              <w:ind w:left="1240"/>
              <w:spacing w:after="0"/>
              <w:rPr>
                <w:sz w:val="20"/>
                <w:szCs w:val="20"/>
                <w:color w:val="auto"/>
              </w:rPr>
            </w:pPr>
            <w:r>
              <w:rPr>
                <w:rFonts w:ascii="Arial" w:cs="Arial" w:eastAsia="Arial" w:hAnsi="Arial"/>
                <w:sz w:val="14"/>
                <w:szCs w:val="14"/>
                <w:color w:val="auto"/>
                <w:w w:val="95"/>
              </w:rPr>
              <w:t>Commercial &amp;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5"/>
          </w:tcPr>
          <w:p>
            <w:pPr>
              <w:ind w:left="400"/>
              <w:spacing w:after="0"/>
              <w:rPr>
                <w:sz w:val="20"/>
                <w:szCs w:val="20"/>
                <w:color w:val="auto"/>
              </w:rPr>
            </w:pPr>
            <w:r>
              <w:rPr>
                <w:rFonts w:ascii="Arial" w:cs="Arial" w:eastAsia="Arial" w:hAnsi="Arial"/>
                <w:sz w:val="14"/>
                <w:szCs w:val="14"/>
                <w:color w:val="auto"/>
                <w:w w:val="92"/>
              </w:rPr>
              <w:t>Infrastructure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w w:val="98"/>
              </w:rPr>
              <w:t>Industrial</w:t>
            </w:r>
          </w:p>
        </w:tc>
        <w:tc>
          <w:tcPr>
            <w:tcW w:w="1400" w:type="dxa"/>
            <w:vAlign w:val="bottom"/>
            <w:gridSpan w:val="5"/>
          </w:tcPr>
          <w:p>
            <w:pPr>
              <w:ind w:left="400"/>
              <w:spacing w:after="0"/>
              <w:rPr>
                <w:sz w:val="20"/>
                <w:szCs w:val="20"/>
                <w:color w:val="auto"/>
              </w:rPr>
            </w:pPr>
            <w:r>
              <w:rPr>
                <w:rFonts w:ascii="Arial" w:cs="Arial" w:eastAsia="Arial" w:hAnsi="Arial"/>
                <w:sz w:val="14"/>
                <w:szCs w:val="14"/>
                <w:color w:val="auto"/>
                <w:w w:val="93"/>
              </w:rPr>
              <w:t>Communications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Solutions</w:t>
            </w:r>
          </w:p>
        </w:tc>
        <w:tc>
          <w:tcPr>
            <w:tcW w:w="1100" w:type="dxa"/>
            <w:vAlign w:val="bottom"/>
            <w:gridSpan w:val="6"/>
          </w:tcPr>
          <w:p>
            <w:pPr>
              <w:ind w:left="400"/>
              <w:spacing w:after="0"/>
              <w:rPr>
                <w:sz w:val="20"/>
                <w:szCs w:val="20"/>
                <w:color w:val="auto"/>
              </w:rPr>
            </w:pPr>
            <w:r>
              <w:rPr>
                <w:rFonts w:ascii="Arial" w:cs="Arial" w:eastAsia="Arial" w:hAnsi="Arial"/>
                <w:sz w:val="14"/>
                <w:szCs w:val="14"/>
                <w:color w:val="auto"/>
                <w:w w:val="98"/>
              </w:rPr>
              <w:t>Residential</w:t>
            </w:r>
          </w:p>
        </w:tc>
        <w:tc>
          <w:tcPr>
            <w:tcW w:w="36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at September 30, 2018</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3"/>
            <w:shd w:val="clear" w:color="auto" w:fill="CCEEFF"/>
          </w:tcPr>
          <w:p>
            <w:pPr>
              <w:ind w:left="480"/>
              <w:spacing w:after="0"/>
              <w:rPr>
                <w:sz w:val="20"/>
                <w:szCs w:val="20"/>
                <w:color w:val="auto"/>
              </w:rPr>
            </w:pPr>
            <w:r>
              <w:rPr>
                <w:rFonts w:ascii="Arial" w:cs="Arial" w:eastAsia="Arial" w:hAnsi="Arial"/>
                <w:sz w:val="18"/>
                <w:szCs w:val="18"/>
                <w:color w:val="auto"/>
                <w:w w:val="88"/>
              </w:rPr>
              <w:t>2,816</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87"/>
              </w:rPr>
              <w:t>30,931</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9,979</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$50,702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at December 31, 2018</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88"/>
              </w:rPr>
              <w:t>2,816</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30,931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9,979</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50,702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4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rPr>
              <w:t>Intangible assets consist of the following:</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color w:val="auto"/>
                <w:w w:val="93"/>
              </w:rPr>
              <w:t>Estimated</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w w:val="94"/>
              </w:rPr>
              <w:t>December 31, 2018</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jc w:val="center"/>
              <w:ind w:left="419"/>
              <w:spacing w:after="0" w:line="123" w:lineRule="exact"/>
              <w:rPr>
                <w:sz w:val="20"/>
                <w:szCs w:val="20"/>
                <w:color w:val="auto"/>
              </w:rPr>
            </w:pPr>
            <w:r>
              <w:rPr>
                <w:rFonts w:ascii="Arial" w:cs="Arial" w:eastAsia="Arial" w:hAnsi="Arial"/>
                <w:sz w:val="14"/>
                <w:szCs w:val="14"/>
                <w:color w:val="auto"/>
                <w:w w:val="96"/>
              </w:rPr>
              <w:t>Useful Lives</w:t>
            </w:r>
          </w:p>
        </w:tc>
        <w:tc>
          <w:tcPr>
            <w:tcW w:w="480" w:type="dxa"/>
            <w:vAlign w:val="bottom"/>
          </w:tcPr>
          <w:p>
            <w:pPr>
              <w:spacing w:after="0"/>
              <w:rPr>
                <w:sz w:val="10"/>
                <w:szCs w:val="10"/>
                <w:color w:val="auto"/>
              </w:rPr>
            </w:pPr>
          </w:p>
        </w:tc>
        <w:tc>
          <w:tcPr>
            <w:tcW w:w="920" w:type="dxa"/>
            <w:vAlign w:val="bottom"/>
            <w:gridSpan w:val="5"/>
          </w:tcPr>
          <w:p>
            <w:pPr>
              <w:spacing w:after="0" w:line="123" w:lineRule="exact"/>
              <w:rPr>
                <w:sz w:val="20"/>
                <w:szCs w:val="20"/>
                <w:color w:val="auto"/>
              </w:rPr>
            </w:pPr>
            <w:r>
              <w:rPr>
                <w:rFonts w:ascii="Arial" w:cs="Arial" w:eastAsia="Arial" w:hAnsi="Arial"/>
                <w:sz w:val="14"/>
                <w:szCs w:val="14"/>
                <w:color w:val="auto"/>
                <w:w w:val="95"/>
              </w:rPr>
              <w:t>Gross Carrying</w:t>
            </w:r>
          </w:p>
        </w:tc>
        <w:tc>
          <w:tcPr>
            <w:tcW w:w="1300" w:type="dxa"/>
            <w:vAlign w:val="bottom"/>
            <w:gridSpan w:val="5"/>
          </w:tcPr>
          <w:p>
            <w:pPr>
              <w:ind w:left="440"/>
              <w:spacing w:after="0" w:line="123" w:lineRule="exact"/>
              <w:rPr>
                <w:sz w:val="20"/>
                <w:szCs w:val="20"/>
                <w:color w:val="auto"/>
              </w:rPr>
            </w:pPr>
            <w:r>
              <w:rPr>
                <w:rFonts w:ascii="Arial" w:cs="Arial" w:eastAsia="Arial" w:hAnsi="Arial"/>
                <w:sz w:val="14"/>
                <w:szCs w:val="14"/>
                <w:color w:val="auto"/>
              </w:rPr>
              <w:t>Accumulated</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color w:val="auto"/>
                <w:w w:val="92"/>
              </w:rPr>
              <w:t>(in Years)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ind w:left="100"/>
              <w:spacing w:after="0"/>
              <w:rPr>
                <w:sz w:val="20"/>
                <w:szCs w:val="20"/>
                <w:color w:val="auto"/>
              </w:rPr>
            </w:pPr>
            <w:r>
              <w:rPr>
                <w:rFonts w:ascii="Arial" w:cs="Arial" w:eastAsia="Arial" w:hAnsi="Arial"/>
                <w:sz w:val="14"/>
                <w:szCs w:val="14"/>
                <w:color w:val="auto"/>
              </w:rPr>
              <w:t>Amount</w:t>
            </w:r>
          </w:p>
        </w:tc>
        <w:tc>
          <w:tcPr>
            <w:tcW w:w="1300" w:type="dxa"/>
            <w:vAlign w:val="bottom"/>
            <w:gridSpan w:val="5"/>
          </w:tcPr>
          <w:p>
            <w:pPr>
              <w:ind w:left="440"/>
              <w:spacing w:after="0"/>
              <w:rPr>
                <w:sz w:val="20"/>
                <w:szCs w:val="20"/>
                <w:color w:val="auto"/>
              </w:rPr>
            </w:pPr>
            <w:r>
              <w:rPr>
                <w:rFonts w:ascii="Arial" w:cs="Arial" w:eastAsia="Arial" w:hAnsi="Arial"/>
                <w:sz w:val="14"/>
                <w:szCs w:val="14"/>
                <w:color w:val="auto"/>
              </w:rPr>
              <w:t>Amortization</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ind w:left="1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5 - 20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5,084</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Technical library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6 - 15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24,874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Backlog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arrangements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Construction contracts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2,184</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41,625</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12,080</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29,545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color w:val="auto"/>
                <w:w w:val="93"/>
              </w:rPr>
              <w:t>Estimated</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w w:val="92"/>
              </w:rPr>
              <w:t>September 30, 2018</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jc w:val="center"/>
              <w:ind w:left="419"/>
              <w:spacing w:after="0" w:line="123" w:lineRule="exact"/>
              <w:rPr>
                <w:sz w:val="20"/>
                <w:szCs w:val="20"/>
                <w:color w:val="auto"/>
              </w:rPr>
            </w:pPr>
            <w:r>
              <w:rPr>
                <w:rFonts w:ascii="Arial" w:cs="Arial" w:eastAsia="Arial" w:hAnsi="Arial"/>
                <w:sz w:val="14"/>
                <w:szCs w:val="14"/>
                <w:color w:val="auto"/>
                <w:w w:val="96"/>
              </w:rPr>
              <w:t>Useful Lives</w:t>
            </w:r>
          </w:p>
        </w:tc>
        <w:tc>
          <w:tcPr>
            <w:tcW w:w="480" w:type="dxa"/>
            <w:vAlign w:val="bottom"/>
          </w:tcPr>
          <w:p>
            <w:pPr>
              <w:spacing w:after="0"/>
              <w:rPr>
                <w:sz w:val="10"/>
                <w:szCs w:val="10"/>
                <w:color w:val="auto"/>
              </w:rPr>
            </w:pPr>
          </w:p>
        </w:tc>
        <w:tc>
          <w:tcPr>
            <w:tcW w:w="920" w:type="dxa"/>
            <w:vAlign w:val="bottom"/>
            <w:gridSpan w:val="5"/>
          </w:tcPr>
          <w:p>
            <w:pPr>
              <w:spacing w:after="0" w:line="123" w:lineRule="exact"/>
              <w:rPr>
                <w:sz w:val="20"/>
                <w:szCs w:val="20"/>
                <w:color w:val="auto"/>
              </w:rPr>
            </w:pPr>
            <w:r>
              <w:rPr>
                <w:rFonts w:ascii="Arial" w:cs="Arial" w:eastAsia="Arial" w:hAnsi="Arial"/>
                <w:sz w:val="14"/>
                <w:szCs w:val="14"/>
                <w:color w:val="auto"/>
                <w:w w:val="95"/>
              </w:rPr>
              <w:t>Gross Carrying</w:t>
            </w:r>
          </w:p>
        </w:tc>
        <w:tc>
          <w:tcPr>
            <w:tcW w:w="1300" w:type="dxa"/>
            <w:vAlign w:val="bottom"/>
            <w:gridSpan w:val="5"/>
          </w:tcPr>
          <w:p>
            <w:pPr>
              <w:ind w:left="440"/>
              <w:spacing w:after="0" w:line="123" w:lineRule="exact"/>
              <w:rPr>
                <w:sz w:val="20"/>
                <w:szCs w:val="20"/>
                <w:color w:val="auto"/>
              </w:rPr>
            </w:pPr>
            <w:r>
              <w:rPr>
                <w:rFonts w:ascii="Arial" w:cs="Arial" w:eastAsia="Arial" w:hAnsi="Arial"/>
                <w:sz w:val="14"/>
                <w:szCs w:val="14"/>
                <w:color w:val="auto"/>
              </w:rPr>
              <w:t>Accumulated</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color w:val="auto"/>
                <w:w w:val="92"/>
              </w:rPr>
              <w:t>(in Years)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ind w:left="100"/>
              <w:spacing w:after="0"/>
              <w:rPr>
                <w:sz w:val="20"/>
                <w:szCs w:val="20"/>
                <w:color w:val="auto"/>
              </w:rPr>
            </w:pPr>
            <w:r>
              <w:rPr>
                <w:rFonts w:ascii="Arial" w:cs="Arial" w:eastAsia="Arial" w:hAnsi="Arial"/>
                <w:sz w:val="14"/>
                <w:szCs w:val="14"/>
                <w:color w:val="auto"/>
              </w:rPr>
              <w:t>Amount</w:t>
            </w:r>
          </w:p>
        </w:tc>
        <w:tc>
          <w:tcPr>
            <w:tcW w:w="1300" w:type="dxa"/>
            <w:vAlign w:val="bottom"/>
            <w:gridSpan w:val="5"/>
          </w:tcPr>
          <w:p>
            <w:pPr>
              <w:ind w:left="440"/>
              <w:spacing w:after="0"/>
              <w:rPr>
                <w:sz w:val="20"/>
                <w:szCs w:val="20"/>
                <w:color w:val="auto"/>
              </w:rPr>
            </w:pPr>
            <w:r>
              <w:rPr>
                <w:rFonts w:ascii="Arial" w:cs="Arial" w:eastAsia="Arial" w:hAnsi="Arial"/>
                <w:sz w:val="14"/>
                <w:szCs w:val="14"/>
                <w:color w:val="auto"/>
              </w:rPr>
              <w:t>Amortization</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ind w:left="1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5 - 20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5,084</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Technical library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6 - 15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25,669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Non-competition arrangements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Construction contracts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2,184</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41,625</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11,035</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30,590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discussion of our significant legal matters: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USAMRIID Claim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On December 6, 2017, IES Commercial, Inc. filed suit in the United States District Court of Maryland in the matter </w:t>
      </w:r>
      <w:r>
        <w:rPr>
          <w:rFonts w:ascii="Arial" w:cs="Arial" w:eastAsia="Arial" w:hAnsi="Arial"/>
          <w:sz w:val="16"/>
          <w:szCs w:val="16"/>
          <w:i w:val="1"/>
          <w:iCs w:val="1"/>
          <w:color w:val="auto"/>
        </w:rPr>
        <w:t>USA for the use and benefit of 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Commercial, Inc. and IES Commercial, Inc. v. Manhattan Construction Co., Torcon, Inc., Manhattan Torcon A Joint Venture, Federal Ins. Co.,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Fidelity &amp; Deposit Co. of Maryland, Zurich American Ins. Co., and Travelers Casualty &amp; Surety Co</w:t>
      </w:r>
      <w:r>
        <w:rPr>
          <w:rFonts w:ascii="Arial" w:cs="Arial" w:eastAsia="Arial" w:hAnsi="Arial"/>
          <w:sz w:val="16"/>
          <w:szCs w:val="16"/>
          <w:color w:val="auto"/>
        </w:rPr>
        <w:t>. This suit related to a large project (“USAMRIID”)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has been ongoing since 2009, having originally been scheduled for completion in early 2013 with a contract value of approximately $61,146,</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subject to additions or deductions. The Company had sought in the suit approximately $25,500 for claims incurred and expected to be incurred through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completion of the project. On January 22, 2018, the defendants in this matter filed a motion to dismiss the suit, and on September 26, 2018, the District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Court ruled on the motion, granting it in part and denying it in part. The ruling, were it to withstand an appeal, would likely have reduced the size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Company’s estimated damages claim by approximately 50%.</w:t>
      </w:r>
    </w:p>
    <w:p>
      <w:pPr>
        <w:spacing w:after="0" w:line="21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Following mediation in September 2018, the parties entered into a memorandum of agreement to settle all claims brought in the suit, and entered into a formalized settlement agreement on December 21, 2018. IES moved to dismiss the case on December 28, 2018, and the case was dismissed with prejudice on January 2, 2019. Pursuant to the settlement agreement, the parties have agreed that in exchange for IES Commercial, Inc.’s dismissal of the suit and completion of a limited scope of subcontracting work, as well as mutual releases and parent guaranties by the parties, among other items, MTJV will make $2,500 in cash payments to IES Commercial, Inc., including $1,000 up front and $1,500 contingent upon completion of the remaining work, less an agreed credit amount of $150 in connection with a pending change order. In January 2019, we received the initial $1,000.</w:t>
      </w:r>
    </w:p>
    <w:p>
      <w:pPr>
        <w:spacing w:after="0" w:line="165"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color w:val="auto"/>
        </w:rPr>
        <w:t>The Company has not made any material change to the charge it recorded in the quarter ended September 30, 2018, in connection with this claim. At December 31, 2018, based on our most current revised cost estimates, the Company estimates this project to be 99% complete.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Risk-Management</w:t>
      </w:r>
    </w:p>
    <w:p>
      <w:pPr>
        <w:spacing w:after="0" w:line="117"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December 31, 2018, and September 30, 2018, we had $5,931 and $6,202, respectively, accrued for self-insurance liabilities. We are also subject to construction defect liabilities, primarily within our Residential segment. As of December 31, 2018, and September 30, 2018, we had $154 and $171,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69"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2018, and September 30, 2018, $6,351 and $6,101, respectively, of our outstanding letters of credit was utilized to collateralize our insurance program.</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of December 31, 2018, the estimated cost to complete our bonded projects was approximately $60,948.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credit facility.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December 31, 2018, and September 30, 2018, $458 and $508, respectively, of our outstanding letters of credit were to collateralize our vendors.</w:t>
      </w:r>
    </w:p>
    <w:p>
      <w:pPr>
        <w:sectPr>
          <w:pgSz w:w="11900" w:h="16838" w:orient="portrait"/>
          <w:cols w:equalWidth="0" w:num="1">
            <w:col w:w="11200"/>
          </w:cols>
          <w:pgMar w:left="240" w:top="459" w:right="459" w:bottom="1440" w:gutter="0" w:footer="0" w:header="0"/>
        </w:sectPr>
      </w:pP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00"/>
          </w:cols>
          <w:pgMar w:left="24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2018, we had no such commitments.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 xml:space="preserve">The following discussion and analysis should be read in conjunction with our Consolidated Financial Statements and the notes thereto, set forth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as set forth in our Annual Report on Form 10-K for the year ended September 30, 2018, and the Condensed Consolidated Financial Statements and notes thereto included in Part I of this Quarterly Report on Form 10-Q. The following discussion may contain forward looking statements. For additional information, see </w:t>
      </w:r>
      <w:r>
        <w:rPr>
          <w:rFonts w:ascii="Arial" w:cs="Arial" w:eastAsia="Arial" w:hAnsi="Arial"/>
          <w:sz w:val="18"/>
          <w:szCs w:val="18"/>
          <w:i w:val="1"/>
          <w:iCs w:val="1"/>
          <w:color w:val="auto"/>
        </w:rPr>
        <w:t>“Disclosure Regarding Forward Looking Statements”</w:t>
      </w:r>
      <w:r>
        <w:rPr>
          <w:rFonts w:ascii="Arial" w:cs="Arial" w:eastAsia="Arial" w:hAnsi="Arial"/>
          <w:sz w:val="18"/>
          <w:szCs w:val="18"/>
          <w:color w:val="auto"/>
        </w:rPr>
        <w:t xml:space="preserve"> in Part I of this Quarterly Report on Form 10-Q.</w:t>
      </w: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 xml:space="preserve">Please refer to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of our Annual Report on Form 10-K for the year ended September 30, 2018,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as well as the results of acquired businesses from the dates acquired.</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color w:val="auto"/>
                <w:w w:val="93"/>
              </w:rPr>
              <w:t>Three Months Ended December 31,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gridSpan w:val="2"/>
          </w:tcPr>
          <w:p>
            <w:pPr>
              <w:jc w:val="right"/>
              <w:ind w:right="88"/>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40" w:type="dxa"/>
            <w:vAlign w:val="bottom"/>
            <w:gridSpan w:val="7"/>
          </w:tcPr>
          <w:p>
            <w:pPr>
              <w:jc w:val="right"/>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$243,842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$198,300</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202,241</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165,236</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41,601</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32,086</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30,089</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Gain on sale of assets</w:t>
            </w:r>
          </w:p>
        </w:tc>
        <w:tc>
          <w:tcPr>
            <w:tcW w:w="122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340"/>
              <w:spacing w:after="0"/>
              <w:rPr>
                <w:sz w:val="20"/>
                <w:szCs w:val="20"/>
                <w:color w:val="auto"/>
              </w:rPr>
            </w:pPr>
            <w:r>
              <w:rPr>
                <w:rFonts w:ascii="Arial" w:cs="Arial" w:eastAsia="Arial" w:hAnsi="Arial"/>
                <w:sz w:val="18"/>
                <w:szCs w:val="18"/>
                <w:color w:val="auto"/>
              </w:rPr>
              <w:t>Interest and other (income) expense, net</w:t>
            </w:r>
          </w:p>
        </w:tc>
        <w:tc>
          <w:tcPr>
            <w:tcW w:w="1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594</w:t>
            </w:r>
          </w:p>
        </w:tc>
        <w:tc>
          <w:tcPr>
            <w:tcW w:w="3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w:t>
            </w:r>
          </w:p>
        </w:tc>
        <w:tc>
          <w:tcPr>
            <w:tcW w:w="3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5"/>
                <w:szCs w:val="15"/>
                <w:color w:val="auto"/>
              </w:rPr>
              <w:t>(1)</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1,907</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32,159</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(29,513)</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1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38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IES Holdings, Inc.</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6,884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(29,569)</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2017 includes a charge of $31.3 million to re-measure our net deferred tax assets in connection with the Tax Cuts and Jobs Act.</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Consolidated revenues for the three months ended December 31, 2018, were $45.5 million higher than for the three months ended December 31, 2017, an increase of 23.0%. Revenues increased within all four of our segments driven by an increase in demand for their service offerings combined with continued improvement of conditions in certain of the markets in which they operate.</w:t>
      </w:r>
    </w:p>
    <w:p>
      <w:pPr>
        <w:spacing w:after="0" w:line="18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Consolidated gross profit for the three months ended December 31, 2018, increased $8.5 million compared with the three months ended December 31, 2017. Our overall gross profit percentage increased to 17.1% during the three months ended December 31, 2018, as compared to 16.7% during the three months ended December 31, 2017. Gross profit as a percentage of revenue increased at all of our segments except for Infrastructure Solutions as discussed in further detail for each segment below.</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88"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During the three months ended December 31, 2018, our selling, general and administrative expenses were $32.1 million, an increase of $2.0 million, or 6.6%, over the three months ended December 31, 2017. The increase is primarily attributable to increased personnel costs to accommodate growth, as well as increased profit-sharing incentive compensation expense in connection with higher earnings. On a consolidated basis, our selling, general and administrative expense decreased as a percent of revenue from 15.2% for the three months ended December 31, 2017, to 13.2% for the three months ended December 31, 2018, as we continued to benefit from the increasing scale of our operations.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 &amp; Industrial</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color w:val="auto"/>
                <w:w w:val="93"/>
              </w:rPr>
              <w:t>Three Months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340" w:type="dxa"/>
            <w:vAlign w:val="bottom"/>
            <w:gridSpan w:val="8"/>
          </w:tcPr>
          <w:p>
            <w:pPr>
              <w:jc w:val="right"/>
              <w:ind w:right="233"/>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$72,583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$53,002</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services</w:t>
            </w:r>
          </w:p>
        </w:tc>
        <w:tc>
          <w:tcPr>
            <w:tcW w:w="1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63,908</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48,159</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6,716</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5,795</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340"/>
              <w:spacing w:after="0"/>
              <w:rPr>
                <w:sz w:val="20"/>
                <w:szCs w:val="20"/>
                <w:color w:val="auto"/>
              </w:rPr>
            </w:pPr>
            <w:r>
              <w:rPr>
                <w:rFonts w:ascii="Arial" w:cs="Arial" w:eastAsia="Arial" w:hAnsi="Arial"/>
                <w:sz w:val="18"/>
                <w:szCs w:val="18"/>
                <w:color w:val="auto"/>
              </w:rPr>
              <w:t>Operating income (loss)</w:t>
            </w:r>
          </w:p>
        </w:tc>
        <w:tc>
          <w:tcPr>
            <w:tcW w:w="17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1,962</w:t>
            </w:r>
          </w:p>
        </w:tc>
        <w:tc>
          <w:tcPr>
            <w:tcW w:w="3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(940)</w:t>
            </w:r>
          </w:p>
        </w:tc>
        <w:tc>
          <w:tcPr>
            <w:tcW w:w="3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 our Commercial &amp; Industrial segment increased $19.6 million, or 36.9%, during the three months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December 31, 2017. The increase in revenue over this period was driven by increased bid volume and improving market conditions across several of our branches. The market for this segment’s services in many geographic regions remains highly competitive. This increase was partially offset by a $2.9 million decrease in revenue attributable to the winding down of operations at our Denver and Roanoke locations for the three months ended December 31, 2018, as compared with the three months ended December 31, 2017.</w:t>
      </w:r>
    </w:p>
    <w:p>
      <w:pPr>
        <w:spacing w:after="0" w:line="173" w:lineRule="exact"/>
        <w:rPr>
          <w:sz w:val="20"/>
          <w:szCs w:val="20"/>
          <w:color w:val="auto"/>
        </w:rPr>
      </w:pPr>
    </w:p>
    <w:p>
      <w:pPr>
        <w:jc w:val="both"/>
        <w:ind w:left="200" w:right="360"/>
        <w:spacing w:after="0" w:line="30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Commercial &amp; Industrial segment’s gross profit during the three months ended December 31, 2018, increased by $3.8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December 31, 2017. As a percentage of revenues, gross profit increased from 9.1% for the three months ended December 31, 2017, to 12.0% for the three months ended December 31, 2018. The increase was driven by improved conditions in certain markets, improved project efficiencies, and the benefit of higher volumes of activity over which we allocate our overhead costs.</w:t>
      </w:r>
    </w:p>
    <w:p>
      <w:pPr>
        <w:spacing w:after="0" w:line="154"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Commercial &amp; Industrial segment’s selling, general and administrative expenses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2018, increased $0.9 million, or 15.9%, compared to the three months ended December 31, 2017, and decreased 1.6% as a percentage of revenue. The increase relates primarily to employee expense associated with higher volumes of activity, as well as increased incentive compensation expense in connection with improved profitability.</w:t>
      </w:r>
    </w:p>
    <w:p>
      <w:pPr>
        <w:spacing w:after="0" w:line="18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following table summarizes the results of our Denver and Roanoke branches, which are in the process of winding down operations. These results are included in the consolidated Commercial &amp; Industrial results shown above:</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Denver and Roanoke branches</w:t>
            </w:r>
          </w:p>
        </w:tc>
        <w:tc>
          <w:tcPr>
            <w:tcW w:w="3180" w:type="dxa"/>
            <w:vAlign w:val="bottom"/>
          </w:tcPr>
          <w:p>
            <w:pPr>
              <w:spacing w:after="0"/>
              <w:rPr>
                <w:sz w:val="14"/>
                <w:szCs w:val="14"/>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67"/>
        </w:trPr>
        <w:tc>
          <w:tcPr>
            <w:tcW w:w="3660" w:type="dxa"/>
            <w:vAlign w:val="bottom"/>
            <w:gridSpan w:val="2"/>
            <w:vMerge w:val="continue"/>
          </w:tcPr>
          <w:p>
            <w:pPr>
              <w:spacing w:after="0"/>
              <w:rPr>
                <w:sz w:val="14"/>
                <w:szCs w:val="14"/>
                <w:color w:val="auto"/>
              </w:rPr>
            </w:pPr>
          </w:p>
        </w:tc>
        <w:tc>
          <w:tcPr>
            <w:tcW w:w="3180" w:type="dxa"/>
            <w:vAlign w:val="bottom"/>
          </w:tcPr>
          <w:p>
            <w:pPr>
              <w:spacing w:after="0"/>
              <w:rPr>
                <w:sz w:val="14"/>
                <w:szCs w:val="14"/>
                <w:color w:val="auto"/>
              </w:rPr>
            </w:pPr>
          </w:p>
        </w:tc>
        <w:tc>
          <w:tcPr>
            <w:tcW w:w="1540" w:type="dxa"/>
            <w:vAlign w:val="bottom"/>
            <w:gridSpan w:val="6"/>
          </w:tcPr>
          <w:p>
            <w:pPr>
              <w:jc w:val="center"/>
              <w:ind w:right="2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93"/>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Cost of services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(249</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180" w:type="dxa"/>
            <w:vAlign w:val="bottom"/>
            <w:vMerge w:val="restart"/>
          </w:tcPr>
          <w:p>
            <w:pPr>
              <w:jc w:val="right"/>
              <w:ind w:right="2470"/>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color w:val="auto"/>
                <w:w w:val="91"/>
              </w:rPr>
              <w:t>Three Months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gridSpan w:val="2"/>
          </w:tcPr>
          <w:p>
            <w:pPr>
              <w:jc w:val="right"/>
              <w:ind w:right="19"/>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80" w:type="dxa"/>
            <w:vAlign w:val="bottom"/>
            <w:gridSpan w:val="8"/>
          </w:tcPr>
          <w:p>
            <w:pPr>
              <w:jc w:val="right"/>
              <w:ind w:right="213"/>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$69,325</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services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57,359</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45,339</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6,934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6,084</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7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gridSpan w:val="2"/>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5,032</w:t>
            </w:r>
          </w:p>
        </w:tc>
        <w:tc>
          <w:tcPr>
            <w:tcW w:w="32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3,037</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Communications segment’s revenues increased by $14.9 million, or 27.3%, during the three months ended December 31,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 was primarily a result of an increase in spending by several of our large data center customers. Revenues in our Communications segment can vary based on the capital spending cycles of our customers.</w:t>
      </w:r>
    </w:p>
    <w:p>
      <w:pPr>
        <w:spacing w:after="0" w:line="18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Communications segment’s gross profit during the three months ended December 31, 2018, increased by $2.8 million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December 31, 2017. Gross profit as a percentage of revenue increased 0.6% to 17.3% for the three months ended December 31, 2018, primarily as a result of strong project execution and efficiencies associated with a higher volume of activity.</w:t>
      </w:r>
    </w:p>
    <w:p>
      <w:pPr>
        <w:spacing w:after="0" w:line="166"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Communications segment’s selling, general and administrative expenses increased by $0.8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14.0%, during the three months ended December 31, 2018, compared to the three months ended December 31, 2017. The increase was driven primarily by our acquisition of Azimuth during fiscal 2018, which incurred selling, general and administrative expense for the three months ended December 31, 2018, of $0.6 million, which includes amortization of intangible assets. Selling, general and administrative expenses as a percentage of revenues in the Communications segment decreased 1.2% to 10.0% of segment revenue during the three months ended December 31, 2018, compared to the three months ended December 31, 2017, as we benefitted from the increased scale of our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Infrastructure Solutions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color w:val="auto"/>
                <w:w w:val="91"/>
              </w:rPr>
              <w:t>Three Months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80" w:type="dxa"/>
            <w:vAlign w:val="bottom"/>
            <w:gridSpan w:val="8"/>
          </w:tcPr>
          <w:p>
            <w:pPr>
              <w:jc w:val="right"/>
              <w:ind w:right="212"/>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$21,685</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services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23,552</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4,481</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4,557</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720" w:type="dxa"/>
            <w:vAlign w:val="bottom"/>
          </w:tcPr>
          <w:p>
            <w:pPr>
              <w:spacing w:after="0"/>
              <w:rPr>
                <w:sz w:val="18"/>
                <w:szCs w:val="18"/>
                <w:color w:val="auto"/>
              </w:rPr>
            </w:pP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$7.8 million during the three months ended December 31, 2018,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35.9% compared to the three months ended December 31, 2017. The increase in revenue was driven by $6.6 of additional revenue from our bus duct and enclosure business, driven by increased demand for enclosures to be used at data centers, and a $1.2 million increase in revenue from our motor repair business.</w:t>
      </w:r>
    </w:p>
    <w:p>
      <w:pPr>
        <w:spacing w:after="0" w:line="187" w:lineRule="exact"/>
        <w:rPr>
          <w:sz w:val="20"/>
          <w:szCs w:val="20"/>
          <w:color w:val="auto"/>
        </w:rPr>
      </w:pPr>
    </w:p>
    <w:p>
      <w:pPr>
        <w:jc w:val="both"/>
        <w:ind w:left="200" w:right="20"/>
        <w:spacing w:after="0" w:line="30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three months ended December 31, 2018, increased $1.2 million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December 31, 2017. Gross profit as a percentage of revenue decreased 1.5% to 20.1%. Margins improved quarter over quarter at both our bus duct manufacturing business and our motor repair business. However, our overall gross margin was affect by the mix of work performed, as our generator enclosure business has lower margins than our motor repair business, but represented a larger percentage of our total revenues.</w:t>
      </w:r>
    </w:p>
    <w:p>
      <w:pPr>
        <w:spacing w:after="0" w:line="154"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Infrastructure Solutions segment’s selling, general and administrative expenses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2018 decreased $0.1 million compared to the three months ended December 31, 2017. The decrease was primarily related to a decrease in intangible amortization expense related to the acquisition of Technibus, Inc. in fiscal 2016, offset by additional selling and administrative costs in support of growth of the business.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Residential</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60" w:type="dxa"/>
            <w:vAlign w:val="bottom"/>
            <w:tcBorders>
              <w:bottom w:val="single" w:sz="8" w:color="auto"/>
            </w:tcBorders>
            <w:gridSpan w:val="7"/>
          </w:tcPr>
          <w:p>
            <w:pPr>
              <w:jc w:val="center"/>
              <w:ind w:left="379"/>
              <w:spacing w:after="0"/>
              <w:rPr>
                <w:sz w:val="20"/>
                <w:szCs w:val="20"/>
                <w:color w:val="auto"/>
              </w:rPr>
            </w:pPr>
            <w:r>
              <w:rPr>
                <w:rFonts w:ascii="Arial" w:cs="Arial" w:eastAsia="Arial" w:hAnsi="Arial"/>
                <w:sz w:val="14"/>
                <w:szCs w:val="14"/>
                <w:color w:val="auto"/>
                <w:w w:val="92"/>
              </w:rPr>
              <w:t>Three Months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20" w:type="dxa"/>
            <w:vAlign w:val="bottom"/>
            <w:gridSpan w:val="8"/>
          </w:tcPr>
          <w:p>
            <w:pPr>
              <w:jc w:val="center"/>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$72,455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$69,154</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services</w:t>
            </w:r>
          </w:p>
        </w:tc>
        <w:tc>
          <w:tcPr>
            <w:tcW w:w="1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57,422</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54,738</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14,416</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11,137</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10,366</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460"/>
        <w:spacing w:after="0" w:line="29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Residential segment’s revenues increased by $3.3 million during the three months ended December 31, 2018, an increase of 4.8%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December 31, 2017. The increase was driven by our single-family business, where revenues increased by</w:t>
      </w:r>
    </w:p>
    <w:p>
      <w:pPr>
        <w:ind w:left="200" w:right="100"/>
        <w:spacing w:after="0" w:line="277" w:lineRule="auto"/>
        <w:rPr>
          <w:sz w:val="20"/>
          <w:szCs w:val="20"/>
          <w:color w:val="auto"/>
        </w:rPr>
      </w:pPr>
      <w:r>
        <w:rPr>
          <w:rFonts w:ascii="Arial" w:cs="Arial" w:eastAsia="Arial" w:hAnsi="Arial"/>
          <w:sz w:val="17"/>
          <w:szCs w:val="17"/>
          <w:color w:val="auto"/>
        </w:rPr>
        <w:t>$5.9 million for the three months ended December 31, 2018, compared with the three months ended December 31, 2017. These increases were partially offset by a decrease in multi-family revenues, which declined by $2.7 million due to the timing of individual projects. Service and solar revenues also decreased by $0.1 million for the three months ended December 31, 2018, compared with the same period in the prior year.</w:t>
      </w:r>
    </w:p>
    <w:p>
      <w:pPr>
        <w:spacing w:after="0" w:line="173"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During the three months ended December 31, 2018, our Residential segment experienced a $0.6 million, or 4.3%, increase in gross profit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three months ended December 31, 2017. The increase in gross profit was driven primarily by an increase in volume.</w:t>
      </w:r>
    </w:p>
    <w:p>
      <w:pPr>
        <w:spacing w:after="0" w:line="124"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Residential segment experienced a $0.8 million, or 7.4%, increase in selling,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during the three months ended December 31, 2018, compared to the three months ended December 31, 2017, primarily as a result of an increase in employment and travel costs. Selling, general and administrative expenses as a percentage of revenues in the Residential segment increased to 15.4% of segment revenue during the three months ended December 31, 2018, compared to 15.0% in the three months ended December 31, 2017.</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INTEREST AND OTHER EXPENSE, NET</w:t>
      </w:r>
    </w:p>
    <w:p>
      <w:pPr>
        <w:spacing w:after="0" w:line="251" w:lineRule="exact"/>
        <w:rPr>
          <w:sz w:val="20"/>
          <w:szCs w:val="20"/>
          <w:color w:val="auto"/>
        </w:rPr>
      </w:pPr>
    </w:p>
    <w:p>
      <w:pPr>
        <w:jc w:val="center"/>
        <w:ind w:left="6700"/>
        <w:spacing w:after="0"/>
        <w:rPr>
          <w:sz w:val="20"/>
          <w:szCs w:val="20"/>
          <w:color w:val="auto"/>
        </w:rPr>
      </w:pPr>
      <w:r>
        <w:rPr>
          <w:rFonts w:ascii="Arial" w:cs="Arial" w:eastAsia="Arial" w:hAnsi="Arial"/>
          <w:sz w:val="14"/>
          <w:szCs w:val="14"/>
          <w:color w:val="auto"/>
        </w:rPr>
        <w:t>Three Months Ended</w:t>
      </w:r>
    </w:p>
    <w:p>
      <w:pPr>
        <w:jc w:val="center"/>
        <w:ind w:left="6700"/>
        <w:spacing w:after="0" w:line="231" w:lineRule="auto"/>
        <w:rPr>
          <w:sz w:val="20"/>
          <w:szCs w:val="20"/>
          <w:color w:val="auto"/>
        </w:rPr>
      </w:pPr>
      <w:r>
        <w:rPr>
          <w:rFonts w:ascii="Arial" w:cs="Arial" w:eastAsia="Arial" w:hAnsi="Arial"/>
          <w:sz w:val="14"/>
          <w:szCs w:val="14"/>
          <w:color w:val="auto"/>
        </w:rPr>
        <w:t>December 31,</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83"/>
              </w:rPr>
              <w:t>2018</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23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During the three months ended December 31, 2018, we incurred interest expense of $0.5 million primarily comprised of interest expense from our term loan facility with Wells Fargo Bank, N.A. (“Wells Fargo”), an average letter of credit balance of $6.7 million under our revolving credit facility and an average unused line of credit balance of $63.0 million. This compares to interest expense of $0.4 million for the three months ended December 31, 2017, primarily comprised of interest expense from our revolving credit facility, an average letter of credit balance of $6.4 million under our revolving credit facility and an average unused line of credit balance of $63.4 million.</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We recorded income tax expense of $1.9 million for the three months ended December 31, 2018, compared to income tax expense of $32.2 million for the three months ended December 31, 2017. For the three months ended December 31, 2017, our income tax expense included a charge of $31.3 million to re-measure our deferred tax assets and liabilities to reflect the impact of the new statutory tax rate enacted during the quarter. The company completed its accounting for the income tax effects of the Tax Cuts and Jobs Act and fully recorded the impact in the year ended September 30, 2018.</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Condensed Consolidated Financial Statements included in this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same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authorizing the performance of future work,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 needed basis. Additionally, electrical installation services for single-family housing at our Residential segment is completed on a short-term basis and is therefore excluded from backlog. In addition, certain service work is performed under master service agreements on an as-needed basis. Backlog differs from remaining performance obligations as disclosed in Note 3 to the financial statements, as backlog is excluded from remaining performance obligations if it relates to a contract where work has not yet begun, and the customer can cancel the contract for convenience without incurring significant cost. Our backlog has increased from $482 million at September 30, 2018, to $538 million at December 31, 2018.</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During the three months ended December 31, 2018, working capital exclusive of cash increased by $12.0 million from September 30, 2018, reflecting a $8.8 million increase in current assets excluding cash and a $3.2 million decrease in current liabilities during the period.</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During the three months ended December 31, 2018, our current assets exclusive of cash increased to $245.2 million, as compared to $236.4 million as of September 30, 2018. The increase primarily relates to a $4.9 million increase in prepaid expenses and other current assets, as a result of the timing of our annual insurance premium payments. Days sales outstanding decreased to 61 at December 31, 2018, from 62 at September 30, 2018.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73"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During the three months ended December 31, 2018, our total current liabilities decreased by $3.2 million to $161.2 million, compared to $164.4 million as of September 30, 2018, primarily related to a decrease in accounts payable and accrued liabilities.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We believe the bonding capacity presently provided by our sureties is adequate for our current operations and will be adequate for our operations for the foreseeable future. As of December 31, 2018, the estimated cost to complete our bonded projects was approximately $60.9 million.</w:t>
      </w: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We maintain a $100 million revolving credit facility with Wells Fargo that matures August 9, 2021 (as amended, the “Credit Facility”), pursuant to a Second Amended and Restated Credit and Security Agreement with Wells Fargo, which was further amended on July 14, 2017, August 2, 2017, and July 23, 2018 (as amended, the “Amended Credit Agreement”).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Amended Credit Agreement contains customary affirmative, negative and financial covenants as well as events of default.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2018, we were in compliance with the financial covenants under the Amended Credit Agreement, requiring that we maintain:</w:t>
      </w:r>
    </w:p>
    <w:p>
      <w:pPr>
        <w:spacing w:after="0" w:line="142" w:lineRule="exact"/>
        <w:rPr>
          <w:sz w:val="20"/>
          <w:szCs w:val="20"/>
          <w:color w:val="auto"/>
        </w:rPr>
      </w:pPr>
    </w:p>
    <w:p>
      <w:pPr>
        <w:ind w:left="10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Fixed Charge Coverage Ratio (as defined in the Amended Credit Agreement), measured quarterly on a trailing four-quarter basis at the end of each quarter, of at least 1.1 to 1.0; and</w:t>
      </w:r>
    </w:p>
    <w:p>
      <w:pPr>
        <w:spacing w:after="0" w:line="75"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Liquidity (as defined in the Amended Credit Agreement) of at least thirty percent (30%) of the Maximum Revolver Amount (as defined in the Amended Credit Agreement), or $30 million; with, for purposes of this covenant, at least fifty percent (50%) of our Liquidity comprised of Excess Availability (as defined in the Amended Credit Agreement).</w:t>
      </w:r>
    </w:p>
    <w:p>
      <w:pPr>
        <w:spacing w:after="0" w:line="18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At December 31, 2018, our Liquidity was $78.5 million, our Excess Availability was $57.9 million (or greater than 50% of minimum Liquidity), and our Fixed Charge Coverage Ratio was 7.4:1.0. Since our Excess Availability at December 31, 2018, exceeded $30 million, we were not required to comply with minimum EBITDA financial covenant of the Amended Credit Agreement, which would have required that we have a minimum EBITDA for the four quarters ended December 31, 2018 of $35 million. Our EBITDA, as defined in the Amended Credit Agreement for the four quarters ended December 31, 2018, was $42.5 million.</w:t>
      </w:r>
    </w:p>
    <w:p>
      <w:pPr>
        <w:spacing w:after="0" w:line="188"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If in the future our Liquidity falls below $30 million (or Excess Availability falls below 50% or our minimum Liquidity), our Fixed Charge Coverage Ratio is less than 1.1:1.0, we fail to meet our minimum EBITDA requirement when it is required to be tested,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we had $6.8 million in outstanding letters of credit with Wells Fargo and outstanding borrowings of $30.2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1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Operating activities used net cash of $1.4 million during the three months ended December 31, 2018, as compared to $5 million of net cash provided in the three months ended December 31, 2017. The decrease in operating cash flow resulted primarily from an increase in working capital at our Commercial &amp; Industrial and Infrastructure Solutions segments, in support of growth in these businesses.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Net cash used in investing activities was $2.1 million for the three months ended December 31, 2018, compared with $1.4 million for the three months ended December 31, 2017. We used cash of $2.1 million for purchases of fixed assets in the three months ended December 31, 2018. For the three months ended December 31, 2017, we used $1.2 million of cash for the purchase of fixed assets.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Net cash used in financing activities for the three months ended December 31, 2018 was $2.2 million. For the three months ended December 31, 2018, we used $2.2 million to repurchase our shares to satisfy statutory withholding requirements upon the vesting of employee stock compensation, as well as in conjunction with our stock repurchase plan.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46,133 shares pursuant to this program during the three months ended December 31, 2018.</w:t>
      </w: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There have been no material changes in our contractual obligations and commitments from those disclosed in our Annual Report on Form 10-K for the fiscal year ended September 30, 2018.</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24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the Credit Facility. For additional information see </w:t>
      </w:r>
      <w:r>
        <w:rPr>
          <w:rFonts w:ascii="Arial" w:cs="Arial" w:eastAsia="Arial" w:hAnsi="Arial"/>
          <w:sz w:val="18"/>
          <w:szCs w:val="18"/>
          <w:i w:val="1"/>
          <w:iCs w:val="1"/>
          <w:color w:val="auto"/>
        </w:rPr>
        <w:t>“Disclosure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Part I of this Quarterly Report on Form 10-Q and our risk factors in Item 1A.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our Annual Report on Form 10-K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ended September 30, 2018.</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We are subject to interest rate risk on our floating interest rate borrowings. Floating rate debt, where the interest rate fluctuates periodically, exposes us to short-term changes in market interest rates.</w:t>
      </w:r>
    </w:p>
    <w:p>
      <w:pPr>
        <w:spacing w:after="0" w:line="17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All of the long-term debt outstanding under our revolving credit facility is structured on floating interest rate terms. A one percentage point increase in the interest rates on our long-term debt outstanding under our revolving credit facility as of December 31, 2018, would cause a $0.3 million pre-tax annual increase in interest expense.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Exchange Act) during the fiscal quarter ended December 31, 2018 that have materially affected, or are reasonably likely to materially affect, the Company’s internal control over financial reporting.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 accordance with Rules 13a-15 and 15d-15 under the Exchange Act, we carried out an evaluation, under the supervision and with the participation of management, including our President and our Chief Financial Officer, of the effectiveness of our disclosure controls and procedures as of the end of the period covered by this report. Based on this evaluation, our President and Chief Financial Officer concluded that our disclosure controls and procedures were effective as of December 31, 2018,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President and Chief Financial Officer, as appropriate, to allow timely decisions regarding required disclosure.</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200" w:right="720"/>
        <w:spacing w:after="0" w:line="342" w:lineRule="auto"/>
        <w:rPr>
          <w:sz w:val="20"/>
          <w:szCs w:val="20"/>
          <w:color w:val="auto"/>
        </w:rPr>
      </w:pPr>
      <w:r>
        <w:rPr>
          <w:rFonts w:ascii="Arial" w:cs="Arial" w:eastAsia="Arial" w:hAnsi="Arial"/>
          <w:sz w:val="16"/>
          <w:szCs w:val="16"/>
          <w:color w:val="auto"/>
        </w:rPr>
        <w:t>For information regarding legal proceedings, see Note 13, “Commitments and Contingencies—Legal Matters” in the Notes to our Condensed Consolidated Financial Statements set forth in Part I, Item 1 of this Quarterly Report on Form 10-Q, which is incorporated herein by reference.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7"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There have been no material changes to the risk factors disclosed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2018.</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presents information with respect to purchases of common stock of the Company made during the three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4"/>
                <w:szCs w:val="14"/>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Pr>
          <w:p>
            <w:pPr>
              <w:jc w:val="right"/>
              <w:ind w:right="17"/>
              <w:spacing w:after="0" w:line="149" w:lineRule="exact"/>
              <w:rPr>
                <w:sz w:val="20"/>
                <w:szCs w:val="20"/>
                <w:color w:val="auto"/>
              </w:rPr>
            </w:pPr>
            <w:r>
              <w:rPr>
                <w:rFonts w:ascii="Arial" w:cs="Arial" w:eastAsia="Arial" w:hAnsi="Arial"/>
                <w:sz w:val="14"/>
                <w:szCs w:val="14"/>
                <w:color w:val="auto"/>
              </w:rPr>
              <w:t>Total Number of</w:t>
            </w:r>
          </w:p>
        </w:tc>
        <w:tc>
          <w:tcPr>
            <w:tcW w:w="58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Be 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Total Number</w:t>
            </w:r>
          </w:p>
        </w:tc>
        <w:tc>
          <w:tcPr>
            <w:tcW w:w="58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Average</w:t>
            </w:r>
          </w:p>
        </w:tc>
        <w:tc>
          <w:tcPr>
            <w:tcW w:w="5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w w:val="92"/>
              </w:rPr>
              <w:t>Shares Purchased</w:t>
            </w:r>
          </w:p>
        </w:tc>
        <w:tc>
          <w:tcPr>
            <w:tcW w:w="58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7"/>
              </w:rPr>
              <w:t>the Publicly</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spacing w:after="0"/>
              <w:rPr>
                <w:sz w:val="12"/>
                <w:szCs w:val="12"/>
                <w:color w:val="auto"/>
              </w:rPr>
            </w:pPr>
          </w:p>
        </w:tc>
        <w:tc>
          <w:tcPr>
            <w:tcW w:w="800" w:type="dxa"/>
            <w:vAlign w:val="bottom"/>
          </w:tcPr>
          <w:p>
            <w:pPr>
              <w:jc w:val="right"/>
              <w:ind w:right="57"/>
              <w:spacing w:after="0" w:line="149" w:lineRule="exact"/>
              <w:rPr>
                <w:sz w:val="20"/>
                <w:szCs w:val="20"/>
                <w:color w:val="auto"/>
              </w:rPr>
            </w:pPr>
            <w:r>
              <w:rPr>
                <w:rFonts w:ascii="Arial" w:cs="Arial" w:eastAsia="Arial" w:hAnsi="Arial"/>
                <w:sz w:val="14"/>
                <w:szCs w:val="14"/>
                <w:color w:val="auto"/>
              </w:rPr>
              <w:t>of Shares</w:t>
            </w:r>
          </w:p>
        </w:tc>
        <w:tc>
          <w:tcPr>
            <w:tcW w:w="118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0"/>
              </w:rPr>
              <w:t>Price Paid</w:t>
            </w:r>
          </w:p>
        </w:tc>
        <w:tc>
          <w:tcPr>
            <w:tcW w:w="1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as Part of a Publicly</w:t>
            </w:r>
          </w:p>
        </w:tc>
        <w:tc>
          <w:tcPr>
            <w:tcW w:w="1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Announced Plan as of</w:t>
            </w:r>
          </w:p>
        </w:tc>
        <w:tc>
          <w:tcPr>
            <w:tcW w:w="0" w:type="dxa"/>
            <w:vAlign w:val="bottom"/>
          </w:tcPr>
          <w:p>
            <w:pPr>
              <w:spacing w:after="0"/>
              <w:rPr>
                <w:sz w:val="1"/>
                <w:szCs w:val="1"/>
                <w:color w:val="auto"/>
              </w:rPr>
            </w:pPr>
          </w:p>
        </w:tc>
      </w:tr>
      <w:tr>
        <w:trPr>
          <w:trHeight w:val="154"/>
        </w:trPr>
        <w:tc>
          <w:tcPr>
            <w:tcW w:w="374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right"/>
              <w:spacing w:after="0" w:line="154" w:lineRule="exact"/>
              <w:rPr>
                <w:sz w:val="20"/>
                <w:szCs w:val="20"/>
                <w:color w:val="auto"/>
              </w:rPr>
            </w:pPr>
            <w:r>
              <w:rPr>
                <w:rFonts w:ascii="Arial" w:cs="Arial" w:eastAsia="Arial" w:hAnsi="Arial"/>
                <w:sz w:val="14"/>
                <w:szCs w:val="14"/>
                <w:color w:val="auto"/>
                <w:w w:val="86"/>
              </w:rPr>
              <w:t>Purchased (1)</w:t>
            </w:r>
          </w:p>
        </w:tc>
        <w:tc>
          <w:tcPr>
            <w:tcW w:w="580" w:type="dxa"/>
            <w:vAlign w:val="bottom"/>
          </w:tcPr>
          <w:p>
            <w:pPr>
              <w:spacing w:after="0"/>
              <w:rPr>
                <w:sz w:val="13"/>
                <w:szCs w:val="13"/>
                <w:color w:val="auto"/>
              </w:rPr>
            </w:pPr>
          </w:p>
        </w:tc>
        <w:tc>
          <w:tcPr>
            <w:tcW w:w="60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88"/>
              </w:rPr>
              <w:t>Per Share</w:t>
            </w:r>
          </w:p>
        </w:tc>
        <w:tc>
          <w:tcPr>
            <w:tcW w:w="17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Announced Plan (2)</w:t>
            </w:r>
          </w:p>
        </w:tc>
        <w:tc>
          <w:tcPr>
            <w:tcW w:w="580" w:type="dxa"/>
            <w:vAlign w:val="bottom"/>
          </w:tcPr>
          <w:p>
            <w:pPr>
              <w:spacing w:after="0"/>
              <w:rPr>
                <w:sz w:val="13"/>
                <w:szCs w:val="13"/>
                <w:color w:val="auto"/>
              </w:rPr>
            </w:pPr>
          </w:p>
        </w:tc>
        <w:tc>
          <w:tcPr>
            <w:tcW w:w="132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2"/>
              </w:rPr>
              <w:t>December 31,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October 1, 2018 – October 31, 2018</w:t>
            </w: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724,804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November 1, 2018 – November 30, 2018</w:t>
            </w:r>
          </w:p>
        </w:tc>
        <w:tc>
          <w:tcPr>
            <w:tcW w:w="7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724,804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2018 – December 31, 2018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132,121</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16.74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678,671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132,121</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16.74</w:t>
            </w:r>
          </w:p>
        </w:tc>
        <w:tc>
          <w:tcPr>
            <w:tcW w:w="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46,133</w:t>
            </w:r>
          </w:p>
        </w:tc>
        <w:tc>
          <w:tcPr>
            <w:tcW w:w="5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80" w:hanging="436"/>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total number of shares purchased includes shares purchased pursuant to the plan described in footnote (2) below. During the quarter ended December 31, 2018, 85,988 shares were surrendered to the Company to satisfy tax withholding obligations in connection with the vesting of PPSU’s issued to employees.</w:t>
      </w:r>
    </w:p>
    <w:p>
      <w:pPr>
        <w:spacing w:after="0" w:line="86" w:lineRule="exact"/>
        <w:rPr>
          <w:rFonts w:ascii="Arial" w:cs="Arial" w:eastAsia="Arial" w:hAnsi="Arial"/>
          <w:sz w:val="18"/>
          <w:szCs w:val="18"/>
          <w:color w:val="auto"/>
        </w:rPr>
      </w:pPr>
    </w:p>
    <w:p>
      <w:pPr>
        <w:ind w:left="640" w:right="20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has authorized a stock repurchase program for the purchase of up to 1.5 million shares of the Company’s common stock from time to time.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0" w:type="dxa"/>
            <w:vAlign w:val="bottom"/>
            <w:gridSpan w:val="7"/>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2.1 —</w:t>
            </w:r>
          </w:p>
        </w:tc>
        <w:tc>
          <w:tcPr>
            <w:tcW w:w="10020" w:type="dxa"/>
            <w:vAlign w:val="bottom"/>
            <w:tcBorders>
              <w:bottom w:val="single" w:sz="8" w:color="0000EE"/>
            </w:tcBorders>
            <w:gridSpan w:val="10"/>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Stock Purchase Agreement dated as of June 1, 2016, by and among IES Infrastructure Solutions, LLC, IES Holdings, Inc., Technibus, Inc.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gridSpan w:val="10"/>
          </w:tcPr>
          <w:p>
            <w:pPr>
              <w:spacing w:after="0" w:line="196" w:lineRule="exact"/>
              <w:rPr>
                <w:rFonts w:ascii="Arial" w:cs="Arial" w:eastAsia="Arial" w:hAnsi="Arial"/>
                <w:sz w:val="18"/>
                <w:szCs w:val="18"/>
                <w:color w:val="0000EE"/>
                <w:w w:val="94"/>
              </w:rPr>
            </w:pPr>
            <w:hyperlink r:id="rId50">
              <w:r>
                <w:rPr>
                  <w:rFonts w:ascii="Arial" w:cs="Arial" w:eastAsia="Arial" w:hAnsi="Arial"/>
                  <w:sz w:val="18"/>
                  <w:szCs w:val="18"/>
                  <w:color w:val="0000EE"/>
                  <w:w w:val="94"/>
                </w:rPr>
                <w:t>and Technibus, LLC. (Incorporated by reference to Exhibit 2.1 to the Company’s Current Report on Form 8-K filed on June 15, 2016)</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3.1 —</w:t>
            </w:r>
          </w:p>
        </w:tc>
        <w:tc>
          <w:tcPr>
            <w:tcW w:w="10020" w:type="dxa"/>
            <w:vAlign w:val="bottom"/>
            <w:gridSpan w:val="10"/>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Second Amended and Restated Certificate of Incorporation of IES Holdings, Inc., as amended by the Certificate of Amendment thereto,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0" w:type="dxa"/>
            <w:vAlign w:val="bottom"/>
            <w:tcBorders>
              <w:top w:val="single" w:sz="8" w:color="0000EE"/>
            </w:tcBorders>
            <w:gridSpan w:val="8"/>
          </w:tcPr>
          <w:p>
            <w:pPr>
              <w:spacing w:after="0" w:line="196" w:lineRule="exact"/>
              <w:rPr>
                <w:rFonts w:ascii="Arial" w:cs="Arial" w:eastAsia="Arial" w:hAnsi="Arial"/>
                <w:sz w:val="18"/>
                <w:szCs w:val="18"/>
                <w:color w:val="0000EE"/>
                <w:w w:val="93"/>
              </w:rPr>
            </w:pPr>
            <w:hyperlink r:id="rId51">
              <w:r>
                <w:rPr>
                  <w:rFonts w:ascii="Arial" w:cs="Arial" w:eastAsia="Arial" w:hAnsi="Arial"/>
                  <w:sz w:val="18"/>
                  <w:szCs w:val="18"/>
                  <w:color w:val="0000EE"/>
                  <w:w w:val="93"/>
                </w:rPr>
                <w:t>effective May 24, 2016 (composite). (Incorporated by reference to Exhibit 3.1 to the Company’s Quarterly Report on Form 10-Q filed</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on August 8, 2016)</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3.2 —</w:t>
            </w:r>
          </w:p>
        </w:tc>
        <w:tc>
          <w:tcPr>
            <w:tcW w:w="10020" w:type="dxa"/>
            <w:vAlign w:val="bottom"/>
            <w:gridSpan w:val="10"/>
          </w:tcPr>
          <w:p>
            <w:pPr>
              <w:spacing w:after="0"/>
              <w:rPr>
                <w:rFonts w:ascii="Arial" w:cs="Arial" w:eastAsia="Arial" w:hAnsi="Arial"/>
                <w:sz w:val="18"/>
                <w:szCs w:val="18"/>
                <w:color w:val="0000EE"/>
                <w:w w:val="94"/>
              </w:rPr>
            </w:pPr>
            <w:hyperlink r:id="rId52">
              <w:r>
                <w:rPr>
                  <w:rFonts w:ascii="Arial" w:cs="Arial" w:eastAsia="Arial" w:hAnsi="Arial"/>
                  <w:sz w:val="18"/>
                  <w:szCs w:val="18"/>
                  <w:color w:val="0000EE"/>
                  <w:w w:val="94"/>
                </w:rPr>
                <w:t>Certificate of Designations of Series A Junior Participating Preferred Stock (Incorporated by reference to Exhibit 3.1 to the Company’s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Current Report on Form 8-K filed on January 28, 2013)</w:t>
              </w:r>
            </w:hyperlink>
          </w:p>
        </w:tc>
        <w:tc>
          <w:tcPr>
            <w:tcW w:w="5760" w:type="dxa"/>
            <w:vAlign w:val="bottom"/>
            <w:tcBorders>
              <w:top w:val="single" w:sz="8" w:color="0000EE"/>
            </w:tcBorders>
            <w:gridSpan w:val="4"/>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3.3 —</w:t>
            </w:r>
          </w:p>
        </w:tc>
        <w:tc>
          <w:tcPr>
            <w:tcW w:w="10020" w:type="dxa"/>
            <w:vAlign w:val="bottom"/>
            <w:gridSpan w:val="10"/>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Amended and Restated Bylaws of IES Holdings, Inc., effective May 24, 2016. (Incorporated by reference to Exhibit 3.2 to the Company’s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Current Report on Form 8-K filed on May 24,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tcBorders>
              <w:top w:val="single" w:sz="8" w:color="0000EE"/>
            </w:tcBorders>
            <w:gridSpan w:val="2"/>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8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00" w:type="dxa"/>
            <w:vAlign w:val="bottom"/>
            <w:gridSpan w:val="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4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tcBorders>
              <w:bottom w:val="single" w:sz="8" w:color="0000EE"/>
            </w:tcBorders>
            <w:gridSpan w:val="13"/>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Specimen common stock certificate. (Incorporated by reference to Exhibit 4.1 to the Company’s Annual Report on Form 10-K filed</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on December 9, 2016)</w:t>
              </w:r>
            </w:hyperlink>
          </w:p>
        </w:tc>
        <w:tc>
          <w:tcPr>
            <w:tcW w:w="80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EE"/>
            </w:tcBorders>
            <w:gridSpan w:val="14"/>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Tax Benefit Protection Plan Agreement by and between IES Holdings, Inc. and American Stock Transfer &amp; Trust Company, LLC, as</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w w:val="95"/>
              </w:rPr>
            </w:pPr>
            <w:hyperlink r:id="rId56">
              <w:r>
                <w:rPr>
                  <w:rFonts w:ascii="Arial" w:cs="Arial" w:eastAsia="Arial" w:hAnsi="Arial"/>
                  <w:sz w:val="18"/>
                  <w:szCs w:val="18"/>
                  <w:color w:val="0000EE"/>
                  <w:w w:val="95"/>
                </w:rPr>
                <w:t>Rights Agent, dated as of November 8, 2016, including the form of Rights Certificate and Summary of Stockholder Rights Plan</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attached thereto as Exhibits A and B, respectively. (Incorporated by reference to Exhibit 4.1 to the Company’s Current Report on</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Form 8-K filed on November 9, 2016)</w:t>
              </w:r>
            </w:hyperlink>
          </w:p>
        </w:tc>
        <w:tc>
          <w:tcPr>
            <w:tcW w:w="6540" w:type="dxa"/>
            <w:vAlign w:val="bottom"/>
            <w:tcBorders>
              <w:top w:val="single" w:sz="8" w:color="0000EE"/>
            </w:tcBorders>
            <w:gridSpan w:val="10"/>
          </w:tcPr>
          <w:p>
            <w:pPr>
              <w:spacing w:after="0"/>
              <w:rPr>
                <w:sz w:val="17"/>
                <w:szCs w:val="17"/>
                <w:color w:val="auto"/>
              </w:rPr>
            </w:pPr>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20" w:type="dxa"/>
            <w:vAlign w:val="bottom"/>
            <w:tcBorders>
              <w:bottom w:val="single" w:sz="8" w:color="0000EE"/>
            </w:tcBorders>
            <w:gridSpan w:val="9"/>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Board Observer Letter Agreement between Tontine Associates, L.L.C. and IES Holdings, Inc., dated December 6, 2018.</w:t>
              </w:r>
            </w:hyperlink>
          </w:p>
        </w:tc>
        <w:tc>
          <w:tcPr>
            <w:tcW w:w="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(Incorporated by reference to Exhibit 10.17 to the Company’s Annual Report on Form 10-K filed December 7, 2018)</w:t>
              </w:r>
            </w:hyperlink>
          </w:p>
        </w:tc>
        <w:tc>
          <w:tcPr>
            <w:tcW w:w="0" w:type="dxa"/>
            <w:vAlign w:val="bottom"/>
          </w:tcPr>
          <w:p>
            <w:pPr>
              <w:spacing w:after="0"/>
              <w:rPr>
                <w:sz w:val="1"/>
                <w:szCs w:val="1"/>
                <w:color w:val="auto"/>
              </w:rPr>
            </w:pPr>
          </w:p>
        </w:tc>
      </w:tr>
      <w:tr>
        <w:trPr>
          <w:trHeight w:val="304"/>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(1)31.1</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440" w:type="dxa"/>
            <w:vAlign w:val="bottom"/>
            <w:tcBorders>
              <w:top w:val="single" w:sz="8" w:color="0000EE"/>
            </w:tcBorders>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Rule 13a-14(a)/15d-14(a) Certification of Robert W. Lewey, President,</w:t>
              </w:r>
            </w:hyperlink>
          </w:p>
        </w:tc>
        <w:tc>
          <w:tcPr>
            <w:tcW w:w="1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(1)31.2</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620" w:type="dxa"/>
            <w:vAlign w:val="bottom"/>
            <w:gridSpan w:val="14"/>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Rule 13a-14(a)/15d-14(a) Certification of Tracy A. McLauchlin, Senior Vice President, Chief Financial Officer and Treasurer</w:t>
              </w:r>
            </w:hyperlink>
          </w:p>
        </w:tc>
        <w:tc>
          <w:tcPr>
            <w:tcW w:w="0" w:type="dxa"/>
            <w:vAlign w:val="bottom"/>
          </w:tcPr>
          <w:p>
            <w:pPr>
              <w:spacing w:after="0"/>
              <w:rPr>
                <w:sz w:val="1"/>
                <w:szCs w:val="1"/>
                <w:color w:val="auto"/>
              </w:rPr>
            </w:pPr>
          </w:p>
        </w:tc>
      </w:tr>
      <w:tr>
        <w:trPr>
          <w:trHeight w:val="304"/>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(1)32.1</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41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Section 1350 Certification of Robert W. Lewey, President</w:t>
              </w:r>
            </w:hyperlink>
          </w:p>
        </w:tc>
        <w:tc>
          <w:tcPr>
            <w:tcW w:w="4920" w:type="dxa"/>
            <w:vAlign w:val="bottom"/>
            <w:tcBorders>
              <w:top w:val="single" w:sz="8" w:color="0000EE"/>
            </w:tcBorders>
            <w:gridSpan w:val="7"/>
          </w:tcPr>
          <w:p>
            <w:pPr>
              <w:spacing w:after="0"/>
              <w:rPr>
                <w:sz w:val="24"/>
                <w:szCs w:val="24"/>
                <w:color w:val="auto"/>
              </w:rPr>
            </w:pPr>
          </w:p>
        </w:tc>
        <w:tc>
          <w:tcPr>
            <w:tcW w:w="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(1)32.2</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62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Section 1350 Certification of Tracy A. McLauchlin, Senior Vice President, Chief Financial Officer and Treasurer</w:t>
              </w:r>
            </w:hyperlink>
          </w:p>
        </w:tc>
        <w:tc>
          <w:tcPr>
            <w:tcW w:w="0" w:type="dxa"/>
            <w:vAlign w:val="bottom"/>
          </w:tcPr>
          <w:p>
            <w:pPr>
              <w:spacing w:after="0"/>
              <w:rPr>
                <w:sz w:val="1"/>
                <w:szCs w:val="1"/>
                <w:color w:val="auto"/>
              </w:rPr>
            </w:pPr>
          </w:p>
        </w:tc>
      </w:tr>
      <w:tr>
        <w:trPr>
          <w:trHeight w:val="561"/>
        </w:trPr>
        <w:tc>
          <w:tcPr>
            <w:tcW w:w="1260" w:type="dxa"/>
            <w:vAlign w:val="bottom"/>
            <w:gridSpan w:val="4"/>
          </w:tcPr>
          <w:p>
            <w:pPr>
              <w:jc w:val="center"/>
              <w:ind w:right="350"/>
              <w:spacing w:after="0"/>
              <w:rPr>
                <w:sz w:val="20"/>
                <w:szCs w:val="20"/>
                <w:color w:val="auto"/>
              </w:rPr>
            </w:pPr>
            <w:r>
              <w:rPr>
                <w:rFonts w:ascii="Arial" w:cs="Arial" w:eastAsia="Arial" w:hAnsi="Arial"/>
                <w:sz w:val="18"/>
                <w:szCs w:val="18"/>
                <w:color w:val="auto"/>
                <w:w w:val="94"/>
              </w:rPr>
              <w:t>(1)101.INS</w:t>
            </w:r>
          </w:p>
        </w:tc>
        <w:tc>
          <w:tcPr>
            <w:tcW w:w="81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1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4"/>
          </w:tcPr>
          <w:p>
            <w:pPr>
              <w:jc w:val="center"/>
              <w:ind w:right="290"/>
              <w:spacing w:after="0"/>
              <w:rPr>
                <w:sz w:val="20"/>
                <w:szCs w:val="20"/>
                <w:color w:val="auto"/>
              </w:rPr>
            </w:pPr>
            <w:r>
              <w:rPr>
                <w:rFonts w:ascii="Arial" w:cs="Arial" w:eastAsia="Arial" w:hAnsi="Arial"/>
                <w:sz w:val="18"/>
                <w:szCs w:val="18"/>
                <w:color w:val="auto"/>
                <w:w w:val="92"/>
              </w:rPr>
              <w:t>(1)101.SCH</w:t>
            </w:r>
          </w:p>
        </w:tc>
        <w:tc>
          <w:tcPr>
            <w:tcW w:w="9620" w:type="dxa"/>
            <w:vAlign w:val="bottom"/>
            <w:gridSpan w:val="14"/>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8"/>
          <w:szCs w:val="18"/>
          <w:color w:val="auto"/>
        </w:rPr>
        <w:t>(1)101.LAB</w:t>
      </w:r>
      <w:r>
        <w:rPr>
          <w:sz w:val="20"/>
          <w:szCs w:val="20"/>
          <w:color w:val="auto"/>
        </w:rPr>
        <w:tab/>
      </w:r>
      <w:r>
        <w:rPr>
          <w:rFonts w:ascii="Arial" w:cs="Arial" w:eastAsia="Arial" w:hAnsi="Arial"/>
          <w:sz w:val="16"/>
          <w:szCs w:val="16"/>
          <w:color w:val="auto"/>
        </w:rPr>
        <w:t>XBRL Label Linkbase Document</w:t>
      </w:r>
    </w:p>
    <w:p>
      <w:pPr>
        <w:spacing w:after="0" w:line="117"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8"/>
          <w:szCs w:val="18"/>
          <w:color w:val="auto"/>
        </w:rPr>
        <w:t>(1)101.PRE</w:t>
      </w:r>
      <w:r>
        <w:rPr>
          <w:sz w:val="20"/>
          <w:szCs w:val="20"/>
          <w:color w:val="auto"/>
        </w:rPr>
        <w:tab/>
      </w:r>
      <w:r>
        <w:rPr>
          <w:rFonts w:ascii="Arial" w:cs="Arial" w:eastAsia="Arial" w:hAnsi="Arial"/>
          <w:sz w:val="16"/>
          <w:szCs w:val="16"/>
          <w:color w:val="auto"/>
        </w:rPr>
        <w:t>XBRL Presentation Linkbase Document</w:t>
      </w:r>
    </w:p>
    <w:p>
      <w:pPr>
        <w:spacing w:after="0" w:line="117"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8"/>
          <w:szCs w:val="18"/>
          <w:color w:val="auto"/>
        </w:rPr>
        <w:t>(1)101.DEF</w:t>
      </w:r>
      <w:r>
        <w:rPr>
          <w:sz w:val="20"/>
          <w:szCs w:val="20"/>
          <w:color w:val="auto"/>
        </w:rPr>
        <w:tab/>
      </w:r>
      <w:r>
        <w:rPr>
          <w:rFonts w:ascii="Arial" w:cs="Arial" w:eastAsia="Arial" w:hAnsi="Arial"/>
          <w:sz w:val="17"/>
          <w:szCs w:val="17"/>
          <w:color w:val="auto"/>
        </w:rPr>
        <w:t>XBRL Definition Linkbase Document</w:t>
      </w:r>
    </w:p>
    <w:p>
      <w:pPr>
        <w:spacing w:after="0" w:line="117"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8"/>
          <w:szCs w:val="18"/>
          <w:color w:val="auto"/>
        </w:rPr>
        <w:t>(1)101.CAL</w:t>
      </w:r>
      <w:r>
        <w:rPr>
          <w:sz w:val="20"/>
          <w:szCs w:val="20"/>
          <w:color w:val="auto"/>
        </w:rPr>
        <w:tab/>
      </w:r>
      <w:r>
        <w:rPr>
          <w:rFonts w:ascii="Arial" w:cs="Arial" w:eastAsia="Arial" w:hAnsi="Arial"/>
          <w:sz w:val="16"/>
          <w:szCs w:val="16"/>
          <w:color w:val="auto"/>
        </w:rPr>
        <w:t>XBRL Calculation Linkbase Document</w:t>
      </w:r>
    </w:p>
    <w:p>
      <w:pPr>
        <w:spacing w:after="0" w:line="117" w:lineRule="exact"/>
        <w:rPr>
          <w:sz w:val="20"/>
          <w:szCs w:val="20"/>
          <w:color w:val="auto"/>
        </w:rPr>
      </w:pPr>
    </w:p>
    <w:p>
      <w:pPr>
        <w:ind w:left="1520" w:hanging="1262"/>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24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5, 2019.</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IES HOLDINGS, INC.</w:t>
      </w:r>
    </w:p>
    <w:p>
      <w:pPr>
        <w:spacing w:after="0" w:line="256"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TRACY A. MCLAUCHLIN</w:t>
            </w:r>
          </w:p>
        </w:tc>
      </w:tr>
      <w:tr>
        <w:trPr>
          <w:trHeight w:val="195"/>
        </w:trPr>
        <w:tc>
          <w:tcPr>
            <w:tcW w:w="280" w:type="dxa"/>
            <w:vAlign w:val="bottom"/>
          </w:tcPr>
          <w:p>
            <w:pPr>
              <w:spacing w:after="0"/>
              <w:rPr>
                <w:sz w:val="16"/>
                <w:szCs w:val="16"/>
                <w:color w:val="auto"/>
              </w:rPr>
            </w:pPr>
          </w:p>
        </w:tc>
        <w:tc>
          <w:tcPr>
            <w:tcW w:w="4420" w:type="dxa"/>
            <w:vAlign w:val="bottom"/>
          </w:tcPr>
          <w:p>
            <w:pPr>
              <w:jc w:val="center"/>
              <w:spacing w:after="0" w:line="195" w:lineRule="exact"/>
              <w:rPr>
                <w:sz w:val="20"/>
                <w:szCs w:val="20"/>
                <w:color w:val="auto"/>
              </w:rPr>
            </w:pPr>
            <w:r>
              <w:rPr>
                <w:rFonts w:ascii="Arial" w:cs="Arial" w:eastAsia="Arial" w:hAnsi="Arial"/>
                <w:sz w:val="18"/>
                <w:szCs w:val="18"/>
                <w:color w:val="auto"/>
                <w:w w:val="95"/>
              </w:rPr>
              <w:t>Tracy A. McLauchlin</w:t>
            </w:r>
          </w:p>
        </w:tc>
      </w:tr>
      <w:tr>
        <w:trPr>
          <w:trHeight w:val="216"/>
        </w:trPr>
        <w:tc>
          <w:tcPr>
            <w:tcW w:w="28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28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 Authorized Signatory)</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Lewey, certify that:</w:t>
      </w:r>
    </w:p>
    <w:p>
      <w:pPr>
        <w:spacing w:after="0" w:line="225" w:lineRule="exact"/>
        <w:rPr>
          <w:sz w:val="20"/>
          <w:szCs w:val="20"/>
          <w:color w:val="auto"/>
        </w:rPr>
      </w:pPr>
    </w:p>
    <w:p>
      <w:pPr>
        <w:ind w:left="620" w:hanging="176"/>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0" w:firstLine="444"/>
        <w:spacing w:after="0" w:line="308" w:lineRule="auto"/>
        <w:tabs>
          <w:tab w:leader="none" w:pos="621"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 w:firstLine="444"/>
        <w:spacing w:after="0" w:line="264" w:lineRule="auto"/>
        <w:tabs>
          <w:tab w:leader="none" w:pos="6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444"/>
        <w:spacing w:after="0" w:line="264"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500" w:firstLine="444"/>
        <w:spacing w:after="0" w:line="264" w:lineRule="auto"/>
        <w:tabs>
          <w:tab w:leader="none" w:pos="6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560" w:firstLine="444"/>
        <w:spacing w:after="0" w:line="342" w:lineRule="auto"/>
        <w:tabs>
          <w:tab w:leader="none" w:pos="6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460" w:firstLine="444"/>
        <w:spacing w:after="0" w:line="264" w:lineRule="auto"/>
        <w:tabs>
          <w:tab w:leader="none" w:pos="6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444"/>
        <w:spacing w:after="0" w:line="342" w:lineRule="auto"/>
        <w:tabs>
          <w:tab w:leader="none" w:pos="6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0" w:firstLine="444"/>
        <w:spacing w:after="0" w:line="277"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444"/>
        <w:spacing w:after="0" w:line="277" w:lineRule="auto"/>
        <w:tabs>
          <w:tab w:leader="none" w:pos="6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2019</w:t>
      </w:r>
    </w:p>
    <w:p>
      <w:pPr>
        <w:spacing w:after="0" w:line="25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ROBERT W. LEWEY</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225" w:lineRule="exact"/>
        <w:rPr>
          <w:sz w:val="20"/>
          <w:szCs w:val="20"/>
          <w:color w:val="auto"/>
        </w:rPr>
      </w:pPr>
    </w:p>
    <w:p>
      <w:pPr>
        <w:ind w:left="620" w:hanging="17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0" w:firstLine="444"/>
        <w:spacing w:after="0" w:line="308" w:lineRule="auto"/>
        <w:tabs>
          <w:tab w:leader="none" w:pos="6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 w:firstLine="444"/>
        <w:spacing w:after="0" w:line="264" w:lineRule="auto"/>
        <w:tabs>
          <w:tab w:leader="none" w:pos="6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444"/>
        <w:spacing w:after="0" w:line="264"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500" w:firstLine="444"/>
        <w:spacing w:after="0" w:line="264" w:lineRule="auto"/>
        <w:tabs>
          <w:tab w:leader="none" w:pos="6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560" w:firstLine="444"/>
        <w:spacing w:after="0" w:line="342" w:lineRule="auto"/>
        <w:tabs>
          <w:tab w:leader="none" w:pos="6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460" w:firstLine="444"/>
        <w:spacing w:after="0" w:line="264" w:lineRule="auto"/>
        <w:tabs>
          <w:tab w:leader="none" w:pos="6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444"/>
        <w:spacing w:after="0" w:line="342" w:lineRule="auto"/>
        <w:tabs>
          <w:tab w:leader="none" w:pos="62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0" w:firstLine="444"/>
        <w:spacing w:after="0" w:line="277"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444"/>
        <w:spacing w:after="0" w:line="277" w:lineRule="auto"/>
        <w:tabs>
          <w:tab w:leader="none" w:pos="6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2019</w:t>
      </w:r>
    </w:p>
    <w:p>
      <w:pPr>
        <w:spacing w:after="0" w:line="25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TRACY A. MCLAUCHLIN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6620"/>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32"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as Principal Financial Officer</w:t>
      </w:r>
    </w:p>
    <w:p>
      <w:pPr>
        <w:sectPr>
          <w:pgSz w:w="11900" w:h="16838" w:orient="portrait"/>
          <w:cols w:equalWidth="0" w:num="1">
            <w:col w:w="11020"/>
          </w:cols>
          <w:pgMar w:left="4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this Quarterly Report of IES Holdings, Inc. (the “Company”) on Form 10-Q for the period ending December 31, 2018 (the “Report”), I, Robert W. Lewey, President of the Company, certify, pursuant to 18 U.S.C. § 1350, as adopted pursuant to § 906 of the Sarbanes-Oxley Act of 2002, that:</w:t>
      </w:r>
    </w:p>
    <w:p>
      <w:pPr>
        <w:spacing w:after="0" w:line="87" w:lineRule="exact"/>
        <w:rPr>
          <w:sz w:val="20"/>
          <w:szCs w:val="20"/>
          <w:color w:val="auto"/>
        </w:rPr>
      </w:pPr>
    </w:p>
    <w:p>
      <w:pPr>
        <w:ind w:left="860" w:hanging="4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19"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February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W. LEWEY</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020"/>
          </w:cols>
          <w:pgMar w:left="440" w:top="121"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this Quarterly Report of IES Holdings, Inc. (the “Company”) on Form 10-Q for the period ending December 31, 2018 (the “Report”), I, Tracy A. McLauchlin, Senior Vice President, Chief Financial Officer and Treasurer of the Company, certify, pursuant to 18 U.S.C. § 1350, as adopted pursuant to § 906 of the Sarbanes-Oxley Act of 2002, that:</w:t>
      </w:r>
    </w:p>
    <w:p>
      <w:pPr>
        <w:spacing w:after="0" w:line="87" w:lineRule="exact"/>
        <w:rPr>
          <w:sz w:val="20"/>
          <w:szCs w:val="20"/>
          <w:color w:val="auto"/>
        </w:rPr>
      </w:pPr>
    </w:p>
    <w:p>
      <w:pPr>
        <w:ind w:left="860" w:hanging="4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1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February 5, 2019</w:t>
      </w:r>
      <w:r>
        <w:rPr>
          <w:sz w:val="20"/>
          <w:szCs w:val="20"/>
          <w:color w:val="auto"/>
        </w:rPr>
        <w:tab/>
      </w:r>
      <w:r>
        <w:rPr>
          <w:rFonts w:ascii="Arial" w:cs="Arial" w:eastAsia="Arial" w:hAnsi="Arial"/>
          <w:sz w:val="18"/>
          <w:szCs w:val="18"/>
          <w:color w:val="auto"/>
        </w:rPr>
        <w:t>By:  /s/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as 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4"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50" Type="http://schemas.openxmlformats.org/officeDocument/2006/relationships/hyperlink" Target="http://www.sec.gov/Archives/edgar/data/1048268/000119312516621943/d148351dex21.htm" TargetMode="External"/><Relationship Id="rId51" Type="http://schemas.openxmlformats.org/officeDocument/2006/relationships/hyperlink" Target="http://www.sec.gov/Archives/edgar/data/1048268/000119312516674386/d211495dex31.htm" TargetMode="External"/><Relationship Id="rId52" Type="http://schemas.openxmlformats.org/officeDocument/2006/relationships/hyperlink" Target="http://www.sec.gov/Archives/edgar/data/1048268/000119312513026383/d474722dex31.htm" TargetMode="External"/><Relationship Id="rId53" Type="http://schemas.openxmlformats.org/officeDocument/2006/relationships/hyperlink" Target="http://www.sec.gov/Archives/edgar/data/1048268/000119312516600652/d197326dex31.htm" TargetMode="External"/><Relationship Id="rId55" Type="http://schemas.openxmlformats.org/officeDocument/2006/relationships/hyperlink" Target="http://www.sec.gov/Archives/edgar/data/1048268/000119312516789187/d310826dex41.htm" TargetMode="External"/><Relationship Id="rId56" Type="http://schemas.openxmlformats.org/officeDocument/2006/relationships/hyperlink" Target="http://www.sec.gov/Archives/edgar/data/1048268/000119312516763155/d487615dex41.htm" TargetMode="External"/><Relationship Id="rId57" Type="http://schemas.openxmlformats.org/officeDocument/2006/relationships/hyperlink" Target="http://www.sec.gov/Archives/edgar/data/1048268/000119312518344274/d668006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2019-12-28T16:53:50Z</dcterms:created>
  <dcterms:modified xsi:type="dcterms:W3CDTF">2019-12-28T16:53:50Z</dcterms:modified>
</cp:coreProperties>
</file>