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394970</wp:posOffset>
            </wp:positionV>
            <wp:extent cx="145796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IES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928" w:gutter="0" w:footer="0" w:header="0"/>
        </w:sectPr>
      </w:pPr>
    </w:p>
    <w:p>
      <w:pPr>
        <w:spacing w:after="0" w:line="200" w:lineRule="exact"/>
        <w:rPr>
          <w:sz w:val="24"/>
          <w:szCs w:val="24"/>
          <w:color w:val="auto"/>
        </w:rPr>
      </w:pPr>
    </w:p>
    <w:p>
      <w:pPr>
        <w:spacing w:after="0" w:line="383"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76-0542208</w:t>
      </w:r>
    </w:p>
    <w:p>
      <w:pPr>
        <w:spacing w:after="0" w:line="31" w:lineRule="exact"/>
        <w:rPr>
          <w:sz w:val="24"/>
          <w:szCs w:val="24"/>
          <w:color w:val="auto"/>
        </w:rPr>
      </w:pPr>
    </w:p>
    <w:p>
      <w:pPr>
        <w:sectPr>
          <w:pgSz w:w="11900" w:h="16838" w:orient="portrait"/>
          <w:cols w:equalWidth="0" w:num="2">
            <w:col w:w="7500" w:space="720"/>
            <w:col w:w="3200"/>
          </w:cols>
          <w:pgMar w:left="240" w:top="368" w:right="239" w:bottom="928"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368" w:right="239" w:bottom="928"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5433 Westheimer Road, Suite 500, Houston, Texas 77056</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ectPr>
          <w:pgSz w:w="11900" w:h="16838" w:orient="portrait"/>
          <w:cols w:equalWidth="0" w:num="1">
            <w:col w:w="11420"/>
          </w:cols>
          <w:pgMar w:left="240" w:top="368" w:right="239" w:bottom="928" w:gutter="0" w:footer="0" w:header="0"/>
          <w:type w:val="continuous"/>
        </w:sectPr>
      </w:pP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860-1500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223520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90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 2018, there were 21,209,916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928"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8160" w:type="dxa"/>
            <w:vAlign w:val="bottom"/>
            <w:gridSpan w:val="9"/>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2"/>
            <w:vMerge w:val="continue"/>
          </w:tcPr>
          <w:p>
            <w:pPr>
              <w:spacing w:after="0"/>
              <w:rPr>
                <w:sz w:val="13"/>
                <w:szCs w:val="13"/>
                <w:color w:val="auto"/>
              </w:rPr>
            </w:pPr>
          </w:p>
        </w:tc>
        <w:tc>
          <w:tcPr>
            <w:tcW w:w="816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 Financial Statements</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3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March 31, 2018 and September 30, 2017</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32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Three and Six Months Ended March 31, 2018 and 2017</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Six Months Ended March 31, 2018 and 2017</w:t>
              </w:r>
            </w:hyperlink>
          </w:p>
        </w:tc>
        <w:tc>
          <w:tcPr>
            <w:tcW w:w="11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28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36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Controls and Procedures</w:t>
              </w:r>
            </w:hyperlink>
          </w:p>
        </w:tc>
        <w:tc>
          <w:tcPr>
            <w:tcW w:w="83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110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 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320" w:type="dxa"/>
            <w:vAlign w:val="bottom"/>
            <w:tcBorders>
              <w:top w:val="single" w:sz="8" w:color="0000EE"/>
            </w:tcBorders>
            <w:gridSpan w:val="2"/>
          </w:tcPr>
          <w:p>
            <w:pPr>
              <w:spacing w:after="0"/>
              <w:rPr>
                <w:sz w:val="17"/>
                <w:szCs w:val="17"/>
                <w:color w:val="auto"/>
              </w:rPr>
            </w:pPr>
          </w:p>
        </w:tc>
        <w:tc>
          <w:tcPr>
            <w:tcW w:w="848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1A. Risk Factors</w:t>
              </w:r>
            </w:hyperlink>
          </w:p>
        </w:tc>
        <w:tc>
          <w:tcPr>
            <w:tcW w:w="91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2. Unregistered Sales of Equity Securities and Use of Proceeds</w:t>
              </w:r>
            </w:hyperlink>
          </w:p>
        </w:tc>
        <w:tc>
          <w:tcPr>
            <w:tcW w:w="57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10160" w:type="dxa"/>
            <w:vAlign w:val="bottom"/>
            <w:gridSpan w:val="18"/>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782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5.</w:t>
              </w:r>
            </w:hyperlink>
          </w:p>
        </w:tc>
        <w:tc>
          <w:tcPr>
            <w:tcW w:w="134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88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10160" w:type="dxa"/>
            <w:vAlign w:val="bottom"/>
            <w:gridSpan w:val="18"/>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95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this Quarterly Report on Form 10-Q, the words “IES”, the “Company”, the “Registrant”, “we”, “our”, “ours” and “us” refer to IES Holdings, Inc. and, except as otherwise specified herein, to our subsidiaries.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further change in the federal tax rate;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further write-downs on deferred tax assets;</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the availability of sufficient credit or cash flow to fund our working capital needs and capital expenditures and debt service;</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revolving credit facility, including liquidity, EBITDA and other financial requirements, which could result in a default and acceleration of our indebtedness under our revolving credit facility;</w:t>
      </w:r>
    </w:p>
    <w:p>
      <w:pPr>
        <w:spacing w:after="0" w:line="75"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capital expenditures and refurbishment, repair and upgrade costs; and delays in and costs of refurbishment, repair and upgrade projects;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 w:name="page4"/>
    <w:bookmarkEnd w:id="3"/>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backlog that may not be realized or may not result in profits;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452" w:right="180" w:hanging="452"/>
        <w:spacing w:after="0" w:line="277"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452" w:right="60" w:hanging="452"/>
        <w:spacing w:after="0" w:line="277"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seasonality and differing regional economic conditions;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142" w:lineRule="exact"/>
        <w:rPr>
          <w:rFonts w:ascii="Arial" w:cs="Arial" w:eastAsia="Arial" w:hAnsi="Arial"/>
          <w:sz w:val="17"/>
          <w:szCs w:val="17"/>
          <w:color w:val="auto"/>
        </w:rPr>
      </w:pPr>
    </w:p>
    <w:p>
      <w:pPr>
        <w:ind w:left="452" w:right="340" w:hanging="452"/>
        <w:spacing w:after="0" w:line="277"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74" w:right="29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should understand that the foregoing, as well as other risk factors discussed in this document and in Part I, Item 1A of our Annual Report on Form 10-K for the fiscal year ended September 30, 2017,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20" w:type="dxa"/>
            <w:vAlign w:val="bottom"/>
            <w:vMerge w:val="restart"/>
          </w:tcPr>
          <w:p>
            <w:pPr>
              <w:ind w:left="410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2"/>
              </w:rPr>
              <w:t>(Unaudited)</w:t>
            </w:r>
          </w:p>
        </w:tc>
        <w:tc>
          <w:tcPr>
            <w:tcW w:w="2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35,713</w:t>
            </w:r>
          </w:p>
        </w:tc>
        <w:tc>
          <w:tcPr>
            <w:tcW w:w="22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700"/>
              <w:spacing w:after="0"/>
              <w:rPr>
                <w:sz w:val="20"/>
                <w:szCs w:val="20"/>
                <w:color w:val="auto"/>
              </w:rPr>
            </w:pPr>
            <w:r>
              <w:rPr>
                <w:rFonts w:ascii="Arial" w:cs="Arial" w:eastAsia="Arial" w:hAnsi="Arial"/>
                <w:sz w:val="18"/>
                <w:szCs w:val="18"/>
                <w:color w:val="auto"/>
              </w:rPr>
              <w:t>Trade, net of allowance of $608 and $650,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127,905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Retainage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17,590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226,625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29,515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384,987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111,608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29,918</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139,428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173,637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184,519</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 100,000,000 shares authorized; 22,049,529 issued and 21,259,178 and 21,336,975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Treasury stock, at cost, 790,351 and 712,554 shares,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(8,108)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196,835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208,070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236,704</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384,987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171,837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29,647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IES Holdings,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21,182,268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21,299,098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21,440,570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21,574,155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337,073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328,844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59,736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33,584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21,189,641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21,292,523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21,189,641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21,560,678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(27,226)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Bad debt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 amortization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33,584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14,945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and estimated earnings in excess of billings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(10,081)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costs and estimated earnings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11,159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acquisitions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(11,663)</w:t>
            </w: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(2,408)</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Contingent consideration payment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(1,328)</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28,290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35,713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20,845</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1,456</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IES Holdings, Inc. is a holding company that owns and manages operating subsidiaries in business activities across a variety of end markets. Our operations are currently organized into four principal business segments, based upon the nature of our current services:</w:t>
      </w:r>
    </w:p>
    <w:p>
      <w:pPr>
        <w:spacing w:after="0" w:line="76" w:lineRule="exact"/>
        <w:rPr>
          <w:sz w:val="20"/>
          <w:szCs w:val="20"/>
          <w:color w:val="auto"/>
        </w:rPr>
      </w:pPr>
    </w:p>
    <w:p>
      <w:pPr>
        <w:ind w:left="900" w:right="2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Commercial &amp; Industrial</w:t>
      </w:r>
      <w:r>
        <w:rPr>
          <w:rFonts w:ascii="Arial" w:cs="Arial" w:eastAsia="Arial" w:hAnsi="Arial"/>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 Nationwide provider of technology infrastructure products and services to large corporations and independent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Regional provider of electrical installation services for single-family housing and multi-family apartment complexes.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wholly-owned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its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2017.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our acquisitions of STR Mechanical, LLC (“STR Mechanical”)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require us to purchase, part or all of the remaining 20 percent interest in the applicable entity. The purchase price is variable, based on</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multiple of earnings as defined in the operating agreements. Therefore, this noncontrolling interest is carried at the greater of the balance determined under ASC 810 and the redemption amounts assuming the noncontrolling interests were redeemable at the balance sheet date. If all of these interests had been redeemable at March 31, 2018, the redemption amount would have been $1,995. See Note 13, “Business Combinations” for further discussion. For the six months ended March 31, 2018, we recorded an increase to retained earnings of $44 to decrease the carrying amount of the noncontrolling interest in STR to the balance determined under ASC 810, as if it had been redeemable at March 31, 2018, the redemption amount would have been less than the carrying amount.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December 2017, the Tax Cuts and Jobs Act (the “Act”) was enacted, which, among other changes, reduced the federal statutory corporate tax rate from 35% to 21%, effective January 1, 2018. As a result of this change, the Company’s statutory tax rate for fiscal 2018 will be a blended rate of 24.53% and will decrease to 21% thereafter. For the six months ended March 31, 2018, our effective tax rate differed from the statutory tax rate as a result of a preliminary charge of $31,487 to re-measure our deferred tax assets and liabilities to reflect the estimated impact of the new statutory tax rate. This preliminary charge is subject to completion of our analysis of the impact of the Act, including as it relates to future deductions for executive compensation expense, as well as the effect of changes in the utilization of net deferred tax assets that reverse in fiscal 2018 as compared to subsequent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a comprehensive new revenue recognition standard which will supersede previous existing revenue recognition guidance. The standard creates a five-step model for revenue recognition that requires companies to exercise judgment when considering contract terms and relevant facts and circumstances. The standard also requires expanded disclosures surrounding revenue recognition. The effective date will be the first quarter of our fiscal year ended September 30, 2019. The standard allows for either full retrospective or modified retrospective adoption, and we plan to use the modified retrospective basis on the adoption date. We are continuing to evaluate the impact of the adoption of this standard on our Condensed Consolidated Financial Statements. In particular, we continue to analyze areas including contract termination provisions, customer furnished materials, accounting for change orders, and accounting for commissions paid. We expect that we will continue to recognize revenues for most of our fixed-price contracts over time, as services are performed, although we have identified a limited number of arrangements where we currently recognize revenue over time, but will no longer do so under the new standard. We are also continuing to assess the necessary changes in processes and controls to meet the disclosure requirements of the new standard.</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February 2016, the FASB issued ASU No. 2016-02, Leases (“ASU 2016-02”). Under ASU 2016-02, lessees will need to recognize a right-of-use asset and a lease liability for all of their leases, other than those that meet the definition of a short-term lease. For income statement purposes, leases must be classified as either operating or finance. Operating leases will result in straight-line expense, similar to current operating leases, while finance leases will result in a front-loaded pattern, similar to current capital leases. ASU 2016-02 becomes effective for the fiscal year ended September 30, 2020. We are currently evaluating the impact it will have on our Condensed Consolidated Financial Statements.</w:t>
      </w:r>
    </w:p>
    <w:p>
      <w:pPr>
        <w:spacing w:after="0" w:line="17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January 2017, the FASB issued ASU No. 2017-01, Business Combinations (“ASU 2017-01”). This standard clarifies the definition of a business to assist entities with evaluation of whether transactions should be accounted for as acquisitions or disposals of assets or businesses. The new standard is effective for interim and annual reporting periods beginning after December 15, 2017. The prospective transition method will be required for this new guidance.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May 2017, the FASB issued ASU No. 2017-09, Compensation—Stock Compensation (“ASU 2017-09”), to reduce the diversity in practice and the cost and complexity when changing the terms or conditions of a share-based payment award. This update is effective for interim and annual financial reporting periods beginning after December 15, 2017, although early adoption is permitted. The prospective transition method will be required for this new guidance.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ASU 2017-01 or ASU 2017-09 to have a material effect on our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CONTROLLING SHAREHOLDER</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March 31, 2018, Tontine Capital Partners, L.P., together with its affiliates (collectively, “Tontine”), was the Company’s controlling shareholder, owning approximately 58% of the Company’s outstanding common stock according to a Form 4 filed with the SEC by Tontine on January 4, 2018. Accordingly, Tontine has the ability to exercise significant control over our affairs, including the election of directors and most actions requiring the approval of shareholders.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While Tontine is subject to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Jeffrey L. Gendell was appointed as a member of the Board of Directors and as non-executive Chairman of the Board in November 2016. He is the managing member and founder of Tontine, and the brother of David B. Gendell, who has served as a member of the Board of Directors since February 2012 and as Interim Director of Operations of the Company since November 2017, and who previously served as non-executive Vice Chairman of the Board from November 2016 to November 2017 and as non-executive Chairman of the Board from January 2015 to November 2016. David B. Gendell was an employee of Tontine from 2004 until December 31, 2017.</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At March 31, 2018, and September 30, 2017, our long-term debt of $29,570 and $29,434, respectively, primarily related to amounts drawn on our revolving credit facility. Our weighted-average annual interest rate on these borrowings was 3.53% at March 31, 2018, and 3.04% at September 30, 2017. At March 31, 2018, we also had $6,408 in outstanding letters of credit and total availability of $43,738 under this facility without violating our financial covenants.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changes to the financial or other covenants disclosed in Item 7 of our Annual Report on Form 10-K for the year ended September 30, 2017. The Company was in compliance with the financial covenants as of March 31, 2018.</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March 31, 2018, the carrying value of amounts outstanding on our revolving credit facility approximated fair value, as debt incurs interest at a variable rate. The fair value of the debt is classified as a Level 2 measurement.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 SHARE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the components of basic and diluted earnings per share for the three and six months ended March 31, 2018, and 2017:</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attributable to common shareholders of IES Holdings, Inc.</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noncontrolling interest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attributable to restricted shareholders of IES Holdings, Inc.</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IES Holdings, Inc.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21,182,268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21,299,098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258,302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275,057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and common equivalent shares outstanding — diluted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21,440,570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21,574,155</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IES Holdings, Inc.:</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(loss) attributable to common shareholders of IES Holdings, Inc.</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(27,304)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noncontrolling interest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 attributable to restricted shareholders of IES Holdings, Inc.</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IES Holdings, Inc.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21,189,641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21,292,523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268,155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and common equivalent shares</w:t>
            </w:r>
          </w:p>
        </w:tc>
        <w:tc>
          <w:tcPr>
            <w:tcW w:w="1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outstanding — diluted</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21,189,641</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21,560,678</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When an entity has a net loss, it is prohibited from including potential common shares in the computation of diluted per share amounts. Accordingly, we have utilized basic shares outstanding to calculate both basic and diluted loss per share for the six months ended March 31, 2018. For the three months ended March 31, 2018, and the three and six months ended March 31, 2017, the average price of our common shares exceeded the exercise price of all of our outstanding options; therefore, all of our outstanding stock options were included in the computation of fully diluted earnings per share.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OPERATING SEGMENTS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manage and measure performance of our business in four distinct operating segments: Commercial &amp; Industrial, Communications, Infrastructure Solutions and Residential.</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and six months ended March 31, 2018, and 2017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rPr>
              <w:t>&amp;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89"/>
              </w:rPr>
              <w:t>Communications</w:t>
            </w:r>
          </w:p>
        </w:tc>
        <w:tc>
          <w:tcPr>
            <w:tcW w:w="1200" w:type="dxa"/>
            <w:vAlign w:val="bottom"/>
            <w:gridSpan w:val="3"/>
            <w:vMerge w:val="continue"/>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12"/>
                <w:szCs w:val="12"/>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Solutions</w:t>
            </w: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65,978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205,677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40,892</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18,842</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53,035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171,837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12,943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4,637</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9,688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3,256</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(2,272)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413</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72,559</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100,884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47,695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$103,747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384,987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rPr>
              <w:t>&amp;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89"/>
              </w:rPr>
              <w:t>Communications</w:t>
            </w:r>
          </w:p>
        </w:tc>
        <w:tc>
          <w:tcPr>
            <w:tcW w:w="1200" w:type="dxa"/>
            <w:vAlign w:val="bottom"/>
            <w:gridSpan w:val="3"/>
            <w:vMerge w:val="continue"/>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12"/>
                <w:szCs w:val="12"/>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Solutions</w:t>
            </w: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67,923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services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52,378</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14,515</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52,351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171,848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4,222</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10,932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(2,585)</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4,643</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54,485</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107,535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50,743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407,974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rPr>
              <w:t>Six Months Ended March 31, 2018</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rPr>
              <w:t>&amp;</w:t>
            </w:r>
          </w:p>
        </w:tc>
        <w:tc>
          <w:tcPr>
            <w:tcW w:w="32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Communications</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Industrial</w:t>
            </w: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Solutions</w:t>
            </w:r>
          </w:p>
        </w:tc>
        <w:tc>
          <w:tcPr>
            <w:tcW w:w="10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118,591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$135,132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403,977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107,227</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35,842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107,773</w:t>
            </w:r>
          </w:p>
        </w:tc>
        <w:tc>
          <w:tcPr>
            <w:tcW w:w="16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337,073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11,364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27,359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12,644</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12,285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20,054</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5,559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72,559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60,102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100,884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47,695</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$103,747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384,987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rPr>
              <w:t>Six Months Ended March 31, 2017</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rPr>
              <w:t>&amp;</w:t>
            </w:r>
          </w:p>
        </w:tc>
        <w:tc>
          <w:tcPr>
            <w:tcW w:w="32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Communications</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Industrial</w:t>
            </w: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Solutions</w:t>
            </w:r>
          </w:p>
        </w:tc>
        <w:tc>
          <w:tcPr>
            <w:tcW w:w="100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2"/>
              </w:rPr>
              <w:t>$ 109,228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37,270</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$134,365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395,840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100,454</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97,710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27,617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103,063</w:t>
            </w:r>
          </w:p>
        </w:tc>
        <w:tc>
          <w:tcPr>
            <w:tcW w:w="16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328,844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31,302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9,585</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21,485</w:t>
            </w: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644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1,560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54,485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68,475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107,535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50,743</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$126,736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407,974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1,059,671 shares were available for issuance at March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79,817 shares of our common stock during the three and six months ended March 31, 2018, in open market transactions at an average price of $ 15.40 per share. We made no purchases of stock pursuant to this plan during the three and six months ended March 31, 2017.</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six months ended March 31, 2018, we repurchased 79,817 shares of common stock on the open market pursuant to the repurchase program. During the six months ended March 31, 2018, we issued 520 unrestricted shares of common stock from treasury stock to members of our Board of Directors as part of their overall compensation and 1,500 unrestricted shares of common stock to satisfy the exercise of outstanding options for employees.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125"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six months ended March 31, 2017, we repurchased 683 shares of common stock from our employees to satisfy minimum tax withholding requirements upon the vesting of restricted stock issued under the Equity Incentive Plan. During the six months ended March 31, 2017, we issued 1,287 unrestricted shares of common stock from treasury stock to members of our Board of Directors as part of their overall compensation and 14,750 unrestricted shares to satisfy the exercise of outstanding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three months ended March 31, 2018, and 2017, we recognized $131 and $136, respectively, in compensation expense related to our restricted stock awards. During the six months ended March 31, 2018, and 2017, we recognized $245 and $273, respectively, in compensation expense related to our restricted stock awards. At March 31, 2018, the unamortized compensation cost related to outstanding unvested restricted stock was $11.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Cash Units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Performance based phantom cash units (“PPCUs”) are a contractual right to a cash payment of $20 per PPCU. The PPCUs will generally become vested, if at all, upon achievement of certain specified performance objectives. During the three months ended March 31, 2018, and 2017, we recognized compensation expense of zero and $58, respectively, related to these units. During the six months ended March 31, 2018, and 2017, we recognized compensation expense of zero and $193, respectively, related to these units.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Phantom stock units (“PSUs”) are primarily granted to the members of the Board of Directors as part of their overall compensation. These PSUs are paid via unrestricted stock grants to each director upon their departure from the Board of Directors. We record compensation expense for the full value of the grant on the date of grant. During the three months ended March 31, 2018, and 2017, we recognized $49 and $40, respectively, in compensation expense related to these grants. During the six months ended March 31, 2018, and 2017, we recognized $91 and $84, respectively, in compensation expense related to these grants.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performance based phantom stock unit (a “PPSU”) is a contractual right to receive one share of the Company’s common stock upon the achievement of certain specified performance objectives and continued performance of services. At March 31, 2018, the Company had outstanding an aggregate of 399,027 three-year PPSUs. The vesting of these awards is subject to the achievement of specified levels of cumulative net income before taxes or specified stock price levels and continued performance of services through mid-December 2018. At March 31, 2018, redemption of a portion of the awards is deemed probable. During the three and six months ended March 31, 2018, we recognized a benefit to compensation expense of $652 and $449, respectively, related to these grants. This benefit is a result of a reduction in the estimated number of units deemed probable of vesting, based on the projected achievement of specified performance objectives. During the three and six months ended March 31, 2017, we recognized compensation expense of $225 and $528, respectively, related to these grants.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SECURITIES AND EQUITY INVESTMENTS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Additionally, we have a cost method investment in EnerTech Capital Partners II L.P. (“EnerTech”). We estimate the fair value of our investment in EnerTech (Level 3) using cash flow projections and market multiples of the underlying non-public companies.</w:t>
      </w:r>
    </w:p>
    <w:p>
      <w:pPr>
        <w:sectPr>
          <w:pgSz w:w="11900" w:h="16838" w:orient="portrait"/>
          <w:cols w:equalWidth="0" w:num="1">
            <w:col w:w="11400"/>
          </w:cols>
          <w:pgMar w:left="240" w:top="27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Investment in EnerTech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reconciliation of the carrying value to the fair value of the investment in EnerTech as of March 31, 2018, and September 30, 2017:</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5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Unrealized gains</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20"/>
                <w:szCs w:val="20"/>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728</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20" w:type="dxa"/>
            <w:vAlign w:val="bottom"/>
            <w:vMerge w:val="restart"/>
          </w:tcPr>
          <w:p>
            <w:pPr>
              <w:jc w:val="right"/>
              <w:ind w:right="1373"/>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At each reporting date, the Company performs an evaluation of impairment for securities to determine if any unrealized losses are other-than temporary. Based on the results of this evaluation, we believe the unrealized gain at March 31, 2018, and September 30, 2017, indicated our investment was not impaired.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offers employees the opportunity to participate in its 401(k) savings plans. During the three months ended March 31, 2018 and 2017, we recognized $485 and $315, respectively, in matching expense. During the six months ended March 31, 2018 and 2017, we recognized $914 and $459, respectively, in matching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$775 recorded as of March 31, 2018, and $815 as of September 30, 2017, related to such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Accounting</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7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At March 31, 2018,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ind w:right="300"/>
        <w:spacing w:after="0" w:line="261" w:lineRule="auto"/>
        <w:rPr>
          <w:sz w:val="20"/>
          <w:szCs w:val="20"/>
          <w:color w:val="auto"/>
        </w:rPr>
      </w:pPr>
      <w:r>
        <w:rPr>
          <w:rFonts w:ascii="Arial" w:cs="Arial" w:eastAsia="Arial" w:hAnsi="Arial"/>
          <w:sz w:val="18"/>
          <w:szCs w:val="18"/>
          <w:color w:val="auto"/>
        </w:rPr>
        <w:t>Financial assets and liabilities measured at fair value on a recurring basis as of March 31, 2018, and September 30, 2017, are summarized in the following tables by the type of inputs applicable to the fair value measurements:</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0"/>
                <w:szCs w:val="10"/>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Quoted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Prices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gridSpan w:val="4"/>
          </w:tcPr>
          <w:p>
            <w:pPr>
              <w:ind w:left="2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2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$ 686</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(572)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(353</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center"/>
              <w:ind w:left="358"/>
              <w:spacing w:after="0"/>
              <w:rPr>
                <w:sz w:val="20"/>
                <w:szCs w:val="20"/>
                <w:color w:val="auto"/>
              </w:rPr>
            </w:pPr>
            <w:r>
              <w:rPr>
                <w:rFonts w:ascii="Arial" w:cs="Arial" w:eastAsia="Arial" w:hAnsi="Arial"/>
                <w:sz w:val="18"/>
                <w:szCs w:val="18"/>
                <w:color w:val="auto"/>
                <w:w w:val="76"/>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0" w:type="dxa"/>
            <w:vAlign w:val="bottom"/>
            <w:vMerge w:val="restart"/>
          </w:tcPr>
          <w:p>
            <w:pPr>
              <w:jc w:val="right"/>
              <w:ind w:right="990"/>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9" w:name="page20"/>
    <w:bookmarkEnd w:id="19"/>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IES HOLDINGS,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3"/>
              </w:rPr>
              <w:t>September 30,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0"/>
                <w:szCs w:val="10"/>
                <w:color w:val="auto"/>
              </w:rPr>
            </w:pPr>
          </w:p>
        </w:tc>
        <w:tc>
          <w:tcPr>
            <w:tcW w:w="1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9"/>
              </w:rPr>
              <w:t>Quoted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11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Prices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460" w:type="dxa"/>
            <w:vAlign w:val="bottom"/>
            <w:gridSpan w:val="4"/>
          </w:tcPr>
          <w:p>
            <w:pPr>
              <w:ind w:left="3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$ 641</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(529)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(674</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center"/>
              <w:ind w:left="358"/>
              <w:spacing w:after="0"/>
              <w:rPr>
                <w:sz w:val="20"/>
                <w:szCs w:val="20"/>
                <w:color w:val="auto"/>
              </w:rPr>
            </w:pPr>
            <w:r>
              <w:rPr>
                <w:rFonts w:ascii="Arial" w:cs="Arial" w:eastAsia="Arial" w:hAnsi="Arial"/>
                <w:sz w:val="18"/>
                <w:szCs w:val="18"/>
                <w:color w:val="auto"/>
                <w:w w:val="76"/>
              </w:rPr>
              <w:t>(786)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fiscal years 2016 and 2017, we entered into contingent consideration arrangements related to certain acquisitions. Please see Note 13, “Business Combinations” for further discussion. At March 31, 2018, we estimated the fair value of these contingent consideration liabilities at $467. The table below presents a reconciliation of the fair value of these obligations, which used significant unobservable inputs (Level 3).</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Contingent</w:t>
            </w:r>
          </w:p>
        </w:tc>
      </w:tr>
      <w:tr>
        <w:trPr>
          <w:trHeight w:val="149"/>
        </w:trPr>
        <w:tc>
          <w:tcPr>
            <w:tcW w:w="676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Consideration</w:t>
            </w: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Agreements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Adjustments to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Fair Value at March 31, 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40" w:type="dxa"/>
            <w:vAlign w:val="bottom"/>
            <w:gridSpan w:val="3"/>
          </w:tcPr>
          <w:p>
            <w:pPr>
              <w:ind w:left="2600"/>
              <w:spacing w:after="0"/>
              <w:rPr>
                <w:sz w:val="20"/>
                <w:szCs w:val="20"/>
                <w:color w:val="auto"/>
              </w:rPr>
            </w:pPr>
            <w:r>
              <w:rPr>
                <w:rFonts w:ascii="Arial" w:cs="Arial" w:eastAsia="Arial" w:hAnsi="Arial"/>
                <w:sz w:val="14"/>
                <w:szCs w:val="14"/>
                <w:b w:val="1"/>
                <w:bCs w:val="1"/>
                <w:color w:val="auto"/>
                <w:w w:val="95"/>
              </w:rPr>
              <w:t>March 31,</w:t>
            </w:r>
          </w:p>
        </w:tc>
        <w:tc>
          <w:tcPr>
            <w:tcW w:w="154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20" w:type="dxa"/>
            <w:vAlign w:val="bottom"/>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Work in process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Parts and supplies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7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17,590</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progression of goodwill by segment for the six months ended March 31, 2018:</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2"/>
              </w:rPr>
              <w:t>Commercial</w:t>
            </w:r>
          </w:p>
        </w:tc>
        <w:tc>
          <w:tcPr>
            <w:tcW w:w="52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Infrastructure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&amp;</w:t>
            </w: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Industrial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at September 30, 2017</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$46,693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Adjustments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Goodwill at March 31, 2018</w:t>
            </w: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30,931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46,738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270" w:right="5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7580" w:type="dxa"/>
            <w:vAlign w:val="bottom"/>
          </w:tcPr>
          <w:p>
            <w:pPr>
              <w:spacing w:after="0"/>
              <w:rPr>
                <w:sz w:val="8"/>
                <w:szCs w:val="8"/>
                <w:color w:val="auto"/>
              </w:rPr>
            </w:pPr>
          </w:p>
        </w:tc>
        <w:tc>
          <w:tcPr>
            <w:tcW w:w="6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Estimated</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Lives (in</w:t>
            </w:r>
          </w:p>
        </w:tc>
        <w:tc>
          <w:tcPr>
            <w:tcW w:w="6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Years)</w:t>
            </w:r>
          </w:p>
        </w:tc>
        <w:tc>
          <w:tcPr>
            <w:tcW w:w="2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$ 4,643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Technical library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24,995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Backlog</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41,083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September 30, 2017</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Estimated</w:t>
            </w: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Lives</w:t>
            </w: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$ 4,643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Technical library</w:t>
            </w:r>
          </w:p>
        </w:tc>
        <w:tc>
          <w:tcPr>
            <w:tcW w:w="1020" w:type="dxa"/>
            <w:vAlign w:val="bottom"/>
            <w:gridSpan w:val="4"/>
          </w:tcPr>
          <w:p>
            <w:pPr>
              <w:jc w:val="right"/>
              <w:ind w:right="340"/>
              <w:spacing w:after="0"/>
              <w:rPr>
                <w:sz w:val="20"/>
                <w:szCs w:val="20"/>
                <w:color w:val="auto"/>
              </w:rPr>
            </w:pPr>
            <w:r>
              <w:rPr>
                <w:rFonts w:ascii="Arial" w:cs="Arial" w:eastAsia="Arial" w:hAnsi="Arial"/>
                <w:sz w:val="18"/>
                <w:szCs w:val="18"/>
                <w:color w:val="auto"/>
              </w:rPr>
              <w:t>20</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6-15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4,741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26,374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Backlog</w:t>
            </w:r>
          </w:p>
        </w:tc>
        <w:tc>
          <w:tcPr>
            <w:tcW w:w="1020" w:type="dxa"/>
            <w:vAlign w:val="bottom"/>
            <w:gridSpan w:val="4"/>
          </w:tcPr>
          <w:p>
            <w:pPr>
              <w:jc w:val="right"/>
              <w:ind w:right="340"/>
              <w:spacing w:after="0"/>
              <w:rPr>
                <w:sz w:val="20"/>
                <w:szCs w:val="20"/>
                <w:color w:val="auto"/>
              </w:rPr>
            </w:pPr>
            <w:r>
              <w:rPr>
                <w:rFonts w:ascii="Arial" w:cs="Arial" w:eastAsia="Arial" w:hAnsi="Arial"/>
                <w:sz w:val="18"/>
                <w:szCs w:val="18"/>
                <w:color w:val="auto"/>
              </w:rPr>
              <w:t>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2,412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40,969</w:t>
            </w:r>
          </w:p>
        </w:tc>
        <w:tc>
          <w:tcPr>
            <w:tcW w:w="20" w:type="dxa"/>
            <w:vAlign w:val="bottom"/>
            <w:tcBorders>
              <w:bottom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9,556</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Capstone Construction Claims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2003 to 2005, two of our former subsidiaries performed HVAC and electrical work under contract with Capstone Building Corporation (“Capstone”) on a university student housing project in Texas. In 2005, our subsidiaries filed for arbitration against Capstone, seeking payment for work performed, change orders and other impacts. The parties settled those claims, and the release included a waiver of warranties associated with any of the HVAC work. Several years later, the subsidiaries discontinued operations, and the Company sold their assets.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October 24, 2013, Capstone filed a petition in the 12th Judicial District Court of Walker County, Texas against these subsidiaries, among other subcontractors, seeking contribution, defense, indemnity and damages for breach of contract in connection with alleged construction defect claims brought against Capstone by the owner of the student housing project. The owner claimed $10,406 in damages, plus attorneys’ fees and costs against Capstone, which Capstone sought to recover from the subcontractors. The claims against the Company were based on alleged defects in the mechanical design, construction and installation of the HVAC and electrical systems performed by our former subsidiaries.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Following mediation in June and November 2017, the Company reached an agreement in late December 2017 to settle all claims brought against it. In the six months ended March 31, 2018, a mutual settlement and release agreement was executed by the plaintiffs and the Company resulting in a charge and payment by the Company of $200.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USAMRIID Claim</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On December 6, 2017, IES Commercial, Inc. filed suit in the United States District Court of Maryland in the matter </w:t>
      </w:r>
      <w:r>
        <w:rPr>
          <w:rFonts w:ascii="Arial" w:cs="Arial" w:eastAsia="Arial" w:hAnsi="Arial"/>
          <w:sz w:val="16"/>
          <w:szCs w:val="16"/>
          <w:i w:val="1"/>
          <w:iCs w:val="1"/>
          <w:color w:val="auto"/>
        </w:rPr>
        <w:t>USA for the use and benefit of IES</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Inc. and IES Commercial, Inc. v. Manhattan Construction Co., Torcon, Inc., Manhattan Torcon A Joint Venture, Federal Ins. Co., Fidelity &amp; Deposit Co. of Maryland, Zurich American Ins. Co., and Travelers Casualty &amp; Surety Co</w:t>
      </w:r>
      <w:r>
        <w:rPr>
          <w:rFonts w:ascii="Arial" w:cs="Arial" w:eastAsia="Arial" w:hAnsi="Arial"/>
          <w:sz w:val="16"/>
          <w:szCs w:val="16"/>
          <w:color w:val="auto"/>
        </w:rPr>
        <w:t>. This suit relates to a large project which has been ongoing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2009 and was scheduled for completion in early 2013. As the Company has previously disclosed, the Company entered into a subcontract in 2009 with Manhattan Torcon A Joint Venture to perform subcontracting services at the U.S. Army Medical Research Institute for Infectious Diseases (“USAMRIID”) replacement facility project for a contract value of approximately $61,146, subject to additions or deductions. Because of delays on the project and additional work the Company performed, the Company believes it is owed approximately $21,000 for claims incurred as of August 31, 2017, and an additional approximate $4,500 for claims the Company expects to incur from August 31, 2017, through completion of the project. On January 22, 2018, the defendants in this matter filed a motion to dismiss the suit, and on February 2, 2018, we filed our response. We are awaiting a decision on this matter.</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Given the uncertainty litigation poses, the Company has not recorded any recovery in connection with this claim. There can be no assurance that the Company will prevail in this litigation matter or that, if the Company does prevail, it will receive an amount substantially similar to the amount sought or not receive a significantly lower award.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March 31, 2018, and September 30, 2017, we had $6,816 and $6,204, respectively, accrued for self-insurance liabilities. We are also subject to construction defect liabilities, primarily within our Residential segment. As of March 31, 2018, and September 30, 2017, we had $230 and $218,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2018, and September 30, 2017, $5,900 and $5,985, respectively, of our outstanding letters of credit was utilized to collateralize our insurance program.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March 31, 2018, the estimated cost to complete our bonded projects was approximately $60,114.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reasonable cause to effect payment under a letter of credit, we would be required to reimburse our creditor for the letter of credit. At both March 31, 2018, and September 30, 2017, $508 of our outstanding letters of credit were to collateralize our vendors.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IES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2018, we had no such commitments.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completed three acquisitions in the year ended September 30, 2017, for a total aggregate consideration of $20,979. See Note 18, “Business Combinations and Divestitures” in our Annual Report on Form 10-K for the year ended September 30, 2017, for further information.</w:t>
      </w:r>
    </w:p>
    <w:p>
      <w:pPr>
        <w:spacing w:after="0" w:line="52" w:lineRule="exact"/>
        <w:rPr>
          <w:sz w:val="20"/>
          <w:szCs w:val="20"/>
          <w:color w:val="auto"/>
        </w:rPr>
      </w:pPr>
    </w:p>
    <w:p>
      <w:pPr>
        <w:ind w:left="900" w:right="3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Freeman Enclosure Systems, LLC – We acquired 100% of the membership interests and associated real estate of Freeman and its affiliate Strategic Edge LLC on March 16, 2017. Strategic Edge LLC was subsequently merged into Freeman, with Freeman as the surviving entity. Freeman is included in our Infrastructure Solutions segment. Freeman’s ability to manufacture custom generator enclosures has expanded our solutions offering.</w:t>
      </w:r>
    </w:p>
    <w:p>
      <w:pPr>
        <w:spacing w:after="0" w:line="92"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Technical Services II, LLC – STR Mechanical, our 80% owned subsidiary which is consolidated, acquired all of the membership interests of Technical Services, a Chesapeake, Virginia-based provider of mechanical maintenance services, including commercial heating, ventilation and air conditioning, food service equipment, electrical and plumbing services, on June 15, 2017. Technical Services operates as a subsidiary of STR Mechanical within the Company’s Commercial &amp; Industrial segment. The acquisition of Technical Services has expanded our geographic reach and diversified our customer base for mechanical maintenance services.</w:t>
      </w:r>
    </w:p>
    <w:p>
      <w:pPr>
        <w:spacing w:after="0" w:line="93" w:lineRule="exact"/>
        <w:rPr>
          <w:rFonts w:ascii="Arial" w:cs="Arial" w:eastAsia="Arial" w:hAnsi="Arial"/>
          <w:sz w:val="18"/>
          <w:szCs w:val="18"/>
          <w:color w:val="auto"/>
        </w:rPr>
      </w:pPr>
    </w:p>
    <w:p>
      <w:pPr>
        <w:ind w:left="900" w:right="18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NEXT Electric, LLC – On July 14, 2017, the Company acquired 80% of the membership interests of NEXT Electric, a Milwaukee, Wisconsin-based electrical contractor specializing in the design, installation and maintenance of electrical systems for commercial, industrial, healthcare, water treatment and education end markets. NEXT Electric operates within the Company’s Commercial &amp; Industrial segment.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purchase consideration for the Freeman and Technical Services acquisitions included contingent consideration payments based on the acquired company’s earnings, as defined in the applicable purchase and sale agreement. The fair value of the total contingent consideration liability for all acquisitions, including Freeman and Technical Services, was estimated at $467 at March 31, 2018, and is included in other non-current liabilities on our Condensed Consolidated Balance Sheets.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accounted for the transactions under the acquisition method of accounting, which requires recording assets and liabilities at fair value (Level 3). The valuations of Technical Services and NEXT Electric, which are derived from estimated fair value assessments and assumptions used by management, are preliminary pending finalization of certain tangible and intangible asset valuations and assessment of deferred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unaudited supplemental pro forma results of operations, calculated as if each acquisition occurred as of October 1 of the fiscal year prior to consummation, for the three and six months ended March 31, 2018, and 2017, are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422"/>
              <w:spacing w:after="0" w:line="149" w:lineRule="exact"/>
              <w:rPr>
                <w:sz w:val="20"/>
                <w:szCs w:val="20"/>
                <w:color w:val="auto"/>
              </w:rPr>
            </w:pPr>
            <w:r>
              <w:rPr>
                <w:rFonts w:ascii="Arial" w:cs="Arial" w:eastAsia="Arial" w:hAnsi="Arial"/>
                <w:sz w:val="14"/>
                <w:szCs w:val="14"/>
                <w:b w:val="1"/>
                <w:bCs w:val="1"/>
                <w:color w:val="auto"/>
                <w:w w:val="95"/>
              </w:rPr>
              <w:t>March 31,</w:t>
            </w: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205,677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9"/>
              </w:rPr>
              <w:t>Net income attributable to IES Holdings, Inc.</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520" w:type="dxa"/>
            <w:vAlign w:val="bottom"/>
          </w:tcPr>
          <w:p>
            <w:pPr>
              <w:spacing w:after="0"/>
              <w:rPr>
                <w:sz w:val="24"/>
                <w:szCs w:val="24"/>
                <w:color w:val="auto"/>
              </w:rPr>
            </w:pPr>
          </w:p>
        </w:tc>
        <w:tc>
          <w:tcPr>
            <w:tcW w:w="2380" w:type="dxa"/>
            <w:vAlign w:val="bottom"/>
          </w:tcPr>
          <w:p>
            <w:pPr>
              <w:jc w:val="right"/>
              <w:ind w:right="185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IES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Unaudited</w:t>
      </w:r>
    </w:p>
    <w:p>
      <w:pPr>
        <w:jc w:val="center"/>
        <w:ind w:left="5800"/>
        <w:spacing w:after="0" w:line="226" w:lineRule="auto"/>
        <w:rPr>
          <w:sz w:val="20"/>
          <w:szCs w:val="20"/>
          <w:color w:val="auto"/>
        </w:rPr>
      </w:pPr>
      <w:r>
        <w:rPr>
          <w:rFonts w:ascii="Arial" w:cs="Arial" w:eastAsia="Arial" w:hAnsi="Arial"/>
          <w:sz w:val="14"/>
          <w:szCs w:val="14"/>
          <w:b w:val="1"/>
          <w:bCs w:val="1"/>
          <w:color w:val="auto"/>
        </w:rPr>
        <w:t>Six Months Ended</w:t>
      </w:r>
    </w:p>
    <w:p>
      <w:pPr>
        <w:jc w:val="center"/>
        <w:ind w:left="5800"/>
        <w:spacing w:after="0" w:line="222" w:lineRule="auto"/>
        <w:rPr>
          <w:sz w:val="20"/>
          <w:szCs w:val="20"/>
          <w:color w:val="auto"/>
        </w:rPr>
      </w:pPr>
      <w:r>
        <w:rPr>
          <w:rFonts w:ascii="Arial" w:cs="Arial" w:eastAsia="Arial" w:hAnsi="Arial"/>
          <w:sz w:val="14"/>
          <w:szCs w:val="14"/>
          <w:b w:val="1"/>
          <w:bCs w:val="1"/>
          <w:color w:val="auto"/>
        </w:rPr>
        <w:t>March 31,</w:t>
      </w:r>
    </w:p>
    <w:tbl>
      <w:tblPr>
        <w:tblLayout w:type="fixed"/>
        <w:tblInd w:w="1840" w:type="dxa"/>
        <w:tblCellMar>
          <w:top w:w="0" w:type="dxa"/>
          <w:left w:w="0" w:type="dxa"/>
          <w:bottom w:w="0" w:type="dxa"/>
          <w:right w:w="0" w:type="dxa"/>
        </w:tblCellMar>
      </w:tblPr>
      <w:tr>
        <w:trPr>
          <w:trHeight w:val="155"/>
        </w:trPr>
        <w:tc>
          <w:tcPr>
            <w:tcW w:w="4780" w:type="dxa"/>
            <w:vAlign w:val="bottom"/>
          </w:tcPr>
          <w:p>
            <w:pPr>
              <w:spacing w:after="0"/>
              <w:rPr>
                <w:sz w:val="13"/>
                <w:szCs w:val="13"/>
                <w:color w:val="auto"/>
              </w:rPr>
            </w:pPr>
          </w:p>
        </w:tc>
        <w:tc>
          <w:tcPr>
            <w:tcW w:w="176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$403,977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410,371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income (loss) attributable to IES Holdings, Inc.</w:t>
            </w:r>
          </w:p>
        </w:tc>
        <w:tc>
          <w:tcPr>
            <w:tcW w:w="2020" w:type="dxa"/>
            <w:vAlign w:val="bottom"/>
            <w:gridSpan w:val="3"/>
          </w:tcPr>
          <w:p>
            <w:pPr>
              <w:jc w:val="right"/>
              <w:ind w:right="200"/>
              <w:spacing w:after="0"/>
              <w:rPr>
                <w:sz w:val="20"/>
                <w:szCs w:val="20"/>
                <w:color w:val="auto"/>
              </w:rPr>
            </w:pPr>
            <w:r>
              <w:rPr>
                <w:rFonts w:ascii="Arial" w:cs="Arial" w:eastAsia="Arial" w:hAnsi="Arial"/>
                <w:sz w:val="18"/>
                <w:szCs w:val="18"/>
                <w:color w:val="auto"/>
              </w:rPr>
              <w:t>$ (27,348)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4,212</w:t>
            </w:r>
          </w:p>
        </w:tc>
        <w:tc>
          <w:tcPr>
            <w:tcW w:w="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Azimuth Communications, Inc.</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6, 2018, the Company acquired all of the outstanding capital stock of Azimuth Communications, Inc. (“Azimuth”), a Portland, Oregon-based provider of design and integration services for structured cabling, physical security, access control systems, distributed antenna systems, wireless access, and audio visual systems. Azimuth will operate within our Communications segment.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70" w:right="35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following discussion and analysis should be read in conjunction with our Consolidated Financial Statements and the notes thereto, set forth in Item 8. </w:t>
      </w:r>
      <w:r>
        <w:rPr>
          <w:rFonts w:ascii="Arial" w:cs="Arial" w:eastAsia="Arial" w:hAnsi="Arial"/>
          <w:sz w:val="16"/>
          <w:szCs w:val="16"/>
          <w:i w:val="1"/>
          <w:iCs w:val="1"/>
          <w:color w:val="auto"/>
        </w:rPr>
        <w:t xml:space="preserve">“Financial Statements and Supplementary Data” </w:t>
      </w:r>
      <w:r>
        <w:rPr>
          <w:rFonts w:ascii="Arial" w:cs="Arial" w:eastAsia="Arial" w:hAnsi="Arial"/>
          <w:sz w:val="16"/>
          <w:szCs w:val="16"/>
          <w:color w:val="auto"/>
        </w:rPr>
        <w:t>as set forth in our Annual Report on Form 10-K for the year ended September 30, 2017, and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Financial Statements and notes thereto included in Part I of this Quarterly Report on Form 10-Q. The following discussion may contain forward looking statements. For additional information, see </w:t>
      </w:r>
      <w:r>
        <w:rPr>
          <w:rFonts w:ascii="Arial" w:cs="Arial" w:eastAsia="Arial" w:hAnsi="Arial"/>
          <w:sz w:val="16"/>
          <w:szCs w:val="16"/>
          <w:i w:val="1"/>
          <w:iCs w:val="1"/>
          <w:color w:val="auto"/>
        </w:rPr>
        <w:t>“Disclosure Regarding Forward Looking Statements”</w:t>
      </w:r>
      <w:r>
        <w:rPr>
          <w:rFonts w:ascii="Arial" w:cs="Arial" w:eastAsia="Arial" w:hAnsi="Arial"/>
          <w:sz w:val="16"/>
          <w:szCs w:val="16"/>
          <w:color w:val="auto"/>
        </w:rPr>
        <w:t xml:space="preserve"> in Part I of this Quarterly Report on Form 10-Q.</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Please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2017,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tables present selected historical results of operations of IES, as well as the results of acquired businesses from the dates acquired.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60" w:type="dxa"/>
            <w:vAlign w:val="bottom"/>
            <w:tcBorders>
              <w:bottom w:val="single" w:sz="8" w:color="auto"/>
            </w:tcBorders>
            <w:gridSpan w:val="8"/>
          </w:tcPr>
          <w:p>
            <w:pPr>
              <w:jc w:val="center"/>
              <w:ind w:left="356"/>
              <w:spacing w:after="0"/>
              <w:rPr>
                <w:sz w:val="20"/>
                <w:szCs w:val="20"/>
                <w:color w:val="auto"/>
              </w:rPr>
            </w:pPr>
            <w:r>
              <w:rPr>
                <w:rFonts w:ascii="Arial" w:cs="Arial" w:eastAsia="Arial" w:hAnsi="Arial"/>
                <w:sz w:val="14"/>
                <w:szCs w:val="14"/>
                <w:b w:val="1"/>
                <w:bCs w:val="1"/>
                <w:color w:val="auto"/>
                <w:w w:val="95"/>
              </w:rPr>
              <w:t>Three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2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$205,677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100.0%</w:t>
            </w:r>
          </w:p>
        </w:tc>
        <w:tc>
          <w:tcPr>
            <w:tcW w:w="11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$203,662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 of services</w:t>
            </w:r>
          </w:p>
        </w:tc>
        <w:tc>
          <w:tcPr>
            <w:tcW w:w="18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171,837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171,848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33,840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880" w:type="dxa"/>
            <w:vAlign w:val="bottom"/>
            <w:gridSpan w:val="3"/>
          </w:tcPr>
          <w:p>
            <w:pPr>
              <w:jc w:val="right"/>
              <w:ind w:right="320"/>
              <w:spacing w:after="0"/>
              <w:rPr>
                <w:sz w:val="20"/>
                <w:szCs w:val="20"/>
                <w:color w:val="auto"/>
              </w:rPr>
            </w:pPr>
            <w:r>
              <w:rPr>
                <w:rFonts w:ascii="Arial" w:cs="Arial" w:eastAsia="Arial" w:hAnsi="Arial"/>
                <w:sz w:val="18"/>
                <w:szCs w:val="18"/>
                <w:color w:val="auto"/>
              </w:rPr>
              <w:t>29,647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30,120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8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Interest and other (income) expense, net</w:t>
            </w:r>
          </w:p>
        </w:tc>
        <w:tc>
          <w:tcPr>
            <w:tcW w:w="18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320" w:type="dxa"/>
            <w:vAlign w:val="bottom"/>
            <w:vMerge w:val="continue"/>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32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1,425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682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vMerge w:val="continue"/>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2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2,221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revenues for the three months ended March 31, 2018, were $2.0 million higher than for the three months ended March 31, 2017, an increase of 1.0%, with increases at our Commercial &amp; Industrial and Infrastructure Solutions segments. Revenues at our three businesses acquired in fiscal 2017 increased by $15.1 million, partly offset by a $5.5 million decrease at two underperforming branches within our Commercial &amp; Industrial segment, which are in the process of winding down operations.</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Consolidated gross profit for the three months ended March 31, 2018, increased $2.0 million compared with the three months ended March 31, 2017. Our overall gross profit percentage increased to 16.5% during the three months ended March 31, 2018, as compared to 15.6% during the three months ended March 31, 2017. Gross profit as a percentage of revenue increased at all of our segments, with the exception of our Residential segment.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25" w:name="page26"/>
    <w:bookmarkEnd w:id="25"/>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months ended March 31, 2018, our selling, general and administrative expenses were $29.6 million, a decrease of $0.5 million, or 1.6%, over the three months ended March 31, 2017. Selling, general and administrative expense as a percent of revenue decreased from 14.8% for the three months ended March 31, 2017, to 14.4% for the three months ended March 31, 2018. This decrease was primarily attributable to lower variable compensation and incentive costs. Businesses acquired during fiscal 2017 contributed an additional $1.4 million for the three months March 31, 2018.</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4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900" w:type="dxa"/>
            <w:vAlign w:val="bottom"/>
            <w:gridSpan w:val="8"/>
          </w:tcPr>
          <w:p>
            <w:pPr>
              <w:jc w:val="right"/>
              <w:ind w:right="431"/>
              <w:spacing w:after="0" w:line="142" w:lineRule="exact"/>
              <w:rPr>
                <w:sz w:val="20"/>
                <w:szCs w:val="20"/>
                <w:color w:val="auto"/>
              </w:rPr>
            </w:pPr>
            <w:r>
              <w:rPr>
                <w:rFonts w:ascii="Arial" w:cs="Arial" w:eastAsia="Arial" w:hAnsi="Arial"/>
                <w:sz w:val="14"/>
                <w:szCs w:val="14"/>
                <w:b w:val="1"/>
                <w:bCs w:val="1"/>
                <w:color w:val="auto"/>
              </w:rPr>
              <w:t>(Dollars in thousands, Percentage of revenues)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0"/>
              </w:rPr>
              <w:t>$403,977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$395,840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of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337,073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328,844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66,996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59,736</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58,314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080" w:type="dxa"/>
            <w:vAlign w:val="bottom"/>
            <w:gridSpan w:val="2"/>
          </w:tcPr>
          <w:p>
            <w:pPr>
              <w:jc w:val="right"/>
              <w:ind w:right="248"/>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3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6,358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7,786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5"/>
                <w:szCs w:val="15"/>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33,584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3,311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(27,226)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 %</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0"/>
              </w:rPr>
              <w:t>$ (27,348)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 %</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4,408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2018 includes a charge of $31.5 million to re-measure our net deferred tax assets in connecti with the Tax Cuts and Jobs Act.</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Consolidated revenues for the six months ended March 31, 2018 were $8.1 million higher than for the six months ended March 31, 2017, an increase of 2.1%, with increases at all of our operating segments with the exception of our Communications segment. Revenues from our businesses acquired in fiscal 2017 contributed $27.3 million of the revenue increase for the six months ended March 31, 2018, largely offset by a $12.7 million decrease in revenue at the Denver and Roanoke branches of our Commercial &amp; Industrial segment, which are in the process of winding down operations.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overall gross profit percentage decreased to 16.6% during the six months ended March 31, 2018, as compared to 16.9% during the six months ended March 31, 2017. Businesses acquired in fiscal 2017, contributed an additional $3.4 million of gross profit for the six months ended March 31, 2018, as compared with the six months ended March 31, 2018. However, this increase was largely offset by a decrease in margin associated with higher materials costs in our Residential segment.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six months ended March 31, 2018, our selling, general and administrative expenses were $59.7 million, an increase of $1.4 million, or 2.4%, over the six months ended March 31, 2017. This increase was primarily attributable to expense incurred at businesses acquired during fiscal 2017, which contributed $3.0 million of the increase for the six months ended March 31, 2018. This increase was partly offset by a reduction in variable compensation expense.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&amp; Industrial</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4"/>
              </w:rPr>
              <w:t>Three Months Ended 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66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440" w:type="dxa"/>
            <w:vAlign w:val="bottom"/>
            <w:gridSpan w:val="8"/>
          </w:tcPr>
          <w:p>
            <w:pPr>
              <w:ind w:left="300"/>
              <w:spacing w:after="0" w:line="142" w:lineRule="exact"/>
              <w:rPr>
                <w:sz w:val="20"/>
                <w:szCs w:val="20"/>
                <w:color w:val="auto"/>
              </w:rPr>
            </w:pPr>
            <w:r>
              <w:rPr>
                <w:rFonts w:ascii="Arial" w:cs="Arial" w:eastAsia="Arial" w:hAnsi="Arial"/>
                <w:sz w:val="14"/>
                <w:szCs w:val="14"/>
                <w:b w:val="1"/>
                <w:bCs w:val="1"/>
                <w:color w:val="auto"/>
                <w:w w:val="99"/>
              </w:rPr>
              <w:t>(Dollars in thousands, Percentage of revenues)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w w:val="88"/>
              </w:rPr>
              <w:t>$65,589</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w w:val="88"/>
              </w:rPr>
              <w:t>$55,272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services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59,068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90.1%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52,604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6,521</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6,849</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10.4%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5,261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4"/>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3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in our Commercial &amp; Industrial segment increased $10.3 million, or 18.7%, during the three months ended March 31, 2018,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2017. The increase was largely driven by revenues at businesses acquired in the third and fourth quarters of fiscal 2017, which contributed an additional $10.5 million during the three months ended March 31, 2018, compared to the three months ended March 31, 2017. Additionally, increased bid volume at several of our branches also contributed to the overall increase in revenues. These increases were offset by a</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$5.5 million decrease relating to our Denver and Roanoke branches, which are in the process of winding down operations. The market for this segment’s services remains highly competitive.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three months ended March 31, 2018, increased by $3.9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2017. The increase is due to both the $2.5 million reduction in losses at our Denver and Roanoke branches, which are in the process of winding down operations, and $1.6 million of additional gross profit contributed by our fiscal 2017 acquisitions during the three months ended March 31, 2018, compared to the three months ended March 31, 2017.</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Commercial &amp; Industrial segment’s selling, general and administrative expenses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2018, increased $1.6 million, or 30.2%, compared to the three months ended March 31, 2017. Selling, general and administrative expenses as a percentage of revenues increased 0.9% to 10.4% during the three months ended March 31, 2018, compared to the three months ended March 31, 2017. The increase relates primarily to our fiscal 2017 acquisitions, which increased expense by $1.1 million.</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results of our Denver and Roanoke branches, which are in the process of winding down operations. These results are included in the consolidated Commercial &amp; Industrial results shown above: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60" w:type="dxa"/>
            <w:vAlign w:val="bottom"/>
            <w:gridSpan w:val="6"/>
          </w:tcPr>
          <w:p>
            <w:pPr>
              <w:ind w:left="7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gridSpan w:val="9"/>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3,949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Service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3,993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11,936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7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440"/>
              <w:spacing w:after="0"/>
              <w:rPr>
                <w:sz w:val="20"/>
                <w:szCs w:val="20"/>
                <w:color w:val="auto"/>
              </w:rPr>
            </w:pPr>
            <w:r>
              <w:rPr>
                <w:rFonts w:ascii="Arial" w:cs="Arial" w:eastAsia="Arial" w:hAnsi="Arial"/>
                <w:sz w:val="18"/>
                <w:szCs w:val="18"/>
                <w:color w:val="auto"/>
              </w:rPr>
              <w:t>Loss from continuing operations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4"/>
              </w:rPr>
              <w:t>Six Months Ended March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gridSpan w:val="13"/>
          </w:tcPr>
          <w:p>
            <w:pPr>
              <w:jc w:val="right"/>
              <w:ind w:right="400"/>
              <w:spacing w:after="0" w:line="142" w:lineRule="exact"/>
              <w:rPr>
                <w:sz w:val="20"/>
                <w:szCs w:val="20"/>
                <w:color w:val="auto"/>
              </w:rPr>
            </w:pPr>
            <w:r>
              <w:rPr>
                <w:rFonts w:ascii="Arial" w:cs="Arial" w:eastAsia="Arial" w:hAnsi="Arial"/>
                <w:sz w:val="14"/>
                <w:szCs w:val="14"/>
                <w:b w:val="1"/>
                <w:bCs w:val="1"/>
                <w:color w:val="auto"/>
              </w:rPr>
              <w:t>(Dollars in thousands, Percentage of revenues)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$ 118,591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$109,228</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100,454</w:t>
            </w:r>
          </w:p>
        </w:tc>
        <w:tc>
          <w:tcPr>
            <w:tcW w:w="36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9,585</w:t>
            </w:r>
          </w:p>
        </w:tc>
        <w:tc>
          <w:tcPr>
            <w:tcW w:w="3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r>
      <w:tr>
        <w:trPr>
          <w:trHeight w:val="224"/>
        </w:trPr>
        <w:tc>
          <w:tcPr>
            <w:tcW w:w="37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36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270" w:right="31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7"/>
          <w:szCs w:val="17"/>
          <w:color w:val="auto"/>
        </w:rPr>
        <w:t>Revenues in our Commercial &amp; Industrial segment increased $9.4 million during the six months ended March 31, 2018, an increase of 8.6%</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six months ended March 31, 2018. The increase in revenue over this period was driven by our fiscal 2017 acquisitions, which contributed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$19.6 million of additional revenue during the six months ended March 31, 2018 compared to the six months ended March 31, 2017. This increase in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partly offset by a $12.7 million decrease in revenue attributable to the winding down of operations at our Denver and Roanoke locations for the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2018, as compared with the six months ended March 31, 2017. The market for this segment’s services remains highly competitive.</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Commercial &amp; Industrial segment’s gross profit during the six months ended March 31, 2018, increased by $2.6 million, or 29.5%,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six months ended March 31, 2017. As a percentage of revenue, gross profit increased from 8.0% for the six months ended March 31, 2017, to 9.6% for the six months ended March 31, 2018. The increase was driven by $3.1 million of additional gross profit contributed by our fiscal 2017 acquisitions during the six months ended March 31, 2018, compared to the six months ended March 31, 2017. Additionally, for the six months ended March 31, 2018, gross margin improved by $2.1 million compared with the six months ended March 31, 2017 at our Denver and Roanoke branches, which are in the process of winding down operations. These increases were partly offset by a benefit we received from a change order on a large project in the six months ended March 31, 2017. Additionally, results for the six months ended March 31, 2018 were affected by an increase in workers’ compensation expense in the first quarter of fiscal 2018, as a result of claims incurred related to certain incidents which occurred prior to fiscal 2018. As we are effectively self-insured with respect to workers’ compensation, we may incur costs related to a claim in a reporting period subsequent to the incident related to the claim, and expense can vary significantly from period to period, depending on the timing of claims development. See Note 12, “Commitments and Contingencies” for further discussion.</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increased $3.1 million, or 31.9%, compared to the six months ended March 31, 2017, and increased 1.9% as a percentage of revenue. The increase was driven by our fiscal 2017 acquisitions, where selling, general and administrative expense for the six months ended March 31, 2018, increased by $2.1 million. The remaining increase relates primarily to employee expense associated with management hired to provide additional oversight at the regional and branch levels.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results of our Denver and Roanoke branches, which are in the process of winding down operations. These results are included in the consolidated Commercial &amp; Industrial segment results shown above:</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gridSpan w:val="7"/>
          </w:tcPr>
          <w:p>
            <w:pPr>
              <w:ind w:left="98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1920" w:type="dxa"/>
            <w:vAlign w:val="bottom"/>
            <w:gridSpan w:val="10"/>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March 31, 2018</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March 31, 2017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19,801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Service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7,304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22,085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7"/>
              </w:rPr>
              <w:t>Selling, general and administrative expenses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960" w:type="dxa"/>
            <w:vAlign w:val="bottom"/>
            <w:gridSpan w:val="2"/>
          </w:tcPr>
          <w:p>
            <w:pPr>
              <w:ind w:left="460"/>
              <w:spacing w:after="0"/>
              <w:rPr>
                <w:sz w:val="20"/>
                <w:szCs w:val="20"/>
                <w:color w:val="auto"/>
              </w:rPr>
            </w:pPr>
            <w:r>
              <w:rPr>
                <w:rFonts w:ascii="Arial" w:cs="Arial" w:eastAsia="Arial" w:hAnsi="Arial"/>
                <w:sz w:val="18"/>
                <w:szCs w:val="18"/>
                <w:color w:val="auto"/>
              </w:rPr>
              <w:t>Loss from continuing operations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(3,747)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Communications</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4"/>
                <w:szCs w:val="14"/>
                <w:b w:val="1"/>
                <w:bCs w:val="1"/>
                <w:color w:val="auto"/>
                <w:w w:val="94"/>
              </w:rPr>
              <w:t>Three Months Ended March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20" w:type="dxa"/>
            <w:vAlign w:val="bottom"/>
            <w:gridSpan w:val="14"/>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(Dollars in thousands, Percentage of revenues)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$61,674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40,892</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52,378</w:t>
            </w: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6,120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gridSpan w:val="3"/>
          </w:tcPr>
          <w:p>
            <w:pPr>
              <w:ind w:left="136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3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tcPr>
          <w:p>
            <w:pPr>
              <w:jc w:val="right"/>
              <w:ind w:right="439"/>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ind w:right="160"/>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6"/>
          <w:szCs w:val="16"/>
          <w:color w:val="auto"/>
        </w:rPr>
        <w:t>Our Communications segment’s revenues decreased by $11.4 million during the three months ended March 31, 2018, primarily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$6.8 million of revenue we received in the three months ended March 31, 2017 on a large system upgrade project for a school district. This project was completed in fiscal 2017. Revenues in our Communications segment can vary from quarter to quarter based on the capital spending cycles of our customers.</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three months ended March 31, 2018, increased by $0.1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Gross profit as a percentage of revenue increased 3.5% to 18.6% for the three months ended March 31, 2018, primarily as a result of improved project execution.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by $0.1 million, or</w:t>
      </w:r>
    </w:p>
    <w:p>
      <w:pPr>
        <w:spacing w:after="0" w:line="4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1.3%, during the three months ended March 31, 2018, compared to the three months ended March 31, 2017. Selling, general and administrative expenses as a percentage of revenues in the Communications segment increased 2.4% to 12.3% of segment revenue during the three months ended March 31, 2018, compared to the three months ended March 31, 2017. The increase is a result of higher personnel cost, particularly related to higher incentive compensation expense in connection with improved profitability and cash flows, as well as continuing investment to support anticipated growth.</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9"/>
              </w:rPr>
              <w:t>Six Months Ended 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80" w:type="dxa"/>
            <w:vAlign w:val="bottom"/>
            <w:gridSpan w:val="8"/>
          </w:tcPr>
          <w:p>
            <w:pPr>
              <w:jc w:val="right"/>
              <w:ind w:right="333"/>
              <w:spacing w:after="0" w:line="142" w:lineRule="exact"/>
              <w:rPr>
                <w:sz w:val="20"/>
                <w:szCs w:val="20"/>
                <w:color w:val="auto"/>
              </w:rPr>
            </w:pPr>
            <w:r>
              <w:rPr>
                <w:rFonts w:ascii="Arial" w:cs="Arial" w:eastAsia="Arial" w:hAnsi="Arial"/>
                <w:sz w:val="14"/>
                <w:szCs w:val="14"/>
                <w:b w:val="1"/>
                <w:bCs w:val="1"/>
                <w:color w:val="auto"/>
              </w:rPr>
              <w:t>(Dollars in thousands, Percentage of revenues)</w:t>
            </w:r>
          </w:p>
        </w:tc>
        <w:tc>
          <w:tcPr>
            <w:tcW w:w="6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$104,703</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$114,977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Cost of services</w:t>
            </w:r>
          </w:p>
        </w:tc>
        <w:tc>
          <w:tcPr>
            <w:tcW w:w="1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86,231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97,710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r>
      <w:tr>
        <w:trPr>
          <w:trHeight w:val="27"/>
        </w:trPr>
        <w:tc>
          <w:tcPr>
            <w:tcW w:w="4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12,285</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11.7%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11,834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Communications segment revenues decreased by $10.3 million during the six months ended March 31, 2018, primarily as a result of</w:t>
      </w:r>
    </w:p>
    <w:p>
      <w:pPr>
        <w:spacing w:after="0" w:line="35"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$6.8 million of revenue we received in the three months ended March 31, 2017 on a large system upgrade project for a school district. This project was completed in fiscal 2017. Revenues in our Communications segment can vary from quarter to quarter based on the capital spending cycles of our customers.</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six months ended March 31, 2018, increased $1.2 million, or 7.0%,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March 31, 2017. Gross profit as a percentage of revenue increased 2.6% to 17.6% for the six months ended March 31, 2018. The increase is driven, primarily by improved project execution.</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$0.5 million, or 3.8%,</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six months ended March 31, 2018, compared to the six months ended March 31, 2017. Selling, general and administrative expenses as a percentage of revenues in the Communications segment increased by 1.4% to 11.7% of segment revenue during the six months ended March 31, 2018, compared to the six months ended March 31, 2017. The increase is a result of higher personnel cost, including increased incentive compensation associated with higher profitability and cash flows. Additionally, we have continued to invest in the necessary infrastructure to support anticipated growth.</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Infrastructure Solutions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40" w:type="dxa"/>
            <w:vAlign w:val="bottom"/>
            <w:gridSpan w:val="8"/>
          </w:tcPr>
          <w:p>
            <w:pPr>
              <w:jc w:val="right"/>
              <w:ind w:right="212"/>
              <w:spacing w:after="0" w:line="142" w:lineRule="exact"/>
              <w:rPr>
                <w:sz w:val="20"/>
                <w:szCs w:val="20"/>
                <w:color w:val="auto"/>
              </w:rPr>
            </w:pPr>
            <w:r>
              <w:rPr>
                <w:rFonts w:ascii="Arial" w:cs="Arial" w:eastAsia="Arial" w:hAnsi="Arial"/>
                <w:sz w:val="14"/>
                <w:szCs w:val="14"/>
                <w:b w:val="1"/>
                <w:bCs w:val="1"/>
                <w:color w:val="auto"/>
                <w:w w:val="99"/>
              </w:rPr>
              <w:t>(Dollars in thousands, Percentage of revenues)</w:t>
            </w:r>
          </w:p>
        </w:tc>
        <w:tc>
          <w:tcPr>
            <w:tcW w:w="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$23,866</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$18,793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 of services</w:t>
            </w:r>
          </w:p>
        </w:tc>
        <w:tc>
          <w:tcPr>
            <w:tcW w:w="2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18,842</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78.9%</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14,515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77.2%</w:t>
            </w:r>
          </w:p>
        </w:tc>
      </w:tr>
      <w:tr>
        <w:trPr>
          <w:trHeight w:val="27"/>
        </w:trPr>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5,024</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4,637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19.4%</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4,222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Loss on sale of assets</w:t>
            </w:r>
          </w:p>
        </w:tc>
        <w:tc>
          <w:tcPr>
            <w:tcW w:w="2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7"/>
        </w:trPr>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365"/>
        </w:trPr>
        <w:tc>
          <w:tcPr>
            <w:tcW w:w="3960" w:type="dxa"/>
            <w:vAlign w:val="bottom"/>
          </w:tcPr>
          <w:p>
            <w:pPr>
              <w:spacing w:after="0"/>
              <w:rPr>
                <w:sz w:val="24"/>
                <w:szCs w:val="24"/>
                <w:color w:val="auto"/>
              </w:rPr>
            </w:pPr>
          </w:p>
        </w:tc>
        <w:tc>
          <w:tcPr>
            <w:tcW w:w="2120" w:type="dxa"/>
            <w:vAlign w:val="bottom"/>
          </w:tcPr>
          <w:p>
            <w:pPr>
              <w:jc w:val="right"/>
              <w:ind w:right="111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ind w:right="12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8"/>
          <w:szCs w:val="18"/>
          <w:color w:val="auto"/>
        </w:rPr>
        <w:t>Revenues in our Infrastructure Solutions segment increased $5.1 million during the three months ended March 31, 2018, an increase of 27.0%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2017. The increase in revenue was driven primarily by additional revenue of $4.5 million contributed by the acquisition of Freeman Enclosures in the second quarter of fiscal 2017.</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Infrastructure Solutions segment’s gross profit during the three months ended March 31, 2018, increased $0.7 million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2017. Gross profit as a percentage of revenue decreased 1.7% to 21.1%. Margins are primarily affected by the mix of work performed.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Infrastructure Solutions segment’s selling, general and administrative expenses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increased $0.4 million compared to the three months ended March 31, 2017, largely as a result of general and administrative expenses at Freeman Enclosures, which was acquired during the second quarter of fiscal 2017.</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6"/>
              </w:rPr>
              <w:t>Six Months Ended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3260" w:type="dxa"/>
            <w:vAlign w:val="bottom"/>
            <w:gridSpan w:val="9"/>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(Dollars in thousands, Percentage of revenues)</w:t>
            </w:r>
          </w:p>
        </w:tc>
        <w:tc>
          <w:tcPr>
            <w:tcW w:w="2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$45,551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$37,270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services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35,842</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78.7%</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27,617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r>
      <w:tr>
        <w:trPr>
          <w:trHeight w:val="27"/>
        </w:trPr>
        <w:tc>
          <w:tcPr>
            <w:tcW w:w="6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9,709</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9,194</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20.2%</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8,322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7"/>
        </w:trPr>
        <w:tc>
          <w:tcPr>
            <w:tcW w:w="6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in our Infrastructure Solutions segment increased $8.3 million during the six months ended March 31, 2018, an increase of 22.2%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six months ended March 31, 2017. The increase was primarily driven by $10.0 million of additional revenue contributed by Freeman Enclosures, which we acquired during the second quarter of fiscal 2017.</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Infrastructure Solutions segment’s gross profit during the six months ended March 31, 2018, increased $0.1 million as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Gross profit as a percentage of revenues decreased 4.6% to 21.3% for the six months ended March 31, 2018. Margins are affected by the mix of work performed.</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Infrastructure Solutions segment’s selling, general and administrative expenses during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2018, increased $0.9 million compared to the six months ended March 31, 2017. The increase was primarily the result of general and administrative costs incurred at Freeman Enclosures, which increased $0.8 million for the six months ended March 31, 2018.</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Residential</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6"/>
              </w:rPr>
              <w:t>Three Months Ended 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60" w:type="dxa"/>
            <w:vAlign w:val="bottom"/>
            <w:gridSpan w:val="7"/>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(Dollars in thousands, Percentage of revenues)</w:t>
            </w:r>
          </w:p>
        </w:tc>
        <w:tc>
          <w:tcPr>
            <w:tcW w:w="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20" w:type="dxa"/>
            <w:vAlign w:val="bottom"/>
            <w:tcBorders>
              <w:right w:val="single" w:sz="8" w:color="CCEEFF"/>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$65,978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$67,923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 of services</w:t>
            </w:r>
          </w:p>
        </w:tc>
        <w:tc>
          <w:tcPr>
            <w:tcW w:w="2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53,035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52,351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r>
      <w:tr>
        <w:trPr>
          <w:trHeight w:val="27"/>
        </w:trPr>
        <w:tc>
          <w:tcPr>
            <w:tcW w:w="3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12,943</w:t>
            </w: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20" w:type="dxa"/>
            <w:vAlign w:val="bottom"/>
            <w:gridSpan w:val="3"/>
          </w:tcPr>
          <w:p>
            <w:pPr>
              <w:jc w:val="right"/>
              <w:ind w:right="248"/>
              <w:spacing w:after="0"/>
              <w:rPr>
                <w:sz w:val="20"/>
                <w:szCs w:val="20"/>
                <w:color w:val="auto"/>
              </w:rPr>
            </w:pPr>
            <w:r>
              <w:rPr>
                <w:rFonts w:ascii="Arial" w:cs="Arial" w:eastAsia="Arial" w:hAnsi="Arial"/>
                <w:sz w:val="18"/>
                <w:szCs w:val="18"/>
                <w:color w:val="auto"/>
              </w:rPr>
              <w:t>9,688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10,932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220" w:type="dxa"/>
            <w:vAlign w:val="bottom"/>
            <w:tcBorders>
              <w:right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2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r>
      <w:tr>
        <w:trPr>
          <w:trHeight w:val="364"/>
        </w:trPr>
        <w:tc>
          <w:tcPr>
            <w:tcW w:w="3960" w:type="dxa"/>
            <w:vAlign w:val="bottom"/>
          </w:tcPr>
          <w:p>
            <w:pPr>
              <w:spacing w:after="0"/>
              <w:rPr>
                <w:sz w:val="24"/>
                <w:szCs w:val="24"/>
                <w:color w:val="auto"/>
              </w:rPr>
            </w:pP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30" w:name="page31"/>
    <w:bookmarkEnd w:id="30"/>
    <w:p>
      <w:pPr>
        <w:ind w:right="20"/>
        <w:spacing w:after="0" w:line="273"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7"/>
          <w:szCs w:val="17"/>
          <w:color w:val="auto"/>
        </w:rPr>
        <w:t>Our Residential segment’s revenues decreased by $1.9 million during the three months ended March 31, 2018, a decrease of 2.9%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2017. The decrease is driven by our multi-family business, where revenues decreased by $7.0 million for the three months ended March 31, 2018, compared with the three months ended March 31, 2017. The quarter ended March 31, 2017, benefitted from a historically high level of backlog, which was the result of project delays in the previous fiscal year. Our current multi-family backlog has returned to a more typical level. This decrease was partly offset by our single-family business, where revenues increased by $3.9 million. Service and solar revenues also increased by $1.2 million for the three months ended March 31, 2018, compared with the same period in the prior year.</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three months ended March 31, 2018, our Residential segment experienced a $2.6 million, or 16.9%, decrease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2017. The decrease in gross profit was driven primarily by an increase in copper and other commodity prices, as we experienced favorable commodity prices in the quarter ended March 31, 2017, as well as an increase in labor costs, as a result of tightening labor markets. Gross margin as a percentage of revenue decreased 3.3% to 19.6% during the quarter ended March 31, 2018, as compared with the quarter ended March 31, 2017.</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$1.2 million, or 11.4%, decrease in 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during the three months ended March 31, 2018, compared to the three months ended March 31, 2017, primarily as a result of lower incentive compensation expense in connection with lower profitability. Selling, general and administrative expenses as a percentage of revenues in the Residential segment decreased to 14.7% of segment revenue during the three months ended March 31, 2018, compared to 16.1% in the three months ended March 31, 2017.</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Six Months Ended 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08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700" w:type="dxa"/>
            <w:vAlign w:val="bottom"/>
            <w:gridSpan w:val="8"/>
          </w:tcPr>
          <w:p>
            <w:pPr>
              <w:jc w:val="right"/>
              <w:ind w:right="333"/>
              <w:spacing w:after="0" w:line="142" w:lineRule="exact"/>
              <w:rPr>
                <w:sz w:val="20"/>
                <w:szCs w:val="20"/>
                <w:color w:val="auto"/>
              </w:rPr>
            </w:pPr>
            <w:r>
              <w:rPr>
                <w:rFonts w:ascii="Arial" w:cs="Arial" w:eastAsia="Arial" w:hAnsi="Arial"/>
                <w:sz w:val="14"/>
                <w:szCs w:val="14"/>
                <w:b w:val="1"/>
                <w:bCs w:val="1"/>
                <w:color w:val="auto"/>
              </w:rPr>
              <w:t>(Dollars in thousands, Percentage of revenues)</w:t>
            </w:r>
          </w:p>
        </w:tc>
        <w:tc>
          <w:tcPr>
            <w:tcW w:w="6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0"/>
              </w:rPr>
              <w:t>$135,132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$134,365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 of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107,773</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103,063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r>
      <w:tr>
        <w:trPr>
          <w:trHeight w:val="27"/>
        </w:trPr>
        <w:tc>
          <w:tcPr>
            <w:tcW w:w="5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27,359</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31,302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20,054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21,485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0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9,820</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Residential segment revenues increased by $0.8 million during the six months ended March 31, 2018, an increase of 0.6%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March 31, 2017. The increase is driven by our single-family business, where revenues increased by $9.4 million for the six months ended March 31, 2018, compared with the six months ended March 31, 2017. Service and solar revenues also increased by $2.1 million for the six months ended March 31, 2018, compared with the same period in the prior year. These increases were partly offset by a decrease in multi-family revenues, which declined by $10.7 million. The six months ended March 31, 2017, benefitted from a historically high level of backlog, which was the result of project delays in the previous fiscal year. Our current multi-family backlog has returned to a more typical level.</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During the six months ended March 31, 2018, our Residential segment experienced a $3.9 million, or 12.6%, decrease in gross profit as compared to the six months ended March 31, 2017. The decrease in gross profit was driven primarily by an increase in copper and other commodity prices, as we experienced favorable commodity prices in the six months ended March 31, 2017, as well as an increase in labor costs, as a result of tightening labor markets. Gross margin as a percentage of revenue decreased 3.1% to 20.2% during the six months ended March 31, 2018, as compared with the six months ended March 31, 2017.</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$1.4 million, or 6.7%, decrease in 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during the six months ended March 31, 2018, compared to the six months ended March 31, 2017, driven by decreased compensation expense, primarily as a result of a decrease of $0.7 million in variable compensation and incentive costs associated with decreased profitability. Selling, general and administrative expenses as a percentage of revenues in the Residential segment decreased by 1.2% to 14.8% of segment revenue during the six months ended March 31, 2018.</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AND OTHER EXPENSE, NET</w:t>
      </w:r>
    </w:p>
    <w:p>
      <w:pPr>
        <w:spacing w:after="0" w:line="248"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right"/>
              <w:ind w:right="29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1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March 31, 2018, we incurred interest expense of $0.5 million primarily comprised of interest expense from our term loan facility with Wells Fargo Bank, N.A. (“Wells Fargo”), an average letter of credit balance of $6.4 million under our revolving credit facility and an average unused line of credit balance of $28.5 million. This compares to interest expense of $0.4 million for the three months ended March 31, 2017, primarily comprised of interest expense from our term loan facility, an average letter of credit balance of $6.6 million under our revolving credit facility and an average unused line of credit balance of $33.2 million.</w:t>
      </w:r>
    </w:p>
    <w:p>
      <w:pPr>
        <w:spacing w:after="0" w:line="207"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Six Months Ended</w:t>
      </w:r>
    </w:p>
    <w:p>
      <w:pPr>
        <w:jc w:val="center"/>
        <w:ind w:left="60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19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six months ended March 31, 2018, we incurred interest expense of $0.9 million primarily comprised of interest expense from our revolving credit facility, an average letter of credit balance of $6.4 million and an average unused line of credit balance of $24.3 million. This compares to interest expense of $0.9 million for the six months ended March 31, 2017, primarily comprised of interest expense from our revolving credit facility, an average letter of credit balance of $6.7 million and an average unused line of credit balance of $33.1 million.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recorded income tax expense of $1.4 million for the three months ended March 31, 2018, compared to income tax expense of $0.7 million for the three months ended March 31, 2017.</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recorded income tax expense of $33.6 million for the six months ended March 31, 2018, compared to income tax expense of $3.3 million for the six months ended March 31, 2017.</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six months ended March 31, 2018, our income tax expense included a preliminary charge of $31.5 million to re-measure our deferred tax assets and liabilities to reflect the estimated impact of the new statutory tax rate enacted during the quarter.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BACKLOG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authorizing the performance of future work,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 needed basis. Additionally, electrical installation services for single-family housing at our Residential segment is completed on a short-term basis and is therefore excluded from backlog. In addition, certain service work is performed under master service agreements on an as-needed basis. Our backlog has increased from $331 million at September 30, 2017, to $343 million at March 31, 2018.</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During the six months ended March 31, 2018, working capital exclusive of cash decreased by $1.4 million from September 30, 2017, reflecting a $12.6 million decrease in current assets excluding cash and a $11.2 million decrease in current liabilities during the period.</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six months ended March 31, 2018, our current assets exclusive of cash decreased to $190.9 million, as compared to $203.5 million as of September 30, 2017. The decrease primarily relates to a $15.7 million decrease in accounts receivable and retainage. Days sales outstanding decreased to 59 at March 31, 2018, from 66 at September 30, 2017.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six months ended March 31, 2018, our total current liabilities decreased by $11.2 million to $139.4 million, compared to $150.6 million as of September 30, 2017, primarily related to a decrease in accounts payable and accrued liabilities.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decreases in both accounts receivable and accounts payable are typical for the six months of our fiscal year, based on a slowing of activity around the end of the calendar year, combined with winter weather related project delays.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March 31, 2018, the estimated cost to complete our bonded projects was approximately $60.1 million.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maintain a $100 million revolving credit facility with Wells Fargo Bank, N.A. that matures in August 2021 (as amended, the “Credit Facility”), pursuant to a Second Amended and Restated Credit and Security Agreement with Wells Fargo Bank, N.A., which was further amended on July 14, 2017, and August 2, 2017 (as amended, the “Amended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Facility contains customary affirmative, negative and financial covenants as well as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were in compliance with the financial covenants under the Amended Credit Agreement, requiring that we maintain:</w:t>
      </w:r>
    </w:p>
    <w:p>
      <w:pPr>
        <w:spacing w:after="0" w:line="131" w:lineRule="exact"/>
        <w:rPr>
          <w:sz w:val="20"/>
          <w:szCs w:val="20"/>
          <w:color w:val="auto"/>
        </w:rPr>
      </w:pPr>
    </w:p>
    <w:p>
      <w:pPr>
        <w:ind w:left="1480" w:right="100" w:hanging="446"/>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w:t>
      </w:r>
    </w:p>
    <w:p>
      <w:pPr>
        <w:spacing w:after="0" w:line="75" w:lineRule="exact"/>
        <w:rPr>
          <w:rFonts w:ascii="Arial" w:cs="Arial" w:eastAsia="Arial" w:hAnsi="Arial"/>
          <w:sz w:val="18"/>
          <w:szCs w:val="18"/>
          <w:color w:val="auto"/>
        </w:rPr>
      </w:pPr>
    </w:p>
    <w:p>
      <w:pPr>
        <w:ind w:left="1480" w:right="240" w:hanging="446"/>
        <w:spacing w:after="0" w:line="286"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33" w:name="page34"/>
    <w:bookmarkEnd w:id="33"/>
    <w:p>
      <w:pPr>
        <w:ind w:left="1480" w:right="120" w:hanging="446"/>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minimum EBITDA (as defined in the Amended Credit Agreement), measured at the end of each quarter, of at least the required amount set forth in the following table for the applicable period set forth opposite thereto:</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Applicable Amount</w:t>
            </w:r>
          </w:p>
        </w:tc>
        <w:tc>
          <w:tcPr>
            <w:tcW w:w="8560" w:type="dxa"/>
            <w:vAlign w:val="bottom"/>
          </w:tcPr>
          <w:p>
            <w:pPr>
              <w:jc w:val="center"/>
              <w:spacing w:after="0"/>
              <w:rPr>
                <w:sz w:val="20"/>
                <w:szCs w:val="20"/>
                <w:color w:val="auto"/>
              </w:rPr>
            </w:pPr>
            <w:r>
              <w:rPr>
                <w:rFonts w:ascii="Arial" w:cs="Arial" w:eastAsia="Arial" w:hAnsi="Arial"/>
                <w:sz w:val="14"/>
                <w:szCs w:val="14"/>
                <w:b w:val="1"/>
                <w:bCs w:val="1"/>
                <w:color w:val="auto"/>
                <w:w w:val="92"/>
              </w:rPr>
              <w:t>Applicable Period</w:t>
            </w:r>
          </w:p>
        </w:tc>
      </w:tr>
      <w:tr>
        <w:trPr>
          <w:trHeight w:val="195"/>
        </w:trPr>
        <w:tc>
          <w:tcPr>
            <w:tcW w:w="2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$ 32.5 million</w:t>
            </w:r>
          </w:p>
        </w:tc>
        <w:tc>
          <w:tcPr>
            <w:tcW w:w="520" w:type="dxa"/>
            <w:vAlign w:val="bottom"/>
          </w:tcPr>
          <w:p>
            <w:pPr>
              <w:spacing w:after="0"/>
              <w:rPr>
                <w:sz w:val="16"/>
                <w:szCs w:val="16"/>
                <w:color w:val="auto"/>
              </w:rPr>
            </w:pPr>
          </w:p>
        </w:tc>
        <w:tc>
          <w:tcPr>
            <w:tcW w:w="8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For the four quarter period ending March 31, 2018</w:t>
            </w:r>
          </w:p>
        </w:tc>
      </w:t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$ 35.0 million</w:t>
            </w:r>
          </w:p>
        </w:tc>
        <w:tc>
          <w:tcPr>
            <w:tcW w:w="8560" w:type="dxa"/>
            <w:vAlign w:val="bottom"/>
          </w:tcPr>
          <w:p>
            <w:pPr>
              <w:jc w:val="center"/>
              <w:spacing w:after="0"/>
              <w:rPr>
                <w:sz w:val="20"/>
                <w:szCs w:val="20"/>
                <w:color w:val="auto"/>
              </w:rPr>
            </w:pPr>
            <w:r>
              <w:rPr>
                <w:rFonts w:ascii="Arial" w:cs="Arial" w:eastAsia="Arial" w:hAnsi="Arial"/>
                <w:sz w:val="18"/>
                <w:szCs w:val="18"/>
                <w:color w:val="auto"/>
                <w:w w:val="89"/>
              </w:rPr>
              <w:t>For each four quarter period ending June 30, 2018 and each quarter-end thereafter</w:t>
            </w:r>
          </w:p>
        </w:tc>
      </w:tr>
    </w:tbl>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At March 31, 2018, our Liquidity was $79.5 million, our Excess Availability was $43.7 million (or greater than 50% of minimum Liquidity), our Fixed Charge Coverage Ratio was 5.8:1.0; and our EBITDA, as defined in the Amended Credit Agreement for the four quarters ended March 31, 2018 was $36.3 million.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in the future our Liquidity falls below $30 million (or Excess Availability falls below 50% or our minimum Liquidity), our Fixed Charge Coverage Ratio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we had $6.4 million in outstanding letters of credit with Wells Fargo Bank, N.A and outstanding borrowings of $30.2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activities provided net cash of $11.2 million during the six months ended March 31, 2018, as compared to $2.7 million of net cash provided in the six months ended March 31, 2017. The increase in operating cash flow resulted primarily from improved working capital at our Communications segment, where we had a higher level of cost-plus arrangements in the six months ended March 31, 2018 as compared with March 31, 2017, under which the timing of collections from customers is later as compared to a typical fixed-price contract.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investing activities was $2.4 million for the six months ended March 31, 2018, compared with $14.5 million for the six months ended March 31, 2017. We used cash of $2.3 million for purchases of fixed assets in the six months ended March 31, 2018. For the six months ended March 31, 2017, we used $2.9 million of cash for the purchase of fixed assets. We used $0.2 million in conjunction with business combinations in the six months ended March 31, 2018, compared to $11.7 million in the six months ended March 31,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Net cash used in financing activities for the six months ended March 31, 2018 was $1.3 million, compared with a usage of $0.5 million in the six months ended March 31, 2017. We used $1.2 million in conjunction with our stock repurchase plan during the six months ended March 31, 2018. During the six months ended March 31, 2017, we used $0.4 million to make contingent consideration payments.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34" w:name="page35"/>
    <w:bookmarkEnd w:id="3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purchased 79,817 shares pursuant to this program during the six months ended March 31, 2018.</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74" w:right="33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Arial" w:cs="Arial" w:eastAsia="Arial" w:hAnsi="Arial"/>
          <w:sz w:val="18"/>
          <w:szCs w:val="18"/>
          <w:i w:val="1"/>
          <w:iCs w:val="1"/>
          <w:color w:val="auto"/>
        </w:rPr>
        <w:t>“Disclosure Regarding Forward-Looking Statements”</w:t>
      </w:r>
      <w:r>
        <w:rPr>
          <w:rFonts w:ascii="Arial" w:cs="Arial" w:eastAsia="Arial" w:hAnsi="Arial"/>
          <w:sz w:val="18"/>
          <w:szCs w:val="18"/>
          <w:color w:val="auto"/>
        </w:rPr>
        <w:t xml:space="preserve"> in Part I of this Quarterly Report on Form 10-Q and our risk factors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interest rate risk on our floating interest rate borrowings on the Amended Credit Agreement. If LIBOR were to increase, our interest payment obligations on outstanding borrowings would increase, having a negative effect on our cash flow and financial condition.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the credit facility as of March 31, 2018, would cause a $0.3 million pre-tax annual increase in interest expense.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to which this report relates that have materially affected, or are likely to materially affect,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accordance with Rules 13a-15 and 15d-15 of the Securities Exchange Act of 1934, as amended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that evaluation, our President and Chief Financial Officer concluded that our disclosure controls and procedures were effective as of March 31, 2018,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0" w:right="279" w:bottom="1440" w:gutter="0" w:footer="0" w:header="0"/>
        </w:sectPr>
      </w:pPr>
    </w:p>
    <w:bookmarkStart w:id="36" w:name="page37"/>
    <w:bookmarkEnd w:id="3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disclosed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37" w:name="page38"/>
    <w:bookmarkEnd w:id="3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with respect to purchases of common stock of the Company made during the three months ended March 31,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2"/>
            <w:vMerge w:val="continue"/>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 Purchased Under the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49"/>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Part of a Publicly</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Plan as of March 31,</w:t>
            </w: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Announced Plan (2)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2018—January 31, 2018</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February 1, 2018 – February 28, 2018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8,713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15.49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8,713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816,718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March 1, 2018—March 31, 2018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71,104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15.39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71,104</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736,901</w:t>
            </w:r>
          </w:p>
        </w:tc>
        <w:tc>
          <w:tcPr>
            <w:tcW w:w="0" w:type="dxa"/>
            <w:vAlign w:val="bottom"/>
          </w:tcPr>
          <w:p>
            <w:pPr>
              <w:spacing w:after="0"/>
              <w:rPr>
                <w:sz w:val="1"/>
                <w:szCs w:val="1"/>
                <w:color w:val="auto"/>
              </w:rPr>
            </w:pPr>
          </w:p>
        </w:tc>
      </w:tr>
      <w:tr>
        <w:trPr>
          <w:trHeight w:val="218"/>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79,817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15.40</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79,817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736,901</w:t>
            </w:r>
          </w:p>
        </w:tc>
        <w:tc>
          <w:tcPr>
            <w:tcW w:w="0" w:type="dxa"/>
            <w:vAlign w:val="bottom"/>
          </w:tcPr>
          <w:p>
            <w:pPr>
              <w:spacing w:after="0"/>
              <w:rPr>
                <w:sz w:val="1"/>
                <w:szCs w:val="1"/>
                <w:color w:val="auto"/>
              </w:rPr>
            </w:pPr>
          </w:p>
        </w:tc>
      </w:tr>
    </w:tbl>
    <w:p>
      <w:pPr>
        <w:ind w:left="900" w:right="40" w:hanging="446"/>
        <w:spacing w:after="0" w:line="24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number of shares purchased includes shares purchased pursuant to the plan described in footnote (2) below. No shares were surrendered to the Company to satisfy tax withholding obligations in connection with the vesting of restricted stock issued to employees during the quarter ended March 31, 2018.</w:t>
      </w:r>
    </w:p>
    <w:p>
      <w:pPr>
        <w:spacing w:after="0" w:line="2" w:lineRule="exact"/>
        <w:rPr>
          <w:rFonts w:ascii="Arial" w:cs="Arial" w:eastAsia="Arial" w:hAnsi="Arial"/>
          <w:sz w:val="18"/>
          <w:szCs w:val="18"/>
          <w:color w:val="auto"/>
        </w:rPr>
      </w:pPr>
    </w:p>
    <w:p>
      <w:pPr>
        <w:ind w:left="900" w:right="160" w:hanging="446"/>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has authorized a stock repurchase program for the purchase of up to 1.5 million shares of the Company’s common stock from time to time.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3.</w:t>
            </w:r>
          </w:p>
        </w:tc>
        <w:tc>
          <w:tcPr>
            <w:tcW w:w="10460" w:type="dxa"/>
            <w:vAlign w:val="bottom"/>
            <w:gridSpan w:val="10"/>
          </w:tcPr>
          <w:p>
            <w:pPr>
              <w:ind w:left="2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0" w:type="dxa"/>
            <w:vAlign w:val="bottom"/>
          </w:tcPr>
          <w:p>
            <w:pPr>
              <w:spacing w:after="0"/>
              <w:rPr>
                <w:sz w:val="1"/>
                <w:szCs w:val="1"/>
                <w:color w:val="auto"/>
              </w:rPr>
            </w:pPr>
          </w:p>
        </w:tc>
      </w:tr>
      <w:tr>
        <w:trPr>
          <w:trHeight w:val="324"/>
        </w:trPr>
        <w:tc>
          <w:tcPr>
            <w:tcW w:w="800" w:type="dxa"/>
            <w:vAlign w:val="bottom"/>
            <w:gridSpan w:val="4"/>
          </w:tcPr>
          <w:p>
            <w:pPr>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4.</w:t>
            </w:r>
          </w:p>
        </w:tc>
        <w:tc>
          <w:tcPr>
            <w:tcW w:w="10460" w:type="dxa"/>
            <w:vAlign w:val="bottom"/>
            <w:gridSpan w:val="10"/>
          </w:tcPr>
          <w:p>
            <w:pPr>
              <w:ind w:left="240"/>
              <w:spacing w:after="0"/>
              <w:rPr>
                <w:sz w:val="20"/>
                <w:szCs w:val="20"/>
                <w:color w:val="auto"/>
              </w:rPr>
            </w:pPr>
            <w:r>
              <w:rPr>
                <w:rFonts w:ascii="Arial" w:cs="Arial" w:eastAsia="Arial" w:hAnsi="Arial"/>
                <w:sz w:val="18"/>
                <w:szCs w:val="18"/>
                <w:b w:val="1"/>
                <w:bCs w:val="1"/>
                <w:i w:val="1"/>
                <w:iCs w:val="1"/>
                <w:color w:val="auto"/>
              </w:rPr>
              <w:t>Mine Safety Disclosures</w:t>
            </w:r>
          </w:p>
        </w:tc>
        <w:tc>
          <w:tcPr>
            <w:tcW w:w="0" w:type="dxa"/>
            <w:vAlign w:val="bottom"/>
          </w:tcPr>
          <w:p>
            <w:pPr>
              <w:spacing w:after="0"/>
              <w:rPr>
                <w:sz w:val="1"/>
                <w:szCs w:val="1"/>
                <w:color w:val="auto"/>
              </w:rPr>
            </w:pPr>
          </w:p>
        </w:tc>
      </w:tr>
      <w:tr>
        <w:trPr>
          <w:trHeight w:val="324"/>
        </w:trPr>
        <w:tc>
          <w:tcPr>
            <w:tcW w:w="800" w:type="dxa"/>
            <w:vAlign w:val="bottom"/>
            <w:gridSpan w:val="4"/>
          </w:tcPr>
          <w:p>
            <w:pPr>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5.</w:t>
            </w:r>
          </w:p>
        </w:tc>
        <w:tc>
          <w:tcPr>
            <w:tcW w:w="10460" w:type="dxa"/>
            <w:vAlign w:val="bottom"/>
            <w:gridSpan w:val="10"/>
          </w:tcPr>
          <w:p>
            <w:pPr>
              <w:ind w:left="240"/>
              <w:spacing w:after="0"/>
              <w:rPr>
                <w:sz w:val="20"/>
                <w:szCs w:val="20"/>
                <w:color w:val="auto"/>
              </w:rPr>
            </w:pPr>
            <w:r>
              <w:rPr>
                <w:rFonts w:ascii="Arial" w:cs="Arial" w:eastAsia="Arial" w:hAnsi="Arial"/>
                <w:sz w:val="18"/>
                <w:szCs w:val="18"/>
                <w:b w:val="1"/>
                <w:bCs w:val="1"/>
                <w:i w:val="1"/>
                <w:iCs w:val="1"/>
                <w:color w:val="auto"/>
              </w:rPr>
              <w:t>Other Information</w:t>
            </w:r>
          </w:p>
        </w:tc>
        <w:tc>
          <w:tcPr>
            <w:tcW w:w="0" w:type="dxa"/>
            <w:vAlign w:val="bottom"/>
          </w:tcPr>
          <w:p>
            <w:pPr>
              <w:spacing w:after="0"/>
              <w:rPr>
                <w:sz w:val="1"/>
                <w:szCs w:val="1"/>
                <w:color w:val="auto"/>
              </w:rPr>
            </w:pPr>
          </w:p>
        </w:tc>
      </w:tr>
      <w:tr>
        <w:trPr>
          <w:trHeight w:val="324"/>
        </w:trPr>
        <w:tc>
          <w:tcPr>
            <w:tcW w:w="800" w:type="dxa"/>
            <w:vAlign w:val="bottom"/>
            <w:gridSpan w:val="4"/>
          </w:tcPr>
          <w:p>
            <w:pPr>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0"/>
          </w:tcPr>
          <w:p>
            <w:pPr>
              <w:ind w:left="24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78"/>
        </w:trPr>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80" w:type="dxa"/>
            <w:vAlign w:val="bottom"/>
            <w:gridSpan w:val="6"/>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2"/>
        </w:trPr>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9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gridSpan w:val="4"/>
          </w:tcPr>
          <w:p>
            <w:pPr>
              <w:spacing w:after="0"/>
              <w:rPr>
                <w:sz w:val="20"/>
                <w:szCs w:val="20"/>
                <w:color w:val="auto"/>
              </w:rPr>
            </w:pPr>
            <w:r>
              <w:rPr>
                <w:rFonts w:ascii="Arial" w:cs="Arial" w:eastAsia="Arial" w:hAnsi="Arial"/>
                <w:sz w:val="18"/>
                <w:szCs w:val="18"/>
                <w:color w:val="auto"/>
              </w:rPr>
              <w:t>2.1 —</w:t>
            </w:r>
          </w:p>
        </w:tc>
        <w:tc>
          <w:tcPr>
            <w:tcW w:w="480" w:type="dxa"/>
            <w:vAlign w:val="bottom"/>
          </w:tcPr>
          <w:p>
            <w:pPr>
              <w:spacing w:after="0"/>
              <w:rPr>
                <w:sz w:val="22"/>
                <w:szCs w:val="22"/>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Stock Purchase Agreement dated as of June 1, 2016, by and among IES Infrastructure Solutions, LLC, IES Holdings, Inc., Technibus, Inc.</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and Technibus, LLC. (Incorporated by reference to Exhibit 2.1 to the Company’s Current Report on Form 8-K filed on June 15, 2016)</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4"/>
          </w:tcPr>
          <w:p>
            <w:pPr>
              <w:spacing w:after="0"/>
              <w:rPr>
                <w:sz w:val="20"/>
                <w:szCs w:val="20"/>
                <w:color w:val="auto"/>
              </w:rPr>
            </w:pPr>
            <w:r>
              <w:rPr>
                <w:rFonts w:ascii="Arial" w:cs="Arial" w:eastAsia="Arial" w:hAnsi="Arial"/>
                <w:sz w:val="18"/>
                <w:szCs w:val="18"/>
                <w:color w:val="auto"/>
              </w:rPr>
              <w:t>3.1 —</w:t>
            </w:r>
          </w:p>
        </w:tc>
        <w:tc>
          <w:tcPr>
            <w:tcW w:w="48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Second Amended and Restated Certificate of Incorporation of IES Holdings, Inc., as amended by the Certificate of Amendment thereto,</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effective May 24, 2016 (composite). (Incorporated by reference to Exhibit 3.1 to the Company’s Quarterly Report on Form 10-Q filed</w:t>
              </w:r>
            </w:hyperlink>
          </w:p>
        </w:tc>
        <w:tc>
          <w:tcPr>
            <w:tcW w:w="140" w:type="dxa"/>
            <w:vAlign w:val="bottom"/>
            <w:tcBorders>
              <w:top w:val="single" w:sz="8" w:color="0000EE"/>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on August 8, 2016)</w:t>
              </w:r>
            </w:hyperlink>
          </w:p>
        </w:tc>
        <w:tc>
          <w:tcPr>
            <w:tcW w:w="0" w:type="dxa"/>
            <w:vAlign w:val="bottom"/>
          </w:tcPr>
          <w:p>
            <w:pPr>
              <w:spacing w:after="0"/>
              <w:rPr>
                <w:sz w:val="1"/>
                <w:szCs w:val="1"/>
                <w:color w:val="auto"/>
              </w:rPr>
            </w:pPr>
          </w:p>
        </w:tc>
      </w:tr>
      <w:tr>
        <w:trPr>
          <w:trHeight w:val="20"/>
        </w:trPr>
        <w:tc>
          <w:tcPr>
            <w:tcW w:w="800" w:type="dxa"/>
            <w:vAlign w:val="bottom"/>
            <w:gridSpan w:val="4"/>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4"/>
          </w:tcPr>
          <w:p>
            <w:pPr>
              <w:spacing w:after="0"/>
              <w:rPr>
                <w:sz w:val="20"/>
                <w:szCs w:val="20"/>
                <w:color w:val="auto"/>
              </w:rPr>
            </w:pPr>
            <w:r>
              <w:rPr>
                <w:rFonts w:ascii="Arial" w:cs="Arial" w:eastAsia="Arial" w:hAnsi="Arial"/>
                <w:sz w:val="18"/>
                <w:szCs w:val="18"/>
                <w:color w:val="auto"/>
              </w:rPr>
              <w:t>3.2 —</w:t>
            </w:r>
          </w:p>
        </w:tc>
        <w:tc>
          <w:tcPr>
            <w:tcW w:w="480" w:type="dxa"/>
            <w:vAlign w:val="bottom"/>
          </w:tcPr>
          <w:p>
            <w:pPr>
              <w:spacing w:after="0"/>
              <w:rPr>
                <w:sz w:val="24"/>
                <w:szCs w:val="24"/>
                <w:color w:val="auto"/>
              </w:rPr>
            </w:pPr>
          </w:p>
        </w:tc>
        <w:tc>
          <w:tcPr>
            <w:tcW w:w="9720" w:type="dxa"/>
            <w:vAlign w:val="bottom"/>
            <w:tcBorders>
              <w:bottom w:val="single" w:sz="8" w:color="0000EE"/>
            </w:tcBorders>
            <w:gridSpan w:val="7"/>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Certificate of Designations of Series A Junior Participating Preferred Stock (Incorporated by reference to Exhibit 3.1 to the Company’s</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Current Report on Form 8-K filed on January 28, 2013)</w:t>
              </w:r>
            </w:hyperlink>
          </w:p>
        </w:tc>
        <w:tc>
          <w:tcPr>
            <w:tcW w:w="5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4"/>
          </w:tcPr>
          <w:p>
            <w:pPr>
              <w:spacing w:after="0"/>
              <w:rPr>
                <w:sz w:val="20"/>
                <w:szCs w:val="20"/>
                <w:color w:val="auto"/>
              </w:rPr>
            </w:pPr>
            <w:r>
              <w:rPr>
                <w:rFonts w:ascii="Arial" w:cs="Arial" w:eastAsia="Arial" w:hAnsi="Arial"/>
                <w:sz w:val="18"/>
                <w:szCs w:val="18"/>
                <w:color w:val="auto"/>
              </w:rPr>
              <w:t>3.3 —</w:t>
            </w:r>
          </w:p>
        </w:tc>
        <w:tc>
          <w:tcPr>
            <w:tcW w:w="480" w:type="dxa"/>
            <w:vAlign w:val="bottom"/>
          </w:tcPr>
          <w:p>
            <w:pPr>
              <w:spacing w:after="0"/>
              <w:rPr>
                <w:sz w:val="24"/>
                <w:szCs w:val="24"/>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Bylaws of IES Holdings, Inc., effective May 24, 2016. (Incorporated by reference to Exhibit 3.2 to the Company’s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gridSpan w:val="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Current Report on Form 8-K filed on May 24, 2016)</w:t>
              </w:r>
            </w:hyperlink>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Borders>
              <w:top w:val="single" w:sz="8" w:color="0000EE"/>
            </w:tcBorders>
            <w:gridSpan w:val="2"/>
          </w:tcPr>
          <w:p>
            <w:pPr>
              <w:spacing w:after="0"/>
              <w:rPr>
                <w:sz w:val="24"/>
                <w:szCs w:val="2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4.1 —</w:t>
            </w:r>
          </w:p>
        </w:tc>
        <w:tc>
          <w:tcPr>
            <w:tcW w:w="9600" w:type="dxa"/>
            <w:vAlign w:val="bottom"/>
            <w:gridSpan w:val="10"/>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Specimen common stock certificate. (Incorporated by reference to Exhibit 4.1 to the Company’s Annual Report on Form 10-K filed</w:t>
              </w:r>
            </w:hyperlink>
          </w:p>
        </w:tc>
      </w:tr>
      <w:tr>
        <w:trPr>
          <w:trHeight w:val="196"/>
        </w:trPr>
        <w:tc>
          <w:tcPr>
            <w:tcW w:w="1740" w:type="dxa"/>
            <w:vAlign w:val="bottom"/>
          </w:tcPr>
          <w:p>
            <w:pPr>
              <w:spacing w:after="0"/>
              <w:rPr>
                <w:sz w:val="17"/>
                <w:szCs w:val="17"/>
                <w:color w:val="auto"/>
              </w:rPr>
            </w:pPr>
          </w:p>
        </w:tc>
        <w:tc>
          <w:tcPr>
            <w:tcW w:w="9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on December 9, 2016)</w:t>
              </w:r>
            </w:hyperlink>
          </w:p>
        </w:tc>
        <w:tc>
          <w:tcPr>
            <w:tcW w:w="120" w:type="dxa"/>
            <w:vAlign w:val="bottom"/>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1740" w:type="dxa"/>
            <w:vAlign w:val="bottom"/>
          </w:tcPr>
          <w:p>
            <w:pPr>
              <w:spacing w:after="0"/>
              <w:rPr>
                <w:sz w:val="20"/>
                <w:szCs w:val="20"/>
                <w:color w:val="auto"/>
              </w:rPr>
            </w:pPr>
            <w:r>
              <w:rPr>
                <w:rFonts w:ascii="Arial" w:cs="Arial" w:eastAsia="Arial" w:hAnsi="Arial"/>
                <w:sz w:val="18"/>
                <w:szCs w:val="18"/>
                <w:color w:val="auto"/>
              </w:rPr>
              <w:t>4.2 —</w:t>
            </w:r>
          </w:p>
        </w:tc>
        <w:tc>
          <w:tcPr>
            <w:tcW w:w="9600" w:type="dxa"/>
            <w:vAlign w:val="bottom"/>
            <w:tcBorders>
              <w:bottom w:val="single" w:sz="8" w:color="0000EE"/>
            </w:tcBorders>
            <w:gridSpan w:val="10"/>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Tax Benefit Protection Plan Agreement by and between IES Holdings, Inc. and American Stock Transfer &amp; Trust Company, LLC, as</w:t>
              </w:r>
            </w:hyperlink>
          </w:p>
        </w:tc>
      </w:tr>
      <w:tr>
        <w:trPr>
          <w:trHeight w:val="196"/>
        </w:trPr>
        <w:tc>
          <w:tcPr>
            <w:tcW w:w="1740" w:type="dxa"/>
            <w:vAlign w:val="bottom"/>
          </w:tcPr>
          <w:p>
            <w:pPr>
              <w:spacing w:after="0"/>
              <w:rPr>
                <w:sz w:val="17"/>
                <w:szCs w:val="17"/>
                <w:color w:val="auto"/>
              </w:rPr>
            </w:pPr>
          </w:p>
        </w:tc>
        <w:tc>
          <w:tcPr>
            <w:tcW w:w="9600" w:type="dxa"/>
            <w:vAlign w:val="bottom"/>
            <w:gridSpan w:val="10"/>
          </w:tcPr>
          <w:p>
            <w:pPr>
              <w:spacing w:after="0" w:line="19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Rights Agent, dated as of November 8, 2016, including the form of Rights Certificate and Summary of Stockholder Rights Plan</w:t>
              </w:r>
            </w:hyperlink>
          </w:p>
        </w:tc>
      </w:tr>
      <w:tr>
        <w:trPr>
          <w:trHeight w:val="20"/>
        </w:trPr>
        <w:tc>
          <w:tcPr>
            <w:tcW w:w="1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1740" w:type="dxa"/>
            <w:vAlign w:val="bottom"/>
          </w:tcPr>
          <w:p>
            <w:pPr>
              <w:spacing w:after="0"/>
              <w:rPr>
                <w:sz w:val="17"/>
                <w:szCs w:val="17"/>
                <w:color w:val="auto"/>
              </w:rPr>
            </w:pPr>
          </w:p>
        </w:tc>
        <w:tc>
          <w:tcPr>
            <w:tcW w:w="9600" w:type="dxa"/>
            <w:vAlign w:val="bottom"/>
            <w:gridSpan w:val="10"/>
          </w:tcPr>
          <w:p>
            <w:pPr>
              <w:spacing w:after="0" w:line="19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attached thereto as Exhibits A and B, respectively. (Incorporated by reference to Exhibit 4.1 to the Company’s Current Report on</w:t>
              </w:r>
            </w:hyperlink>
          </w:p>
        </w:tc>
      </w:tr>
      <w:tr>
        <w:trPr>
          <w:trHeight w:val="196"/>
        </w:trPr>
        <w:tc>
          <w:tcPr>
            <w:tcW w:w="1740" w:type="dxa"/>
            <w:vAlign w:val="bottom"/>
          </w:tcPr>
          <w:p>
            <w:pPr>
              <w:spacing w:after="0"/>
              <w:rPr>
                <w:sz w:val="17"/>
                <w:szCs w:val="17"/>
                <w:color w:val="auto"/>
              </w:rPr>
            </w:pPr>
          </w:p>
        </w:tc>
        <w:tc>
          <w:tcPr>
            <w:tcW w:w="9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Form 8-K filed on November 9, 2016)</w:t>
              </w:r>
            </w:hyperlink>
          </w:p>
        </w:tc>
        <w:tc>
          <w:tcPr>
            <w:tcW w:w="320" w:type="dxa"/>
            <w:vAlign w:val="bottom"/>
            <w:gridSpan w:val="2"/>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304"/>
        </w:trPr>
        <w:tc>
          <w:tcPr>
            <w:tcW w:w="1740" w:type="dxa"/>
            <w:vAlign w:val="bottom"/>
          </w:tcPr>
          <w:p>
            <w:pPr>
              <w:spacing w:after="0"/>
              <w:rPr>
                <w:sz w:val="20"/>
                <w:szCs w:val="20"/>
                <w:color w:val="auto"/>
              </w:rPr>
            </w:pPr>
            <w:r>
              <w:rPr>
                <w:rFonts w:ascii="Arial" w:cs="Arial" w:eastAsia="Arial" w:hAnsi="Arial"/>
                <w:sz w:val="18"/>
                <w:szCs w:val="18"/>
                <w:color w:val="auto"/>
              </w:rPr>
              <w:t>(1)31.1 —</w:t>
            </w:r>
          </w:p>
        </w:tc>
        <w:tc>
          <w:tcPr>
            <w:tcW w:w="51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Rule 13a-14(a)/15d-14(a) Certification of Robert W. Lewey, President,</w:t>
              </w:r>
            </w:hyperlink>
          </w:p>
        </w:tc>
        <w:tc>
          <w:tcPr>
            <w:tcW w:w="4500" w:type="dxa"/>
            <w:vAlign w:val="bottom"/>
            <w:gridSpan w:val="6"/>
          </w:tcPr>
          <w:p>
            <w:pPr>
              <w:spacing w:after="0"/>
              <w:rPr>
                <w:sz w:val="24"/>
                <w:szCs w:val="24"/>
                <w:color w:val="auto"/>
              </w:rPr>
            </w:pPr>
          </w:p>
        </w:tc>
      </w:tr>
      <w:tr>
        <w:trPr>
          <w:trHeight w:val="304"/>
        </w:trPr>
        <w:tc>
          <w:tcPr>
            <w:tcW w:w="1740" w:type="dxa"/>
            <w:vAlign w:val="bottom"/>
          </w:tcPr>
          <w:p>
            <w:pPr>
              <w:spacing w:after="0"/>
              <w:rPr>
                <w:sz w:val="20"/>
                <w:szCs w:val="20"/>
                <w:color w:val="auto"/>
              </w:rPr>
            </w:pPr>
            <w:r>
              <w:rPr>
                <w:rFonts w:ascii="Arial" w:cs="Arial" w:eastAsia="Arial" w:hAnsi="Arial"/>
                <w:sz w:val="18"/>
                <w:szCs w:val="18"/>
                <w:color w:val="auto"/>
              </w:rPr>
              <w:t>(1)31.2 —</w:t>
            </w:r>
          </w:p>
        </w:tc>
        <w:tc>
          <w:tcPr>
            <w:tcW w:w="9600" w:type="dxa"/>
            <w:vAlign w:val="bottom"/>
            <w:gridSpan w:val="10"/>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Rule 13a-14(a)/15d-14(a) Certification of Tracy A. McLauchlin, Senior Vice President, Chief Financial Officer and Treasurer</w:t>
              </w:r>
            </w:hyperlink>
          </w:p>
        </w:tc>
      </w:tr>
      <w:tr>
        <w:trPr>
          <w:trHeight w:val="304"/>
        </w:trPr>
        <w:tc>
          <w:tcPr>
            <w:tcW w:w="1740" w:type="dxa"/>
            <w:vAlign w:val="bottom"/>
          </w:tcPr>
          <w:p>
            <w:pPr>
              <w:spacing w:after="0"/>
              <w:rPr>
                <w:sz w:val="20"/>
                <w:szCs w:val="20"/>
                <w:color w:val="auto"/>
              </w:rPr>
            </w:pPr>
            <w:r>
              <w:rPr>
                <w:rFonts w:ascii="Arial" w:cs="Arial" w:eastAsia="Arial" w:hAnsi="Arial"/>
                <w:sz w:val="18"/>
                <w:szCs w:val="18"/>
                <w:color w:val="auto"/>
              </w:rPr>
              <w:t>(1)32.1 —</w:t>
            </w:r>
          </w:p>
        </w:tc>
        <w:tc>
          <w:tcPr>
            <w:tcW w:w="41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Section 1350 Certification of Robert W. Lewey, President</w:t>
              </w:r>
            </w:hyperlink>
          </w:p>
        </w:tc>
        <w:tc>
          <w:tcPr>
            <w:tcW w:w="4880" w:type="dxa"/>
            <w:vAlign w:val="bottom"/>
            <w:tcBorders>
              <w:top w:val="single" w:sz="8" w:color="0000EE"/>
            </w:tcBorders>
            <w:gridSpan w:val="3"/>
          </w:tcPr>
          <w:p>
            <w:pPr>
              <w:spacing w:after="0"/>
              <w:rPr>
                <w:sz w:val="24"/>
                <w:szCs w:val="24"/>
                <w:color w:val="auto"/>
              </w:rPr>
            </w:pPr>
          </w:p>
        </w:tc>
        <w:tc>
          <w:tcPr>
            <w:tcW w:w="560" w:type="dxa"/>
            <w:vAlign w:val="bottom"/>
            <w:gridSpan w:val="4"/>
          </w:tcPr>
          <w:p>
            <w:pPr>
              <w:spacing w:after="0"/>
              <w:rPr>
                <w:sz w:val="24"/>
                <w:szCs w:val="24"/>
                <w:color w:val="auto"/>
              </w:rPr>
            </w:pPr>
          </w:p>
        </w:tc>
      </w:tr>
      <w:tr>
        <w:trPr>
          <w:trHeight w:val="304"/>
        </w:trPr>
        <w:tc>
          <w:tcPr>
            <w:tcW w:w="1740" w:type="dxa"/>
            <w:vAlign w:val="bottom"/>
          </w:tcPr>
          <w:p>
            <w:pPr>
              <w:spacing w:after="0"/>
              <w:rPr>
                <w:sz w:val="20"/>
                <w:szCs w:val="20"/>
                <w:color w:val="auto"/>
              </w:rPr>
            </w:pPr>
            <w:r>
              <w:rPr>
                <w:rFonts w:ascii="Arial" w:cs="Arial" w:eastAsia="Arial" w:hAnsi="Arial"/>
                <w:sz w:val="18"/>
                <w:szCs w:val="18"/>
                <w:color w:val="auto"/>
              </w:rPr>
              <w:t>(1)32.2 —</w:t>
            </w:r>
          </w:p>
        </w:tc>
        <w:tc>
          <w:tcPr>
            <w:tcW w:w="960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Section 1350 Certification of Tracy A. McLauchlin, Senior Vice President, Chief Financial Officer and Treasurer</w:t>
              </w:r>
            </w:hyperlink>
          </w:p>
        </w:tc>
      </w:tr>
      <w:tr>
        <w:trPr>
          <w:trHeight w:val="345"/>
        </w:trPr>
        <w:tc>
          <w:tcPr>
            <w:tcW w:w="1740" w:type="dxa"/>
            <w:vAlign w:val="bottom"/>
          </w:tcPr>
          <w:p>
            <w:pPr>
              <w:spacing w:after="0"/>
              <w:rPr>
                <w:sz w:val="20"/>
                <w:szCs w:val="20"/>
                <w:color w:val="auto"/>
              </w:rPr>
            </w:pPr>
            <w:r>
              <w:rPr>
                <w:rFonts w:ascii="Arial" w:cs="Arial" w:eastAsia="Arial" w:hAnsi="Arial"/>
                <w:sz w:val="18"/>
                <w:szCs w:val="18"/>
                <w:color w:val="auto"/>
              </w:rPr>
              <w:t>(1)101.INS</w:t>
            </w:r>
          </w:p>
        </w:tc>
        <w:tc>
          <w:tcPr>
            <w:tcW w:w="81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1460" w:type="dxa"/>
            <w:vAlign w:val="bottom"/>
            <w:gridSpan w:val="5"/>
          </w:tcPr>
          <w:p>
            <w:pPr>
              <w:spacing w:after="0"/>
              <w:rPr>
                <w:sz w:val="24"/>
                <w:szCs w:val="24"/>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(1)101.SCH</w:t>
            </w:r>
          </w:p>
        </w:tc>
        <w:tc>
          <w:tcPr>
            <w:tcW w:w="9600" w:type="dxa"/>
            <w:vAlign w:val="bottom"/>
            <w:gridSpan w:val="10"/>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(1)101.LAB</w:t>
            </w:r>
          </w:p>
        </w:tc>
        <w:tc>
          <w:tcPr>
            <w:tcW w:w="9600" w:type="dxa"/>
            <w:vAlign w:val="bottom"/>
            <w:gridSpan w:val="10"/>
          </w:tcPr>
          <w:p>
            <w:pPr>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(1)101.PRE</w:t>
            </w:r>
          </w:p>
        </w:tc>
        <w:tc>
          <w:tcPr>
            <w:tcW w:w="9600" w:type="dxa"/>
            <w:vAlign w:val="bottom"/>
            <w:gridSpan w:val="10"/>
          </w:tcPr>
          <w:p>
            <w:pPr>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(1)101.DEF</w:t>
            </w:r>
          </w:p>
        </w:tc>
        <w:tc>
          <w:tcPr>
            <w:tcW w:w="9600" w:type="dxa"/>
            <w:vAlign w:val="bottom"/>
            <w:gridSpan w:val="10"/>
          </w:tcPr>
          <w:p>
            <w:pPr>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(1)101.CAL</w:t>
            </w:r>
          </w:p>
        </w:tc>
        <w:tc>
          <w:tcPr>
            <w:tcW w:w="9600" w:type="dxa"/>
            <w:vAlign w:val="bottom"/>
            <w:gridSpan w:val="10"/>
          </w:tcPr>
          <w:p>
            <w:pPr>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(1)</w:t>
            </w:r>
          </w:p>
        </w:tc>
        <w:tc>
          <w:tcPr>
            <w:tcW w:w="9600" w:type="dxa"/>
            <w:vAlign w:val="bottom"/>
            <w:gridSpan w:val="10"/>
          </w:tcPr>
          <w:p>
            <w:pPr>
              <w:spacing w:after="0"/>
              <w:rPr>
                <w:sz w:val="20"/>
                <w:szCs w:val="20"/>
                <w:color w:val="auto"/>
              </w:rPr>
            </w:pPr>
            <w:r>
              <w:rPr>
                <w:rFonts w:ascii="Arial" w:cs="Arial" w:eastAsia="Arial" w:hAnsi="Arial"/>
                <w:sz w:val="18"/>
                <w:szCs w:val="18"/>
                <w:color w:val="auto"/>
              </w:rPr>
              <w:t>Filed herewith.</w:t>
            </w:r>
          </w:p>
        </w:tc>
      </w:tr>
      <w:tr>
        <w:trPr>
          <w:trHeight w:val="365"/>
        </w:trPr>
        <w:tc>
          <w:tcPr>
            <w:tcW w:w="1740" w:type="dxa"/>
            <w:vAlign w:val="bottom"/>
          </w:tcPr>
          <w:p>
            <w:pPr>
              <w:spacing w:after="0"/>
              <w:rPr>
                <w:sz w:val="24"/>
                <w:szCs w:val="24"/>
                <w:color w:val="auto"/>
              </w:rPr>
            </w:pPr>
          </w:p>
        </w:tc>
        <w:tc>
          <w:tcPr>
            <w:tcW w:w="4160" w:type="dxa"/>
            <w:vAlign w:val="bottom"/>
            <w:gridSpan w:val="3"/>
          </w:tcPr>
          <w:p>
            <w:pPr>
              <w:ind w:left="3880"/>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365" w:right="319" w:bottom="1440" w:gutter="0" w:footer="0" w:header="0"/>
        </w:sectPr>
      </w:pPr>
    </w:p>
    <w:bookmarkStart w:id="39" w:name="page40"/>
    <w:bookmarkEnd w:id="39"/>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May 4, 2018.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IES HOLDINGS, INC.</w:t>
      </w: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TRACY A. MCLAUCHLIN</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jc w:val="center"/>
        <w:ind w:left="7180"/>
        <w:spacing w:after="0"/>
        <w:rPr>
          <w:sz w:val="20"/>
          <w:szCs w:val="20"/>
          <w:color w:val="auto"/>
        </w:rPr>
      </w:pPr>
      <w:r>
        <w:rPr>
          <w:rFonts w:ascii="Arial" w:cs="Arial" w:eastAsia="Arial" w:hAnsi="Arial"/>
          <w:sz w:val="17"/>
          <w:szCs w:val="17"/>
          <w:color w:val="auto"/>
        </w:rPr>
        <w:t>Senior Vice President, Chief Financial Officer and</w:t>
      </w:r>
    </w:p>
    <w:p>
      <w:pPr>
        <w:spacing w:after="0" w:line="21" w:lineRule="exact"/>
        <w:rPr>
          <w:sz w:val="20"/>
          <w:szCs w:val="20"/>
          <w:color w:val="auto"/>
        </w:rPr>
      </w:pPr>
    </w:p>
    <w:p>
      <w:pPr>
        <w:jc w:val="center"/>
        <w:ind w:left="7180"/>
        <w:spacing w:after="0"/>
        <w:rPr>
          <w:sz w:val="20"/>
          <w:szCs w:val="20"/>
          <w:color w:val="auto"/>
        </w:rPr>
      </w:pPr>
      <w:r>
        <w:rPr>
          <w:rFonts w:ascii="Arial" w:cs="Arial" w:eastAsia="Arial" w:hAnsi="Arial"/>
          <w:sz w:val="16"/>
          <w:szCs w:val="16"/>
          <w:color w:val="auto"/>
        </w:rPr>
        <w:t>Treasurer (Principal Financial Officer and Authorized</w:t>
      </w:r>
    </w:p>
    <w:p>
      <w:pPr>
        <w:spacing w:after="0" w:line="32"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Signatory)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270"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117"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464"/>
        <w:spacing w:after="0" w:line="264" w:lineRule="auto"/>
        <w:tabs>
          <w:tab w:leader="none" w:pos="7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464"/>
        <w:spacing w:after="0" w:line="277" w:lineRule="auto"/>
        <w:tabs>
          <w:tab w:leader="none" w:pos="6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68"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ROBERT W. LEWEY</w:t>
      </w:r>
    </w:p>
    <w:p>
      <w:pPr>
        <w:spacing w:after="0" w:line="23"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117"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64"/>
        <w:spacing w:after="0" w:line="277"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500" w:firstLine="464"/>
        <w:spacing w:after="0" w:line="264" w:lineRule="auto"/>
        <w:tabs>
          <w:tab w:leader="none" w:pos="7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40" w:firstLine="464"/>
        <w:spacing w:after="0" w:line="342" w:lineRule="auto"/>
        <w:tabs>
          <w:tab w:leader="none" w:pos="7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464"/>
        <w:spacing w:after="0" w:line="264"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464"/>
        <w:spacing w:after="0" w:line="308" w:lineRule="auto"/>
        <w:tabs>
          <w:tab w:leader="none" w:pos="63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4"/>
        <w:spacing w:after="0" w:line="277" w:lineRule="auto"/>
        <w:tabs>
          <w:tab w:leader="none" w:pos="6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68"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TRACY A. MCLAUCHLIN</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90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1" w:lineRule="exact"/>
        <w:rPr>
          <w:sz w:val="20"/>
          <w:szCs w:val="20"/>
          <w:color w:val="auto"/>
        </w:rPr>
      </w:pPr>
    </w:p>
    <w:p>
      <w:pPr>
        <w:jc w:val="center"/>
        <w:ind w:left="6900"/>
        <w:spacing w:after="0"/>
        <w:rPr>
          <w:sz w:val="20"/>
          <w:szCs w:val="20"/>
          <w:color w:val="auto"/>
        </w:rPr>
      </w:pPr>
      <w:r>
        <w:rPr>
          <w:rFonts w:ascii="Arial" w:cs="Arial" w:eastAsia="Arial" w:hAnsi="Arial"/>
          <w:sz w:val="18"/>
          <w:szCs w:val="18"/>
          <w:color w:val="auto"/>
        </w:rPr>
        <w:t>as Principal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connection with this Quarterly Report of IES Holdings, Inc. (the “Company”) on Form 10-Q for the period ending March 31, 2018 (the “Report”), I, Robert W. Lewey, President of the Company, certify, pursuant to 18 U.S.C. § 1350, as adopted pursuant to § 906 of the Sarbanes-Oxley Act of 2002, that:</w:t>
      </w:r>
    </w:p>
    <w:p>
      <w:pPr>
        <w:spacing w:after="0" w:line="1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7"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 May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W. LEWEY</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as Principal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this Quarterly Report of IES Holdings, Inc. (the “Company”) on Form 10-Q for the period ending March 31, 2018 (the “Report”), I, Tracy A. McLauchlin, Senior Vice President, Chief Financial Officer and Treasurer of the Company, certify, pursuant to 18 U.S.C. § 1350, as adopted pursuant to</w:t>
      </w: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237"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4, 2018</w:t>
            </w:r>
          </w:p>
        </w:tc>
        <w:tc>
          <w:tcPr>
            <w:tcW w:w="7820" w:type="dxa"/>
            <w:vAlign w:val="bottom"/>
            <w:gridSpan w:val="2"/>
          </w:tcPr>
          <w:p>
            <w:pPr>
              <w:ind w:left="2240"/>
              <w:spacing w:after="0"/>
              <w:rPr>
                <w:sz w:val="20"/>
                <w:szCs w:val="20"/>
                <w:color w:val="auto"/>
              </w:rPr>
            </w:pPr>
            <w:r>
              <w:rPr>
                <w:rFonts w:ascii="Arial" w:cs="Arial" w:eastAsia="Arial" w:hAnsi="Arial"/>
                <w:sz w:val="18"/>
                <w:szCs w:val="18"/>
                <w:color w:val="auto"/>
              </w:rPr>
              <w:t>By:  /s/ TRACY A. MCLAUCHLIN</w:t>
            </w:r>
          </w:p>
        </w:tc>
      </w:tr>
      <w:tr>
        <w:trPr>
          <w:trHeight w:val="195"/>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40" w:type="dxa"/>
            <w:vAlign w:val="bottom"/>
            <w:tcBorders>
              <w:top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95"/>
              </w:rPr>
              <w:t>Tracy A. McLauchlin</w:t>
            </w: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jc w:val="center"/>
              <w:ind w:left="30"/>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jc w:val="center"/>
              <w:ind w:left="30"/>
              <w:spacing w:after="0"/>
              <w:rPr>
                <w:sz w:val="20"/>
                <w:szCs w:val="20"/>
                <w:color w:val="auto"/>
              </w:rPr>
            </w:pPr>
            <w:r>
              <w:rPr>
                <w:rFonts w:ascii="Arial" w:cs="Arial" w:eastAsia="Arial" w:hAnsi="Arial"/>
                <w:sz w:val="18"/>
                <w:szCs w:val="18"/>
                <w:color w:val="auto"/>
                <w:w w:val="92"/>
              </w:rPr>
              <w:t>as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4" Type="http://schemas.openxmlformats.org/officeDocument/2006/relationships/hyperlink" Target="http://www.sec.gov/Archives/edgar/data/1048268/000119312516621943/d148351dex21.htm" TargetMode="External"/><Relationship Id="rId55" Type="http://schemas.openxmlformats.org/officeDocument/2006/relationships/hyperlink" Target="http://www.sec.gov/Archives/edgar/data/1048268/000119312516674386/d211495dex31.htm" TargetMode="External"/><Relationship Id="rId56" Type="http://schemas.openxmlformats.org/officeDocument/2006/relationships/hyperlink" Target="http://www.sec.gov/Archives/edgar/data/1048268/000119312513026383/d474722dex31.htm" TargetMode="External"/><Relationship Id="rId57" Type="http://schemas.openxmlformats.org/officeDocument/2006/relationships/hyperlink" Target="http://www.sec.gov/Archives/edgar/data/1048268/000119312516600652/d197326dex32.htm" TargetMode="External"/><Relationship Id="rId59" Type="http://schemas.openxmlformats.org/officeDocument/2006/relationships/hyperlink" Target="http://www.sec.gov/Archives/edgar/data/1048268/000119312516789187/d310826dex41.htm" TargetMode="External"/><Relationship Id="rId60" Type="http://schemas.openxmlformats.org/officeDocument/2006/relationships/hyperlink" Target="http://www.sec.gov/Archives/edgar/data/1048268/000119312516763155/d4876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2019-12-28T22:34:59Z</dcterms:created>
  <dcterms:modified xsi:type="dcterms:W3CDTF">2019-12-28T22:34:59Z</dcterms:modified>
</cp:coreProperties>
</file>