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342265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90170</wp:posOffset>
            </wp:positionV>
            <wp:extent cx="21437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31115</wp:posOffset>
            </wp:positionV>
            <wp:extent cx="2143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0" w:lineRule="exact"/>
        <w:rPr>
          <w:sz w:val="24"/>
          <w:szCs w:val="24"/>
          <w:color w:val="auto"/>
        </w:rPr>
      </w:pPr>
    </w:p>
    <w:p>
      <w:pPr>
        <w:ind w:left="280" w:hanging="245"/>
        <w:spacing w:after="0"/>
        <w:tabs>
          <w:tab w:leader="none" w:pos="2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5" w:lineRule="exact"/>
        <w:rPr>
          <w:rFonts w:ascii="MS PGothic" w:cs="MS PGothic" w:eastAsia="MS PGothic" w:hAnsi="MS PGothic"/>
          <w:sz w:val="22"/>
          <w:szCs w:val="22"/>
          <w:color w:val="auto"/>
        </w:rPr>
      </w:pPr>
    </w:p>
    <w:p>
      <w:pPr>
        <w:ind w:left="4100"/>
        <w:spacing w:after="0"/>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For the fiscal year ended September 30, 2019</w:t>
      </w:r>
    </w:p>
    <w:p>
      <w:pPr>
        <w:spacing w:after="0" w:line="73"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280" w:hanging="245"/>
        <w:spacing w:after="0"/>
        <w:tabs>
          <w:tab w:leader="none" w:pos="2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-3175</wp:posOffset>
            </wp:positionV>
            <wp:extent cx="1165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13335</wp:posOffset>
            </wp:positionV>
            <wp:extent cx="120078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78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IES Holdings, Inc.</w:t>
      </w:r>
    </w:p>
    <w:p>
      <w:pPr>
        <w:spacing w:after="0" w:line="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80"/>
          </w:cols>
          <w:pgMar w:left="240" w:top="639" w:right="379" w:bottom="1440" w:gutter="0" w:footer="0" w:header="0"/>
        </w:sectPr>
      </w:pPr>
    </w:p>
    <w:p>
      <w:pPr>
        <w:spacing w:after="0" w:line="14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76-0542208</w:t>
      </w:r>
    </w:p>
    <w:p>
      <w:pPr>
        <w:spacing w:after="0" w:line="64" w:lineRule="exact"/>
        <w:rPr>
          <w:sz w:val="24"/>
          <w:szCs w:val="24"/>
          <w:color w:val="auto"/>
        </w:rPr>
      </w:pPr>
    </w:p>
    <w:p>
      <w:pPr>
        <w:sectPr>
          <w:pgSz w:w="11900" w:h="16838" w:orient="portrait"/>
          <w:cols w:equalWidth="0" w:num="2">
            <w:col w:w="7240" w:space="720"/>
            <w:col w:w="3320"/>
          </w:cols>
          <w:pgMar w:left="240" w:top="639" w:right="37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9" w:lineRule="exact"/>
        <w:rPr>
          <w:sz w:val="24"/>
          <w:szCs w:val="24"/>
          <w:color w:val="auto"/>
        </w:rPr>
      </w:pPr>
    </w:p>
    <w:p>
      <w:pPr>
        <w:sectPr>
          <w:pgSz w:w="11900" w:h="16838" w:orient="portrait"/>
          <w:cols w:equalWidth="0" w:num="2">
            <w:col w:w="6540" w:space="720"/>
            <w:col w:w="4020"/>
          </w:cols>
          <w:pgMar w:left="240" w:top="639" w:right="379" w:bottom="1440" w:gutter="0" w:footer="0" w:header="0"/>
          <w:type w:val="continuous"/>
        </w:sectPr>
      </w:pPr>
    </w:p>
    <w:p>
      <w:pPr>
        <w:ind w:left="3760"/>
        <w:spacing w:after="0"/>
        <w:rPr>
          <w:sz w:val="20"/>
          <w:szCs w:val="20"/>
          <w:color w:val="auto"/>
        </w:rPr>
      </w:pPr>
      <w:r>
        <w:rPr>
          <w:rFonts w:ascii="Times New Roman" w:cs="Times New Roman" w:eastAsia="Times New Roman" w:hAnsi="Times New Roman"/>
          <w:sz w:val="16"/>
          <w:szCs w:val="16"/>
          <w:b w:val="1"/>
          <w:bCs w:val="1"/>
          <w:color w:val="auto"/>
        </w:rPr>
        <w:t>5433 Westheimer Road, Suite 500, Houston, Texas 77056</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(713) 860-1500</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60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4300" w:type="dxa"/>
            <w:vAlign w:val="bottom"/>
          </w:tcPr>
          <w:p>
            <w:pPr>
              <w:spacing w:after="0"/>
              <w:rPr>
                <w:sz w:val="17"/>
                <w:szCs w:val="17"/>
                <w:color w:val="auto"/>
              </w:rPr>
            </w:pPr>
          </w:p>
        </w:tc>
      </w:tr>
      <w:tr>
        <w:trPr>
          <w:trHeight w:val="212"/>
        </w:trPr>
        <w:tc>
          <w:tcPr>
            <w:tcW w:w="4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43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4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7"/>
        </w:trPr>
        <w:tc>
          <w:tcPr>
            <w:tcW w:w="4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IESC</w:t>
            </w:r>
          </w:p>
        </w:tc>
        <w:tc>
          <w:tcPr>
            <w:tcW w:w="4300" w:type="dxa"/>
            <w:vAlign w:val="bottom"/>
          </w:tcPr>
          <w:p>
            <w:pPr>
              <w:ind w:left="1260"/>
              <w:spacing w:after="0"/>
              <w:rPr>
                <w:sz w:val="20"/>
                <w:szCs w:val="20"/>
                <w:color w:val="auto"/>
              </w:rPr>
            </w:pPr>
            <w:r>
              <w:rPr>
                <w:rFonts w:ascii="Times New Roman" w:cs="Times New Roman" w:eastAsia="Times New Roman" w:hAnsi="Times New Roman"/>
                <w:sz w:val="16"/>
                <w:szCs w:val="16"/>
                <w:b w:val="1"/>
                <w:bCs w:val="1"/>
                <w:color w:val="auto"/>
              </w:rPr>
              <w:t>NASDAQ Global Market</w:t>
            </w:r>
          </w:p>
        </w:tc>
      </w:tr>
      <w:tr>
        <w:trPr>
          <w:trHeight w:val="257"/>
        </w:trPr>
        <w:tc>
          <w:tcPr>
            <w:tcW w:w="4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Rights to Purchase Preferred Stock</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IESC</w:t>
            </w:r>
          </w:p>
        </w:tc>
        <w:tc>
          <w:tcPr>
            <w:tcW w:w="4300" w:type="dxa"/>
            <w:vAlign w:val="bottom"/>
          </w:tcPr>
          <w:p>
            <w:pPr>
              <w:ind w:left="1260"/>
              <w:spacing w:after="0"/>
              <w:rPr>
                <w:sz w:val="20"/>
                <w:szCs w:val="20"/>
                <w:color w:val="auto"/>
              </w:rPr>
            </w:pPr>
            <w:r>
              <w:rPr>
                <w:rFonts w:ascii="Times New Roman" w:cs="Times New Roman" w:eastAsia="Times New Roman" w:hAnsi="Times New Roman"/>
                <w:sz w:val="16"/>
                <w:szCs w:val="16"/>
                <w:b w:val="1"/>
                <w:bCs w:val="1"/>
                <w:color w:val="auto"/>
              </w:rPr>
              <w:t>NASDAQ Global Market</w:t>
            </w:r>
          </w:p>
        </w:tc>
      </w:tr>
    </w:tbl>
    <w:p>
      <w:pPr>
        <w:spacing w:after="0" w:line="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3" w:lineRule="exact"/>
        <w:rPr>
          <w:sz w:val="24"/>
          <w:szCs w:val="24"/>
          <w:color w:val="auto"/>
        </w:rPr>
      </w:pPr>
    </w:p>
    <w:p>
      <w:pPr>
        <w:ind w:left="40" w:right="252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left="40" w:right="180" w:hanging="40"/>
        <w:spacing w:after="0" w:line="25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42" w:lineRule="exact"/>
        <w:rPr>
          <w:sz w:val="24"/>
          <w:szCs w:val="24"/>
          <w:color w:val="auto"/>
        </w:rPr>
      </w:pPr>
    </w:p>
    <w:p>
      <w:pPr>
        <w:ind w:right="220" w:firstLine="41"/>
        <w:spacing w:after="0" w:line="24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9" w:lineRule="exact"/>
        <w:rPr>
          <w:sz w:val="24"/>
          <w:szCs w:val="24"/>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29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80" w:type="dxa"/>
            <w:vAlign w:val="bottom"/>
          </w:tcPr>
          <w:p>
            <w:pPr>
              <w:ind w:left="420"/>
              <w:spacing w:after="0" w:line="201" w:lineRule="exact"/>
              <w:rPr>
                <w:sz w:val="20"/>
                <w:szCs w:val="20"/>
                <w:color w:val="auto"/>
              </w:rPr>
            </w:pPr>
            <w:r>
              <w:rPr>
                <w:rFonts w:ascii="MS PGothic" w:cs="MS PGothic" w:eastAsia="MS PGothic" w:hAnsi="MS PGothic"/>
                <w:sz w:val="20"/>
                <w:szCs w:val="20"/>
                <w:color w:val="auto"/>
              </w:rPr>
              <w:t>☐</w:t>
            </w:r>
          </w:p>
        </w:tc>
        <w:tc>
          <w:tcPr>
            <w:tcW w:w="43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9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80" w:type="dxa"/>
            <w:vAlign w:val="bottom"/>
          </w:tcPr>
          <w:p>
            <w:pPr>
              <w:ind w:left="420"/>
              <w:spacing w:after="0" w:line="201" w:lineRule="exact"/>
              <w:rPr>
                <w:sz w:val="20"/>
                <w:szCs w:val="20"/>
                <w:color w:val="auto"/>
              </w:rPr>
            </w:pPr>
            <w:r>
              <w:rPr>
                <w:rFonts w:ascii="MS PGothic" w:cs="MS PGothic" w:eastAsia="MS PGothic" w:hAnsi="MS PGothic"/>
                <w:sz w:val="20"/>
                <w:szCs w:val="20"/>
                <w:color w:val="auto"/>
              </w:rPr>
              <w:t>☐</w:t>
            </w:r>
          </w:p>
        </w:tc>
        <w:tc>
          <w:tcPr>
            <w:tcW w:w="43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780" w:type="dxa"/>
            <w:vAlign w:val="bottom"/>
          </w:tcPr>
          <w:p>
            <w:pPr>
              <w:ind w:left="420"/>
              <w:spacing w:after="0" w:line="201" w:lineRule="exact"/>
              <w:rPr>
                <w:sz w:val="20"/>
                <w:szCs w:val="20"/>
                <w:color w:val="auto"/>
              </w:rPr>
            </w:pPr>
            <w:r>
              <w:rPr>
                <w:rFonts w:ascii="MS PGothic" w:cs="MS PGothic" w:eastAsia="MS PGothic" w:hAnsi="MS PGothic"/>
                <w:sz w:val="20"/>
                <w:szCs w:val="20"/>
                <w:color w:val="auto"/>
              </w:rPr>
              <w:t>☐</w:t>
            </w:r>
          </w:p>
        </w:tc>
        <w:tc>
          <w:tcPr>
            <w:tcW w:w="4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 w:lineRule="exact"/>
        <w:rPr>
          <w:sz w:val="24"/>
          <w:szCs w:val="24"/>
          <w:color w:val="auto"/>
        </w:rPr>
      </w:pPr>
    </w:p>
    <w:p>
      <w:pPr>
        <w:ind w:right="20"/>
        <w:spacing w:after="0" w:line="24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106"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stock of the registrant held by non-affiliates as of March 31, 2019, was approximately $148.9 million. On December 4, 2019, there were 21,158,207 shares of common stock outstanding.</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Certain information contained in the Proxy Statement for the 2020 Annual Meeting of Stockholders of the Registrant to be held on February 19, 2020,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639" w:right="37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IES HOLDINGS,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gridSpan w:val="2"/>
            <w:vMerge w:val="restart"/>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470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Borders>
              <w:bottom w:val="single" w:sz="8" w:color="0000EE"/>
            </w:tcBorders>
            <w:gridSpan w:val="2"/>
            <w:vMerge w:val="continue"/>
          </w:tcPr>
          <w:p>
            <w:pPr>
              <w:spacing w:after="0"/>
              <w:rPr>
                <w:sz w:val="17"/>
                <w:szCs w:val="17"/>
                <w:color w:val="auto"/>
              </w:rPr>
            </w:pPr>
          </w:p>
        </w:tc>
        <w:tc>
          <w:tcPr>
            <w:tcW w:w="47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DEFINITIONS</w:t>
              </w:r>
            </w:hyperlink>
          </w:p>
        </w:tc>
        <w:tc>
          <w:tcPr>
            <w:tcW w:w="8820" w:type="dxa"/>
            <w:vAlign w:val="bottom"/>
            <w:gridSpan w:val="10"/>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DISCLOSURE REGARDING FORWARD LOOKING STATEMENTS</w:t>
              </w:r>
            </w:hyperlink>
          </w:p>
        </w:tc>
        <w:tc>
          <w:tcPr>
            <w:tcW w:w="4760" w:type="dxa"/>
            <w:vAlign w:val="bottom"/>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9060" w:type="dxa"/>
            <w:vAlign w:val="bottom"/>
            <w:gridSpan w:val="1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0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0"/>
              </w:rPr>
            </w:pPr>
            <w:hyperlink w:anchor="page13">
              <w:r>
                <w:rPr>
                  <w:rFonts w:ascii="Times New Roman" w:cs="Times New Roman" w:eastAsia="Times New Roman" w:hAnsi="Times New Roman"/>
                  <w:sz w:val="18"/>
                  <w:szCs w:val="18"/>
                  <w:color w:val="0000EE"/>
                  <w:w w:val="90"/>
                </w:rPr>
                <w:t>Item 1A.</w:t>
              </w:r>
            </w:hyperlink>
          </w:p>
        </w:tc>
        <w:tc>
          <w:tcPr>
            <w:tcW w:w="260" w:type="dxa"/>
            <w:vAlign w:val="bottom"/>
          </w:tcPr>
          <w:p>
            <w:pPr>
              <w:spacing w:after="0"/>
              <w:rPr>
                <w:sz w:val="21"/>
                <w:szCs w:val="21"/>
                <w:color w:val="auto"/>
              </w:rPr>
            </w:pPr>
          </w:p>
        </w:tc>
        <w:tc>
          <w:tcPr>
            <w:tcW w:w="1260" w:type="dxa"/>
            <w:vAlign w:val="bottom"/>
            <w:gridSpan w:val="4"/>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7800" w:type="dxa"/>
            <w:vAlign w:val="bottom"/>
            <w:gridSpan w:val="7"/>
          </w:tcPr>
          <w:p>
            <w:pPr>
              <w:spacing w:after="0"/>
              <w:rPr>
                <w:sz w:val="21"/>
                <w:szCs w:val="21"/>
                <w:color w:val="auto"/>
              </w:rPr>
            </w:pPr>
          </w:p>
        </w:tc>
        <w:tc>
          <w:tcPr>
            <w:tcW w:w="10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11</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1"/>
              </w:rPr>
            </w:pPr>
            <w:hyperlink w:anchor="page19">
              <w:r>
                <w:rPr>
                  <w:rFonts w:ascii="Times New Roman" w:cs="Times New Roman" w:eastAsia="Times New Roman" w:hAnsi="Times New Roman"/>
                  <w:sz w:val="18"/>
                  <w:szCs w:val="18"/>
                  <w:color w:val="0000EE"/>
                  <w:w w:val="91"/>
                </w:rPr>
                <w:t>Item 1B.</w:t>
              </w:r>
            </w:hyperlink>
          </w:p>
        </w:tc>
        <w:tc>
          <w:tcPr>
            <w:tcW w:w="260" w:type="dxa"/>
            <w:vAlign w:val="bottom"/>
          </w:tcPr>
          <w:p>
            <w:pPr>
              <w:spacing w:after="0"/>
              <w:rPr>
                <w:sz w:val="21"/>
                <w:szCs w:val="21"/>
                <w:color w:val="auto"/>
              </w:rPr>
            </w:pPr>
          </w:p>
        </w:tc>
        <w:tc>
          <w:tcPr>
            <w:tcW w:w="9060" w:type="dxa"/>
            <w:vAlign w:val="bottom"/>
            <w:gridSpan w:val="11"/>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UNRESOLVED STAFF COMMENTS</w:t>
              </w:r>
            </w:hyperlink>
          </w:p>
        </w:tc>
        <w:tc>
          <w:tcPr>
            <w:tcW w:w="106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w:t>
              </w:r>
            </w:hyperlink>
          </w:p>
        </w:tc>
        <w:tc>
          <w:tcPr>
            <w:tcW w:w="260" w:type="dxa"/>
            <w:vAlign w:val="bottom"/>
          </w:tcPr>
          <w:p>
            <w:pPr>
              <w:spacing w:after="0"/>
              <w:rPr>
                <w:sz w:val="21"/>
                <w:szCs w:val="21"/>
                <w:color w:val="auto"/>
              </w:rPr>
            </w:pPr>
          </w:p>
        </w:tc>
        <w:tc>
          <w:tcPr>
            <w:tcW w:w="2820" w:type="dxa"/>
            <w:vAlign w:val="bottom"/>
            <w:gridSpan w:val="7"/>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PROPERTIES</w:t>
              </w:r>
            </w:hyperlink>
          </w:p>
        </w:tc>
        <w:tc>
          <w:tcPr>
            <w:tcW w:w="6240" w:type="dxa"/>
            <w:vAlign w:val="bottom"/>
            <w:gridSpan w:val="4"/>
          </w:tcPr>
          <w:p>
            <w:pPr>
              <w:spacing w:after="0"/>
              <w:rPr>
                <w:sz w:val="21"/>
                <w:szCs w:val="21"/>
                <w:color w:val="auto"/>
              </w:rPr>
            </w:pPr>
          </w:p>
        </w:tc>
        <w:tc>
          <w:tcPr>
            <w:tcW w:w="106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w:t>
              </w:r>
            </w:hyperlink>
          </w:p>
        </w:tc>
        <w:tc>
          <w:tcPr>
            <w:tcW w:w="9060" w:type="dxa"/>
            <w:vAlign w:val="bottom"/>
            <w:gridSpan w:val="1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106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4.</w:t>
              </w:r>
            </w:hyperlink>
          </w:p>
        </w:tc>
        <w:tc>
          <w:tcPr>
            <w:tcW w:w="9060" w:type="dxa"/>
            <w:vAlign w:val="bottom"/>
            <w:gridSpan w:val="1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MINE SAFETY DISCLOSURES</w:t>
              </w:r>
            </w:hyperlink>
          </w:p>
        </w:tc>
        <w:tc>
          <w:tcPr>
            <w:tcW w:w="106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4"/>
              </w:rPr>
            </w:pPr>
            <w:hyperlink w:anchor="page21">
              <w:r>
                <w:rPr>
                  <w:rFonts w:ascii="Times New Roman" w:cs="Times New Roman" w:eastAsia="Times New Roman" w:hAnsi="Times New Roman"/>
                  <w:sz w:val="18"/>
                  <w:szCs w:val="18"/>
                  <w:b w:val="1"/>
                  <w:bCs w:val="1"/>
                  <w:color w:val="0000EE"/>
                  <w:w w:val="94"/>
                </w:rPr>
                <w:t>PART II</w:t>
              </w:r>
            </w:hyperlink>
          </w:p>
        </w:tc>
        <w:tc>
          <w:tcPr>
            <w:tcW w:w="450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5.</w:t>
              </w:r>
            </w:hyperlink>
          </w:p>
        </w:tc>
        <w:tc>
          <w:tcPr>
            <w:tcW w:w="8900" w:type="dxa"/>
            <w:vAlign w:val="bottom"/>
            <w:gridSpan w:val="1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MARKET FOR REGISTRANT'S COMMON EQUITY, RELATED STOCKHOLDER MATTERS AND ISSUER</w:t>
              </w:r>
            </w:hyperlink>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PURCHASES OF EQUITY SECURITIES</w:t>
              </w:r>
            </w:hyperlink>
          </w:p>
        </w:tc>
        <w:tc>
          <w:tcPr>
            <w:tcW w:w="660" w:type="dxa"/>
            <w:vAlign w:val="bottom"/>
          </w:tcPr>
          <w:p>
            <w:pPr>
              <w:spacing w:after="0"/>
              <w:rPr>
                <w:sz w:val="17"/>
                <w:szCs w:val="17"/>
                <w:color w:val="auto"/>
              </w:rPr>
            </w:pPr>
          </w:p>
        </w:tc>
        <w:tc>
          <w:tcPr>
            <w:tcW w:w="122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6.</w:t>
              </w:r>
            </w:hyperlink>
          </w:p>
        </w:tc>
        <w:tc>
          <w:tcPr>
            <w:tcW w:w="3100" w:type="dxa"/>
            <w:vAlign w:val="bottom"/>
            <w:gridSpan w:val="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SELECTED FINANCIAL DATA</w:t>
              </w:r>
            </w:hyperlink>
          </w:p>
        </w:tc>
        <w:tc>
          <w:tcPr>
            <w:tcW w:w="5800" w:type="dxa"/>
            <w:vAlign w:val="bottom"/>
            <w:gridSpan w:val="7"/>
          </w:tcPr>
          <w:p>
            <w:pPr>
              <w:spacing w:after="0"/>
              <w:rPr>
                <w:sz w:val="21"/>
                <w:szCs w:val="21"/>
                <w:color w:val="auto"/>
              </w:rPr>
            </w:pPr>
          </w:p>
        </w:tc>
        <w:tc>
          <w:tcPr>
            <w:tcW w:w="1220" w:type="dxa"/>
            <w:vAlign w:val="bottom"/>
            <w:gridSpan w:val="2"/>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7.</w:t>
              </w:r>
            </w:hyperlink>
          </w:p>
        </w:tc>
        <w:tc>
          <w:tcPr>
            <w:tcW w:w="8900" w:type="dxa"/>
            <w:vAlign w:val="bottom"/>
            <w:gridSpan w:val="12"/>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220" w:type="dxa"/>
            <w:vAlign w:val="bottom"/>
            <w:gridSpan w:val="2"/>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0"/>
              </w:rPr>
            </w:pPr>
            <w:hyperlink w:anchor="page39">
              <w:r>
                <w:rPr>
                  <w:rFonts w:ascii="Times New Roman" w:cs="Times New Roman" w:eastAsia="Times New Roman" w:hAnsi="Times New Roman"/>
                  <w:sz w:val="18"/>
                  <w:szCs w:val="18"/>
                  <w:color w:val="0000EE"/>
                  <w:w w:val="90"/>
                </w:rPr>
                <w:t>Item 7A.</w:t>
              </w:r>
            </w:hyperlink>
          </w:p>
        </w:tc>
        <w:tc>
          <w:tcPr>
            <w:tcW w:w="260" w:type="dxa"/>
            <w:vAlign w:val="bottom"/>
          </w:tcPr>
          <w:p>
            <w:pPr>
              <w:spacing w:after="0"/>
              <w:rPr>
                <w:sz w:val="21"/>
                <w:szCs w:val="21"/>
                <w:color w:val="auto"/>
              </w:rPr>
            </w:pPr>
          </w:p>
        </w:tc>
        <w:tc>
          <w:tcPr>
            <w:tcW w:w="8900" w:type="dxa"/>
            <w:vAlign w:val="bottom"/>
            <w:gridSpan w:val="12"/>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QUANTITATIVE AND QUALITATIVE DISCLOSURES ABOUT MARKET RISK</w:t>
              </w:r>
            </w:hyperlink>
          </w:p>
        </w:tc>
        <w:tc>
          <w:tcPr>
            <w:tcW w:w="1220" w:type="dxa"/>
            <w:vAlign w:val="bottom"/>
            <w:gridSpan w:val="2"/>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37</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8.</w:t>
              </w:r>
            </w:hyperlink>
          </w:p>
        </w:tc>
        <w:tc>
          <w:tcPr>
            <w:tcW w:w="260" w:type="dxa"/>
            <w:vAlign w:val="bottom"/>
          </w:tcPr>
          <w:p>
            <w:pPr>
              <w:spacing w:after="0"/>
              <w:rPr>
                <w:sz w:val="21"/>
                <w:szCs w:val="21"/>
                <w:color w:val="auto"/>
              </w:rPr>
            </w:pPr>
          </w:p>
        </w:tc>
        <w:tc>
          <w:tcPr>
            <w:tcW w:w="6140" w:type="dxa"/>
            <w:vAlign w:val="bottom"/>
            <w:gridSpan w:val="9"/>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FINANCIAL STATEMENTS AND SUPPLEMENTARY DATA</w:t>
              </w:r>
            </w:hyperlink>
          </w:p>
        </w:tc>
        <w:tc>
          <w:tcPr>
            <w:tcW w:w="2760" w:type="dxa"/>
            <w:vAlign w:val="bottom"/>
            <w:gridSpan w:val="3"/>
          </w:tcPr>
          <w:p>
            <w:pPr>
              <w:spacing w:after="0"/>
              <w:rPr>
                <w:sz w:val="21"/>
                <w:szCs w:val="21"/>
                <w:color w:val="auto"/>
              </w:rPr>
            </w:pPr>
          </w:p>
        </w:tc>
        <w:tc>
          <w:tcPr>
            <w:tcW w:w="1220" w:type="dxa"/>
            <w:vAlign w:val="bottom"/>
            <w:gridSpan w:val="2"/>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9.</w:t>
              </w:r>
            </w:hyperlink>
          </w:p>
        </w:tc>
        <w:tc>
          <w:tcPr>
            <w:tcW w:w="8900" w:type="dxa"/>
            <w:vAlign w:val="bottom"/>
            <w:gridSpan w:val="12"/>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CHANGES IN AND DISAGREEMENTS WITH ACCOUNTANTS ON ACCOUNTING AND FINANCIAL</w:t>
              </w:r>
            </w:hyperlink>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DISCLOSURE</w:t>
              </w:r>
            </w:hyperlink>
          </w:p>
        </w:tc>
        <w:tc>
          <w:tcPr>
            <w:tcW w:w="6820" w:type="dxa"/>
            <w:vAlign w:val="bottom"/>
            <w:tcBorders>
              <w:top w:val="single" w:sz="8" w:color="0000EE"/>
            </w:tcBorders>
            <w:gridSpan w:val="9"/>
          </w:tcPr>
          <w:p>
            <w:pPr>
              <w:spacing w:after="0"/>
              <w:rPr>
                <w:sz w:val="17"/>
                <w:szCs w:val="17"/>
                <w:color w:val="auto"/>
              </w:rPr>
            </w:pPr>
          </w:p>
        </w:tc>
        <w:tc>
          <w:tcPr>
            <w:tcW w:w="960" w:type="dxa"/>
            <w:vAlign w:val="bottom"/>
            <w:gridSpan w:val="2"/>
          </w:tcPr>
          <w:p>
            <w:pPr>
              <w:spacing w:after="0"/>
              <w:rPr>
                <w:sz w:val="17"/>
                <w:szCs w:val="17"/>
                <w:color w:val="auto"/>
              </w:rPr>
            </w:pPr>
          </w:p>
        </w:tc>
        <w:tc>
          <w:tcPr>
            <w:tcW w:w="122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71</w:t>
              </w:r>
            </w:hyperlink>
          </w:p>
        </w:tc>
      </w:tr>
      <w:tr>
        <w:trPr>
          <w:trHeight w:val="20"/>
        </w:trPr>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0"/>
              </w:rPr>
            </w:pPr>
            <w:hyperlink w:anchor="page73">
              <w:r>
                <w:rPr>
                  <w:rFonts w:ascii="Times New Roman" w:cs="Times New Roman" w:eastAsia="Times New Roman" w:hAnsi="Times New Roman"/>
                  <w:sz w:val="18"/>
                  <w:szCs w:val="18"/>
                  <w:color w:val="0000EE"/>
                  <w:w w:val="90"/>
                </w:rPr>
                <w:t>Item 9A.</w:t>
              </w:r>
            </w:hyperlink>
          </w:p>
        </w:tc>
        <w:tc>
          <w:tcPr>
            <w:tcW w:w="260" w:type="dxa"/>
            <w:vAlign w:val="bottom"/>
          </w:tcPr>
          <w:p>
            <w:pPr>
              <w:spacing w:after="0"/>
              <w:rPr>
                <w:sz w:val="21"/>
                <w:szCs w:val="21"/>
                <w:color w:val="auto"/>
              </w:rPr>
            </w:pPr>
          </w:p>
        </w:tc>
        <w:tc>
          <w:tcPr>
            <w:tcW w:w="8900" w:type="dxa"/>
            <w:vAlign w:val="bottom"/>
            <w:gridSpan w:val="12"/>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CONTROLS AND PROCEDURES</w:t>
              </w:r>
            </w:hyperlink>
          </w:p>
        </w:tc>
        <w:tc>
          <w:tcPr>
            <w:tcW w:w="1220" w:type="dxa"/>
            <w:vAlign w:val="bottom"/>
            <w:gridSpan w:val="2"/>
          </w:tcPr>
          <w:p>
            <w:pPr>
              <w:jc w:val="right"/>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Times New Roman" w:cs="Times New Roman" w:eastAsia="Times New Roman" w:hAnsi="Times New Roman"/>
                <w:sz w:val="18"/>
                <w:szCs w:val="18"/>
                <w:color w:val="0000EE"/>
                <w:w w:val="91"/>
              </w:rPr>
            </w:pPr>
            <w:hyperlink w:anchor="page73">
              <w:r>
                <w:rPr>
                  <w:rFonts w:ascii="Times New Roman" w:cs="Times New Roman" w:eastAsia="Times New Roman" w:hAnsi="Times New Roman"/>
                  <w:sz w:val="18"/>
                  <w:szCs w:val="18"/>
                  <w:color w:val="0000EE"/>
                  <w:w w:val="91"/>
                </w:rPr>
                <w:t>Item 9B.</w:t>
              </w:r>
            </w:hyperlink>
          </w:p>
        </w:tc>
        <w:tc>
          <w:tcPr>
            <w:tcW w:w="260" w:type="dxa"/>
            <w:vAlign w:val="bottom"/>
          </w:tcPr>
          <w:p>
            <w:pPr>
              <w:spacing w:after="0"/>
              <w:rPr>
                <w:sz w:val="21"/>
                <w:szCs w:val="21"/>
                <w:color w:val="auto"/>
              </w:rPr>
            </w:pPr>
          </w:p>
        </w:tc>
        <w:tc>
          <w:tcPr>
            <w:tcW w:w="2600" w:type="dxa"/>
            <w:vAlign w:val="bottom"/>
            <w:gridSpan w:val="4"/>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OTHER INFORMATION</w:t>
              </w:r>
            </w:hyperlink>
          </w:p>
        </w:tc>
        <w:tc>
          <w:tcPr>
            <w:tcW w:w="6300" w:type="dxa"/>
            <w:vAlign w:val="bottom"/>
            <w:gridSpan w:val="8"/>
          </w:tcPr>
          <w:p>
            <w:pPr>
              <w:spacing w:after="0"/>
              <w:rPr>
                <w:sz w:val="21"/>
                <w:szCs w:val="21"/>
                <w:color w:val="auto"/>
              </w:rPr>
            </w:pPr>
          </w:p>
        </w:tc>
        <w:tc>
          <w:tcPr>
            <w:tcW w:w="1220" w:type="dxa"/>
            <w:vAlign w:val="bottom"/>
            <w:gridSpan w:val="2"/>
          </w:tcPr>
          <w:p>
            <w:pPr>
              <w:jc w:val="right"/>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80" w:type="dxa"/>
            <w:vAlign w:val="bottom"/>
            <w:gridSpan w:val="6"/>
          </w:tcPr>
          <w:p>
            <w:pPr>
              <w:spacing w:after="0"/>
              <w:rPr>
                <w:rFonts w:ascii="Times New Roman" w:cs="Times New Roman" w:eastAsia="Times New Roman" w:hAnsi="Times New Roman"/>
                <w:sz w:val="18"/>
                <w:szCs w:val="18"/>
                <w:b w:val="1"/>
                <w:bCs w:val="1"/>
                <w:color w:val="0000EE"/>
              </w:rPr>
            </w:pPr>
            <w:hyperlink w:anchor="page74">
              <w:r>
                <w:rPr>
                  <w:rFonts w:ascii="Times New Roman" w:cs="Times New Roman" w:eastAsia="Times New Roman" w:hAnsi="Times New Roman"/>
                  <w:sz w:val="18"/>
                  <w:szCs w:val="18"/>
                  <w:b w:val="1"/>
                  <w:bCs w:val="1"/>
                  <w:color w:val="0000EE"/>
                </w:rPr>
                <w:t>PART III</w:t>
              </w:r>
            </w:hyperlink>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9860" w:type="dxa"/>
            <w:vAlign w:val="bottom"/>
            <w:gridSpan w:val="11"/>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10.   DIRECTORS, EXECUTIVE OFFICERS AND CORPORATE GOVERNANCE</w:t>
              </w:r>
            </w:hyperlink>
          </w:p>
        </w:tc>
        <w:tc>
          <w:tcPr>
            <w:tcW w:w="1140" w:type="dxa"/>
            <w:vAlign w:val="bottom"/>
            <w:gridSpan w:val="2"/>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0" w:type="dxa"/>
            <w:vAlign w:val="bottom"/>
          </w:tcPr>
          <w:p>
            <w:pPr>
              <w:spacing w:after="0"/>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Item 11.</w:t>
              </w:r>
            </w:hyperlink>
          </w:p>
        </w:tc>
        <w:tc>
          <w:tcPr>
            <w:tcW w:w="280" w:type="dxa"/>
            <w:vAlign w:val="bottom"/>
          </w:tcPr>
          <w:p>
            <w:pPr>
              <w:spacing w:after="0"/>
              <w:rPr>
                <w:sz w:val="21"/>
                <w:szCs w:val="21"/>
                <w:color w:val="auto"/>
              </w:rPr>
            </w:pPr>
          </w:p>
        </w:tc>
        <w:tc>
          <w:tcPr>
            <w:tcW w:w="2460" w:type="dxa"/>
            <w:vAlign w:val="bottom"/>
            <w:gridSpan w:val="2"/>
          </w:tcPr>
          <w:p>
            <w:pPr>
              <w:spacing w:after="0"/>
              <w:rPr>
                <w:rFonts w:ascii="Times New Roman" w:cs="Times New Roman" w:eastAsia="Times New Roman" w:hAnsi="Times New Roman"/>
                <w:sz w:val="18"/>
                <w:szCs w:val="18"/>
                <w:color w:val="0000EE"/>
                <w:w w:val="98"/>
              </w:rPr>
            </w:pPr>
            <w:hyperlink w:anchor="page74">
              <w:r>
                <w:rPr>
                  <w:rFonts w:ascii="Times New Roman" w:cs="Times New Roman" w:eastAsia="Times New Roman" w:hAnsi="Times New Roman"/>
                  <w:sz w:val="18"/>
                  <w:szCs w:val="18"/>
                  <w:color w:val="0000EE"/>
                  <w:w w:val="98"/>
                </w:rPr>
                <w:t>EXECUTIVE COMPENSATION</w:t>
              </w:r>
            </w:hyperlink>
          </w:p>
        </w:tc>
        <w:tc>
          <w:tcPr>
            <w:tcW w:w="3340" w:type="dxa"/>
            <w:vAlign w:val="bottom"/>
            <w:gridSpan w:val="4"/>
          </w:tcPr>
          <w:p>
            <w:pPr>
              <w:spacing w:after="0"/>
              <w:rPr>
                <w:sz w:val="21"/>
                <w:szCs w:val="21"/>
                <w:color w:val="auto"/>
              </w:rPr>
            </w:pPr>
          </w:p>
        </w:tc>
        <w:tc>
          <w:tcPr>
            <w:tcW w:w="3180" w:type="dxa"/>
            <w:vAlign w:val="bottom"/>
            <w:gridSpan w:val="3"/>
          </w:tcPr>
          <w:p>
            <w:pPr>
              <w:spacing w:after="0"/>
              <w:rPr>
                <w:sz w:val="21"/>
                <w:szCs w:val="21"/>
                <w:color w:val="auto"/>
              </w:rPr>
            </w:pPr>
          </w:p>
        </w:tc>
        <w:tc>
          <w:tcPr>
            <w:tcW w:w="1140" w:type="dxa"/>
            <w:vAlign w:val="bottom"/>
            <w:gridSpan w:val="2"/>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Item 12.</w:t>
              </w:r>
            </w:hyperlink>
          </w:p>
        </w:tc>
        <w:tc>
          <w:tcPr>
            <w:tcW w:w="280" w:type="dxa"/>
            <w:vAlign w:val="bottom"/>
          </w:tcPr>
          <w:p>
            <w:pPr>
              <w:spacing w:after="0"/>
              <w:rPr>
                <w:sz w:val="21"/>
                <w:szCs w:val="21"/>
                <w:color w:val="auto"/>
              </w:rPr>
            </w:pPr>
          </w:p>
        </w:tc>
        <w:tc>
          <w:tcPr>
            <w:tcW w:w="80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SECURITY OWNERSHIP OF CERTAIN BENEFICIAL OWNERS AND MANAGEMENT AND RELATED</w:t>
              </w:r>
            </w:hyperlink>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Pr>
          <w:p>
            <w:pPr>
              <w:spacing w:after="0" w:line="196" w:lineRule="exact"/>
              <w:rPr>
                <w:rFonts w:ascii="Times New Roman" w:cs="Times New Roman" w:eastAsia="Times New Roman" w:hAnsi="Times New Roman"/>
                <w:sz w:val="18"/>
                <w:szCs w:val="18"/>
                <w:color w:val="0000EE"/>
                <w:w w:val="98"/>
              </w:rPr>
            </w:pPr>
            <w:hyperlink w:anchor="page74">
              <w:r>
                <w:rPr>
                  <w:rFonts w:ascii="Times New Roman" w:cs="Times New Roman" w:eastAsia="Times New Roman" w:hAnsi="Times New Roman"/>
                  <w:sz w:val="18"/>
                  <w:szCs w:val="18"/>
                  <w:color w:val="0000EE"/>
                  <w:w w:val="98"/>
                </w:rPr>
                <w:t>STOCKHOLDER MATTERS</w:t>
              </w:r>
            </w:hyperlink>
          </w:p>
        </w:tc>
        <w:tc>
          <w:tcPr>
            <w:tcW w:w="6780" w:type="dxa"/>
            <w:vAlign w:val="bottom"/>
            <w:gridSpan w:val="8"/>
          </w:tcPr>
          <w:p>
            <w:pPr>
              <w:spacing w:after="0"/>
              <w:rPr>
                <w:sz w:val="17"/>
                <w:szCs w:val="17"/>
                <w:color w:val="auto"/>
              </w:rPr>
            </w:pPr>
          </w:p>
        </w:tc>
        <w:tc>
          <w:tcPr>
            <w:tcW w:w="114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72</w:t>
              </w:r>
            </w:hyperlink>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0" w:type="dxa"/>
            <w:vAlign w:val="bottom"/>
          </w:tcPr>
          <w:p>
            <w:pPr>
              <w:spacing w:after="0"/>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Item 13.</w:t>
              </w:r>
            </w:hyperlink>
          </w:p>
        </w:tc>
        <w:tc>
          <w:tcPr>
            <w:tcW w:w="280" w:type="dxa"/>
            <w:vAlign w:val="bottom"/>
          </w:tcPr>
          <w:p>
            <w:pPr>
              <w:spacing w:after="0"/>
              <w:rPr>
                <w:sz w:val="21"/>
                <w:szCs w:val="21"/>
                <w:color w:val="auto"/>
              </w:rPr>
            </w:pPr>
          </w:p>
        </w:tc>
        <w:tc>
          <w:tcPr>
            <w:tcW w:w="7720" w:type="dxa"/>
            <w:vAlign w:val="bottom"/>
            <w:gridSpan w:val="7"/>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CERTAIN RELATIONSHIPS AND RELATED TRANSACTIONS, AND DIRECTOR INDEPENDENCE</w:t>
              </w:r>
            </w:hyperlink>
          </w:p>
        </w:tc>
        <w:tc>
          <w:tcPr>
            <w:tcW w:w="1260" w:type="dxa"/>
            <w:vAlign w:val="bottom"/>
            <w:gridSpan w:val="2"/>
          </w:tcPr>
          <w:p>
            <w:pPr>
              <w:spacing w:after="0"/>
              <w:rPr>
                <w:sz w:val="21"/>
                <w:szCs w:val="21"/>
                <w:color w:val="auto"/>
              </w:rPr>
            </w:pPr>
          </w:p>
        </w:tc>
        <w:tc>
          <w:tcPr>
            <w:tcW w:w="1140" w:type="dxa"/>
            <w:vAlign w:val="bottom"/>
            <w:gridSpan w:val="2"/>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0" w:type="dxa"/>
            <w:vAlign w:val="bottom"/>
          </w:tcPr>
          <w:p>
            <w:pPr>
              <w:spacing w:after="0"/>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Item 14.</w:t>
              </w:r>
            </w:hyperlink>
          </w:p>
        </w:tc>
        <w:tc>
          <w:tcPr>
            <w:tcW w:w="280" w:type="dxa"/>
            <w:vAlign w:val="bottom"/>
          </w:tcPr>
          <w:p>
            <w:pPr>
              <w:spacing w:after="0"/>
              <w:rPr>
                <w:sz w:val="21"/>
                <w:szCs w:val="21"/>
                <w:color w:val="auto"/>
              </w:rPr>
            </w:pPr>
          </w:p>
        </w:tc>
        <w:tc>
          <w:tcPr>
            <w:tcW w:w="3980" w:type="dxa"/>
            <w:vAlign w:val="bottom"/>
            <w:gridSpan w:val="4"/>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PRINCIPAL ACCOUNTANT FEES AND SERVICES</w:t>
              </w:r>
            </w:hyperlink>
          </w:p>
        </w:tc>
        <w:tc>
          <w:tcPr>
            <w:tcW w:w="374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140" w:type="dxa"/>
            <w:vAlign w:val="bottom"/>
            <w:gridSpan w:val="2"/>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80" w:type="dxa"/>
            <w:vAlign w:val="bottom"/>
            <w:gridSpan w:val="3"/>
          </w:tcPr>
          <w:p>
            <w:pPr>
              <w:spacing w:after="0"/>
              <w:rPr>
                <w:rFonts w:ascii="Times New Roman" w:cs="Times New Roman" w:eastAsia="Times New Roman" w:hAnsi="Times New Roman"/>
                <w:sz w:val="18"/>
                <w:szCs w:val="18"/>
                <w:b w:val="1"/>
                <w:bCs w:val="1"/>
                <w:color w:val="0000EE"/>
              </w:rPr>
            </w:pPr>
            <w:hyperlink w:anchor="page75">
              <w:r>
                <w:rPr>
                  <w:rFonts w:ascii="Times New Roman" w:cs="Times New Roman" w:eastAsia="Times New Roman" w:hAnsi="Times New Roman"/>
                  <w:sz w:val="18"/>
                  <w:szCs w:val="18"/>
                  <w:b w:val="1"/>
                  <w:bCs w:val="1"/>
                  <w:color w:val="0000EE"/>
                </w:rPr>
                <w:t>PART IV</w:t>
              </w:r>
            </w:hyperlink>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8060" w:type="dxa"/>
            <w:vAlign w:val="bottom"/>
            <w:gridSpan w:val="7"/>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15.   EXHIBITS, FINANCIAL STATEMENT SCHEDULES</w:t>
              </w:r>
            </w:hyperlink>
          </w:p>
        </w:tc>
        <w:tc>
          <w:tcPr>
            <w:tcW w:w="2940" w:type="dxa"/>
            <w:vAlign w:val="bottom"/>
            <w:gridSpan w:val="2"/>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0" w:type="dxa"/>
            <w:vAlign w:val="bottom"/>
            <w:gridSpan w:val="3"/>
          </w:tcPr>
          <w:p>
            <w:pPr>
              <w:spacing w:after="0"/>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SIGNATURES</w:t>
              </w:r>
            </w:hyperlink>
          </w:p>
        </w:tc>
        <w:tc>
          <w:tcPr>
            <w:tcW w:w="6960" w:type="dxa"/>
            <w:vAlign w:val="bottom"/>
            <w:gridSpan w:val="4"/>
          </w:tcPr>
          <w:p>
            <w:pPr>
              <w:spacing w:after="0"/>
              <w:rPr>
                <w:sz w:val="21"/>
                <w:szCs w:val="21"/>
                <w:color w:val="auto"/>
              </w:rPr>
            </w:pPr>
          </w:p>
        </w:tc>
        <w:tc>
          <w:tcPr>
            <w:tcW w:w="2940" w:type="dxa"/>
            <w:vAlign w:val="bottom"/>
            <w:gridSpan w:val="2"/>
          </w:tcPr>
          <w:p>
            <w:pPr>
              <w:jc w:val="right"/>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77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20"/>
          </w:cols>
          <w:pgMar w:left="460" w:top="333"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the words “IES”, the “Company”, the “Registrant”, “we”, “our”, “ours” and “us” refer to IES Holdings, Inc. and, except as otherwise specified herein, to our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88"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controlling shareholder to take action not aligned with other shareholders;</w:t>
      </w:r>
    </w:p>
    <w:p>
      <w:pPr>
        <w:spacing w:after="0" w:line="225" w:lineRule="exact"/>
        <w:rPr>
          <w:rFonts w:ascii="Times New Roman" w:cs="Times New Roman" w:eastAsia="Times New Roman" w:hAnsi="Times New Roman"/>
          <w:sz w:val="18"/>
          <w:szCs w:val="18"/>
          <w:color w:val="auto"/>
        </w:rPr>
      </w:pPr>
    </w:p>
    <w:p>
      <w:pPr>
        <w:jc w:val="both"/>
        <w:ind w:left="540" w:hanging="532"/>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any portion of the shares of our common stock held by our controlling shareholder, which, could trigger change of control provisions in a number of our material agreements, including our financing and surety arrangements and our executive severance plan, as well as exercisability of the purchase rights under our tax benefit protection plan;</w:t>
      </w:r>
    </w:p>
    <w:p>
      <w:pPr>
        <w:spacing w:after="0" w:line="176"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certain tax benefits of our net operating losses may be restricted or reduced in a change in ownership or a change in the federal tax rate;</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recognition of valuation allowances or write-downs on deferred tax assets;</w:t>
      </w:r>
    </w:p>
    <w:p>
      <w:pPr>
        <w:spacing w:after="0" w:line="225"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availability of sufficient credit or cash flow to fund our working capital needs and capital expenditures and debt service;</w:t>
      </w:r>
    </w:p>
    <w:p>
      <w:pPr>
        <w:spacing w:after="0" w:line="225"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fulfilling the covenant terms of our credit facility, including liquidity, and other financial requirements, which could result in a default and acceleration of any indebtedness we may incur under our revolving credit facility;</w:t>
      </w:r>
    </w:p>
    <w:p>
      <w:pPr>
        <w:spacing w:after="0" w:line="161"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issue additional shares of common stock or convertible securities that will dilute the percentage ownership interest of existing stockholders and may dilute the value per share of our common stock;</w:t>
      </w:r>
    </w:p>
    <w:p>
      <w:pPr>
        <w:spacing w:after="0" w:line="161"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61"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industries in which we operate, both from third parties and former employees, which could result in the loss of one or more customers or lead to lower margins on new projects;</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expenditures and refurbishment, repair and upgrade costs; and delays in and costs of refurbishment, repair and upgrade projects;</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reduction in the demand for our services;</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of, future contracts;</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transferring, renewing and obtaining electrical and other licenses;</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integrating new businesses into the Company or new types of work, products or processes into our segments;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49" w:right="239" w:bottom="1440" w:gutter="0" w:footer="0" w:header="0"/>
        </w:sectPr>
      </w:pPr>
    </w:p>
    <w:bookmarkStart w:id="3" w:name="page4"/>
    <w:bookmarkEnd w:id="3"/>
    <w:p>
      <w:pPr>
        <w:ind w:left="532" w:right="20"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6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that may not be realized or may not result in profits;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errors when estimating revenue and progress to date on percentage-of-completion contracts;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estimating future operating results, including revenues, operating income or cash flow;</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associated with the incorporation of new accounting, control and operating procedures;</w:t>
      </w:r>
    </w:p>
    <w:p>
      <w:pPr>
        <w:spacing w:after="0" w:line="225"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closures or sales of facilities resulting in significant future charges, including potential warranty losses or other unexpected liabilities, or a significant disruption of our operations;</w:t>
      </w:r>
    </w:p>
    <w:p>
      <w:pPr>
        <w:spacing w:after="0" w:line="161"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cost of surety bonds affecting margins on work and the potential for our surety providers to refuse bonding or require additional collateral at their discretion;</w:t>
      </w:r>
    </w:p>
    <w:p>
      <w:pPr>
        <w:spacing w:after="0" w:line="161"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activity due to downturns in levels of construction or the housing market, seasonality and differing regional economic conditions;</w:t>
      </w:r>
    </w:p>
    <w:p>
      <w:pPr>
        <w:spacing w:after="0" w:line="16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projects;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used when entering into fixed-priced contracts;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qualified labor and the ability to maintain positive labor relations;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along increases in the cost of commodities used in our business, in particular, copper, aluminum, steel, fuel and certain plastics;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mix of our customers, contracts or business;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bad debt expense and days sales outstanding due to liquidity problems faced by our customers;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potential goodwill, long-lived assets and other investment impairments;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supply chain disruptions due to credit or liquidity problems faced by our suppliers;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physical hazards associated with our work and the potential for accidents;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current insurance coverage may not be adequate or that we may not be able to obtain policies at acceptable rates;</w:t>
      </w:r>
    </w:p>
    <w:p>
      <w:pPr>
        <w:spacing w:after="0" w:line="225"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internal controls over financial reporting and our disclosure controls and procedures may not prevent all possible errors that could occur;</w:t>
      </w:r>
    </w:p>
    <w:p>
      <w:pPr>
        <w:spacing w:after="0" w:line="16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taxing authorities with regard to tax positions we have adopted;</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tax benefits related to uncertain tax positions;</w:t>
      </w:r>
    </w:p>
    <w:p>
      <w:pPr>
        <w:spacing w:after="0" w:line="225"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claims and contingencies, including warranty losses, damages or other latent defect claims in excess of our existing reserves and accruals;</w:t>
      </w:r>
    </w:p>
    <w:p>
      <w:pPr>
        <w:spacing w:after="0" w:line="16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latent defect litigation in states where we provide residential electrical work for home builders not otherwise covered by insurance;</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systems and cyber security or data breaches;</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under laws and regulations protecting the environment; and</w:t>
      </w:r>
    </w:p>
    <w:p>
      <w:pPr>
        <w:spacing w:after="0" w:line="225"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effective transition of new management.</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12"/>
          </w:cols>
          <w:pgMar w:left="248" w:top="337" w:right="2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You should understand that the foregoing, as well as other risk factors discussed in this document, including those listed in Part I, Item 1A of this report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IES Holdings, Inc.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162"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&amp; Industrial</w:t>
      </w:r>
      <w:r>
        <w:rPr>
          <w:rFonts w:ascii="Times New Roman" w:cs="Times New Roman" w:eastAsia="Times New Roman" w:hAnsi="Times New Roman"/>
          <w:sz w:val="18"/>
          <w:szCs w:val="18"/>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Infrastructure Solutions</w:t>
      </w:r>
      <w:r>
        <w:rPr>
          <w:rFonts w:ascii="Times New Roman" w:cs="Times New Roman" w:eastAsia="Times New Roman" w:hAnsi="Times New Roman"/>
          <w:sz w:val="18"/>
          <w:szCs w:val="18"/>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Regional provider of electrical installation services for single-family housing and multi-family apartment complexes.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are managed in a decentralized manner. 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IES Holdings, Inc. is a Delaware corporation established in 1997 and headquartered in Houston, Texas, with an executive office in Greenwich, Connecticut.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5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seek to create shareholder value through improving operating margins and generating free cash flow by investing in our existing businesses and completing acquisitions. We seek to acquire or invest in stand-alone platform companies based in North America or to acquire businesses that strategically complement our existing business segments. In evaluating potential acquisition candidates, we seek to invest in businesses with, among other characteristics:</w:t>
      </w:r>
    </w:p>
    <w:p>
      <w:pPr>
        <w:spacing w:after="0" w:line="14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management with a willingness to continue post-acquisition;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technological and/or product obsolescence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market position and sustainable competitive advantages;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cash flow characteristics.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acquisitions provide an opportunity to expand into new end markets and diversify our revenue and profit streams, which we expect will allow us to maximize the value of our significant net operating loss tax carry forwards (“NOLs”). While we may use acquisitions to build our presence in the industries we serve, we will also consider potential acquisitions in other industries, which could result in changes in our operations from those historically conducted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Controlling Shareholder</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 majority of our outstanding common stock is owned by Tontine Associates, L.L.C. and its affiliates (collectively, “Tontine”). Based on a Form 4 filed on October 3, 2019, Tontine owns approximately 58 percent of our outstanding common stock. As a result, Tontine can control most of our affairs, including most actions requiring the approval of shareholders, such as the approval of any potential merger or sale of all or substantially all assets, segments, or the Company itself. Most of Tontine’s shares are registered for resale on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53" w:right="239" w:bottom="1440" w:gutter="0" w:footer="0" w:header="0"/>
        </w:sectPr>
      </w:pPr>
    </w:p>
    <w:bookmarkStart w:id="5" w:name="page6"/>
    <w:bookmarkEnd w:id="5"/>
    <w:p>
      <w:pPr>
        <w:ind w:right="360"/>
        <w:spacing w:after="0" w:line="261" w:lineRule="auto"/>
        <w:rPr>
          <w:sz w:val="20"/>
          <w:szCs w:val="20"/>
          <w:color w:val="auto"/>
        </w:rPr>
      </w:pPr>
      <w:r>
        <w:rPr>
          <w:rFonts w:ascii="Times New Roman" w:cs="Times New Roman" w:eastAsia="Times New Roman" w:hAnsi="Times New Roman"/>
          <w:sz w:val="18"/>
          <w:szCs w:val="18"/>
          <w:color w:val="auto"/>
        </w:rPr>
        <w:t>shelf registration statement filed by the Company with the United States Securities and Exchange Commission (the “SEC”). Tontine’s sale of all or any portion of its shares could result in a change of control of the Company, which would trigger the change of control provisions in a number of our material agreements, including our credit facility, bonding agreements with our sureties and our executive severance plan. For more information, see Note 3, “Controlling Shareholder” in the notes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Tax Carry Forward and Other Deferred Tax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an estimated federal net operating loss (“NOL”) of approximately $306.3 million at September 30, 2019, including approximately $143.6 million resulting from net operating losses on which a deferred tax asset is not recorded.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the Tax Cuts and Jobs Act (the “Act”) was enacted which, among other things, reduced the corporate income tax rate from 35% to 21%, effective January 1, 2018. As a result of this change, the Company’s statutory rate for fiscal 2018 was a blended rate of 24.53% and decreased to 21% in 2019. For the year ended September 30, 2018, our effective tax rate differed from the statutory tax rate as a result of a charge of $31.3 million to re-measure our deferred tax assets and liabilities to reflect the estimated impact of the new statutory tax rate. Any future change in the federal statutory tax rate could also impact the economic benefit of the NOL and other deferred tax assets available to us and result in an additional charge or benefit to adjust the book value of the deferred tax asset recorded on our balance sheet.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change in ownership, as defined by Internal Revenue Code Section 382, could reduce the availability of NOLs for federal and state income tax purposes. Should Tontine sell or otherwise dispose of all or a portion of its position in IES, a change in ownership could occur. In addition, a change in ownership could result from the purchase of common stock by an existing or a new 5% shareholder as defined by Internal Revenue Code Section 382. Should a change in ownership occur, all NOLs incurred prior to the change in ownership would be subject to limitation imposed by Internal Revenue Code Section 382, which would substantially reduce the amount of NOL currently available to offset taxable income. For more information see Note 3, “Controlling Shareholder” in the notes to our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tax benefit protection plan (the “NOL Rights Plan”) which was designed to deter an acquisition of the Company’s stock in excess of a threshold amount that could trigger an ownership change within the meaning of Internal Revenue Code Section 382.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2018</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7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9"/>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9"/>
          </w:tcPr>
          <w:p>
            <w:pPr>
              <w:jc w:val="center"/>
              <w:ind w:left="35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274,039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Consolidated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1,076,996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876,828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810,744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financial information by segment, see Note 11, “Operating Segments” in the notes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&amp; Industrial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&amp; Industrial segment provides electrical and mechanical design, service, and construction services to commercial and industrial markets. Our design services range from budget assistance to providing design-build and LEED (Leadership in Energy &amp; Environmental Design) solutions to our end customers. Our maintenance and emergency services include critical plant shutdown, troubleshooting, emergency testing, preventative maintenance, and constant presence. Our construction services range from the initial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99" w:right="2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planning and procurement to installation and start-up and are offered to a variety of new and remodel construction projects, ranging from the construction of office buildings and industrial facilities to transmission and distribution projects. We also provide mechanical services such as maintenance agreements, installation, or replacement of mechanical equipment for commercial and industrial facilities.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segment provides services for a variety of project types, including office buildings, manufacturing facilities, data centers, chemical plants, refineries, wind farms, solar facilities, municipal infrastructure and health care facilities. The Commercial &amp; Industrial segment consists of 23 locations, which includes the segment headquarters in Houston, Texas. Geographically, these locations cover Texas, Nebraska, Oregon, Wisconsin, and the Southeast and Mid-Atlantic regions.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Overview</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diverse end-markets of our Commercial &amp; Industrial customers, which include both commercial buildings, such as offices, healthcare facilities and schools, and industrial projects, such as power, chemical, refinery and heavy manufacturing facilities, we are subject to many trends within the construction industry. In general, demand for our Commercial &amp; Industrial services is driven by construction and renovation activity levels, economic growth, and availability of bank lending. Due to economic, technological or other factors, there can be no assurance that construction and demand will increase.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are awarded from long-term, repeat customers. From time to time, we are contracted on projects with completion times extending beyond one year or over several years, which are generally more complex and difficult to estimate.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 focus on quality service offerings, our long-term strategy is to continue to be one of the preferred providers of electrical and mechanical services in the markets where we have demonstrated expertise and/or are a local market leader. Key elements of our long-term strategy include leveraging our expertise in certain niche markets, expanding our service and maintenance business, attracting and retaining highly qualified employees, and maintaining our focus on returns on risk adjusted capital through an emphasis on reducing costs and managing working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electrical and mechanical contracting services industry is generally highly competitive and includes a number of regional or small privately-held local firms. Traditionally, competitors in certain parts of this market have faced few barriers to entry. Our strategy is to pursue projects where our access to capital and expertise provide a competitive advantage.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Industry expertise, project size, location and past performance will determine our bidding strategy, the level of involvement from competitors and our level of success in winning awards.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and Quarterly Fluctuations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Originally established in 1984, our Communications segment is a leading provider of network infrastructure solutions for data centers and other mission critical environments. Our services include the design, installation and maintenance of network infrastructure to leading and recognizable global technology, social networking and e-commerce brands, including many Fortune 100 and 500 corporations. We serve a variety of industries and end-markets,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15 offices, which includes the segment headquarters located in Tempe, Arizona, and also provide dedicated onsite teams at our customers’ sites.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Industry Overview</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Communications segment is driven by demand increases for computing and storage resources as a result of technology advancements and obsolescence and changes in data consumption patterns. The data center market remains strong, and the needs of several of our large customers are growing rapidly. Additionally, we are continuing to expand our offerings in this market to broaden our customer base. Demand has also been growing for our audio-visual and other building technology offerings. Nevertheless, due to economic, technological and other factors, there can be no assurance that demand will continue to increase.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competition consists of both large national or regional competitors and small, privately owned contractors who have limited access to capital. We compete on quality of service and/or price and seek to emphasize our financial capabilities and long history of delivering high quality solutions to our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and Quarterly Fluctuations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Solutions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Infrastructure Solutions segment provides electro-mechanical solutions for industrial operations to domestic and international customers. Our solutions include the maintenance and repair of alternating current (AC) and direct current (DC) electric motors and generators, as well as power generating and distribution equipment; the manufacture of custom-engineered, metal enclosed bus duct solutions used in power distribution; the manufacture of custom commercial and industrial generator enclosures; the manufacture, re-manufacture, and repair of industrial lifting magnets; and maintenance and repair of railroad main and auxiliary generators, main alternators, and traction motors.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segment serves the steel, railroad, marine, petrochemical, pulp and paper, wind energy, mining, automotive, power generation, scrap yards, data center, and utility industries. Our Infrastructure Solutions segment is comprised of nine locations and is headquartered in Ohio. These segment locations geographically cover Alabama, Georgia, Illinois, Indiana, Ohio, and West Virginia.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Overview</w:t>
      </w:r>
    </w:p>
    <w:p>
      <w:pPr>
        <w:spacing w:after="0" w:line="9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and the overall health of the economy</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6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Demand for Infrastructure Solutions’ services is largely driven by the degree to which industrial and mechanical services are outsourced by our customers, production rates at steel mills, investments in power generation, other heavy industrial facilities, data centers, and the need for electrical infrastructure improvements. Our sales efforts are primarily driven by personnel based at our operating locations, as well as independent sales representatives. Given that the majority of our apparatus repair customers are located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51" w:right="239"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8"/>
          <w:szCs w:val="18"/>
          <w:color w:val="auto"/>
        </w:rPr>
        <w:t>within a 200-mile radius of our facilities, we believe that this structure allows us to rapidly address and respond to the needs of our customers. Our custom-engineered bus system and generator enclosure products and services are principally sold in partnership with an original equipment manufacturer (“OEM”) or to an engineering, procurement and construction firm on behalf of the end-user. Our long term strategy is to be the preferred solutions provider of outsourced electro-mechanical services, repairs, and manufacturing to our select markets and a leader in custom-engineered metal enclosed bus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competition is comprised mainly of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and Quarterly Fluctuations</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Infrastructure Solutions’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10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Originally established in 1973, our Residential segment is a leading provider of electrical installation services for single-family housing and multi-family apartment complexes and cable television installations for residential and light commercial applications. In addition to our core electrical construction work, the Residential segment also provides services for the installation of residential solar power, both for new construction and existing residences. The Residential segment is made up of 30 total locations, which include the segment headquarters in Houston, Texas. These locations geographically cover the Sun-Belt, Western and Mid-Atlantic regions of the 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Overview</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Demand for our Residential services is highly dependent on the number of single-family and multi-family home starts in the markets we serve. Although we operate in multiple states throughout the Sun-Belt, Mid-Atlantic and Western regions of the United States, the majority of our single-family revenues are derived from services provided in Texas. The Texas market also remains an important part of our multi-family business; however, the majority of our multi-family revenue is earned across the Mid-Atlantic and Southeast.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strategy is to continue to be a leading provider of electrical services to the residential market. The key elements of our long-term strategy include a continued focus on maintaining a low and variable cost structure and cash generation, allowing us to effectively scale according to the housing cycle, and to opportunistically increase our market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competition primarily consists of small, privately owned contractors who have limited access to capital. We believe that we have a competitive advantage over these smaller competitors due to our key employees’ long-standing customer relationships, our financial capabilities, our strong employee training program, and our local market knowledge and competitive pricing. There are few barriers to entry for electrical contracting services in the residential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and Quarterly Fluctuations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from our Residential segment can be seasonal, depending on weather trends, with typically higher revenues generated during spring and summer and lower revenues during fall and winter. Our service and maintenance business is generally not affected by seasonality. In addition, the construction industry has historically been highly cyclical. Our volume of business may be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SOURCES OF SUPPLY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raw materials and components we use within our segments include, but are not limited to, electrical fixtures and system components, copper, aluminum, and raw steel. These raw materials and components are generally available from a variety of domestic suppliers at competitive prices. Delivery times are typically short for most raw materials and standard components, but during periods of peak demand, may extend to one month or more. Our strategy to reduce commodity cost exposure includes early buying of commodities for particular projects or general inventory, as well as including escalation and escape provisions in project bids, quotes and contracts wherever possible. However, such protections may not be included in every contract or project, and in such cases, we may not be fully reimbursed for increases in commodity prices by our customers and may be exposed to commodity price volatility on longer-term projects where we have prepaid for commodities.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 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employ full-time and part-time regional safety managers, under the supervision of our full-time Senior Vice President of Safety, and seek to maintain standardized safety and environmental policies, programs, procedures and personal protection equipment relative to each segment, including programs to train new employees, which apply to employees new to the industry and those new to the Company.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3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 xml:space="preserve">We have a diverse customer base. During each of the years ended September 30, 2019, 2018 </w:t>
      </w:r>
      <w:r>
        <w:rPr>
          <w:rFonts w:ascii="Times New Roman" w:cs="Times New Roman" w:eastAsia="Times New Roman" w:hAnsi="Times New Roman"/>
          <w:sz w:val="21"/>
          <w:szCs w:val="21"/>
          <w:color w:val="auto"/>
        </w:rPr>
        <w:t>and</w:t>
      </w:r>
      <w:r>
        <w:rPr>
          <w:rFonts w:ascii="Times New Roman" w:cs="Times New Roman" w:eastAsia="Times New Roman" w:hAnsi="Times New Roman"/>
          <w:sz w:val="18"/>
          <w:szCs w:val="18"/>
          <w:color w:val="auto"/>
        </w:rPr>
        <w:t xml:space="preserve"> 2017, no single customer accounted for more than 10% of our consolidated revenues. We emphasize developing and maintaining relationships with our customers by providing superior, high-quality service. Management at each of our segments is responsible for determining sales strategies and sales activities.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REMAINING PERFORMANCE OBLIGATIONS AND BACKLOG</w:t>
      </w:r>
    </w:p>
    <w:p>
      <w:pPr>
        <w:spacing w:after="0" w:line="25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backlog by segment: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Year Ended September 30,</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Agreements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Agreements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without an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without an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Performance</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enforceable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Performance</w:t>
            </w:r>
          </w:p>
        </w:tc>
        <w:tc>
          <w:tcPr>
            <w:tcW w:w="2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enforceable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61"/>
        </w:trPr>
        <w:tc>
          <w:tcPr>
            <w:tcW w:w="3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Obligations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4"/>
              </w:rPr>
              <w:t xml:space="preserve">obligation </w:t>
            </w:r>
            <w:r>
              <w:rPr>
                <w:rFonts w:ascii="Times New Roman" w:cs="Times New Roman" w:eastAsia="Times New Roman" w:hAnsi="Times New Roman"/>
                <w:sz w:val="25"/>
                <w:szCs w:val="25"/>
                <w:color w:val="auto"/>
                <w:w w:val="94"/>
                <w:vertAlign w:val="superscript"/>
              </w:rPr>
              <w:t>(1)</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Backlog</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Obligations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
              <w:spacing w:after="0" w:line="262" w:lineRule="exact"/>
              <w:rPr>
                <w:sz w:val="20"/>
                <w:szCs w:val="20"/>
                <w:color w:val="auto"/>
              </w:rPr>
            </w:pPr>
            <w:r>
              <w:rPr>
                <w:rFonts w:ascii="Times New Roman" w:cs="Times New Roman" w:eastAsia="Times New Roman" w:hAnsi="Times New Roman"/>
                <w:sz w:val="18"/>
                <w:szCs w:val="18"/>
                <w:color w:val="auto"/>
                <w:w w:val="94"/>
              </w:rPr>
              <w:t xml:space="preserve">obligation </w:t>
            </w:r>
            <w:r>
              <w:rPr>
                <w:rFonts w:ascii="Times New Roman" w:cs="Times New Roman" w:eastAsia="Times New Roman" w:hAnsi="Times New Roman"/>
                <w:sz w:val="25"/>
                <w:szCs w:val="25"/>
                <w:color w:val="auto"/>
                <w:w w:val="94"/>
                <w:vertAlign w:val="superscript"/>
              </w:rPr>
              <w:t>(1)</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Backlog</w:t>
            </w:r>
          </w:p>
        </w:tc>
      </w:tr>
      <w:tr>
        <w:trPr>
          <w:trHeight w:val="217"/>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color w:val="auto"/>
              </w:rPr>
              <w:t>(Dollars in millions)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6"/>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8890</wp:posOffset>
            </wp:positionV>
            <wp:extent cx="4922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 w:lineRule="exact"/>
        <w:rPr>
          <w:sz w:val="20"/>
          <w:szCs w:val="20"/>
          <w:color w:val="auto"/>
        </w:rPr>
      </w:pPr>
    </w:p>
    <w:p>
      <w:pPr>
        <w:ind w:right="380" w:firstLine="8"/>
        <w:spacing w:after="0" w:line="281" w:lineRule="auto"/>
        <w:tabs>
          <w:tab w:leader="none" w:pos="23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backlog includes signed agreements and letters of intent that we do not have a legal right to enforce prior to beginning work. These agreements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-272415</wp:posOffset>
            </wp:positionV>
            <wp:extent cx="4922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3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expect that $392 million of our September 30, 2019 backlog will result in revenue during fiscal 2020, with the remaining $145 million expected to be realized in fiscal 2021; however, there can be no assurance that this backlog will be completed within expected time frames or at all. The increase in our backlog year over year was driven by strong demand and increased market share within our Communications and Residential segments.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subject to various federal, state and local laws and regulations,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requirements applicable to electricians and mechanical service technicians;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electrical codes;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worker safety, labor relations and protection of the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consumer protection, including those governing residential service agreements;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of our business legal structure in the jurisdictions where we do 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state and local regulations governing electricians and mechanical services require permits and licenses to be held by individuals.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we have all licenses required to conduct our operations and are in compliance with applicable regulatory requirements. Failure to comply with applicable regulations could result in substantial fines or revocation of our operating licenses or an inability to perform government work.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FACILITIES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2019, the Company maintained a revolving credit facility, as further described in Item 7. “</w:t>
      </w:r>
      <w:r>
        <w:rPr>
          <w:rFonts w:ascii="Times New Roman" w:cs="Times New Roman" w:eastAsia="Times New Roman" w:hAnsi="Times New Roman"/>
          <w:sz w:val="18"/>
          <w:szCs w:val="18"/>
          <w:i w:val="1"/>
          <w:iCs w:val="1"/>
          <w:color w:val="auto"/>
        </w:rPr>
        <w:t>Management’s Discussion and Analysis of</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Financial Condition and Results of Operations — The Revolving Credit Facility</w:t>
      </w:r>
      <w:r>
        <w:rPr>
          <w:rFonts w:ascii="Times New Roman" w:cs="Times New Roman" w:eastAsia="Times New Roman" w:hAnsi="Times New Roman"/>
          <w:sz w:val="18"/>
          <w:szCs w:val="18"/>
          <w:color w:val="auto"/>
        </w:rPr>
        <w:t>” of this Annual Report on Form 10-K. For a discussion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resources, see Item 7.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21"/>
          <w:szCs w:val="21"/>
          <w:i w:val="1"/>
          <w:iCs w:val="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9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Company’s financial information by segment, see Note 11, “Operating Segments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notes to our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2019, we had 5,389 employees. We are party to two collective bargaining agreements within our Infrastructure Solutions segment. We have not experienced, and do not expect, any work stoppage, and we believe that our relationship with our employees is strong.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we have 79 domestic locations serving the United States. In addition to our two executive and corporate offices, as of September 30, 2019, we have 23 locations within our Commercial &amp; Industrial business, 15 locations within our Communications business, nine locations within our Infrastructure Solutions business and 30 locations within our Residential business. This diversity helps to reduce our exposure to unfavorable economic developments in any given region.</w:t>
      </w:r>
    </w:p>
    <w:p>
      <w:pPr>
        <w:spacing w:after="0" w:line="39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with respect to each executive officer is as follows:</w:t>
      </w:r>
    </w:p>
    <w:p>
      <w:pPr>
        <w:spacing w:after="0" w:line="2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Gary S. Matthews, </w:t>
      </w:r>
      <w:r>
        <w:rPr>
          <w:rFonts w:ascii="Times New Roman" w:cs="Times New Roman" w:eastAsia="Times New Roman" w:hAnsi="Times New Roman"/>
          <w:sz w:val="18"/>
          <w:szCs w:val="18"/>
          <w:color w:val="auto"/>
        </w:rPr>
        <w:t>62, has served as Chief Executive Officer and a Director of the Company since March 2019. Prior to joining the Company,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Morgan Stanley Capital Partners from 2007 where he worked with the private equity team in evaluating companies for direct investment and helping to oversee the management and strategies for those businesses. Prior to joining Morgan Stanley, Mr. Matthews led several private equity-backed manufacturing companies, including serving as President of Simmons Bedding Company, Chief Executive Officer of Sleep Innovations, Inc. and Chief Executive Officer of Derby Cycle Corporation, and also led business units of several public companies. He received a B.A., cum laude, from Princeton University and his Masters in Business with distinction from Harvard Business School. Mr. Matthews currently serves on the board of directors of Pathway Partners Vet Holding LLC and Manna Pro Products, LLC. He has previously served as Chairman of the board of directors of Hojeij Branded Foods, Creative Circle, LLC and Tops Markets, LLC, and as a member of the board of directors of Lagunitas Brewing Company, Molson Coors Brewing Company, Lenox Group Inc. (previously Department 56), Learning Care Group, Inc., Van Wagner, Inc. and Canyon Ranch.</w:t>
      </w:r>
    </w:p>
    <w:p>
      <w:pPr>
        <w:spacing w:after="0" w:line="18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Tracy A. McLauchlin</w:t>
      </w:r>
      <w:r>
        <w:rPr>
          <w:rFonts w:ascii="Times New Roman" w:cs="Times New Roman" w:eastAsia="Times New Roman" w:hAnsi="Times New Roman"/>
          <w:sz w:val="18"/>
          <w:szCs w:val="18"/>
          <w:color w:val="auto"/>
        </w:rPr>
        <w:t>, 50, has served as Senior Vice President, Chief Financial Officer and Treasurer of the Company since May 2015. She previously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with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for Financial Executives that applies to our principal executive officer, principal financial officer and principal accounting officer. The Code of Ethics may be found on our website at </w:t>
      </w:r>
      <w:r>
        <w:rPr>
          <w:rFonts w:ascii="Times New Roman" w:cs="Times New Roman" w:eastAsia="Times New Roman" w:hAnsi="Times New Roman"/>
          <w:sz w:val="18"/>
          <w:szCs w:val="18"/>
          <w:i w:val="1"/>
          <w:iCs w:val="1"/>
          <w:color w:val="auto"/>
        </w:rPr>
        <w:t>www.ies-co.com</w:t>
      </w:r>
      <w:r>
        <w:rPr>
          <w:rFonts w:ascii="Times New Roman" w:cs="Times New Roman" w:eastAsia="Times New Roman" w:hAnsi="Times New Roman"/>
          <w:sz w:val="18"/>
          <w:szCs w:val="18"/>
          <w:color w:val="auto"/>
        </w:rPr>
        <w:t>. 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report on Form 8-K. Paper copies of these documents are also available free of charge upon written request to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General information about us can be found on our website at </w:t>
      </w:r>
      <w:r>
        <w:rPr>
          <w:rFonts w:ascii="Times New Roman" w:cs="Times New Roman" w:eastAsia="Times New Roman" w:hAnsi="Times New Roman"/>
          <w:sz w:val="18"/>
          <w:szCs w:val="18"/>
          <w:i w:val="1"/>
          <w:iCs w:val="1"/>
          <w:color w:val="auto"/>
        </w:rPr>
        <w:t>www.ies-co.com</w:t>
      </w:r>
      <w:r>
        <w:rPr>
          <w:rFonts w:ascii="Times New Roman" w:cs="Times New Roman" w:eastAsia="Times New Roman" w:hAnsi="Times New Roman"/>
          <w:sz w:val="18"/>
          <w:szCs w:val="18"/>
          <w:color w:val="auto"/>
        </w:rPr>
        <w:t xml:space="preserve"> under “Investor Relations.” We file our interim and annual financial reports, as well as other reports required by the Securities Exchange Act of 1934, as amended (the “Exchange Act”), with the SEC.</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and they will provide you with a copy of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3" w:right="239" w:bottom="1440" w:gutter="0" w:footer="0" w:header="0"/>
        </w:sectPr>
      </w:pPr>
    </w:p>
    <w:bookmarkStart w:id="12" w:name="page13"/>
    <w:bookmarkEnd w:id="12"/>
    <w:p>
      <w:pPr>
        <w:jc w:val="both"/>
        <w:ind w:right="20"/>
        <w:spacing w:after="0" w:line="331" w:lineRule="auto"/>
        <w:rPr>
          <w:sz w:val="20"/>
          <w:szCs w:val="20"/>
          <w:color w:val="auto"/>
        </w:rPr>
      </w:pPr>
      <w:r>
        <w:rPr>
          <w:rFonts w:ascii="Times New Roman" w:cs="Times New Roman" w:eastAsia="Times New Roman" w:hAnsi="Times New Roman"/>
          <w:sz w:val="18"/>
          <w:szCs w:val="18"/>
          <w:color w:val="auto"/>
        </w:rPr>
        <w:t>reports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or you may find them at </w:t>
      </w:r>
      <w:r>
        <w:rPr>
          <w:rFonts w:ascii="Times New Roman" w:cs="Times New Roman" w:eastAsia="Times New Roman" w:hAnsi="Times New Roman"/>
          <w:sz w:val="18"/>
          <w:szCs w:val="18"/>
          <w:i w:val="1"/>
          <w:iCs w:val="1"/>
          <w:color w:val="auto"/>
        </w:rPr>
        <w:t>www.ies-corporate.com/sec-filings</w:t>
      </w:r>
      <w:r>
        <w:rPr>
          <w:rFonts w:ascii="Times New Roman" w:cs="Times New Roman" w:eastAsia="Times New Roman" w:hAnsi="Times New Roman"/>
          <w:sz w:val="18"/>
          <w:szCs w:val="18"/>
          <w:color w:val="auto"/>
        </w:rPr>
        <w:t xml:space="preserve">. The materials that we file with the SEC are also available free of charge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We have designated an “audit committee financial expert” as that term is defined by the SEC. Further information about this designee may be found in the Proxy Statement for the 2020 Annual Meeting of Stockholders of the Company.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Existence of a controlling shareholder.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majority of our outstanding common stock is owned by Tontine. Based on a Form 4 filed by Tontine on October 3, 2019, Tontine owns approximately 58 percent of the Company’s outstanding common stock.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assets,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facility, bonding agreements with our sureties, and our executive severance plan, as well as the exercisability of the purchase rights under our NOL Rights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has less liquidity than many other stocks listed on the NASDAQ Global Market.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trading volume of our common stock has been relatively low when compared to other companies listed on the NASDAQ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issue additional shares of common stock or convertible securities that will dilute the percentage ownership interest of existing stockholders and may dilute the book value per share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capital includes 100,000,000 shares of common stock and 10,000,000 shares of preferred stock. As of September 30, 2019, we had 22,049,529 shares of common stock issued, 21,165,011 shares of common stock outstanding and no shares of preferred stock issued or outstanding. We have reserved for issuance 21,750 shares of common stock underlying options that are exercisable at a weighted average price of $6.35 per share. In addition, as of September 30, 2019, we had the ability to issue 824,676 shares of common stock, including upon the exercise of options, as future grants under our existing equity compensation plans.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currently do not have any intention of issuing additional common stock (other than pursuant to our equity compensation plans), we may do so in the future in order to meet our capital needs. Subject to applicable NASDAQ Listing Rules, our Board of Directors generally has the authority, without action by or vote of the stockholders, to issue all or part of any authorized but unissued shares of common stock for any corporate purpose. We may seek additional equity capital in the future as we develop our business and expand our operations. Any issuance of additional shares of common stock or convertible securities will dilute the percentage ownership interest of our stockholders and may dilute the book value per share of our common stock.</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42"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Substantial sales of our common stock could adversely affect our stock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Tontine's shares are registered for resale on a shelf resale registration statement filed by the Company with the SEC. 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Operations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highly competitive nature of our industries could affect our profitability by reducing our profit margins.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electrical contracting services, the industries in which we compete are highly fragmented and are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for mission critical infrastructure, have attractive characteristics. Some of our competitors offer a greater range of services, including mechanical construction, facilities management, plumbing and heating, ventilation and air conditioning services.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markets in which Infrastructure Solutions does business are highly competitive, and we do not expect the level of competition that we face to decrease in the future. An increase in competitive pressures in these markets or our failure to compete effectively (including efficiently managing future capital expenditures and refurbishment, repair and upgrade costs) may result in pricing reductions, reduced gross margins, and loss of market share. Some of our competitors have longer operating histories, greater name recognition, more customers, and significantly greater financial, marketing, technical, and other competitive resources than we have. These competitors may be able to adapt more quickly to new technologies and changes in customer needs or devote greater resources to the development, promotion, and sale of their services. While we believe Infrastructure Solutions’ overall product and service offerings distinguish it from its competitors, these competitors could develop new products or services that could directly compete with Infrastructure Solutions’ services.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generate a significant portion of our revenues under fixed price contracts. The estimates we use in placing bids and changes in commodity and labor costs could have an adverse effect on our ability to maintain our profitability.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the costs associated with labor and commodities, such as copper, aluminum, steel, fuel and certain plastics, increase due to low supply or other forces, losses may be incurred. Some of our materials have been and may continue to be subject to sudden and significant price increases. Depending on competitive pressures and customer resistance, we may not be able to pass on these cost increases to our customers, which would reduce our gross profit margins and, in turn, make it more difficult for us to maintain our profitability. We have a work force of over 5,000 employees, and our labor costs may fluctuate based on supply as well as other labor related risks, including risks related to collective bargaining agreements, benefits arrangements, wage and hour claims and other compensation arrangements.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failure to secure new contracts may adversely affect our cash flows and financial results.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Much of our revenue is derived from projects that are awarded through a competitive bid process. Contract bidding and negotiations are affected by a number of factors, including our own cost structure and bidding policies.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w:t>
      </w:r>
    </w:p>
    <w:p>
      <w:pPr>
        <w:spacing w:after="0" w:line="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failure to bid and be awarded projects, cancellations of projects or delays in project start dates could affect our ability to deploy our assets profitably. Further, when we are awarded contracts, we face additional risks that could affect whether, or when, work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begin. We could experience a decrease in profitability if we are unable to replace canceled, completed or expired contracts with new work.</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inability to carry out plans and strategies as expected, including our inability to identify and complete acquisitions that meet our investment criteria in furtherance of our corporate strategy or the subsequent underperformance of those acquisitions, may adversely impact our future growth.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strategy involves creating shareholder value through acquiring or investing in stand-alone platform companies based in North America or acquiring businesses that we believe will strategically complement our existing business segments. While we believe that acquisitions will provide an opportunity to expand into new end-markets and diversify our revenue and profit streams, potential acquisitions in new industries could result in changes in our operations from those historically conducted by us and introduce the requirement for new controls. Alternatively, our failure to diversify from existing markets may limit our future growth. In addition, our investments may not perform as expected or may not generate a positive return on investment, due to factors we could not predict prior to the acquisition or due to incorrect investment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unsuccessful at integrating other companies that we may acquire, or new types of work, products or processes into our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difficulties of integrating a business, assets or operations potentially will include, among other things:</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geographically separated organizations and possible differences in corporate cultures and management philosophies;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demands on management resources, which may distract management’s attention from day-to-day business;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disclosure systems, compliance requirements, accounting systems, and accounting controls and procedures of the acquired company, which may interfere with our ability to make timely and accurate public disclosure;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demands of managing new locations, new personnel and new lines of business acquired.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services is cyclical and vulnerable to economic downturns affecting the industries we serve.</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Demand for our services has been, and will likely continue to be, cyclical in nature and vulnerable to downturns in the general economy, as well as in the construction industry and the housing market. Many of our customers depend on the availability of credit to purchase our services or electrical and mechanical products. Prolonged uncertainties in, or the return of, constrained credit market conditions could have adverse effects on our customers, which would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may not be realized or may not result in profits.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significant charges or be adversely impacted by the closure or sale of facilities or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or other unexpected liabilities from closed facilities beyond the closing date, which could adversely impact our financial returns.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availability and cost of surety bonds affect our ability to enter into new contracts and our margins on those engagements.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customers require us to post performance and payment bonds issued by a surety. Those bonds guarantee the customer that we will perform under the terms of a contract and that we will pay subcontractors and vendors. We obtain surety bonds from two primary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we may be unable to compete for, or work on, certain projects</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to seasonality and differing regional economic conditions, our results may fluctuate from period to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seasonal variations in operations and demand that affect the construction business, particularly in the Residential and Commercial</w:t>
      </w:r>
    </w:p>
    <w:p>
      <w:pPr>
        <w:spacing w:after="0" w:line="27" w:lineRule="exact"/>
        <w:rPr>
          <w:sz w:val="20"/>
          <w:szCs w:val="20"/>
          <w:color w:val="auto"/>
        </w:rPr>
      </w:pPr>
    </w:p>
    <w:p>
      <w:pPr>
        <w:ind w:right="40" w:firstLine="8"/>
        <w:spacing w:after="0" w:line="252"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segments, as well as seasonal variations in the industries in which Infrastructure Solutions participates. Untimely weather delay from rain, heat, ice, cold or snow can not only delay our work but can negatively impact our schedules and profitability by delaying the work of other trades on a construction site. Our quarterly results may also be affected by regional economic conditions that affect the construction market. In particular, a prolonged period of weak demand in the oil and gas industry could dampen the housing market in certain regions, resulting in reduced demand for the services provided by our Residential segment. Infrastructure Solutions’ revenues from industrial services may be affected by the timing of scheduled outages at its industrial customers’ facilities, by weather conditions with respect to projects conducted outdoors, by data center construction, and by changes in spending in public infrastructure, power and steel markets. Industrial and rail customers may also be affected by volatility in oil prices. Accordingly, our performance in any particular quarter may not be indicative of the results that can be expected for any other quarter or for the entire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difficulties in managing our billings and collections.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billings under fixed price contracts in our electrical contracting business are generally based upon achieving certain milestones and will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are subject to numerous physical hazards. If an accident occurs, it could result in an adverse effect on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Our insurance does not cover all types or amounts of liabilities. In addition, if our safety record were to substantially deteriorate over time, our customers could cancel our contracts or not award us future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insurance coverage may not be adequate, and we may not be able to obtain insurance at acceptable rates, or at all.</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claims can cause unexpected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all of our businesses, we are subject to potential claims and litigation, including contractual disputes, warranty claims, and claims related to our compliance with legal and regulatory requirements.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Latent defect litigation is normal for residential home builders in some parts of the country, as well as in certain areas of the commercial market. Any increases in our latent defect claims and litigation could place pressure on the profitability of the Residential and Commercial &amp; Industrial segments of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sectPr>
      </w:pPr>
    </w:p>
    <w:bookmarkStart w:id="16" w:name="page17"/>
    <w:bookmarkEnd w:id="16"/>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Interruptions in the proper functioning of our information systems, or security breaches of our information systems or confidential data, could disrupt operations and cause increases in costs and/or decreases in revenues.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our Company continues to increase its dependence on information technology systems, networks, and infrastructure to conduct its day to day operations, the proper functioning and security of our information technology environment are critical to the successful operation of our business. Although our information systems, networks and infrastructure are protected through physical and software safeguards, our information technology environment is still vulnerable to natural disasters, power losses, telecommunication failures, deliberate intrusions and other cyber security risks, and other problems, which could cause a loss of data, release of personally identifiable information or release of confidential customer information among other items. If critical information systems fail or are otherwise unavailable or confidential information is released, our business operations could be adversely affected.</w:t>
      </w:r>
    </w:p>
    <w:p>
      <w:pPr>
        <w:spacing w:after="0" w:line="1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conduct environmental remediation activities, which could be expensive and inhibit the growth of our business and our ability to maintain profitability, particularly in our Infrastructure Solutions business.</w:t>
      </w:r>
    </w:p>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believe that our business is operating in compliance in all material respects with applicable environmental laws, many of which provide for substantial penalties for violations. There can be no assurance that future changes in such laws, interpretations of existing regulations or the discovery of currently unknown problems or conditions will not require substantial additional expenditures. In addition, if we do not comply with these laws and regulations, we could be subject to material administrative, civil or criminal penalties, or other liabilities. We may also be required to incur substantial costs to comply with current or future environmental and safety laws and regulations. Any such additional expenditures or costs that we may incur could hurt our operating results.</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a group or several key personnel, either at the corporate or operating level, or general labor constraints could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We cannot guarantee that any member of management at the corporate or subsidiary level will continue in their capacity for any particular period of time. We have a severance plan in place that covers certain of our senior leaders; however, this plan can neither guarantee that we will not lose key employees, nor prevent them from competing against us, which is often dependent on state and local employment laws.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 We also may be constrained in hiring and retaining qualified employees due to historically low unemployment rates and general labor shortages in our industries. Continued labor constraints may limit our ability to grow and may limit our profitability due to the impact of rising wages.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Financial Results, Financing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net operating losses may be reduced by a change in ownership.</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change in ownership, as defined by Internal Revenue Code Section 382, could reduce the availability of NOLs, for federal and state income tax purposes. Should Tontine sell or otherwise dispose of all or a portion of its position in IES, a change in ownership could occur. A change in ownership could also result from the purchase of common stock by an existing or a new 5% shareholder as defined by Internal Revenue Code Section 382. As of September 30, 2019</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have approximately $306.3 million of federal NOLs that are available to use to offset taxable income, including approximately $143.6 million resulting from net operating losses on which a deferred tax asset is not recorded. Should a change in ownership occur, all NOLs incurred prior to the change in ownership would be subject to limitation imposed by Internal Revenue Code Section 382, which would substantially reduce the amount of NOL currently available to offset taxable income.</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NOL Rights Plan, which was designed to deter an acquisition of the Company’s stock in excess of a threshold amount that could trigger an ownership change within the meaning of Internal Revenue Code Section 382. The NOL Rights Plan is designed to dilute the ownership of such an acquirer through the offering of rights to the Company’s other stockholders that will become exercisable upon the acquirer’s purchase of the Company’s stock in excess of the threshold amount. We can make no assurances the NOL Rights Plan will be effective in deterring an ownership change or protecting or realizing NOLs.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3" w:right="2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adopted tax positions that a taxing authority may view differently. If a taxing authority differs with our tax positions, our results may be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and cash paid for taxes are impacted by the tax positions that we have adopted. Taxing authorities may not always agree with the positions we have taken. We have established reserves for tax positions that we have determined to be less likely than not to be sustained by taxing authorities. However, there can be no assurance that our results of operations will not be adversely affected in the event that disagreement over our tax positions does arise.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recognized deferred tax assets based upon our estimates of future taxable income, and we may recognize tax expense if there is a reduction in the statutory tax rate or if future taxable income is lower than our estimates.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2019, we have a net deferred tax asset of $40.9 million on our Consolidated Balance Sheet, of which $39.0 million is attributable to NOLs. To realize the full benefit of this deferred tax asset attributable to NOLs, we must generate sufficient taxable income within the applicable carry forward period to offset against NOLs. Under accounting principles generally accepted in the United States of America ("GAAP"), we are required to assess whether we believe the benefit of the deferred tax asset is more likely than not to be realized based on our expectation of generating sufficient future taxable income, and we are required to record a valuation allowance, or offset, against our deferred tax asset based on the portion of the deferred tax asset that we believe is not more likely than not to be realized.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taxable income in the future to utilize our NOLs, then we could be required to record valuation allowances, resulting in an increase in income tax expense and a reduction of our consolidated net income. Failure to generate sufficient taxable income in the future could also result in the expiration of certain NOLs.</w:t>
      </w:r>
    </w:p>
    <w:p>
      <w:pPr>
        <w:spacing w:after="0" w:line="20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addition, we recorded a charge of $31.3 million during fiscal 2018 to reflect the impact of the reduced statutory federal corporate tax rate as a result of the U.S. Tax Cuts and Jobs Act, which became effective on January 1, 2018, on the value of our net deferred tax asset on our Consolidated Balance Sheet. Any further decrease in the federal statutory tax rate or other changes in federal tax statutes could also cause a reduction in the economic benefit of the NOL currently available to us and a corresponding reduction in the amount of our recorded deferred tax assets.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fund our working capital requirements and service any debt we may incur, we may require a significant amount of cash. Our ability to generate cash depends on many factors that are beyond our control.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any indebtedness we may incur and to fund working capital requirements will depend on our ability to generate cash in the future. This is subject to our operational performance, as well as general economic, financial, competitive, legislative, regulatory and other factors that are beyond our control.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our business will generate sufficient cash flow from operations or asset sales or that future borrowings will be available to us under our credit facility in an amount sufficient to enable us to service any debt we may incur or to fund our other liquidity needs. We may need to refinance our credit facility on or before maturity. We cannot provide assurance that we will be able to refinance our credit facility on commercially reasonable terms or at all. Our inability to access capital on commercially reasonable terms could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restrictions and covenants under our credit facility and the failure to meet these covenants, including liquidity and other financial requirements, could result in a default under our credit facility.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remain in compliance with the covenants in our credit facility, including financial covenants which, among other things, require minimum levels of liquidity and require us to maintain a specified fixed charge coverage ratio as defined under our credit facility. A failure to fulfill the terms and requirements of our credit facility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use of percentage-of-completion accounting could result in a reduction or elimination of previously reported profits, and we may be adversely impacted by new accounting, control and operating procedures.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reported operating results could be adversely affected as a result of goodwill impairment charges.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accounting requires that goodwill attributable to each of our reporting units be tested at least annually, or when changes in circumstance indicate the carrying value of our reporting units may not be recoverable. Factors that could lead to impairment of goodwill include significant adverse changes in the business climate, declines in the financial condition of our business, and actual or projected operating results affecting our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cost-effective control system, misstatements due to error could occur without being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affected by changes in LIBOR reporting practices or the method in which LIBOR is determined.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interest rate risk on floating interest rate borrowings under our revolving credit facility. Borrowings under our revolving credit facility use London Interbank Offering Rate (“LIBOR”) as a benchmark for establishing the interest rate. In July 2017, the Financial Conduct Authority (the regulatory authority over LIBOR) stated they will plan for a phase out of regulatory oversight of LIBOR after 2021 to allow for an orderly transition to an alternative reference rate. Although the full impact of the transition away from LIBOR, including the discontinuance of LIBOR publication and the adoption of a replacement rate for LIBOR, remains unclear, these changes may have an adverse impact on our financing costs and any floating rate indebtedness we may incur.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2019, we maintained branch offices, warehouses, sales facilities and administrative offices at 79 locations. Substantially all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Times New Roman" w:cs="Times New Roman" w:eastAsia="Times New Roman" w:hAnsi="Times New Roman"/>
          <w:sz w:val="18"/>
          <w:szCs w:val="18"/>
          <w:i w:val="1"/>
          <w:iCs w:val="1"/>
          <w:color w:val="auto"/>
        </w:rPr>
        <w:t>Business —Operating Segments</w:t>
      </w:r>
      <w:r>
        <w:rPr>
          <w:rFonts w:ascii="Times New Roman" w:cs="Times New Roman" w:eastAsia="Times New Roman" w:hAnsi="Times New Roman"/>
          <w:sz w:val="18"/>
          <w:szCs w:val="18"/>
          <w:color w:val="auto"/>
        </w:rPr>
        <w:t>” of this Annual Report on Form 10-K.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regarding legal proceedings, see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notes to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33"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Market under the ticker symbol “IESC.”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4, 2019, the closing market price of our common stock was $21.38 per share and there were approximately 341 holders of record.</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We intend to retain any future earnings and do not expect to pay cash dividends in the foreseeable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3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In 2015, our Board of Directors authorized a stock repurchase program for the purchase from time to time of up to 1.5 million shares of the Company’s common stock,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8"/>
          <w:szCs w:val="18"/>
          <w:color w:val="auto"/>
        </w:rPr>
        <w:t xml:space="preserve"> on May 2, 2019, authorized the repurchase from time to time of up to an additional 1,000,000.0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2019, we repurchased 467,819 shares of common stock at an average price of $17.34 per share for a total aggregate purchase price of $8.1 million. The Company had 1.3 million shares remaining under its stock repurchase authorization at September 30,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by the Company during the three months ended September 30, 2019:</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Average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 Shares</w:t>
            </w:r>
          </w:p>
        </w:tc>
      </w:tr>
      <w:tr>
        <w:trPr>
          <w:trHeight w:val="216"/>
        </w:trPr>
        <w:tc>
          <w:tcPr>
            <w:tcW w:w="324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Paid 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That May Yet Be Purchased</w:t>
            </w:r>
          </w:p>
        </w:tc>
      </w:tr>
      <w:tr>
        <w:trPr>
          <w:trHeight w:val="216"/>
        </w:trPr>
        <w:tc>
          <w:tcPr>
            <w:tcW w:w="3240" w:type="dxa"/>
            <w:vAlign w:val="bottom"/>
          </w:tcPr>
          <w:p>
            <w:pPr>
              <w:spacing w:after="0"/>
              <w:rPr>
                <w:sz w:val="18"/>
                <w:szCs w:val="18"/>
                <w:color w:val="auto"/>
              </w:rPr>
            </w:pP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Purchased</w:t>
            </w:r>
          </w:p>
        </w:tc>
        <w:tc>
          <w:tcPr>
            <w:tcW w:w="1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Part of a Publicly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 the Publicly Announced</w:t>
            </w:r>
          </w:p>
        </w:tc>
      </w:tr>
      <w:tr>
        <w:trPr>
          <w:trHeight w:val="234"/>
        </w:trPr>
        <w:tc>
          <w:tcPr>
            <w:tcW w:w="3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 Plan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as of September 30, 2019</w:t>
            </w:r>
          </w:p>
        </w:tc>
      </w:tr>
      <w:tr>
        <w:trPr>
          <w:trHeight w:val="27"/>
        </w:trPr>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2019 – July 31, 2019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1,323,039</w:t>
            </w: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2019 – August 31, 2019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1,267,085</w:t>
            </w:r>
          </w:p>
        </w:tc>
      </w:tr>
      <w:tr>
        <w:trPr>
          <w:trHeight w:val="27"/>
        </w:trPr>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2019 – September 30, 2019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1,256,985</w:t>
            </w: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1,256,985</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Five-Year Stock 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five year total return provided shareholders on IES Holdings, Inc.'s common stock relative to the cumulative total returns of the Russell 2000 index and a customized peer group of four companies that includes: Comfort Systems USA Inc., MYR Group Inc., Sterling Construction Company Inc. and Team Inc. An investment of $100 (with reinvestment of all dividends) is assumed to have been made in our common stock, in the Russell 2000 index, and in the peer group on September 30, 2014, and its relative performance is tracked through September 30, 2019.</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29"/>
          <w:szCs w:val="29"/>
          <w:b w:val="1"/>
          <w:bCs w:val="1"/>
          <w:color w:val="auto"/>
        </w:rPr>
        <w:t>Comparison of Five Year Cumulative Total Return*</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 IES Holdings, Inc., the Russell 2000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6350</wp:posOffset>
            </wp:positionV>
            <wp:extent cx="5556885" cy="3464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688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*$100 invested on 9/30/14 in stock or index, including reinvestment of dividends.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Fiscal year ending September 30.</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Pr>
          <w:p>
            <w:pPr>
              <w:spacing w:after="0"/>
              <w:rPr>
                <w:sz w:val="22"/>
                <w:szCs w:val="22"/>
                <w:color w:val="auto"/>
              </w:rPr>
            </w:pPr>
          </w:p>
        </w:tc>
        <w:tc>
          <w:tcPr>
            <w:tcW w:w="240" w:type="dxa"/>
            <w:vAlign w:val="bottom"/>
            <w:tcBorders>
              <w:top w:val="single" w:sz="8" w:color="00000A"/>
            </w:tcBorders>
          </w:tcPr>
          <w:p>
            <w:pPr>
              <w:spacing w:after="0"/>
              <w:rPr>
                <w:sz w:val="22"/>
                <w:szCs w:val="22"/>
                <w:color w:val="auto"/>
              </w:rPr>
            </w:pPr>
          </w:p>
        </w:tc>
        <w:tc>
          <w:tcPr>
            <w:tcW w:w="820" w:type="dxa"/>
            <w:vAlign w:val="bottom"/>
            <w:tcBorders>
              <w:top w:val="single" w:sz="8" w:color="00000A"/>
            </w:tcBorders>
          </w:tcPr>
          <w:p>
            <w:pPr>
              <w:spacing w:after="0"/>
              <w:rPr>
                <w:sz w:val="22"/>
                <w:szCs w:val="22"/>
                <w:color w:val="auto"/>
              </w:rPr>
            </w:pPr>
          </w:p>
        </w:tc>
        <w:tc>
          <w:tcPr>
            <w:tcW w:w="120" w:type="dxa"/>
            <w:vAlign w:val="bottom"/>
            <w:tcBorders>
              <w:top w:val="single" w:sz="8" w:color="00000A"/>
            </w:tcBorders>
          </w:tcPr>
          <w:p>
            <w:pPr>
              <w:spacing w:after="0"/>
              <w:rPr>
                <w:sz w:val="22"/>
                <w:szCs w:val="22"/>
                <w:color w:val="auto"/>
              </w:rPr>
            </w:pPr>
          </w:p>
        </w:tc>
        <w:tc>
          <w:tcPr>
            <w:tcW w:w="1040" w:type="dxa"/>
            <w:vAlign w:val="bottom"/>
            <w:tcBorders>
              <w:top w:val="single" w:sz="8" w:color="00000A"/>
            </w:tcBorders>
          </w:tcPr>
          <w:p>
            <w:pPr>
              <w:spacing w:after="0"/>
              <w:rPr>
                <w:sz w:val="22"/>
                <w:szCs w:val="22"/>
                <w:color w:val="auto"/>
              </w:rPr>
            </w:pPr>
          </w:p>
        </w:tc>
        <w:tc>
          <w:tcPr>
            <w:tcW w:w="120" w:type="dxa"/>
            <w:vAlign w:val="bottom"/>
            <w:tcBorders>
              <w:top w:val="single" w:sz="8" w:color="00000A"/>
            </w:tcBorders>
          </w:tcPr>
          <w:p>
            <w:pPr>
              <w:spacing w:after="0"/>
              <w:rPr>
                <w:sz w:val="22"/>
                <w:szCs w:val="22"/>
                <w:color w:val="auto"/>
              </w:rPr>
            </w:pPr>
          </w:p>
        </w:tc>
        <w:tc>
          <w:tcPr>
            <w:tcW w:w="2240" w:type="dxa"/>
            <w:vAlign w:val="bottom"/>
            <w:tcBorders>
              <w:top w:val="single" w:sz="8" w:color="00000A"/>
            </w:tcBorders>
            <w:gridSpan w:val="4"/>
          </w:tcPr>
          <w:p>
            <w:pPr>
              <w:ind w:left="8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20" w:type="dxa"/>
            <w:vAlign w:val="bottom"/>
            <w:tcBorders>
              <w:top w:val="single" w:sz="8" w:color="00000A"/>
            </w:tcBorders>
          </w:tcPr>
          <w:p>
            <w:pPr>
              <w:spacing w:after="0"/>
              <w:rPr>
                <w:sz w:val="22"/>
                <w:szCs w:val="22"/>
                <w:color w:val="auto"/>
              </w:rPr>
            </w:pPr>
          </w:p>
        </w:tc>
        <w:tc>
          <w:tcPr>
            <w:tcW w:w="100" w:type="dxa"/>
            <w:vAlign w:val="bottom"/>
            <w:tcBorders>
              <w:top w:val="single" w:sz="8" w:color="00000A"/>
            </w:tcBorders>
          </w:tcPr>
          <w:p>
            <w:pPr>
              <w:spacing w:after="0"/>
              <w:rPr>
                <w:sz w:val="22"/>
                <w:szCs w:val="22"/>
                <w:color w:val="auto"/>
              </w:rPr>
            </w:pPr>
          </w:p>
        </w:tc>
        <w:tc>
          <w:tcPr>
            <w:tcW w:w="1020" w:type="dxa"/>
            <w:vAlign w:val="bottom"/>
            <w:tcBorders>
              <w:top w:val="single" w:sz="8" w:color="00000A"/>
            </w:tcBorders>
          </w:tcPr>
          <w:p>
            <w:pPr>
              <w:spacing w:after="0"/>
              <w:rPr>
                <w:sz w:val="22"/>
                <w:szCs w:val="22"/>
                <w:color w:val="auto"/>
              </w:rPr>
            </w:pPr>
          </w:p>
        </w:tc>
        <w:tc>
          <w:tcPr>
            <w:tcW w:w="20" w:type="dxa"/>
            <w:vAlign w:val="bottom"/>
            <w:tcBorders>
              <w:top w:val="single" w:sz="8" w:color="00000A"/>
            </w:tcBorders>
            <w:shd w:val="clear" w:color="auto" w:fill="00000A"/>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00000A"/>
            </w:tcBorders>
            <w:shd w:val="clear" w:color="auto" w:fill="00000A"/>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IES Holdings,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249.58</w:t>
            </w:r>
          </w:p>
        </w:tc>
        <w:tc>
          <w:tcPr>
            <w:tcW w:w="20" w:type="dxa"/>
            <w:vAlign w:val="bottom"/>
          </w:tcPr>
          <w:p>
            <w:pPr>
              <w:spacing w:after="0"/>
              <w:rPr>
                <w:sz w:val="21"/>
                <w:szCs w:val="21"/>
                <w:color w:val="auto"/>
              </w:rPr>
            </w:pPr>
          </w:p>
        </w:tc>
      </w:tr>
      <w:tr>
        <w:trPr>
          <w:trHeight w:val="243"/>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Russell 2000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162.67</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148.21</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Peer 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112.69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172.58</w:t>
            </w:r>
          </w:p>
        </w:tc>
        <w:tc>
          <w:tcPr>
            <w:tcW w:w="20" w:type="dxa"/>
            <w:vAlign w:val="bottom"/>
          </w:tcPr>
          <w:p>
            <w:pPr>
              <w:spacing w:after="0"/>
              <w:rPr>
                <w:sz w:val="21"/>
                <w:szCs w:val="21"/>
                <w:color w:val="auto"/>
              </w:rPr>
            </w:pPr>
          </w:p>
        </w:tc>
      </w:tr>
      <w:tr>
        <w:trPr>
          <w:trHeight w:val="86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311" w:right="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historical financial information for IES should be read in conjunction with the audited historical Consolidated Financial Statements of IES Holdings, Inc. and subsidiaries, and the notes thereto, set forth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8"/>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 Except Share Information)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1,076,996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876,828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810,744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695,993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573,857</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894,893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726,866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670,246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569,013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473,966</w:t>
            </w:r>
          </w:p>
        </w:tc>
      </w:tr>
      <w:tr>
        <w:trPr>
          <w:trHeight w:val="237"/>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182,103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140,498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126,980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99,891</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81,416</w:t>
            </w: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18,488</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7"/>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18,805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17,538</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7"/>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120,878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120,878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16,538</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13,422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120,778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16,538</w:t>
            </w:r>
          </w:p>
        </w:tc>
      </w:tr>
      <w:tr>
        <w:trPr>
          <w:trHeight w:val="185"/>
        </w:trPr>
        <w:tc>
          <w:tcPr>
            <w:tcW w:w="4620" w:type="dxa"/>
            <w:vAlign w:val="bottom"/>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Basic earnings (loss) per share attributable to IES Holdings,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97"/>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185"/>
        </w:trPr>
        <w:tc>
          <w:tcPr>
            <w:tcW w:w="4620" w:type="dxa"/>
            <w:vAlign w:val="bottom"/>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Diluted earnings (loss) per share attributable to IES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Inc.:</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97"/>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37"/>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to calculate earnings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21,082,012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21,196,388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21,280,549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21,279,342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21,480,622</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21,315,245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21,196,388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21,533,254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21,492,339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21,526,188</w:t>
            </w:r>
          </w:p>
        </w:tc>
      </w:tr>
      <w:tr>
        <w:trPr>
          <w:trHeight w:val="540"/>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8"/>
          </w:tcPr>
          <w:p>
            <w:pPr>
              <w:jc w:val="center"/>
              <w:ind w:right="380"/>
              <w:spacing w:after="0"/>
              <w:rPr>
                <w:sz w:val="20"/>
                <w:szCs w:val="20"/>
                <w:color w:val="auto"/>
              </w:rPr>
            </w:pPr>
            <w:r>
              <w:rPr>
                <w:rFonts w:ascii="Times New Roman" w:cs="Times New Roman" w:eastAsia="Times New Roman" w:hAnsi="Times New Roman"/>
                <w:sz w:val="16"/>
                <w:szCs w:val="16"/>
                <w:color w:val="auto"/>
              </w:rPr>
              <w:t>(In Thousands, Except Share Information)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Sheet Data:</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28,290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Working capital, exclusive of cash</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31,601</w:t>
            </w: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445,258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225,679</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r>
      <w:tr>
        <w:trPr>
          <w:trHeight w:val="243"/>
        </w:trPr>
        <w:tc>
          <w:tcPr>
            <w:tcW w:w="4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101,414</w:t>
            </w:r>
          </w:p>
        </w:tc>
      </w:tr>
    </w:tbl>
    <w:p>
      <w:pPr>
        <w:spacing w:after="0" w:line="200" w:lineRule="exact"/>
        <w:rPr>
          <w:sz w:val="20"/>
          <w:szCs w:val="20"/>
          <w:color w:val="auto"/>
        </w:rPr>
      </w:pPr>
    </w:p>
    <w:p>
      <w:pPr>
        <w:sectPr>
          <w:pgSz w:w="11900" w:h="16838" w:orient="portrait"/>
          <w:cols w:equalWidth="0" w:num="1">
            <w:col w:w="11280"/>
          </w:cols>
          <w:pgMar w:left="240" w:top="333" w:right="379" w:bottom="1440" w:gutter="0" w:footer="0" w:header="0"/>
        </w:sectPr>
      </w:pP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80"/>
          </w:cols>
          <w:pgMar w:left="240" w:top="333"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the notes thereto, set forth in Item 8.</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 For additional information, see </w:t>
      </w:r>
      <w:r>
        <w:rPr>
          <w:rFonts w:ascii="Times New Roman" w:cs="Times New Roman" w:eastAsia="Times New Roman" w:hAnsi="Times New Roman"/>
          <w:sz w:val="18"/>
          <w:szCs w:val="18"/>
          <w:i w:val="1"/>
          <w:iCs w:val="1"/>
          <w:color w:val="auto"/>
        </w:rPr>
        <w:t>“Disclosure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 Looking Statements” </w:t>
      </w:r>
      <w:r>
        <w:rPr>
          <w:rFonts w:ascii="Times New Roman" w:cs="Times New Roman" w:eastAsia="Times New Roman" w:hAnsi="Times New Roman"/>
          <w:sz w:val="18"/>
          <w:szCs w:val="18"/>
          <w:color w:val="auto"/>
        </w:rPr>
        <w:t>in Part I of this Annual Report on Form 10-K.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Please refer to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of this Annual Report on Form 10-K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the degree to which in-house maintenance departments outsource maintenance and repair work,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 (ii) aging public infrastructure, which must be replaced or repaired, (iii) an increasing demand for data storage, (iv) increased emphasis on environmental and energy efficiency, which may lead to both increased public and private spending, and (v) demand for natural gas which is expected to spur the construction of and modifications to heavy industrial facilities. However, there can be no assurance that we will not experience a decrease in demand for our services due to economic, technological or other factors beyond our control, including weakness in the oil and gas sector, interest rate changes, increases in steel and commodity prices and other economic factors, which may reduce the demand for housing including in the Texas region, where our Residential division operates and may impact levels of construction. For a further discussion of the industries in which we operate, please see Item 1. “</w:t>
      </w:r>
      <w:r>
        <w:rPr>
          <w:rFonts w:ascii="Times New Roman" w:cs="Times New Roman" w:eastAsia="Times New Roman" w:hAnsi="Times New Roman"/>
          <w:sz w:val="18"/>
          <w:szCs w:val="18"/>
          <w:i w:val="1"/>
          <w:iCs w:val="1"/>
          <w:color w:val="auto"/>
        </w:rPr>
        <w:t>Business -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Outlook</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2019 as compared to fiscal 2018. Among our segments, year-over-year revenue growth rates during fiscal 2019 were driven primarily by organic growth.</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Provided that no significant deterioration in general economic conditions occurs, the Company expects total revenues from existing businesses to increase on a year-over-year basis during fiscal 2020 due to an increase in overall demand for the services we provide, efforts to increase our market share, and current backlog levels. We remain focused on controlled growth within many of our markets which continue to experience highly competitive margins and increasing costs.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continue to grow our business, including through acquisitions and the funding of working capital, we may require a significant amount of cash. Our ability to generate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twelve months. We expect that our fixed asset requirements will range from $5.0 million to $7.0 million for the fiscal year ending on September 30, 2020, and we may acquire these assets either through capital expenditures or through lease agreements.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65"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 presents selected historical results of operations of IES, as well as the results of acquired businesses from the dates acquired.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2019</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2017</w:t>
            </w:r>
          </w:p>
        </w:tc>
        <w:tc>
          <w:tcPr>
            <w:tcW w:w="7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11"/>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jc w:val="center"/>
              <w:ind w:right="620"/>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72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$ 1,076,996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$ 810,744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4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7"/>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0"/>
        </w:trPr>
        <w:tc>
          <w:tcPr>
            <w:tcW w:w="4960" w:type="dxa"/>
            <w:vAlign w:val="bottom"/>
            <w:tcBorders>
              <w:bottom w:val="single" w:sz="8" w:color="CCEEFF"/>
            </w:tcBorders>
          </w:tcPr>
          <w:p>
            <w:pPr>
              <w:ind w:left="260"/>
              <w:spacing w:after="0" w:line="270" w:lineRule="exact"/>
              <w:rPr>
                <w:sz w:val="20"/>
                <w:szCs w:val="20"/>
                <w:color w:val="auto"/>
              </w:rPr>
            </w:pPr>
            <w:r>
              <w:rPr>
                <w:rFonts w:ascii="Times New Roman" w:cs="Times New Roman" w:eastAsia="Times New Roman" w:hAnsi="Times New Roman"/>
                <w:sz w:val="18"/>
                <w:szCs w:val="18"/>
                <w:color w:val="auto"/>
              </w:rPr>
              <w:t xml:space="preserve">Provision (benefit) for income taxes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38,151</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7"/>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13,422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(1)The year ended September 30, 2018 includes a charge of $31.3 million to re-measure our net deferred taxes in connection with the Tax Cuts and Jobs Act.</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2019 Compared to 2018</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revenues for the year ended September 30, 2019, were $200.2 million higher than for the year ended September 30, 2018, an increase of 22.8%, with increases at all of our operating segments, driven by strong demand.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overall gross profit percentage decreased slightly to 16.9% during the year ended September 30, 2019, as compared to 17.1%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Gross profit as a percentage of revenue increased at our Infrastructure Solutions and Residential segments but decreased at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&amp; Industrial and Communications segments, as discussed in further detail for each segment below.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2019, our selling, general and administrative expenses were $140.6 million, an increase of $16.7 million, or 13.4%, over the year ended September 30, 2018, driven by increased personnel costs at our operating segments in connection with their growth. This increase also includes a $4.2 million increase in expenses at the corporate level, primarily related to an increase in stock-based compensation expense, as well as a severance payment to our former President, who stepped down in March 2019. However, selling, general and administrative expense as a percentage of revenue decreased from 14.1% for the year ended September 30, 2018, to 13.1% for the year ended September 30, 2019, as we benefited from the increased scale of our operations.</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revenues for the year ended September 30, 2018, were $66.1 million higher than for the year ended September 30, 2017, an increase of 8.2%. Revenues increased within our Commercial &amp; Industrial, Infrastructure Solutions, and Residential segments driven by an increase in demand for their service offerings combined with continued improvement of conditions in the markets in which they operate. Businesses acquired in fiscal 2017 and 2018 contributed $61.0 million of the revenue increase year over year, partially offset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3" w:right="2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 $23.7 million decrease in revenue at the Denver and Roanoke branches of our Commercial &amp; Industrial segment, where the wind-down of operations that occurred over the last 18 months is substantially complete.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gross profit percentage decreased slightly to 17.1% during the year ended September 30, 2018, as compared to the year ended September 30, 2017. Businesses acquired in fiscal 2017 and 2018 contributed an additional $6.6 million of gross profits for the year ended September 30, 2018, as compared with the year ended September 30, 2017. Gross profit as a percentage of revenue increased at our Commercial &amp; Industrial and Communications segments and decreased at our Infrastructure Solutions and Residential segments, as discussed in further detail for each segment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2018, our selling, general and administrative expenses were $123.9 million, an increase of $3.6 million, or 2.9%, as compared to the year ended September 30, 2017. The increase is primarily attributable to expense incurred at businesses acquired during fiscal 2017 and 2018, which contributed $6.0 million of the increase year over year. This increase was partly offset by a reduction in variable compensation expense. On a consolidated basis, our selling, general and administrative expense decreased slightly as a percentage of revenue from 14.8% for the year ended September 30, 2017, to 14.1% for the year ended September 30, 2018, largely as a result of decreased personnel costs and intangible amortization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&amp; Industrial</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73"/>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2019 Compared to 2018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40" w:type="dxa"/>
            <w:vAlign w:val="bottom"/>
          </w:tcPr>
          <w:p>
            <w:pPr>
              <w:spacing w:after="0"/>
              <w:rPr>
                <w:sz w:val="24"/>
                <w:szCs w:val="24"/>
                <w:color w:val="auto"/>
              </w:rPr>
            </w:pP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9"/>
          </w:tcPr>
          <w:p>
            <w:pPr>
              <w:jc w:val="center"/>
              <w:ind w:left="53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40" w:type="dxa"/>
            <w:vAlign w:val="bottom"/>
          </w:tcPr>
          <w:p>
            <w:pPr>
              <w:spacing w:after="0"/>
              <w:rPr>
                <w:sz w:val="18"/>
                <w:szCs w:val="18"/>
                <w:color w:val="auto"/>
              </w:rPr>
            </w:pPr>
          </w:p>
        </w:tc>
      </w:tr>
      <w:tr>
        <w:trPr>
          <w:trHeight w:val="3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244,656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6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Commercial &amp; Industrial segment increased $31.3 million, or 11.4%, during the year ended September 30, 2019,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2018. The increase in revenue over this period was driven by an increase in large agricultural and other projects in the Midwest.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Commercial &amp; Industrial segment’s gross profit during the year ended September 30, 2019 increased by $0.3 million, or 0.9%,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September 30, 2018. We benefited from higher volumes; however, these benefits were offset by certain project inefficiencies during the second half of the year. As a percentage of revenue, gross profit decreased from 10.8% for the year ended September 30, 2018, to 9.8% for the year ended September 30, 2019, as a result of these project inefficiencies.</w:t>
      </w:r>
    </w:p>
    <w:p>
      <w:pPr>
        <w:spacing w:after="0" w:line="24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Commercial &amp; Industrial segment’s selling, general and administrative expenses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increased $0.8 million, or 2.9%, compared to the year ended September 30, 2018, but decreased 1.0% as a percentage of revenue, as we benefited from the increased scale of our operations and a focus on controlling costs.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6"/>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94"/>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40" w:type="dxa"/>
            <w:vAlign w:val="bottom"/>
          </w:tcPr>
          <w:p>
            <w:pPr>
              <w:spacing w:after="0"/>
              <w:rPr>
                <w:sz w:val="24"/>
                <w:szCs w:val="24"/>
                <w:color w:val="auto"/>
              </w:rPr>
            </w:pPr>
          </w:p>
        </w:tc>
      </w:tr>
      <w:tr>
        <w:trPr>
          <w:trHeight w:val="27"/>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gridSpan w:val="9"/>
          </w:tcPr>
          <w:p>
            <w:pPr>
              <w:jc w:val="center"/>
              <w:ind w:left="53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4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244,656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208,619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Commercial &amp; Industrial segment increased $46.7 million, or 20.5%, during the year ended September 30, 2018,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September 30, 2017. The increase in revenue over this period was driven by our 2017 business acquisitions, which contributed $42.7 million of additional revenue during the year ended September 30, 2018 compared to the year ended September 30, 2017. This increase was partly offset by a $23.7 decrease in revenue attributable to the winding down of operations at our Denver and Roanoke locations for the year ended September 30, 2018, as compared with the year ended September 30, 2017. Additionally, increased bid volume at several of our branches and improving market conditions in certain areas also contributed to the overall increase in revenues.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Commercial &amp; Industrial segment’s gross profit during the year ended September 30, 2018 increased by $10.7 million, or 56.1%,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September 30, 2017. As a percentage of revenue, gross profit increased from 8.3% for the year ended September 30, 2017, to 10.8% for the year ended September 30, 2018. The increase was driven by $5.9 million of additional gross profit contributed by our fiscal 2017 business acquisitions during the year ended September 30, 2018, compared to the year ended September 30, 2017. Additionally, for the year ended September 30, 2018, gross margin at our Denver and Roanoke branches, where the wind down of operations is substantially complete, improved by $4.7 million compared with the year ended September 30, 2017. This increase was partly offset by a $1.9 million charge to adjust the contract value on a large project based on the terms of a memorandum of agreement.</w:t>
      </w:r>
    </w:p>
    <w:p>
      <w:pPr>
        <w:spacing w:after="0" w:line="25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Commercial &amp; Industrial segment’s selling, general and administrative expenses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increased $6.9 million, or 34.0%, compared to the year ended September 30, 2017, and increased 1.1% as a percentage of revenue. The increase was driven by our fiscal 2017 business acquisitions, where selling, general and administrative expense for the year ended September 30, 2018, increased by $4.1 million. The remaining increase relates primarily to employee expense associated with management hired to provide additional oversight at the regional and branch levels.</w:t>
      </w:r>
    </w:p>
    <w:p>
      <w:pPr>
        <w:spacing w:after="0" w:line="19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fiscal 2017, we completed a detailed review of the operations of our Commercial &amp; Industrial segment and decided to wind down operations at our Denver, Colorado and Roanoke, Virginia branches within our Commercial &amp; Industrial segment. At September 30, 2018, we had approximately $1.5 million of backlog remaining at these branches. The following table summarizes the results of our Denver and Roanoke branches, which are included in the consolidated Commercial &amp; Industrial segment results shown above: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Year Ended September 30,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5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8,572</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services</w:t>
            </w:r>
          </w:p>
        </w:tc>
        <w:tc>
          <w:tcPr>
            <w:tcW w:w="3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9,441</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37,819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assets</w:t>
            </w:r>
          </w:p>
        </w:tc>
        <w:tc>
          <w:tcPr>
            <w:tcW w:w="3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5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(2,640)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4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5"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73"/>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2019 Compared to 2018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40" w:type="dxa"/>
            <w:vAlign w:val="bottom"/>
          </w:tcPr>
          <w:p>
            <w:pPr>
              <w:spacing w:after="0"/>
              <w:rPr>
                <w:sz w:val="24"/>
                <w:szCs w:val="24"/>
                <w:color w:val="auto"/>
              </w:rPr>
            </w:pP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9"/>
          </w:tcPr>
          <w:p>
            <w:pPr>
              <w:jc w:val="center"/>
              <w:ind w:left="53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40" w:type="dxa"/>
            <w:vAlign w:val="bottom"/>
          </w:tcPr>
          <w:p>
            <w:pPr>
              <w:spacing w:after="0"/>
              <w:rPr>
                <w:sz w:val="18"/>
                <w:szCs w:val="18"/>
                <w:color w:val="auto"/>
              </w:rPr>
            </w:pPr>
          </w:p>
        </w:tc>
      </w:tr>
      <w:tr>
        <w:trPr>
          <w:trHeight w:val="3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7"/>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7"/>
        </w:trPr>
        <w:tc>
          <w:tcPr>
            <w:tcW w:w="6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Communications segment’s revenues increased by $101.6 million, or 46.3%, during the year ended September 30, 2019,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2018. This increase primarily resulted from increased demand from several of our data center customers. Revenues in our Communications segment can vary from period to period based on the capital spending cycles of our customers.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Communications segment’s gross profit during the year ended September 30, 2019, increased $16.4 million, or 40.8%,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2018. While total gross profits increased in connection with higher volumes, gross profit as a percentage of revenue decreased 0.7% to 17.6% for the year ended September 30, 2019, as we took on a larger proportion of cost-plus arrangements. These arrangements provide us with a reimbursement for our costs plus a markup, and are typically lower margin, but also lower risk, as compared with our fixed-cost arrangements.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Communications segment’s selling, general and administrative expenses increased $5.8 million, or 22.5%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September 30, 2019, as compared to the year ended September 30, 2018. The increase is a result of higher personnel cost, particularly related to continuing investment to support the growth of the business, along with higher incentive compensation in connection with improved profitability and cash flows. Selling, general and administrative expenses as a percentage of revenues in the Communications segment decreased by 1.9% to 9.9% of segment revenue during the year ended September 30, 2019, compared to the year ended September 30, 2018, as we benefited from the increased scale of our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40" w:type="dxa"/>
            <w:vAlign w:val="bottom"/>
          </w:tcPr>
          <w:p>
            <w:pPr>
              <w:spacing w:after="0"/>
              <w:rPr>
                <w:sz w:val="24"/>
                <w:szCs w:val="24"/>
                <w:color w:val="auto"/>
              </w:rPr>
            </w:pP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9"/>
          </w:tcPr>
          <w:p>
            <w:pPr>
              <w:jc w:val="center"/>
              <w:ind w:left="49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40" w:type="dxa"/>
            <w:vAlign w:val="bottom"/>
          </w:tcPr>
          <w:p>
            <w:pPr>
              <w:spacing w:after="0"/>
              <w:rPr>
                <w:sz w:val="18"/>
                <w:szCs w:val="18"/>
                <w:color w:val="auto"/>
              </w:rPr>
            </w:pPr>
          </w:p>
        </w:tc>
      </w:tr>
      <w:tr>
        <w:trPr>
          <w:trHeight w:val="3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225,275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187,419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7"/>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13,638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6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Communications segment’s revenues decreased by $5.6 million, or 2.5%, during the year ended September 30, 2018, as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2017. This decrease in revenue was primarily the result of two large projects with non-recurring customers we completed in fiscal 2017: $7.9 million of revenue from a large system upgrade project for a school district, and $5.6 million related to construction of a sporting 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decrease in revenue was offset by growth with our data center customers, as well as the acquisition of Azimuth Communications, Inc. (“Azimuth”), which contributed $4.3 million of additional revenue during the year ended September 30, 2018 compared to the year ended September 30, 2017. Our revenues for the year ended September 30, 2018, were also affected by the timing of capital spending by certain of our data center customers. Revenues in our Communications segment can vary based on the capital spending cycles of our customers.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type w:val="continuous"/>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Communications segment’s gross profit during the year ended September 30, 2018, increased $2.3 million, or 6.0%,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2017. Gross profit as a percentage of revenue increased 1.5% to 18.3% for the year ended September 30, 2018. The increase was driven primarily by improved project execution. As revenue growth slowed in 2018, our margins benefitted from lower training and hiring costs that often affect us during periods of higher growth. Additionally, our acquisition of Azimuth during fiscal 2018 contributed $1.0 million of additional gross profit during the year ended September 30, 2018, compared to the year ended September 30, 2017.</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Communications segment’s selling, general and administrative expenses increased $1.8 million, or 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September 30, 2018, as compared to the year ended September 30, 2017. Selling, general and administrative expenses as a percentage of revenues in the Communications segment increased to 11.8% of segment revenue during the year ended September 30, 2018, compared to 10.8% for the year ended September 30, 2017. The increase was driven by our acquisition of Azimuth during fiscal 2018, which incurred selling, general and administrative expense for the year ended September 30, 2018, of $1.6 million, which includes amortization of intangible assets.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7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2019 Compared to 2018</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6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40" w:type="dxa"/>
            <w:vAlign w:val="bottom"/>
          </w:tcPr>
          <w:p>
            <w:pPr>
              <w:spacing w:after="0"/>
              <w:rPr>
                <w:sz w:val="24"/>
                <w:szCs w:val="24"/>
                <w:color w:val="auto"/>
              </w:rPr>
            </w:pPr>
          </w:p>
        </w:tc>
      </w:tr>
      <w:tr>
        <w:trPr>
          <w:trHeight w:val="27"/>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gridSpan w:val="9"/>
          </w:tcPr>
          <w:p>
            <w:pPr>
              <w:jc w:val="center"/>
              <w:ind w:left="51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4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7"/>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sale of assets</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Infrastructure Solutions segment increased by $39.6 million during the year ended September 30, 2019, an increase of 40.8%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September 30, 2018. The increase in revenue relates primarily to our generator enclosure business, driven by increased demand for enclosures to be used at data centers. We also experienced an increase in demand for our motor repair services.</w:t>
      </w:r>
    </w:p>
    <w:p>
      <w:pPr>
        <w:spacing w:after="0" w:line="12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Infrastructure Solutions segment’s gross profit during the year ended September 30, 2019, increased by $9.1 million,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2018, primarily as a result of increased volumes. Gross profit as a percent of revenue slightly increased to 22.6% for the year ended September 30, 2019.</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Infrastructure Solutions segment’s selling, general and administrative expenses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increased by $0.4 million compared to the year ended September 30, 2018. However, the selling, general and administrative expenses as a percentage of revenue decreased from 18.8% for the year ended September 30, 2018, to 13.6% for the year ended September 30, 2019. Through a focus on controlling costs, we were able to scale our business effectively without adding significant general and administrative expense.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6"/>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6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Year Ended September 30,</w:t>
            </w:r>
          </w:p>
        </w:tc>
        <w:tc>
          <w:tcPr>
            <w:tcW w:w="840" w:type="dxa"/>
            <w:vAlign w:val="bottom"/>
          </w:tcPr>
          <w:p>
            <w:pPr>
              <w:spacing w:after="0"/>
              <w:rPr>
                <w:sz w:val="24"/>
                <w:szCs w:val="24"/>
                <w:color w:val="auto"/>
              </w:rPr>
            </w:pPr>
          </w:p>
        </w:tc>
      </w:tr>
      <w:tr>
        <w:trPr>
          <w:trHeight w:val="27"/>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2018</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gridSpan w:val="9"/>
          </w:tcPr>
          <w:p>
            <w:pPr>
              <w:ind w:left="720"/>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4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7"/>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7"/>
        </w:trPr>
        <w:tc>
          <w:tcPr>
            <w:tcW w:w="6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Revenues in our Infrastructure Solutions segment increased by $13.3 million during the year ended September 30, 2018, an increase of 15.9%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September 30, 2017. The increase was primarily driven by $14.0 million of additional revenue contributed by Freeman Enclosure Systems, LLC (“Freeman”), which we acquired during the second quarter of fiscal 2017. An increase in revenues from the manufacture of bus duct was offset by a decrease in revenue from our motor repair business, which remains highly dependent on the steel industry.</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Our Infrastructure Solutions segment’s gross profit during the year ended September 30, 2018, increased by $1.4 million,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September 30, 2017. Gross profit as a percent of revenue decreased to 22.5% for the year ended September 30, 2018. Margins improved year over year at both our bus duct manufacturing business and our motor repair business. However, our overall gross margin was affected by the mix of work performed, as Freeman has lower margins than our motor repair business, but represented a larger percentage of our total revenues.</w:t>
      </w:r>
    </w:p>
    <w:p>
      <w:pPr>
        <w:spacing w:after="0" w:line="12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Infrastructure Solutions segment’s selling, general and administrative expenses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increased by $0.4 million compared to the year ended September 30, 2017. The increase was primarily the result of $0.3 million increase in general and administrative costs incurred at Freeman, which was acquired during the second quarter of fiscal 2017. Additional selling and administrative costs in support of growth of the business, were largely offset by a decrease in intangible amortization expense related to the acquisition of Technibus Inc. in fiscal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7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2019 Compared to 2018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6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ind w:right="64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20" w:type="dxa"/>
            <w:vAlign w:val="bottom"/>
          </w:tcPr>
          <w:p>
            <w:pPr>
              <w:spacing w:after="0"/>
              <w:rPr>
                <w:sz w:val="24"/>
                <w:szCs w:val="24"/>
                <w:color w:val="auto"/>
              </w:rPr>
            </w:pPr>
          </w:p>
        </w:tc>
      </w:tr>
      <w:tr>
        <w:trPr>
          <w:trHeight w:val="27"/>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2018</w:t>
            </w:r>
          </w:p>
        </w:tc>
        <w:tc>
          <w:tcPr>
            <w:tcW w:w="82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gridSpan w:val="9"/>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gridSpan w:val="9"/>
          </w:tcPr>
          <w:p>
            <w:pPr>
              <w:jc w:val="center"/>
              <w:ind w:left="51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2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227,355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7"/>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Residential segment’s revenues increased by $27.6 million, or 9.7%, during the year ended September 30, 2019,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The increase was driven by increases in our single-family business, where revenues increased by $22.0 million, and our multi-family businesses, where revenues increased by $8.9 million for the year ended September 30, 2019, compared with the year ended September 30, 2018. This increase was partly offset by a $3.2 million decrease in our solar and service revenues for the year ended September 30, 2019, compared with the prior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During the year ended September 30, 2019, our Residential segment experienced a $6.4 million, or 11.0%, increase in gross profit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September 30, 2018. The increase in gross profit was driven primarily by higher volumes. Gross margin as a percentage of revenue increased 0.3% to 20.7% during the year ended September 30, 2019, as compared with the year ended September 30, 2018, as we benefited from improved commodity prices and the increased scale of our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5" w:right="239" w:bottom="1440" w:gutter="0" w:footer="0" w:header="0"/>
        </w:sectPr>
      </w:pPr>
    </w:p>
    <w:bookmarkStart w:id="30" w:name="page31"/>
    <w:bookmarkEnd w:id="30"/>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Residential segment experienced a $5.5 million, or 13.2%, increase in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during the year ended September 30, 2019, compared to the year ended September 30, 2018. This increase was driven by increased compensation expense in connection with a growing business, including both incentive profit sharing for division management and increased headcount. Selling, general and administrative expenses as a percentage of revenues in the Residential segment increased by 0.5% to 15.0% of segment revenue during the year ended September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8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2017</w:t>
            </w:r>
          </w:p>
        </w:tc>
        <w:tc>
          <w:tcPr>
            <w:tcW w:w="8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9"/>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gridSpan w:val="9"/>
          </w:tcPr>
          <w:p>
            <w:pPr>
              <w:jc w:val="center"/>
              <w:ind w:left="491"/>
              <w:spacing w:after="0"/>
              <w:rPr>
                <w:sz w:val="20"/>
                <w:szCs w:val="20"/>
                <w:color w:val="auto"/>
              </w:rPr>
            </w:pPr>
            <w:r>
              <w:rPr>
                <w:rFonts w:ascii="Times New Roman" w:cs="Times New Roman" w:eastAsia="Times New Roman" w:hAnsi="Times New Roman"/>
                <w:sz w:val="16"/>
                <w:szCs w:val="16"/>
                <w:color w:val="auto"/>
              </w:rPr>
              <w:t>(Dollars in thousands, Percentage of revenues)</w:t>
            </w:r>
          </w:p>
        </w:tc>
        <w:tc>
          <w:tcPr>
            <w:tcW w:w="8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210,809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on sale of assets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Residential segment’s revenues increased by $11.7 million, or 4.3%, during the year ended September 30, 2018,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2017. The increase was driven by our single-family business, where revenues increased by $28.3 million for the year ended September 30, 2018, compared with the year ended September 30, 2017. Service and solar revenues also increased by $4.7 million for the year ended September 30, 2018, compared with the prior year. These increases were partly offset by a decrease in multi-family revenues, which declined by $21.3 million. While backlog was lower at the beginning of fiscal 2018, we ended fiscal 2018 with backlog up approximately 28% over prior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During the year ended September 30, 2018, our Residential segment experienced a $4.9 million, or 7.7%, decrease in gross profit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September 30, 2017. The decrease in gross profit was driven primarily by an increase in copper and other commodity prices, as well as an increase in labor costs, as a result of tightening labor markets. Gross margin as a percentage of revenue decreased 2.7% to 20.4% during the year ended September 30, 2018, as compared with the year ended September 30, 2017.</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Our Residential segment experienced a $2.3 million, or 5.2%, decrease in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during the year ended September 30, 2018, compared to the year ended September 30, 2017, driven by decreased compensation expense, primarily as a result of a decrease of $1.2 million in variable compensation and incentive costs associated with decreased profitability, partly offset by an increase in salary and travel costs. Selling, general and administrative expenses as a percentage of revenues in the Residential segment decreased by 1.5% to 14.5% of segment revenue during the year ended September 30, 2018.</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35"/>
        </w:trPr>
        <w:tc>
          <w:tcPr>
            <w:tcW w:w="3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020" w:type="dxa"/>
            <w:vAlign w:val="bottom"/>
          </w:tcPr>
          <w:p>
            <w:pPr>
              <w:spacing w:after="0"/>
              <w:rPr>
                <w:sz w:val="24"/>
                <w:szCs w:val="24"/>
                <w:color w:val="auto"/>
              </w:rPr>
            </w:pPr>
          </w:p>
        </w:tc>
      </w:tr>
      <w:tr>
        <w:trPr>
          <w:trHeight w:val="27"/>
        </w:trPr>
        <w:tc>
          <w:tcPr>
            <w:tcW w:w="3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3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64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financing charges</w:t>
            </w:r>
          </w:p>
        </w:tc>
        <w:tc>
          <w:tcPr>
            <w:tcW w:w="3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3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37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1,857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r>
      <w:tr>
        <w:trPr>
          <w:trHeight w:val="237"/>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7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3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37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w:t>
            </w:r>
          </w:p>
        </w:tc>
      </w:tr>
      <w:tr>
        <w:trPr>
          <w:trHeight w:val="20"/>
        </w:trPr>
        <w:tc>
          <w:tcPr>
            <w:tcW w:w="3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2019, we incurred interest expense of $1.9 million primarily comprised of interest expense from our revolving credit facility with Wells Fargo Bank, N.A. (“Wells Fargo”), an average letter of credit balance of $6.6 million under our revolving credit facility and an average unused line of credit balance of $73.7 million. This compares to interest expense of $1.9 million</w:t>
      </w:r>
    </w:p>
    <w:p>
      <w:pPr>
        <w:sectPr>
          <w:pgSz w:w="11900" w:h="16838" w:orient="portrait"/>
          <w:cols w:equalWidth="0" w:num="1">
            <w:col w:w="11420"/>
          </w:cols>
          <w:pgMar w:left="240" w:top="551"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51" w:right="239" w:bottom="1440" w:gutter="0" w:footer="0" w:header="0"/>
          <w:type w:val="continuous"/>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2018, primarily comprised of interest expense from our revolving credit facility with Wells Fargo, an average letter of credit balance of $6.6 million under our revolving credit facility and an average unused line of credit balance of $63.2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2017, we incurred interest expense of $1.7 million on a debt balance primarily comprised of our revolving credit facility with Wells Fargo, an average letter of credit balance of $6.6 million under our revolving credit facility, and an average unused line of credit balance of $47.5 million.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2019, we recorded income tax expense of $6.7 million. Income tax expense was partly offset by a $4.0 million benefit related to the recognition of previously unrecognized tax benefits.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2018, we recorded income tax expense of $38.2 million. Income tax expense was partly offset by a $1.9 million benefit related to the recognition of previously unrecognized tax benefits. Our income tax expense included a charge of $31.3 million to re-measure our deferred tax assets and liabilities to reflect the impact from the enactment of the Tax Cuts and Jobs Act on December 22,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2017, we recorded income tax expense of $5.2 million. Income tax expense was partly offset by a $3.7 million benefit related to the recognition of previously unrecognized tax benefits.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2019, working capital exclusive of cash increased by $12.0 million from September 30, 2018, reflecting a $41.1 million increase in current assets excluding cash and a $29.1 million increase in current liabilities during the period, reflecting a continued investment in growing our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2019, our current assets exclusive of cash increased to $277.5 million, as compared to $236.4 million as of September 30, 2018. The increase primarily relates to a $34.7 million increase in accounts receivable, in connection with growth in our business. Days sales outstanding was 62 as of each of September 30, 2019 and 2018.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2019, our total current liabilities increased by $29.1 million to $193.5 million, compared to $164.4 million as of September 30, 2018, primarily related to an increase in accounts payable and accrued liabilities in connection with the growth of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the estimated cost to complete our bonded projects was approximately $88.7 million. We believe the bonding capacity currently provided by our sureties is adequate for our current operations and will be adequate for our operations for the foreseeable future.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2019, we had cash and cash equivalents of $18.9 million and $93.5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Revolving 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 $100 million revolving credit facility with Wells Fargo that matures September 30, 2024, (as amended, the “Amended Credit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Amended Credit Agreement</w:t>
      </w: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may not exceed a “borrowing base” that is determined monthly by our lenders based on available collateral, primarily certain accounts receivables, inventories, and equipment. Under the terms of the Amended Credit Agreement, amounts outstanding bear interest at a per annum rate equal to a Daily Three Month LIBOR (as defined in the Amended Credit Agreement), plus an interest rate margin, which is determined quarterly, based on the following thresholds: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Level</w:t>
            </w:r>
          </w:p>
        </w:tc>
        <w:tc>
          <w:tcPr>
            <w:tcW w:w="140" w:type="dxa"/>
            <w:vAlign w:val="bottom"/>
          </w:tcPr>
          <w:p>
            <w:pPr>
              <w:spacing w:after="0"/>
              <w:rPr>
                <w:sz w:val="17"/>
                <w:szCs w:val="17"/>
                <w:color w:val="auto"/>
              </w:rPr>
            </w:pPr>
          </w:p>
        </w:tc>
        <w:tc>
          <w:tcPr>
            <w:tcW w:w="84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4"/>
                <w:szCs w:val="14"/>
                <w:color w:val="auto"/>
              </w:rPr>
              <w:t>Thresholds</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Interest Rate Margin</w:t>
            </w:r>
          </w:p>
        </w:tc>
      </w:tr>
      <w:tr>
        <w:trPr>
          <w:trHeight w:val="242"/>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Liquidity is less than 35% of the Maximum Revolver Amount at any time during the period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1.75 percentage points</w:t>
            </w:r>
          </w:p>
        </w:tc>
      </w:tr>
      <w:tr>
        <w:trPr>
          <w:trHeight w:val="360"/>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Liquidity is greater than or equal to 35% of the Maximum Revolver Amount at all times during the period and</w:t>
            </w:r>
          </w:p>
        </w:tc>
        <w:tc>
          <w:tcPr>
            <w:tcW w:w="21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50% of the Maximum Revolver Amount at any time during the period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 percentage points</w:t>
            </w:r>
          </w:p>
        </w:tc>
      </w:tr>
      <w:tr>
        <w:trPr>
          <w:trHeight w:val="378"/>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III</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 Liquidity is greater than or equal to 50% of the Maximum Revolver Amount at all times during the period</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 percentage points</w:t>
            </w:r>
          </w:p>
        </w:tc>
      </w:tr>
    </w:tbl>
    <w:p>
      <w:pPr>
        <w:spacing w:after="0" w:line="23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we are charged monthly in arrears for (1) an unused commitment fee of 0.25% per annum, (2) a collateral monitoring fee of $5 thousand per quarter, (3) a letter of credit fee based on the then-applicable interest rate margin and (4) certain other fees and charges as specified in the Amended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Credit Agreement contains customary affirmative, negative and financial covenants, as well as events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we were in compliance with the financial covenants under the Amended Credit Agreement, requiring that we maintain:</w:t>
      </w:r>
    </w:p>
    <w:p>
      <w:pPr>
        <w:spacing w:after="0" w:line="225" w:lineRule="exact"/>
        <w:rPr>
          <w:sz w:val="20"/>
          <w:szCs w:val="20"/>
          <w:color w:val="auto"/>
        </w:rPr>
      </w:pPr>
    </w:p>
    <w:p>
      <w:pPr>
        <w:ind w:left="660" w:right="2560" w:hanging="4"/>
        <w:spacing w:after="0" w:line="282"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(as defined in the Amended Credit Agreement), measured quarterly on a trailing four-quarter basis at the end of each quarter, of at least 1.1 to 1.0; and</w:t>
      </w:r>
    </w:p>
    <w:p>
      <w:pPr>
        <w:spacing w:after="0" w:line="161" w:lineRule="exact"/>
        <w:rPr>
          <w:rFonts w:ascii="Times New Roman" w:cs="Times New Roman" w:eastAsia="Times New Roman" w:hAnsi="Times New Roman"/>
          <w:sz w:val="18"/>
          <w:szCs w:val="18"/>
          <w:color w:val="auto"/>
        </w:rPr>
      </w:pPr>
    </w:p>
    <w:p>
      <w:pPr>
        <w:ind w:left="660" w:right="20" w:hanging="4"/>
        <w:spacing w:after="0" w:line="266"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Amended Credit Agreement) of at least twenty percent (20%) of the Maximum Revolver Amount (as defined in the Amended Credit Agreement), or $20 million; with, for purposes of this covenant, at least fifty percent (50%) of our Liquidity comprised of Excess Availability (as defined in the Amended Credit Agreement).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2019, our Liquidity was $112.5 million and our Excess Availability was $93.5 million (or greater than 50% of minimum Liquidity), and our Fixed Charge Coverage Ratio was 4.7:1.0.</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Loan Party makes an acquisition consented to by Lender after the date of the Amended Credit Agreement, the components of the Fixed Charge Coverage Ratio will be calculated for such fiscal period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acquisition assuming that such transaction has occurred on the first day of such period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arising out of events which are directly attributable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such acquisition, are factually supportable, and are expected to have a continuing impact, in each case to be reasonably agreed to by the Lender).</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increases in any change in LIFO reserves, and losses from the wind-down of our Denver and Roanoke branches, up to a maximum exclusion of $5 million for a given measurement period in each case, determined on a consolidated basis in accordance with GAAP; provided, that if any Loan party makes an acquisition consented to by Lender after the date of the Amended Credit Agreement, EBITDA for such fiscal period shall be calculated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acquisition assuming that such transaction has occurred on the first day of such period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arising out of events which are directly attributable to such acquisition, are factually supportable, and are expected to have a continuing impact, in each case to be reasonably agreed to by Lender).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we had $6.5 million in outstanding letters of credit with Wells Fargo and no outstanding borrowings.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invest in non-controlling positions in the debt or equity securities of other businesses. Our Board of Directors has approved an investment policy that permits the Company to invest our cash in liquid and marketable securities that include equities and fixed income securities. Equity securities may include unrestricted, publicly traded stock that is listed on a major exchange or a national, over-the-counter market and that is appropriate for our portfolio objectives, asset class, and/or investment style, and fixed income securities are required to have an investment grade credit quality at the time of purchase.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$38.7 million during the year ended September 30, 2019, as compared to $12.2 million of net cash provided in the year ended September 30, 2018. The increase in operating cash flow resulted primarily from an increase in earnings, partly offset by an increase in working capital in support of our growth. In particular increased accounts receivable resulted in cash outflows of $35.3 million, offset by cash inflows of $22.5 million driven by increased accrued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$12.2 million during the year ended September 30, 2018, as compared to $22.3 million of net cash provided in the year ended September 30, 2017. The decrease in operating cash flow is the result of an investment in working capital to support the growth of our business. In particular, costs in excess of billings increased by $18.1 million as a result of an increase in cost-plus work, where costs are typically billed later than in our typical fixed-price arrangements, as well as an increase in orders for generator enclosures, which are billed when shipped.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year ended September 30, 2019, net cash used in investing activities was $5.7 million as compared to $11.9 million of net cash used by investing activities in the year ended September 30, 2018. Investing activities for the year ended September 30, 2019, include $6.3 million of capital expenditures.</w:t>
      </w:r>
    </w:p>
    <w:p>
      <w:pPr>
        <w:spacing w:after="0" w:line="27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the year ended September 30, 2018, net cash used in investing activities was $11.9 million as compared to $24.5 million of net cash used by investing activities in the year ended September 30, 2017. Investing activities for the year ended September 30, 2018, include $7.4 million for the acquisition of businesses, as well as $4.6 million of capital expenditures.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$40.3 million in the year ended September 30, 2019, compared to $2.4 million used in the year ended September 30, 2018. For the year ended September 30, 2019, we used $119.5 million to repay a portion of our revolving credit facility, partly offset by $89.3 million of additional borrowings. We also used $9.8 million to repurchase our shares in conjunction with our stock repurchase program, as well as to satisfy statutory withholding requirements upon the vesting of employee stock compensation.</w:t>
      </w:r>
    </w:p>
    <w:p>
      <w:pPr>
        <w:spacing w:after="0" w:line="2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Financing activities used net cash of $2.4 million in the year ended September 30, 2018, compared to $2.7 million used in the year ended September 30, 2017. For the year ended September 30, 2018, we used $2.1 million for the repurchase of the common stock under the Company’s stock repurchase program. We repurchased an aggregate $1.6 million of common stock in open market transactions, pursuant to the stock repurchase program, and we used an additional $0.5 million for the repurchase of common stock to satisfy employee payroll tax withholding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CONTROLLING SHAREHOLDER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Tontine Associates, L.L.C. ("Tontine Associates"), together with its affiliates (collectively, “Tontine”), is the Company’s controlling stockholder, owning approximately 58 percent of the Company’s outstanding common stock according to a Form 4 filed with the SEC by Tontine on October 3, 2019. Accordingly, Tontine has the ability to exercise significant control over our affairs, including the election of directors and most actions requiring the approval of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sublease agreement with Tontine Associates for corporate office space in Greenwich, Connecticut. The sublease extends through February 27, 2023, with monthly payments due in the amount of approximately $8 thousand. The lease has terms at market rates, and payments by the Company are at a rate consistent with that paid by Tontine Associates to its landlord.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other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Jeffrey L. Gendell was appointed as a member of the Board of Directors and as Chairman of the Board in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common in our industry, we have entered into certain off-balance sheet arrangements that expose us to increased risk. Our significant off-balance sheet transactions include commitments associated with non-cancelable operating leases, letter of credit obligations, firm commitments for materials and surety guarantees.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operating leases for many of our vehicle and equipment needs. These leases allow us to retain our cash when we do not own the vehicles or equipment,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5"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we would be required to reimburse our creditor for the letter of credit. At September 30, 2019, $0.2 million of our outstanding letters of credit were to collateralize our customers and vendors.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2019, $6.3 million of our outstanding letters of credit were to collateralize our insurance programs.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specified intervals at a fixed price over the term. As of September 30, 2019, we did not have any significant open purchase commitments.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our future contractual obligations due by September 30 of each of the following fiscal years for commenced agreements include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Less than</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 to 3</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 to 5</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More than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5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1 Year</w:t>
            </w:r>
          </w:p>
        </w:tc>
        <w:tc>
          <w:tcPr>
            <w:tcW w:w="24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w:t>
            </w:r>
          </w:p>
        </w:tc>
        <w:tc>
          <w:tcPr>
            <w:tcW w:w="24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5 Years</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27,950</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28,249</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commitments expire by September 30 of each of the following fiscal years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6,468</w:t>
            </w:r>
          </w:p>
        </w:tc>
      </w:tr>
      <w:tr>
        <w:trPr>
          <w:trHeight w:val="257"/>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6,468</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the assessment of goodwill and asset impairment, our allowance for doubtful accounts receivable, the recording of our insurance liabilities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w:t>
      </w:r>
    </w:p>
    <w:p>
      <w:pPr>
        <w:spacing w:after="0" w:line="13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enter into contracts principally on the basis of competitive bids. We frequently negotiate the final terms and prices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the customer. Although the terms of our contracts vary considerably, approximately 88% of our revenues are based on either a fixed price or unit price basis in which we agree to do the work for a fixed amount for the entire project (fixed price) or for units of work performed (unit price). Approximately 12% of our revenues are earned from contracts where we are paid on a time and materials basis. Our most significant cost drivers are the cost of labor, the cost of materials and the cost of casualty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ind w:right="320"/>
        <w:spacing w:after="0" w:line="261" w:lineRule="auto"/>
        <w:rPr>
          <w:sz w:val="20"/>
          <w:szCs w:val="20"/>
          <w:color w:val="auto"/>
        </w:rPr>
      </w:pPr>
      <w:r>
        <w:rPr>
          <w:rFonts w:ascii="Times New Roman" w:cs="Times New Roman" w:eastAsia="Times New Roman" w:hAnsi="Times New Roman"/>
          <w:sz w:val="18"/>
          <w:szCs w:val="18"/>
          <w:color w:val="auto"/>
        </w:rPr>
        <w:t>health insurance.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60% of our total revenue for the year ended September 30, 2019.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w:t>
      </w:r>
    </w:p>
    <w:p>
      <w:pPr>
        <w:spacing w:after="0" w:line="16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generally do not incur significant incremental costs related to obtaining or fulfilling a contract prior to the start of a project. When significant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 costs are incurred, they will be capitalized and amortized on a percentage of completion basis over the life of the contract.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accounting for business combinations, certain assumptions and estimates are employed in determining the fair value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Intangibles and Long-Lived Assets. </w:t>
      </w:r>
      <w:r>
        <w:rPr>
          <w:rFonts w:ascii="Times New Roman" w:cs="Times New Roman" w:eastAsia="Times New Roman" w:hAnsi="Times New Roman"/>
          <w:sz w:val="18"/>
          <w:szCs w:val="18"/>
          <w:color w:val="auto"/>
        </w:rPr>
        <w:t>We evaluate goodwill for potential impairment at least annually at year end; however, if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indicators exist, we will evaluate as needed.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 We estimate the fair value of the reporting unit based on the market approach and income approach. Included in this evaluation are certain assumptions and estimates to determine the fair values of reporting units such as estimates of future cash flows and discount rates, as well as assumptions and estimates related to the valuation of other identified intangible assets. Changes in these assumptions and estimates or significant changes to the market value of our common stock could materially impact our results of operations or financial position. We did not record goodwill impairment during the years ended September 30, 2019, 2018 or 2017.</w:t>
      </w:r>
    </w:p>
    <w:p>
      <w:pPr>
        <w:spacing w:after="0" w:line="1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reporting period, we assess impairment indicators related to long-lived assets and intangible assets. If we determine impairment indicators exist, we conduct an evaluation to determine whether any impairment has occurred. This evaluation includes certain assumptions and estimates to determine fair value of asset groups, including estimates about future cash flows and discount rates, among others. Changes in these assumptions and estimates could materially impact our results of operations or financial projections. No impairment charges were recorded in the years ended September 30, 2019, 2018 or 2017.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7" w:right="239" w:bottom="1440" w:gutter="0" w:footer="0" w:header="0"/>
        </w:sectPr>
      </w:pPr>
    </w:p>
    <w:bookmarkStart w:id="37" w:name="page38"/>
    <w:bookmarkEnd w:id="37"/>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Current and Non-Current Accounts Receivable and Provision for Doubtful Accounts. </w:t>
      </w:r>
      <w:r>
        <w:rPr>
          <w:rFonts w:ascii="Times New Roman" w:cs="Times New Roman" w:eastAsia="Times New Roman" w:hAnsi="Times New Roman"/>
          <w:sz w:val="18"/>
          <w:szCs w:val="18"/>
          <w:color w:val="auto"/>
        </w:rPr>
        <w:t>We provide an allowance for doubtful accounts for unknown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in addition to reserves for specific accounts receivable where collection is considered doubtful. Inherent in the assessment of the allowance for doubtful accounts are certain judgments and estimates including, among others, our customers’ access to capital, our customers’ willingness to pay, general economic conditions, and the ongoing relationships with our customers. In addition to these factors, the method of accounting for construction contracts requires the review and analysis of not only the net receivables, but also the amount of billings in excess of costs and costs in excess of billings. The analysis management utilizes to assess collectability of our receivables includes detailed review of older balances, analysis of days sales outstanding where we include in the calculation, in addition to accounts receivable balances net of any allowance for doubtful accounts, the level of costs in excess of billings netted against billings in excess of costs and the ratio of accounts receivable, net of any allowance for doubtful accounts plus the level of costs in excess of billings, to revenues. These analyses provide an indication of those amounts billed ahead of or behind the recognition of revenue on our construction contracts and are important to consider in understanding the operational cash flows related to our revenue cycle.</w:t>
      </w:r>
    </w:p>
    <w:p>
      <w:pPr>
        <w:spacing w:after="0" w:line="1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Risk-Management. </w:t>
      </w:r>
      <w:r>
        <w:rPr>
          <w:rFonts w:ascii="Times New Roman" w:cs="Times New Roman" w:eastAsia="Times New Roman" w:hAnsi="Times New Roman"/>
          <w:sz w:val="18"/>
          <w:szCs w:val="18"/>
          <w:color w:val="auto"/>
        </w:rPr>
        <w:t>We are insured for workers’ compensation, automobile liability, general liability, construction defects, pollution, employment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employee-related health care claims, subject to deductibles. Our general liability program provides coverage for bodily injury and property damage. Losses up to the deductible amounts are accrued based upon our estimates of the liability for claims incurred and an estimate of claims incurred but not reported. The accruals are derived from actuarial studies, known facts, historical trends and industry averages utilizing the assistance of an actuary to determine the best estimate of the ultimate expected loss. We believe such accruals to be adequate; however, insurance liabilities are difficult to assess and estimate due to unknown factors, including the severity of an injury, the determination of our liability in proportion to other parties, the number of incidents incurred but not reported and the effectiveness of our safety program. Therefore, if actual experience differs from the assumptions used in the actuarial valuation, adjustments to the reserve may be required and would be recorded in the period that the experience becomes known.</w:t>
      </w:r>
    </w:p>
    <w:p>
      <w:pPr>
        <w:spacing w:after="0" w:line="13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Valuation Allowance for Deferred Tax Assets. </w:t>
      </w:r>
      <w:r>
        <w:rPr>
          <w:rFonts w:ascii="Times New Roman" w:cs="Times New Roman" w:eastAsia="Times New Roman" w:hAnsi="Times New Roman"/>
          <w:sz w:val="17"/>
          <w:szCs w:val="17"/>
          <w:color w:val="auto"/>
        </w:rPr>
        <w:t>We regularly evaluate valuation allowances established for deferred tax assets for which future realization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 We perform this evaluation quarterly. The estimation of required valuation allowances includes estimates of future taxable income. In assessing the realizability of deferred tax assets at September 30, 2019, we concluded, based upon the assessment of positive and negative evidence, that it is more likely than not that the Company will generate sufficient table income within the applicable NOL carryforward periods to realize $40.9 million of its deferred tax assets. We considered the scheduled reversal of deferred tax liabilities, projected future taxable income and tax planning strategies in making this assessment.</w:t>
      </w:r>
    </w:p>
    <w:p>
      <w:pPr>
        <w:spacing w:after="0" w:line="116"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An inability to generate sufficient taxable income in future periods to realize our deferred tax assets may lead to a future need for a valuation allowance and a corresponding reduction in GAAP net income. In addition, any further reduction in the federal statutory tax rate in the future could also cause a reduction in the economic benefit of the NOL available to us and a corresponding charge to reduce the book value of the deferred tax asset recorded on our balance sheet.</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GAAP specifies the methodology by which a company must identify, recognize, measure and disclose in its financial statements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1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3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tax years ended September 30, 2017 and forward are subject to federal audit as are prior tax years, to the extent of unutilized net operating losses generated in those years.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anticipate that approximately $1.6 million in liabilities for unrecognized tax benefits, including accrued interest, may be reversed in the next twelve months. This reversal is predominantly due to the expiration of the statutes of limitation for unrecognized tax benefits.</w:t>
      </w:r>
    </w:p>
    <w:p>
      <w:pPr>
        <w:spacing w:after="0" w:line="106"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Accounting Pronouncements. </w:t>
      </w:r>
      <w:r>
        <w:rPr>
          <w:rFonts w:ascii="Times New Roman" w:cs="Times New Roman" w:eastAsia="Times New Roman" w:hAnsi="Times New Roman"/>
          <w:sz w:val="18"/>
          <w:szCs w:val="18"/>
          <w:color w:val="auto"/>
        </w:rPr>
        <w:t>Recent accounting pronouncements are described in Note 2, “Summary of Significant Accounting Policies —</w:t>
      </w:r>
      <w:r>
        <w:rPr>
          <w:rFonts w:ascii="Times New Roman" w:cs="Times New Roman" w:eastAsia="Times New Roman" w:hAnsi="Times New Roman"/>
          <w:sz w:val="18"/>
          <w:szCs w:val="18"/>
          <w:i w:val="1"/>
          <w:iCs w:val="1"/>
          <w:color w:val="auto"/>
        </w:rPr>
        <w:t xml:space="preserve"> New Accounting Pronouncements</w:t>
      </w:r>
      <w:r>
        <w:rPr>
          <w:rFonts w:ascii="Times New Roman" w:cs="Times New Roman" w:eastAsia="Times New Roman" w:hAnsi="Times New Roman"/>
          <w:sz w:val="18"/>
          <w:szCs w:val="18"/>
          <w:color w:val="auto"/>
        </w:rPr>
        <w:t>” in the notes to our Consolidated Financial Statements and at relevant sections in this discussion and analysis.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97"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the Credit Facility. For additional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Item 1A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on floating interest rate borrowings under our revolving credit facility. If LIBOR were to increase, our interest payment obligations on outstanding borrowings would increase, having a negative effect on our cash flow and financial condition. As we have no borrowings outstanding at September 30, 2019, we had no exposure to interest rate risk as of that date.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0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8. Financial Statements and Supplementary Data</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48"/>
        </w:trPr>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60" w:type="dxa"/>
            <w:vAlign w:val="bottom"/>
          </w:tcPr>
          <w:p>
            <w:pPr>
              <w:spacing w:after="0"/>
              <w:rPr>
                <w:sz w:val="17"/>
                <w:szCs w:val="17"/>
                <w:color w:val="auto"/>
              </w:rPr>
            </w:pPr>
          </w:p>
        </w:tc>
        <w:tc>
          <w:tcPr>
            <w:tcW w:w="10340" w:type="dxa"/>
            <w:vAlign w:val="bottom"/>
            <w:gridSpan w:val="6"/>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Reports of Independent Registered Public Accounting Firm</w:t>
              </w:r>
            </w:hyperlink>
          </w:p>
        </w:tc>
        <w:tc>
          <w:tcPr>
            <w:tcW w:w="600" w:type="dxa"/>
            <w:vAlign w:val="bottom"/>
            <w:gridSpan w:val="2"/>
          </w:tcPr>
          <w:p>
            <w:pPr>
              <w:jc w:val="center"/>
              <w:ind w:left="330"/>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39</w:t>
              </w:r>
            </w:hyperlink>
          </w:p>
        </w:tc>
        <w:tc>
          <w:tcPr>
            <w:tcW w:w="420" w:type="dxa"/>
            <w:vAlign w:val="bottom"/>
          </w:tcPr>
          <w:p>
            <w:pPr>
              <w:spacing w:after="0"/>
              <w:rPr>
                <w:sz w:val="17"/>
                <w:szCs w:val="17"/>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1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220" w:type="dxa"/>
            <w:vAlign w:val="bottom"/>
            <w:gridSpan w:val="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Balance Sheets</w:t>
              </w:r>
            </w:hyperlink>
          </w:p>
        </w:tc>
        <w:tc>
          <w:tcPr>
            <w:tcW w:w="6120" w:type="dxa"/>
            <w:vAlign w:val="bottom"/>
          </w:tcPr>
          <w:p>
            <w:pPr>
              <w:spacing w:after="0"/>
              <w:rPr>
                <w:sz w:val="21"/>
                <w:szCs w:val="21"/>
                <w:color w:val="auto"/>
              </w:rPr>
            </w:pPr>
          </w:p>
        </w:tc>
        <w:tc>
          <w:tcPr>
            <w:tcW w:w="600" w:type="dxa"/>
            <w:vAlign w:val="bottom"/>
            <w:gridSpan w:val="2"/>
          </w:tcPr>
          <w:p>
            <w:pPr>
              <w:jc w:val="center"/>
              <w:ind w:left="330"/>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41</w:t>
              </w:r>
            </w:hyperlink>
          </w:p>
        </w:tc>
        <w:tc>
          <w:tcPr>
            <w:tcW w:w="42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220" w:type="dxa"/>
            <w:vAlign w:val="bottom"/>
            <w:gridSpan w:val="5"/>
          </w:tcPr>
          <w:p>
            <w:pPr>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Consolidated Statements of Comprehensive Income (Loss)</w:t>
              </w:r>
            </w:hyperlink>
          </w:p>
        </w:tc>
        <w:tc>
          <w:tcPr>
            <w:tcW w:w="6120" w:type="dxa"/>
            <w:vAlign w:val="bottom"/>
          </w:tcPr>
          <w:p>
            <w:pPr>
              <w:spacing w:after="0"/>
              <w:rPr>
                <w:sz w:val="21"/>
                <w:szCs w:val="21"/>
                <w:color w:val="auto"/>
              </w:rPr>
            </w:pPr>
          </w:p>
        </w:tc>
        <w:tc>
          <w:tcPr>
            <w:tcW w:w="600" w:type="dxa"/>
            <w:vAlign w:val="bottom"/>
            <w:gridSpan w:val="2"/>
          </w:tcPr>
          <w:p>
            <w:pPr>
              <w:jc w:val="center"/>
              <w:ind w:left="330"/>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42</w:t>
              </w:r>
            </w:hyperlink>
          </w:p>
        </w:tc>
        <w:tc>
          <w:tcPr>
            <w:tcW w:w="42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00" w:type="dxa"/>
            <w:vAlign w:val="bottom"/>
            <w:gridSpan w:val="4"/>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Consolidated Statements of Stockholders' Equity</w:t>
              </w:r>
            </w:hyperlink>
          </w:p>
        </w:tc>
        <w:tc>
          <w:tcPr>
            <w:tcW w:w="7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600" w:type="dxa"/>
            <w:vAlign w:val="bottom"/>
            <w:gridSpan w:val="2"/>
          </w:tcPr>
          <w:p>
            <w:pPr>
              <w:jc w:val="center"/>
              <w:ind w:left="33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43</w:t>
              </w:r>
            </w:hyperlink>
          </w:p>
        </w:tc>
        <w:tc>
          <w:tcPr>
            <w:tcW w:w="42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500" w:type="dxa"/>
            <w:vAlign w:val="bottom"/>
            <w:gridSpan w:val="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Cash Flows</w:t>
              </w:r>
            </w:hyperlink>
          </w:p>
        </w:tc>
        <w:tc>
          <w:tcPr>
            <w:tcW w:w="6840" w:type="dxa"/>
            <w:vAlign w:val="bottom"/>
            <w:gridSpan w:val="2"/>
          </w:tcPr>
          <w:p>
            <w:pPr>
              <w:spacing w:after="0"/>
              <w:rPr>
                <w:sz w:val="21"/>
                <w:szCs w:val="21"/>
                <w:color w:val="auto"/>
              </w:rPr>
            </w:pPr>
          </w:p>
        </w:tc>
        <w:tc>
          <w:tcPr>
            <w:tcW w:w="600" w:type="dxa"/>
            <w:vAlign w:val="bottom"/>
            <w:gridSpan w:val="2"/>
          </w:tcPr>
          <w:p>
            <w:pPr>
              <w:jc w:val="center"/>
              <w:ind w:left="33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42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340" w:type="dxa"/>
            <w:vAlign w:val="bottom"/>
            <w:gridSpan w:val="6"/>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Notes to Consolidated Financial Statements</w:t>
              </w:r>
            </w:hyperlink>
          </w:p>
        </w:tc>
        <w:tc>
          <w:tcPr>
            <w:tcW w:w="600" w:type="dxa"/>
            <w:vAlign w:val="bottom"/>
            <w:gridSpan w:val="2"/>
          </w:tcPr>
          <w:p>
            <w:pPr>
              <w:jc w:val="center"/>
              <w:ind w:left="330"/>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420" w:type="dxa"/>
            <w:vAlign w:val="bottom"/>
          </w:tcPr>
          <w:p>
            <w:pPr>
              <w:spacing w:after="0"/>
              <w:rPr>
                <w:sz w:val="21"/>
                <w:szCs w:val="21"/>
                <w:color w:val="auto"/>
              </w:rPr>
            </w:pPr>
          </w:p>
        </w:tc>
      </w:tr>
      <w:tr>
        <w:trPr>
          <w:trHeight w:val="696"/>
        </w:trPr>
        <w:tc>
          <w:tcPr>
            <w:tcW w:w="60" w:type="dxa"/>
            <w:vAlign w:val="bottom"/>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7220" w:type="dxa"/>
            <w:vAlign w:val="bottom"/>
            <w:gridSpan w:val="3"/>
          </w:tcPr>
          <w:p>
            <w:pPr>
              <w:jc w:val="right"/>
              <w:ind w:right="460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IES Holdings,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IES Holdings, Inc. and subsidiaries (the Company) as of September 30, 2019 and 2018, the related consolidated statements of comprehensive income (loss), stockholders’ equity and cash flows for each of the three years in the period ended September 30, 2019, and the related notes (collectively referred to as the “consolidated financial statements”). In our opinion, the consolidated financial statements present fairly, in all material respects, the financial position of the Company at September 30, 2019 and 2018, and the results of its operations and its cash flows for each of the three years in the period ended September 30, 2019, in conformity with U.S. generally accepted accounting principles.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2019, based on criteria established in Internal Control-Integrated Framework issued by the Committee of Sponsoring Organizations of the Treadway Commission (2013 framework) and our report dated December 6, 2019 expressed an unqualified opinion thereon.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3" w:right="239" w:bottom="1440" w:gutter="0" w:footer="0" w:header="0"/>
        </w:sectPr>
      </w:pPr>
    </w:p>
    <w:bookmarkStart w:id="41" w:name="page42"/>
    <w:bookmarkEnd w:id="41"/>
    <w:p>
      <w:pPr>
        <w:ind w:right="2620" w:firstLine="2624"/>
        <w:spacing w:after="0" w:line="45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IES Holdings, Inc. and subsidiaries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IES Holdings Inc. and subsidiaries’ internal control over financial reporting as of September 30, 2019,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2019, based on the COSO criteria.</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2019 and 2018, the related consolidated statements of comprehensive income (loss), stockholders’ equity and cash flows for each of the three years in the period ended September 30, 2019, and the related notes, and our report dated December 6, 2019 expressed an unqualified opinion thereon.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3"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IES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26,247</w:t>
            </w:r>
          </w:p>
        </w:tc>
      </w:tr>
      <w:tr>
        <w:trPr>
          <w:trHeight w:val="243"/>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Trade, net of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186,279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151,578</w:t>
            </w:r>
          </w:p>
        </w:tc>
      </w:tr>
      <w:tr>
        <w:trPr>
          <w:trHeight w:val="243"/>
        </w:trPr>
        <w:tc>
          <w:tcPr>
            <w:tcW w:w="8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Retainage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24,312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20,966</w:t>
            </w:r>
          </w:p>
        </w:tc>
      </w:tr>
      <w:tr>
        <w:trPr>
          <w:trHeight w:val="243"/>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31,446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296,455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262,693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25,746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25,364</w:t>
            </w: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420"/>
          </w:cols>
          <w:pgMar w:left="240" w:top="522" w:right="2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non-current assets</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both"/>
        <w:ind w:left="7100"/>
        <w:spacing w:after="0"/>
        <w:tabs>
          <w:tab w:leader="none" w:pos="8440" w:val="left"/>
        </w:tabs>
        <w:rPr>
          <w:sz w:val="20"/>
          <w:szCs w:val="20"/>
          <w:color w:val="auto"/>
        </w:rPr>
      </w:pPr>
      <w:r>
        <w:rPr>
          <w:rFonts w:ascii="Times New Roman" w:cs="Times New Roman" w:eastAsia="Times New Roman" w:hAnsi="Times New Roman"/>
          <w:sz w:val="18"/>
          <w:szCs w:val="18"/>
          <w:color w:val="auto"/>
        </w:rPr>
        <w:t>50,622</w:t>
      </w:r>
      <w:r>
        <w:rPr>
          <w:sz w:val="20"/>
          <w:szCs w:val="20"/>
          <w:color w:val="auto"/>
        </w:rPr>
        <w:tab/>
      </w:r>
      <w:r>
        <w:rPr>
          <w:rFonts w:ascii="Times New Roman" w:cs="Times New Roman" w:eastAsia="Times New Roman" w:hAnsi="Times New Roman"/>
          <w:sz w:val="18"/>
          <w:szCs w:val="18"/>
          <w:color w:val="auto"/>
        </w:rPr>
        <w:t>50,702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both"/>
        <w:ind w:left="7100"/>
        <w:spacing w:after="0"/>
        <w:tabs>
          <w:tab w:leader="none" w:pos="8440" w:val="left"/>
        </w:tabs>
        <w:rPr>
          <w:sz w:val="20"/>
          <w:szCs w:val="20"/>
          <w:color w:val="auto"/>
        </w:rPr>
      </w:pPr>
      <w:r>
        <w:rPr>
          <w:rFonts w:ascii="Times New Roman" w:cs="Times New Roman" w:eastAsia="Times New Roman" w:hAnsi="Times New Roman"/>
          <w:sz w:val="18"/>
          <w:szCs w:val="18"/>
          <w:color w:val="auto"/>
        </w:rPr>
        <w:t>26,623</w:t>
      </w:r>
      <w:r>
        <w:rPr>
          <w:sz w:val="20"/>
          <w:szCs w:val="20"/>
          <w:color w:val="auto"/>
        </w:rPr>
        <w:tab/>
      </w:r>
      <w:r>
        <w:rPr>
          <w:rFonts w:ascii="Times New Roman" w:cs="Times New Roman" w:eastAsia="Times New Roman" w:hAnsi="Times New Roman"/>
          <w:sz w:val="18"/>
          <w:szCs w:val="18"/>
          <w:color w:val="auto"/>
        </w:rPr>
        <w:t>30,590</w:t>
      </w:r>
    </w:p>
    <w:p>
      <w:pPr>
        <w:spacing w:after="0" w:line="63" w:lineRule="exact"/>
        <w:rPr>
          <w:sz w:val="20"/>
          <w:szCs w:val="20"/>
          <w:color w:val="auto"/>
        </w:rPr>
      </w:pPr>
    </w:p>
    <w:p>
      <w:pPr>
        <w:jc w:val="both"/>
        <w:ind w:left="7100"/>
        <w:spacing w:after="0"/>
        <w:tabs>
          <w:tab w:leader="none" w:pos="8440" w:val="left"/>
        </w:tabs>
        <w:rPr>
          <w:sz w:val="20"/>
          <w:szCs w:val="20"/>
          <w:color w:val="auto"/>
        </w:rPr>
      </w:pPr>
      <w:r>
        <w:rPr>
          <w:rFonts w:ascii="Times New Roman" w:cs="Times New Roman" w:eastAsia="Times New Roman" w:hAnsi="Times New Roman"/>
          <w:sz w:val="18"/>
          <w:szCs w:val="18"/>
          <w:color w:val="auto"/>
        </w:rPr>
        <w:t>40,874</w:t>
      </w:r>
      <w:r>
        <w:rPr>
          <w:sz w:val="20"/>
          <w:szCs w:val="20"/>
          <w:color w:val="auto"/>
        </w:rPr>
        <w:tab/>
      </w:r>
      <w:r>
        <w:rPr>
          <w:rFonts w:ascii="Times New Roman" w:cs="Times New Roman" w:eastAsia="Times New Roman" w:hAnsi="Times New Roman"/>
          <w:sz w:val="18"/>
          <w:szCs w:val="18"/>
          <w:color w:val="auto"/>
        </w:rPr>
        <w:t>46,580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both"/>
        <w:ind w:left="7180"/>
        <w:spacing w:after="0"/>
        <w:tabs>
          <w:tab w:leader="none" w:pos="8520" w:val="left"/>
        </w:tabs>
        <w:rPr>
          <w:sz w:val="20"/>
          <w:szCs w:val="20"/>
          <w:color w:val="auto"/>
        </w:rPr>
      </w:pPr>
      <w:r>
        <w:rPr>
          <w:rFonts w:ascii="Times New Roman" w:cs="Times New Roman" w:eastAsia="Times New Roman" w:hAnsi="Times New Roman"/>
          <w:sz w:val="18"/>
          <w:szCs w:val="18"/>
          <w:color w:val="auto"/>
        </w:rPr>
        <w:t>4,938</w:t>
      </w:r>
      <w:r>
        <w:rPr>
          <w:sz w:val="20"/>
          <w:szCs w:val="20"/>
          <w:color w:val="auto"/>
        </w:rPr>
        <w:tab/>
      </w:r>
      <w:r>
        <w:rPr>
          <w:rFonts w:ascii="Times New Roman" w:cs="Times New Roman" w:eastAsia="Times New Roman" w:hAnsi="Times New Roman"/>
          <w:sz w:val="18"/>
          <w:szCs w:val="18"/>
          <w:color w:val="auto"/>
        </w:rPr>
        <w:t>6,065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34290</wp:posOffset>
            </wp:positionV>
            <wp:extent cx="1800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jc w:val="both"/>
        <w:ind w:left="6260"/>
        <w:spacing w:after="0"/>
        <w:tabs>
          <w:tab w:leader="none" w:pos="6980" w:val="left"/>
          <w:tab w:leader="none" w:pos="7820" w:val="left"/>
          <w:tab w:leader="none" w:pos="8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445,258</w:t>
        <w:tab/>
        <w:t>$</w:t>
      </w:r>
      <w:r>
        <w:rPr>
          <w:sz w:val="20"/>
          <w:szCs w:val="20"/>
          <w:color w:val="auto"/>
        </w:rPr>
        <w:tab/>
      </w:r>
      <w:r>
        <w:rPr>
          <w:rFonts w:ascii="Times New Roman" w:cs="Times New Roman" w:eastAsia="Times New Roman" w:hAnsi="Times New Roman"/>
          <w:sz w:val="18"/>
          <w:szCs w:val="18"/>
          <w:color w:val="auto"/>
        </w:rPr>
        <w:t>421,994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34290</wp:posOffset>
            </wp:positionV>
            <wp:extent cx="72466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67" w:lineRule="exact"/>
        <w:rPr>
          <w:sz w:val="20"/>
          <w:szCs w:val="20"/>
          <w:color w:val="auto"/>
        </w:rPr>
      </w:pPr>
    </w:p>
    <w:p>
      <w:pPr>
        <w:sectPr>
          <w:pgSz w:w="11900" w:h="16838" w:orient="portrait"/>
          <w:cols w:equalWidth="0" w:num="2">
            <w:col w:w="1920" w:space="440"/>
            <w:col w:w="9060"/>
          </w:cols>
          <w:pgMar w:left="240" w:top="5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130,591</w:t>
            </w:r>
          </w:p>
        </w:tc>
      </w:tr>
      <w:tr>
        <w:trPr>
          <w:trHeight w:val="243"/>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33,826</w:t>
            </w:r>
          </w:p>
        </w:tc>
      </w:tr>
      <w:tr>
        <w:trPr>
          <w:trHeight w:val="27"/>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164,417</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29,564</w:t>
            </w: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4,374</w:t>
            </w:r>
          </w:p>
        </w:tc>
      </w:tr>
      <w:tr>
        <w:trPr>
          <w:trHeight w:val="237"/>
        </w:trPr>
        <w:tc>
          <w:tcPr>
            <w:tcW w:w="8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195,716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198,355</w:t>
            </w:r>
          </w:p>
        </w:tc>
      </w:tr>
      <w:tr>
        <w:trPr>
          <w:trHeight w:val="27"/>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outstanding</w:t>
            </w: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 $0.01 par value, 100,000,000 shares authorized; 22,049,529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issued and 21,165,011 and 21,205,536 outstanding, respectively</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Treasury stock, at cost, 884,518 and 843,993 shares, respectively</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r>
      <w:tr>
        <w:trPr>
          <w:trHeight w:val="243"/>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196,810</w:t>
            </w:r>
          </w:p>
        </w:tc>
      </w:tr>
      <w:tr>
        <w:trPr>
          <w:trHeight w:val="27"/>
        </w:trPr>
        <w:tc>
          <w:tcPr>
            <w:tcW w:w="8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32,314</w:t>
            </w:r>
          </w:p>
        </w:tc>
      </w:tr>
      <w:tr>
        <w:trPr>
          <w:trHeight w:val="237"/>
        </w:trPr>
        <w:tc>
          <w:tcPr>
            <w:tcW w:w="8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246,248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220,407</w:t>
            </w:r>
          </w:p>
        </w:tc>
      </w:tr>
      <w:tr>
        <w:trPr>
          <w:trHeight w:val="27"/>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445,258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421,994</w:t>
            </w:r>
          </w:p>
        </w:tc>
      </w:tr>
      <w:tr>
        <w:trPr>
          <w:trHeight w:val="20"/>
        </w:trPr>
        <w:tc>
          <w:tcPr>
            <w:tcW w:w="8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22" w:right="2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IES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Year Ended September 30,</w:t>
            </w:r>
          </w:p>
        </w:tc>
        <w:tc>
          <w:tcPr>
            <w:tcW w:w="11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810,744</w:t>
            </w:r>
          </w:p>
        </w:tc>
      </w:tr>
      <w:tr>
        <w:trPr>
          <w:trHeight w:val="243"/>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670,246</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140,498</w:t>
            </w:r>
          </w:p>
        </w:tc>
      </w:tr>
      <w:tr>
        <w:trPr>
          <w:trHeight w:val="243"/>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120,370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20,342</w:t>
            </w:r>
          </w:p>
        </w:tc>
      </w:tr>
      <w:tr>
        <w:trPr>
          <w:trHeight w:val="237"/>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r>
      <w:tr>
        <w:trPr>
          <w:trHeight w:val="243"/>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18,805</w:t>
            </w:r>
          </w:p>
        </w:tc>
      </w:tr>
      <w:tr>
        <w:trPr>
          <w:trHeight w:val="243"/>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13,594</w:t>
            </w:r>
          </w:p>
        </w:tc>
      </w:tr>
      <w:tr>
        <w:trPr>
          <w:trHeight w:val="237"/>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Comprehensive income (loss) attributable to IES Holdings,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13,422</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(loss) per share attributable to IES Holdings, Inc.: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r>
      <w:tr>
        <w:trPr>
          <w:trHeight w:val="284"/>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used in the computation of earnings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21,082,012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21,196,388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21,280,549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21,315,245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21,196,388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21,533,254</w:t>
            </w:r>
          </w:p>
        </w:tc>
      </w:tr>
      <w:tr>
        <w:trPr>
          <w:trHeight w:val="27"/>
        </w:trPr>
        <w:tc>
          <w:tcPr>
            <w:tcW w:w="6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22"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IES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1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Common Stock</w:t>
            </w:r>
          </w:p>
        </w:tc>
        <w:tc>
          <w:tcPr>
            <w:tcW w:w="22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Treasury Stock</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restart"/>
          </w:tcPr>
          <w:p>
            <w:pPr>
              <w:ind w:left="80"/>
              <w:spacing w:after="0" w:line="13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4"/>
                <w:szCs w:val="4"/>
                <w:color w:val="auto"/>
              </w:rPr>
            </w:pPr>
          </w:p>
        </w:tc>
        <w:tc>
          <w:tcPr>
            <w:tcW w:w="980" w:type="dxa"/>
            <w:vAlign w:val="bottom"/>
            <w:vMerge w:val="restart"/>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65"/>
        </w:trPr>
        <w:tc>
          <w:tcPr>
            <w:tcW w:w="3560" w:type="dxa"/>
            <w:vAlign w:val="bottom"/>
          </w:tcPr>
          <w:p>
            <w:pPr>
              <w:spacing w:after="0"/>
              <w:rPr>
                <w:sz w:val="5"/>
                <w:szCs w:val="5"/>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5"/>
                <w:szCs w:val="5"/>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5"/>
                <w:szCs w:val="5"/>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260" w:type="dxa"/>
            <w:vAlign w:val="bottom"/>
          </w:tcPr>
          <w:p>
            <w:pPr>
              <w:spacing w:after="0"/>
              <w:rPr>
                <w:sz w:val="5"/>
                <w:szCs w:val="5"/>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APIC</w:t>
            </w: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55"/>
        </w:trPr>
        <w:tc>
          <w:tcPr>
            <w:tcW w:w="35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September 30, 2016</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22,049,529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(592,990)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195,221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32,745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223,405</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Grants under compensation plans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ind w:left="300"/>
              <w:spacing w:after="0" w:line="158" w:lineRule="exact"/>
              <w:rPr>
                <w:sz w:val="20"/>
                <w:szCs w:val="20"/>
                <w:color w:val="auto"/>
              </w:rPr>
            </w:pPr>
            <w:r>
              <w:rPr>
                <w:rFonts w:ascii="Times New Roman" w:cs="Times New Roman" w:eastAsia="Times New Roman" w:hAnsi="Times New Roman"/>
                <w:sz w:val="14"/>
                <w:szCs w:val="14"/>
                <w:color w:val="auto"/>
              </w:rPr>
              <w:t>Cumulative effect adjustment from adoption of ASU</w:t>
            </w: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2016-09</w:t>
            </w: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(152,860)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forfeitures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Options exercised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Non-cash compensation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13,422</w:t>
            </w:r>
          </w:p>
        </w:tc>
        <w:tc>
          <w:tcPr>
            <w:tcW w:w="0" w:type="dxa"/>
            <w:vAlign w:val="bottom"/>
          </w:tcPr>
          <w:p>
            <w:pPr>
              <w:spacing w:after="0"/>
              <w:rPr>
                <w:sz w:val="1"/>
                <w:szCs w:val="1"/>
                <w:color w:val="auto"/>
              </w:rPr>
            </w:pPr>
          </w:p>
        </w:tc>
      </w:tr>
      <w:tr>
        <w:trPr>
          <w:trHeight w:val="282"/>
        </w:trPr>
        <w:tc>
          <w:tcPr>
            <w:tcW w:w="3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BALANCE, September 30, 2017</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22,049,529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(712,554)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196,955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46,427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236,704</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Grants under compensation plans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(133,459)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Options exercised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Non-cash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Decrease in noncontrolling interest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 attributable to IES Holdings, Inc.</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(14,157)</w:t>
            </w:r>
          </w:p>
        </w:tc>
        <w:tc>
          <w:tcPr>
            <w:tcW w:w="0" w:type="dxa"/>
            <w:vAlign w:val="bottom"/>
          </w:tcPr>
          <w:p>
            <w:pPr>
              <w:spacing w:after="0"/>
              <w:rPr>
                <w:sz w:val="1"/>
                <w:szCs w:val="1"/>
                <w:color w:val="auto"/>
              </w:rPr>
            </w:pPr>
          </w:p>
        </w:tc>
      </w:tr>
      <w:tr>
        <w:trPr>
          <w:trHeight w:val="242"/>
        </w:trPr>
        <w:tc>
          <w:tcPr>
            <w:tcW w:w="35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September 30, 2018</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22,049,529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(843,993)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220,407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Issuance of restricted stock &amp; performance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Options exercised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300"/>
              <w:spacing w:after="0" w:line="153" w:lineRule="exact"/>
              <w:rPr>
                <w:sz w:val="20"/>
                <w:szCs w:val="20"/>
                <w:color w:val="auto"/>
              </w:rPr>
            </w:pPr>
            <w:r>
              <w:rPr>
                <w:rFonts w:ascii="Times New Roman" w:cs="Times New Roman" w:eastAsia="Times New Roman" w:hAnsi="Times New Roman"/>
                <w:sz w:val="14"/>
                <w:szCs w:val="14"/>
                <w:color w:val="auto"/>
              </w:rPr>
              <w:t>Cumulative effect adjustment from adoption of new</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accounting standard</w:t>
            </w: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(564,822)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w:t>
            </w:r>
          </w:p>
        </w:tc>
        <w:tc>
          <w:tcPr>
            <w:tcW w:w="0" w:type="dxa"/>
            <w:vAlign w:val="bottom"/>
          </w:tcPr>
          <w:p>
            <w:pPr>
              <w:spacing w:after="0"/>
              <w:rPr>
                <w:sz w:val="1"/>
                <w:szCs w:val="1"/>
                <w:color w:val="auto"/>
              </w:rPr>
            </w:pPr>
          </w:p>
        </w:tc>
      </w:tr>
      <w:tr>
        <w:trPr>
          <w:trHeight w:val="265"/>
        </w:trPr>
        <w:tc>
          <w:tcPr>
            <w:tcW w:w="3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Non-cash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2,357</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33,206</w:t>
            </w:r>
          </w:p>
        </w:tc>
        <w:tc>
          <w:tcPr>
            <w:tcW w:w="0" w:type="dxa"/>
            <w:vAlign w:val="bottom"/>
          </w:tcPr>
          <w:p>
            <w:pPr>
              <w:spacing w:after="0"/>
              <w:rPr>
                <w:sz w:val="1"/>
                <w:szCs w:val="1"/>
                <w:color w:val="auto"/>
              </w:rPr>
            </w:pPr>
          </w:p>
        </w:tc>
      </w:tr>
      <w:tr>
        <w:trPr>
          <w:trHeight w:val="242"/>
        </w:trPr>
        <w:tc>
          <w:tcPr>
            <w:tcW w:w="3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22,049,529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(884,518)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192,911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65,600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246,248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22"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IES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76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13,594</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financing cost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9,634</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6,899</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2,571</w:t>
            </w: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5,898</w:t>
            </w:r>
          </w:p>
        </w:tc>
      </w:tr>
      <w:tr>
        <w:trPr>
          <w:trHeight w:val="24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22,349</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received (paid) in conjunction with business combinations or dispositions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(24,532)</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Borrowings of debt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5,434</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Contingent consideration payment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shares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beginning of period</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33,221</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28,290</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1,521</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2,429</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980"/>
          </w:cols>
          <w:pgMar w:left="460" w:top="522" w:right="4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60" w:top="522" w:right="45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Business</w:t>
      </w:r>
    </w:p>
    <w:p>
      <w:pPr>
        <w:spacing w:after="0" w:line="232"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8"/>
          <w:szCs w:val="18"/>
          <w:color w:val="auto"/>
        </w:rPr>
        <w:t>IES Holdings, Inc</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is a holding company that owns and manages operating subsidiaries in business activities across a variety of end-markets. Our operations are currently organized into four principal business segments, based upon the nature of our current services:</w:t>
      </w:r>
    </w:p>
    <w:p>
      <w:pPr>
        <w:spacing w:after="0" w:line="120"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&amp; Industrial</w:t>
      </w:r>
      <w:r>
        <w:rPr>
          <w:rFonts w:ascii="Times New Roman" w:cs="Times New Roman" w:eastAsia="Times New Roman" w:hAnsi="Times New Roman"/>
          <w:sz w:val="18"/>
          <w:szCs w:val="18"/>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8"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Infrastructure Solutions</w:t>
      </w:r>
      <w:r>
        <w:rPr>
          <w:rFonts w:ascii="Times New Roman" w:cs="Times New Roman" w:eastAsia="Times New Roman" w:hAnsi="Times New Roman"/>
          <w:sz w:val="18"/>
          <w:szCs w:val="18"/>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Regional provider of electrical installation services for single-family housing and multi-family apartment complexes.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words “IES”, the “Company”, “we”, “our”, and “us” refer to IES Holdings, Inc. and, except as otherwise specified herein, to our consolidated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Controlling Shareholder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2019, Tontine Associates, L.L.C., together with its affiliates (collectively, “Tontine”), is the controlling shareholder of the Company’s common stock. Accordingly, Tontine has the ability to exercise significant control over our affairs, including the election of directors and most actions requiring the approval of shareholders, including the approval of any potential merger or sale of all or substantially all assets or segments of the Company, or the Company itself. For a more complete discussion on our relationship with Tontine, please refer to Note 3, “Controlling Shareholder” in the notes to our Consolidated Financial Statements.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IES Holdings, Inc. and its consolidated subsidiaries. All significant intercompany accounts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September 30, 2019, 2018 and 2017, the Company recorded no asset impairment charges.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consist of raw materials, work in process, finished goods, and parts and supplies held for use in the ordinary course of business. Inventory is valued at the lower of cost or net realizable value generally using the historical average cost or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Equity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investments in entities where we do not have the ability to exercise significant influence are accounted for using the cost method of accounting. Each period, we evaluate whether an event or change in circumstances has occurred that may indicate an investment has been impaired. If, upon further investigation of such events, we determine the investment has suffered a decline in value that is other than temporary, we write down the investment to its estimated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definite lives are amortized over their estimated useful lives based on expected economic benefit with no residual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issuance costs are included as a reduction of our debt outstanding, or alternately classified within other non-current assets if we have no borrowings drawn on our credit facility at the balance sheet date, and are amortized to interest expense over the scheduled maturity of the debt. Amortization expense of debt issuance costs was $318, $288 and $294, respectively, for the years ended 2019, 2018 and 2017. Remaining unamortized capitalized debt issuance costs were $782 and $912 at September 30, 2019, and 2018,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generally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on project contracts using the percentage of completion method. Project contracts generally provide that customers accept completion of progress to date and compensate us for services rendered measured in terms of units installed, hours expended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5" w:right="2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Except in certain circumstances, we do not recognize revenue or margin based on change orders or claims until they have been agreed upon with the customer. The amount of revenue associated with unapproved change orders and claims was immaterial for the years ended September 30, 2019, 2018 and 2017. Provisions for total estimated losses on uncompleted contracts are made in the period in which such losses are determined. The balances billed but not paid by customers pursuant to retainage provisions in project contracts are typically due upon completion of the contracts and acceptance by the customer. Based on our experience, the retention balance at each balance sheet date will be collected within the subsequent fiscal year.</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divisions in the Residential and Infrastructure Solutions segments use the completed contract method of accounting because the duration of their contracts is short in nature. We recognize revenue on completed contracts when the project is complete and billable to the customer. Provisions for estimated losses on these contracts are recorded in the period such losses are determined.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accounts receivable for all amounts billed and not collected. Generally, we do not charge interest on outstanding accounts receivable; however, from time to time we may believe it necessary to charge interest on a case by case basis. Additionally, we provide an allowance for doubtful accounts for specific accounts receivable where collection is considered doubtful as well as for general unknown collection issues based on historical trends. Accounts receivable not determined to be collectible are written off as deemed necessary in the period such determination is made. As is common in our industry, some of these receivables are in litigation or require us to exercise our contractual lien rights in order to collect. Our allowance for doubtful accounts at September 30, 2019 and 2018 was $1,184 and $868, respectively. We believe that our allowance for doubtful accounts is sufficient to cover uncollectible receivables as of September 30,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includes all changes in equity during a period except those resulting from investments by and distributions to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follow the asset and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evaluate valuation allowances established for deferred tax assets for which future realization is uncertain. We perform this evaluation on a quarterly basis. The estimation of required valuation allowances includes estimates of future taxable income. In assessing the realizability of deferred tax assets at September 30, 2019, we concluded, based upon the assessment of positive and negative evidence, that it is more likely than not that the Company will generate sufficient taxable income within the applicable NOL carryforward periods to realize its net deferred tax assets of $40,874. We considered the scheduled reversal of deferred tax liabilities, projected future taxable income and tax planning strategies in making this assessment. If actual future taxable income is different from these estimates, our results could be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Each year, we compile our historical data pertaining to the insurance experiences and actuarially develop the ultimate loss associated with our insurance programs other than pollution coverage for our Infrastructure Solutions segment. We believe that the actuarial valuation provides the best estimate of the ultimate losses to be expected under these programs.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7" w:right="2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The undiscounted ultimate losses of our workers’ compensation, auto and general liability insurance reserves at September 30, 2019, and 2018, was $4,975 and $5,286, respectively. Based on historical payment patterns, we expect payments of undiscounted ultimate losses to be made as follows:</w:t>
      </w:r>
    </w:p>
    <w:p>
      <w:pPr>
        <w:spacing w:after="0" w:line="10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54" w:lineRule="exact"/>
        <w:rPr>
          <w:sz w:val="20"/>
          <w:szCs w:val="20"/>
          <w:color w:val="auto"/>
        </w:rPr>
      </w:pPr>
    </w:p>
    <w:tbl>
      <w:tblPr>
        <w:tblLayout w:type="fixed"/>
        <w:tblInd w:w="3700" w:type="dxa"/>
        <w:tblCellMar>
          <w:top w:w="0" w:type="dxa"/>
          <w:left w:w="0" w:type="dxa"/>
          <w:bottom w:w="0" w:type="dxa"/>
          <w:right w:w="0" w:type="dxa"/>
        </w:tblCellMar>
      </w:tblPr>
      <w:tr>
        <w:trPr>
          <w:trHeight w:val="270"/>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43"/>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7"/>
        </w:trPr>
        <w:tc>
          <w:tcPr>
            <w:tcW w:w="2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7"/>
        </w:trPr>
        <w:tc>
          <w:tcPr>
            <w:tcW w:w="2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7"/>
        </w:trPr>
        <w:tc>
          <w:tcPr>
            <w:tcW w:w="26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0"/>
        </w:trPr>
        <w:tc>
          <w:tcPr>
            <w:tcW w:w="2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elect to discount the ultimate losses above to present value using an approximate risk-free rate over the average life of our insurance claims. For the years ended September 30, 2019 and 2018, the discount rate used was 1.6 percent and 2.9 percent, respectively. The present value of all insurance reserves for the employee group health claims, workers’ compensation, auto and general liability recorded at September 30, 2019, and 2018 was $6,683 and $6,202, respectively. Our employee group health claims are anticipated to be resolved within the year ended September 30, 2020.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letters of credit totaling $6,268 outstanding at September 30, 2019 to collateralize certain of our high deductible insurance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Realization of 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property and equipment and other long-lived assets as facts and circumstances indicate that any of those assets might be impaired. If an evaluation is required for our assets we plan to hold and use,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September 30, 2019, 2018 and 2017, no indicators of impairments were identified, and no impairment charges were recorded.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Concentration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deposits and accounts receivable. Through delayed payment terms, we at times grant credit, usually without collateral, to our customers, who are generally large public companies, contractors and homebuilders throughout the United States. Consequently, we are subject to potential credit risk related to changes in business and economic factors throughout the United States, specifically, within the construction, homebuilding and mission critical facility markets. However, we are entitled to payment for work performed and generally have certain lien rights in that work. Further, management believes that its contract acceptance, billing and collection policies are adequate to manage potential credit risk. We routinely maintain cash balances in financial institutions in excess of federally insured limits. We periodically assess the financial condition of these institutions where these funds are held and believe the credit risk is minimal. We maintain the majority of our cash and cash equivalents in money market mutual funds. There can be no assurance, however, that we will not be adversely affected by credit risks we face.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more than 10% of our consolidated revenues for the years ended September 30, 2019, 2018 and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investments, accounts payable, and a loan agreement. We believe that the carrying value of financial instruments approximates their fair value due to their short-term nature. The carrying value of our debt approximates fair value, as debt incurs interest at a variable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7" w:right="2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rabbi trust to fund certain deferred compensation plans. The securities held by the trust are classified as trading securities. The investments are recorded at fair value and are classified as other non-current assets in the accompanying Consolidated Balance Sheets as of September 30, 2019, and 2018. The changes in fair values are recorded as a component of other income (expense) in the Consolidated Statements of Comprehensive Income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corresponding deferred compensation liability is included in other non-current liabilities on the Consolidated Balance Sheets and changes in this obligation are recognized as adjustments to compensation expense in the period in which they are determined.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acquisitions of STR Mechanical, LLC (“STR Mechanical”) in fiscal 2016 and NEXT Electric, LLC (“NEXT Electric”) in fiscal 2017, we acquired 80 percent interests in these entities, and the remaining 20 percent was retained by the third party sellers. The interests retained by those third party sellers are identified on our Consolidated Balance Sheets as noncontrolling interest, classified outside of permanent equity. Under the terms of the operating agreements governing these entities, after five years from the dates of the acquisitions, we may elect to purchase, or the third party sellers may require us to purchase, part of all of the remaining 20 percent interests in these entities. The purchase price is variable, based on a multiple of earnings as defined in the operating agreements. Therefore, this noncontrolling interest is carried at the greater of the balance determined under ASC 810 and the redemption amounts assuming the noncontrolling interests were redeemable at the balance sheet date. If all of these interests had been redeemable at September 30, 2019, the redemption amount would have been $3,294. For the year ended September 30, 2018, we recorded an increase to retained earnings of $44 to offset an increase to noncontrolling interest recorded in fiscal 2017, decreasing the carrying amount of the noncontrolling interest in STR to the balance determined under ASC 810, as if it had been redeemable at September 30, 2018, as the redemption amount would have been less than the carrying amount.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(the “FASB”) issued Accounting Standard Update No. 2016-02, Leases (“ASU 2016-02”). Under ASU 2016-02, we will recognize a right-of-use asset and a lease liability on our Balance Sheet for all leases, other than those that meet the definition of a short-term lease. For income statement purposes, leases must be classified as either operating or finance. Operating leases will result in straight-line expense, similar to current operating leases, while finance leases will be accounted for similar to current capital leases. We plan to adopt this standard on October 1, 2019, using a modified retrospective transition approach. We plan to utilize the optional transition method allowed under Accounting Standard Update No. 2018-11, which allows the recognition of a cumulative-effect adjustment to retained earnings on such date and the continued reporting of retrospective periods using the previous accounting standards. We plan to elect all of the available practical expedients, which would allow the use of hindsight in the determination of the lease term and impairment assessment of the right-of-use assets, and eliminate the need to reassess whether our existing or expired contracts contain a lease and its corresponding classification. We have developed processes and internal controls to meet the reporting and disclosure requirements of the standard, including the validation and detailed assessment of our full lease population. Our balance sheet will be impacted from this standard by recording lease right-of-use assets and lease liabilities in similar amounts, which we currently estimate to be less than $35 million as of October 1, 2019, with any difference between the right-of-use asset and the lease liabilities recorded to previously accrued or deferred rent expense relating to prior periods. We do not anticipate that the standard will have a significant impact on our net earnings, cash flows or compliance with the financial covenants under our revolving credit facility.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although early adoption is permitted. We are currently evaluating the impact it will have on our Consolidated Financial Statements. We plan to adopt this standard on October 1, 2020.</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is effective for the fiscal year ended September 30,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7" w:right="2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although early adoption is permitted for either the entire standard or only the provisions that eliminate or modify the requirements.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expect ASU 2018-07 or ASU 2018-13 to have a material effect on our Consolidated Financial Statements and we plan to adopt these standards on October 1, 2019 and October 1, 2020,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2014, the FASB issued Accounting Standard Update No. 2014-09, which provides a single comprehensive accounting standard for revenue recognition for contracts with customers and supersedes prior industry-specific guidance. The new standard requires companies to recognize revenue when control of promised goods or services is transferred to customers at an amount that reflects the consideration to which the company expects to be entitled. The new model requires companies to identify contractual performance obligations and determine whether revenue should be recognized at a point in time or over time for each obligation. The new standard also expands disclosure requirements regarding revenue and cash flows arising from contracts with customers.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adopted the new revenue recognition standard on October 1, 2018 (“Adoption Date”), using the modified retrospective method, which provides for a cumulative effect adjustment to beginning fiscal 2019 retained earnings for uncompleted contracts impacted by the adoption. We recorded an adjustment of $80 to beginning fiscal 2019 retained earnings as a result of adoption of the new standard. The changes to the method and/or timing of our revenue recognition associated with the new standard primarily affect revenue recognition within our Infrastructure Solutions segment for which, as of October 1, 2018, certain of our contracts do not qualify for revenue recognition over time. In addition, we have now combined in process contracts that historically had been accounted for as separate contracts in cases where those contracts meet the criteria for combination of contracts under the new standard, and we now capitalize certain commissions which were previously expensed when incurred. The impact on our results for the year ended September 30, 2019, of applying the new standard to our contracts was not material.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our adoption method, the comparative prior period information continues to be reported using the previous accounting standards in effect for the period presented. We have elected to utilize the modified retrospective transition practical expedient that allows us to evaluate the impact of contract modifications as of the Adoption Date rather than evaluating the impact of the modifications at the time they occurred prior to the Adoption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“Revenue Recognition” for additional discussion of our revenue recognition accounting policies and expanded disclosures.</w:t>
      </w:r>
    </w:p>
    <w:p>
      <w:pPr>
        <w:spacing w:after="0" w:line="19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 January 2016, the FASB issued Accounting Standard Update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 Financial Instruments. This standard is associated with the recognition and measurement of financial assets and liabilities, with further clarifications made in February 2018 with the issuance of Accounting Standard Update No. 2018-</w:t>
      </w:r>
    </w:p>
    <w:p>
      <w:pPr>
        <w:spacing w:after="0" w:line="1" w:lineRule="exact"/>
        <w:rPr>
          <w:sz w:val="20"/>
          <w:szCs w:val="20"/>
          <w:color w:val="auto"/>
        </w:rPr>
      </w:pPr>
    </w:p>
    <w:p>
      <w:pPr>
        <w:jc w:val="both"/>
        <w:ind w:firstLine="8"/>
        <w:spacing w:after="0" w:line="252"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Our adoption of this standard on October 1, 2018 had no impact on our Consolidated Financial Statements.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Accounting Standard Update No. 2017-01, Business Combinations. This standard clarifies the definition of a business to assist entities with evaluation of whether transactions should be accounted for as acquisitions or disposals of assets or businesses. Our adoption of this standard on October 1, 2018 using the prospective transition method had no impact on our Condensed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FASB issued Accounting Standard Update No. 2017-09, Compensation—Stock Compensation, to reduce the diversity in practice and the cost and complexity when changing the terms or conditions of a share-based payment award. Our adoption of this standard on October 1, 2018 using the prospective transition method had no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3. CONTROLLING SHAREHOLDER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Tontine is the Company's controlling shareholder, owning approximately 58 percent of the Company’s outstanding common stock according to a Form 4 filed with the SEC by Tontine on October 3, 2019. Accordingly, Tontine has the ability to exercise significant control over our affairs, including the election of directors and most actions requiring the approval of shareholders.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tax benefit protection plan (the “NOL Rights Plan”). The NOL Rights Plan was designed to deter an acquisition of the Company's stock in excess of a threshold amount that could trigger a change in ownership within the meaning of Internal Revenue Code Section 382. There can be no assurance that the NOL Rights Plan will be effective in deterring a change in ownership or protecting the NOLs. Furthermore, a change of control would trigger the change of control provisions in a number of our material agreements, including our credit facility, bonding agreements with our sureties and our executive severance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Jeffrey L. Gendell was appointed as a member of the Board of Directors and as Chairman of the Board in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a Contract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certain of our operations, we incur commission costs related to entering into a contract that we only incurred because of that contract. When this occurs, we capitalize that cost and amortize it over the expected term of the contract. At September 30, 2019, we had capitalized commission costs of $86.</w:t>
      </w:r>
    </w:p>
    <w:p>
      <w:pPr>
        <w:spacing w:after="0" w:line="13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generally do not incur significant incremental costs related to obtaining or fulfilling a contract prior to the start of a project. When significant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 costs are incurred, they will be capitalized and amortized on a percentage of completion basis over the life of the contract.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activity and contract type, as these categories reflect how the nature, amount, timing and uncertainty of our revenue and cash flows are affected by economic factors. Our consolidated 2019, 2018, and 2017 revenue was derived from the following service activities. See details in the following tables: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6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305,624</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227,606</w:t>
            </w:r>
          </w:p>
        </w:tc>
      </w:tr>
      <w:tr>
        <w:trPr>
          <w:trHeight w:val="243"/>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 Services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46,079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 Power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37,745</w:t>
            </w:r>
          </w:p>
        </w:tc>
      </w:tr>
      <w:tr>
        <w:trPr>
          <w:trHeight w:val="237"/>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Infrastructure Solutions</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83,824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Single-family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162,100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Multi-family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111,939</w:t>
            </w:r>
          </w:p>
        </w:tc>
      </w:tr>
      <w:tr>
        <w:trPr>
          <w:trHeight w:val="237"/>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Residential</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313,336</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285,711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274,039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1,076,996</w:t>
            </w: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876,828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810,744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Fixed-price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Time-and-material</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Fixed-price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Time-and-material</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Fixed-price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Time-and-material</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Year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759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Commercial &amp;</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Solutions</w:t>
            </w:r>
          </w:p>
        </w:tc>
        <w:tc>
          <w:tcPr>
            <w:tcW w:w="2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286,319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229,143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129,096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313,336</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957,894</w:t>
            </w: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119,102</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305,624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136,790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313,336</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1,076,996</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1"/>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 Ended September 30, 2018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Commercial &amp;</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Solutions</w:t>
            </w:r>
          </w:p>
        </w:tc>
        <w:tc>
          <w:tcPr>
            <w:tcW w:w="2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244,464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166,258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90,155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285,711</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786,588</w:t>
            </w: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90,240</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274,299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97,163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285,711</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876,828</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1"/>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 Ended September 30, 2017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Commercial &amp;</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Solutions</w:t>
            </w:r>
          </w:p>
        </w:tc>
        <w:tc>
          <w:tcPr>
            <w:tcW w:w="2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206,850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76,232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274,039</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732,043</w:t>
            </w:r>
          </w:p>
        </w:tc>
      </w:tr>
      <w:tr>
        <w:trPr>
          <w:trHeight w:val="270"/>
        </w:trPr>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78,701</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227,606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83,824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274,039</w:t>
            </w:r>
          </w:p>
        </w:tc>
        <w:tc>
          <w:tcPr>
            <w:tcW w:w="12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810,744</w:t>
            </w:r>
          </w:p>
        </w:tc>
      </w:tr>
      <w:tr>
        <w:trPr>
          <w:trHeight w:val="27"/>
        </w:trPr>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-3026410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-2675255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-1791970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-1440180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-556895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-205105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720"/>
            <w:col w:w="7500"/>
          </w:cols>
          <w:pgMar w:left="240" w:top="499"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99" w:right="2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which we have billed or have an unconditional right to bill our customers. As of September 30, 2019, Accounts receivable included $11,329 of unbilled receivables for which we have an unconditional right to bill.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balance sheet under the caption “Costs and estimated earnings in excess of billings”. Amounts by which cumulative billings to the customer under a contract as of a given date exceed cumulative contract revenue recognized are reflected as a current liability in our balance sheet under the caption “Billings in excess of costs and estimated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asset (liability) position for contracts in process consisted of the following:</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7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24"/>
                <w:szCs w:val="24"/>
                <w:color w:val="auto"/>
              </w:rPr>
            </w:pPr>
          </w:p>
        </w:tc>
      </w:tr>
      <w:tr>
        <w:trPr>
          <w:trHeight w:val="27"/>
        </w:trPr>
        <w:tc>
          <w:tcPr>
            <w:tcW w:w="17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2018</w:t>
            </w:r>
          </w:p>
        </w:tc>
      </w:tr>
      <w:tr>
        <w:trPr>
          <w:trHeight w:val="27"/>
        </w:trPr>
        <w:tc>
          <w:tcPr>
            <w:tcW w:w="176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76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761,401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539,226</w:t>
            </w:r>
          </w:p>
        </w:tc>
      </w:tr>
      <w:tr>
        <w:trPr>
          <w:trHeight w:val="243"/>
        </w:trPr>
        <w:tc>
          <w:tcPr>
            <w:tcW w:w="17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Billings to date and unbilled accounts receivable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(541,606)</w:t>
            </w:r>
          </w:p>
        </w:tc>
      </w:tr>
      <w:tr>
        <w:trPr>
          <w:trHeight w:val="27"/>
        </w:trPr>
        <w:tc>
          <w:tcPr>
            <w:tcW w:w="176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76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0"/>
        </w:trPr>
        <w:tc>
          <w:tcPr>
            <w:tcW w:w="176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 (liability) position for contracts in process included in the accompanying consolidated balance sheets was as follows:</w:t>
      </w:r>
    </w:p>
    <w:p>
      <w:pPr>
        <w:spacing w:after="0" w:line="171"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2018</w:t>
            </w: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31,446</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(33,826)</w:t>
            </w: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2019, and 2018, we recognized revenue of $31,831 and $31,135 related to our contract liabilities at October 1, 2018 and 2017,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impairment losses recognized on our receivables or contract assets for the years ended September 30, 2019, 2018, or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2019, we had remaining performance obligations of $451,884. The Company expects to recognize revenue on approximately $391,769 of the remaining performance obligations over the next 12 months, with the remaining recognized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September 30, 2019, net revenue recognized from our performance obligations satisfied in previous periods was not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3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Pr>
          <w:p>
            <w:pPr>
              <w:spacing w:after="0"/>
              <w:rPr>
                <w:sz w:val="18"/>
                <w:szCs w:val="18"/>
                <w:color w:val="auto"/>
              </w:rPr>
            </w:pPr>
          </w:p>
        </w:tc>
        <w:tc>
          <w:tcPr>
            <w:tcW w:w="228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Year Ended September 30,</w:t>
            </w:r>
          </w:p>
        </w:tc>
        <w:tc>
          <w:tcPr>
            <w:tcW w:w="0" w:type="dxa"/>
            <w:vAlign w:val="bottom"/>
          </w:tcPr>
          <w:p>
            <w:pPr>
              <w:spacing w:after="0"/>
              <w:rPr>
                <w:sz w:val="1"/>
                <w:szCs w:val="1"/>
                <w:color w:val="auto"/>
              </w:rPr>
            </w:pPr>
          </w:p>
        </w:tc>
      </w:tr>
      <w:tr>
        <w:trPr>
          <w:trHeight w:val="86"/>
        </w:trPr>
        <w:tc>
          <w:tcPr>
            <w:tcW w:w="778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Useful Lives</w:t>
            </w:r>
          </w:p>
        </w:tc>
        <w:tc>
          <w:tcPr>
            <w:tcW w:w="22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77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Years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Land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5-20</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27,443</w:t>
            </w: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 systems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55,176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50,703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$5,607, $4,759 and $3,840, respectively, for the years ended September 30, 2019, 2018 and 2017.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PER SHARE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components of the basic and diluted earnings (loss) per share for the years ended September 30, 2019, 2018 and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7"/>
          </w:tcPr>
          <w:p>
            <w:pPr>
              <w:jc w:val="right"/>
              <w:ind w:right="750"/>
              <w:spacing w:after="0"/>
              <w:rPr>
                <w:sz w:val="20"/>
                <w:szCs w:val="20"/>
                <w:color w:val="auto"/>
              </w:rPr>
            </w:pPr>
            <w:r>
              <w:rPr>
                <w:rFonts w:ascii="Times New Roman" w:cs="Times New Roman" w:eastAsia="Times New Roman" w:hAnsi="Times New Roman"/>
                <w:sz w:val="18"/>
                <w:szCs w:val="18"/>
                <w:color w:val="auto"/>
              </w:rPr>
              <w:t>Year Ended September 30,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common shareholders of IES Holdings,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(decrease) in noncontrolling interest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restricted shareholders of IES Holdings, Inc.</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13,422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21,082,012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21,196,388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21,280,549</w:t>
            </w: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dilutive stock options and non-vested securities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252,705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 — diluted</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21,315,245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21,196,388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21,533,254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(loss) per share attributable to IES Holdings, Inc.:</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2019 and September 30, 2017, the average price of our common shares exceeded the exercise price of outstanding options; therefore, outstanding stock options were included in the computation of fully diluted earnings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an entity has a net loss, it is prohibited from including potential common shares in the computation of diluted per share amounts. Accordingly, we have utilized basic shares outstanding to calculate both basic and diluted loss per share for the year ended September 30, 2018. The number of potential anti-dilutive shares excluded from the calculation was 301,879 shares for the year ended September 30, 2018.</w:t>
      </w:r>
    </w:p>
    <w:p>
      <w:pPr>
        <w:sectPr>
          <w:pgSz w:w="11900" w:h="16838" w:orient="portrait"/>
          <w:cols w:equalWidth="0" w:num="1">
            <w:col w:w="11420"/>
          </w:cols>
          <w:pgMar w:left="240" w:top="499"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99"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7. DETAIL OF CERTAIN BALANCE SHEET ACCOUNTS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Activity in our allowance for doubtful accounts on accounts receivable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Deductions for uncollectible receivables written off, net of recoveries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expenses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Accounts payable, trade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Accrued insurance liabilities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non-current assets are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Savings Plan assets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and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Revolving loan (long-term debt)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Debt issuance costs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Other long-term debt</w:t>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70"/>
        </w:trPr>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85,276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42,828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18,122</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152,909</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130,591</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4,760</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6,065</w:t>
            </w: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198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2018</w:t>
      </w:r>
    </w:p>
    <w:p>
      <w:pPr>
        <w:spacing w:after="0" w:line="77" w:lineRule="exact"/>
        <w:rPr>
          <w:sz w:val="20"/>
          <w:szCs w:val="20"/>
          <w:color w:val="auto"/>
        </w:rPr>
      </w:pPr>
    </w:p>
    <w:p>
      <w:pPr>
        <w:ind w:left="20"/>
        <w:spacing w:after="0"/>
        <w:tabs>
          <w:tab w:leader="none" w:pos="1060" w:val="left"/>
          <w:tab w:leader="none" w:pos="148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30,247</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—(912)</w:t>
      </w:r>
    </w:p>
    <w:p>
      <w:pPr>
        <w:spacing w:after="0" w:line="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299229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980" w:val="left"/>
          <w:tab w:leader="none" w:pos="148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299</w:t>
        <w:tab/>
        <w:t>$</w:t>
      </w:r>
      <w:r>
        <w:rPr>
          <w:sz w:val="20"/>
          <w:szCs w:val="20"/>
          <w:color w:val="auto"/>
        </w:rPr>
        <w:tab/>
      </w:r>
      <w:r>
        <w:rPr>
          <w:rFonts w:ascii="Times New Roman" w:cs="Times New Roman" w:eastAsia="Times New Roman" w:hAnsi="Times New Roman"/>
          <w:sz w:val="18"/>
          <w:szCs w:val="18"/>
          <w:color w:val="auto"/>
        </w:rPr>
        <w:t>29,564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8097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860" w:space="720"/>
            <w:col w:w="2840"/>
          </w:cols>
          <w:pgMar w:left="240" w:top="549" w:right="2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At September 30, 2019, the remaining unamortized debt issuance costs of $782 were reclassified to Other non-current assets on the Consolidated Balance Sheet.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2019, we had no outstanding borrowings under our revolving credit facility, $6,468 in outstanding letters of credit and $93,532 available to us under our revolving credit facility with Wells Fargo Bank, N.A. ("Wells Fargo"). All amounts outstanding under our revolving credit facility are due and payable in September 2024, upon expiration of our revolving credit facility, and all amounts described as available are available without triggering our financial covenant under the Amended Credit Agreement (as defined below).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rate on our outstanding borrowings under our revolving credit facility was 4.25% at September 30, 2018. For the years ended September 30, 2019, 2018 and 2017, we incurred interest expense of $1,857, $1,946 and $1,702,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Revolving Credit Facility</w:t>
      </w:r>
    </w:p>
    <w:p>
      <w:pPr>
        <w:sectPr>
          <w:pgSz w:w="11900" w:h="16838" w:orient="portrait"/>
          <w:cols w:equalWidth="0" w:num="1">
            <w:col w:w="11420"/>
          </w:cols>
          <w:pgMar w:left="240" w:top="549"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49" w:right="239" w:bottom="1440" w:gutter="0" w:footer="0" w:header="0"/>
          <w:type w:val="continuous"/>
        </w:sectPr>
      </w:pPr>
    </w:p>
    <w:bookmarkStart w:id="58" w:name="page59"/>
    <w:bookmarkEnd w:id="58"/>
    <w:p>
      <w:pPr>
        <w:ind w:right="60"/>
        <w:spacing w:after="0" w:line="254" w:lineRule="auto"/>
        <w:rPr>
          <w:sz w:val="20"/>
          <w:szCs w:val="20"/>
          <w:color w:val="auto"/>
        </w:rPr>
      </w:pPr>
      <w:r>
        <w:rPr>
          <w:rFonts w:ascii="Times New Roman" w:cs="Times New Roman" w:eastAsia="Times New Roman" w:hAnsi="Times New Roman"/>
          <w:sz w:val="18"/>
          <w:szCs w:val="18"/>
          <w:color w:val="auto"/>
        </w:rPr>
        <w:t>We maintain a $100,000 revolving credit facility with Wells Fargo that matures in September 2024, pursuant to a Second Amended and Restated Credit and Security Agreement with Wells Fargo Bank dated as of April 10, 2017, which was amended on July 14, 2017, August 2, 2017, July 23, 2018, May 17, 2019 and September 6, 2019 (as amended, the “Amended Credit Agreement”). The Fourth Amendment to the Second Amended and Restated Credit and Security Agreement, which was entered into on May 20, 2019, permits the Company to repurchase up to 1.0 million additional shares of common stock pursuant to its previously authorized stock repurchase program for an aggregate purchase price (including for any remaining shares under the previous share repurchase authorization) not to exceed $25,000. The Fifth Amendment to the Second Amendment and Restated Credit and Security Agreement, which was entered into on September 6, 2019, reduced the interest rate margin applicable to borrowings by 50 basis points, removed the Company's minimum EBITDA financial covenant, granted pre-approval for acquisitions meeting certain conditions with an aggregate purchase price of up to $25,000, and reduced the minimum liquidity covenant from 30% to 20% of the maximum revolver amount.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Amended Credit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Credit Agreement contains other customary affirmative, negative and financial covenants, as well as events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we were in compliance with the financial covenants under the Amended Credit Agreement, requiring that we maintain:</w:t>
      </w:r>
    </w:p>
    <w:p>
      <w:pPr>
        <w:spacing w:after="0" w:line="225" w:lineRule="exact"/>
        <w:rPr>
          <w:sz w:val="20"/>
          <w:szCs w:val="20"/>
          <w:color w:val="auto"/>
        </w:rPr>
      </w:pPr>
    </w:p>
    <w:p>
      <w:pPr>
        <w:ind w:left="660" w:right="320" w:hanging="4"/>
        <w:spacing w:after="0" w:line="282"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(as defined in the Amended Credit Agreement), measured quarterly on a trailing four-quarter basis at the end of each quarter, of at least 1.1 to 1.0;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Amended Credit Agreement) of at least twenty percent (20%) of the Maximum Revolver Amount (as defined in the Amended Credit Agreement), or $20,000; with, for purposes of this covenant, at least fifty percent (50%) of our Liquidity comprised of Excess Availability (as defined in the Amended Credit Agreement).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2019, our Liquidity was $112,467 and our Excess Availability was $93,532 (or greater than 50% of minimum Liquidity), our Fixed Charge Coverage Ratio was 4.7:1.0.</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acquisition is consented to by the lender after the date of the Amended Credit Agreement, the components of the Fixed Charge Coverage Ratio will be calculated for such fiscal period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acquisition assuming that such transaction has occurred on the first day of such period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arising out of events which are directly attributable to such acquisition, are factually supportable, and are expected to have a continuing impact, in each case to be reasonably agreed to by the lender).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in the future our Liquidity falls below $20,000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any indebtedness we may take on becoming immediately due and payable.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operating leases for many of our facilities, vehicle and equipment needs. These leases allow us to retain cash, and we pay a monthly lease rental fee. At the end of the lease, we have no further obligation to the lessor. We may cancel or terminate a lease before the end of its term. Typically, we would be liable to the lessor for various lease cancellation or termination costs and the difference between the fair market value of the leased asset and the implied book value of the leased asset as calculated in accordance with the lease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leases with certain related parties which are included below, see Note 13, “Related-Party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$10,553, $7,680 and $6,990 for the years ended September 30, 2019, 2018 and 2017,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these non-cancelable operating leases that had commenced as of September 30, 2019 with terms in excess of one year are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53" w:right="239" w:bottom="1440" w:gutter="0" w:footer="0" w:header="0"/>
        </w:sectPr>
      </w:pPr>
    </w:p>
    <w:bookmarkStart w:id="59" w:name="page60"/>
    <w:bookmarkEnd w:id="59"/>
    <w:tbl>
      <w:tblPr>
        <w:tblLayout w:type="fixed"/>
        <w:tblInd w:w="224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September 30:</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r>
      <w:tr>
        <w:trPr>
          <w:trHeight w:val="27"/>
        </w:trPr>
        <w:tc>
          <w:tcPr>
            <w:tcW w:w="5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7"/>
        </w:trPr>
        <w:tc>
          <w:tcPr>
            <w:tcW w:w="5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7"/>
        </w:trPr>
        <w:tc>
          <w:tcPr>
            <w:tcW w:w="54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r>
      <w:tr>
        <w:trPr>
          <w:trHeight w:val="20"/>
        </w:trPr>
        <w:tc>
          <w:tcPr>
            <w:tcW w:w="5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lease agreements entered into will not commence until the year ended September 30, 2020. The total future undiscounted cash flows related to lease agreements committed to but not yet commenced as of September 30, 2019, is $1,964.We also entered into two large building lease renewals at our Infrastructure Solutions segment in October 2019 that will commence in the year ended September 30, 2020 and have total future undiscounted cash flows of $2,422.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 provisions are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income tax expense differs from income tax expense computed by applying the U.S. federal statutory corporate rate to income (loss) before income taxes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Year Ended September 30,</w:t>
            </w:r>
          </w:p>
        </w:tc>
        <w:tc>
          <w:tcPr>
            <w:tcW w:w="9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Provision at the statutory rate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resulting from:</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Non-deductible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income taxes, net of federal deduction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Rate change</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resulting from:</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deferred true up</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firstLine="8"/>
        <w:spacing w:after="0" w:line="362" w:lineRule="auto"/>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statutory rate of 21% was used in 2019, 24.53% in 2018 and 35% in 2017. The lower effective tax rate used in 2019 and 2018 is related to the enactment of Tax Cuts and Jobs Act enacted on December 22, 2017.</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sectPr>
          <w:pgSz w:w="11900" w:h="16838" w:orient="portrait"/>
          <w:cols w:equalWidth="0" w:num="1">
            <w:col w:w="11420"/>
          </w:cols>
          <w:pgMar w:left="240" w:top="499"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99"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8,054</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46,881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Various reserves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losses in affiliate</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52,471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57,904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53,777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5,499</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7,197</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46,580</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2019 and 2018, the valuation allowance on our deferred tax assets decreased by $83 and increased by $1,761, respectively, which is included in “Provision (benefit) for income taxes” in our Consolidated Comprehensive Income Statement.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2019, we had available approximately $306,324 of federal net tax operating loss carry forward for federal income tax purposes, including $143,577 from net operating losses on which no tax benefit has been recognized and has not been recorded as a deferred tax asset. This carry forward, which may provide future tax benefits, will begin to expire in 2026. As of September 30, 2019, we had available approximately $94,007 state net tax operating loss carry forwards, including $8,722 from net operating losses on which no tax benefit has been recognized and has not been recorded as a deferred tax asset. The carry forwards, which may provide future tax benefits, will begin to expire in 2020. We have provided valuation allowances on all net operating losses where it is determined it is more likely than not that they will expire without being utilized.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at September 30, 2019,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As a result, we have recorded a net deferred tax asset of $40,874 on our Consolidated Balance Sheets. We will continue to evaluate the appropriateness of our remaining deferred tax assets and need for valuation allowances on a quarterly basis. Further, any future reduction in the federal statutory tax rate could result in a charge to reduce the book value of the net deferred tax assets recorded on our Consolidated Balance Sheet.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a 2006 reorganization and related adjustment to the book basis in goodwill, we have tax basis in excess of book basis in amortizable goodwill of approximately $23,050. The tax basis in amortizable goodwill in excess of book basis is not reflected as a deferred tax asset. To the extent the amortization of the excess tax basis results in a cash tax benefit, the benefit will first go to reduce goodwill, then other long-term intangible assets, and then tax expense.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unrecognized tax benefit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9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51,968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position related to current year</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 resulting from the lapse of the applicable statutes of limitations</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resulting from rate change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18,636</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26,294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30,256</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and 2018, $26,294 and $30,256, respectively, of unrecognized tax benefits would result in a decrease in the provision for income tax expense. We anticipate that approximately $1,573 in liabilities for unrecognized tax benefits, including accrued interest, primarily from net operating losses on which no tax benefit has been recognized, may be reversed in the next twelve months. The reversal is predominately due to the expiration of the statutes of limitation for unrecognized tax benefits.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approximately $43 and $35 accrued for the payment of interest and penalties at September 30, 2019, and 2018, respectively. We recognize interest and penalties related to unrecognized tax benefits as part of the provision for income taxes.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years ended September 30, 2017, and forward are subject to federal audit as are tax years prior to September 30, 2017, to the extent of unutilized net operating losses generated in those years. The tax years ended September 30, 2016, and forward are subject to state audits as are tax years prior to September 30, 2016, to the extent of unutilized net operating losses generated in those years.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and measure performance of our business in four distinct operating segments: Commercial &amp; Industrial, Communications, Infrastructure Solutions and Residential. These segments are reflective of how the Company’s Chief Operating Decision Maker (“CODM”) reviews operating results for the purposes of allocating resources and assessing performance. The Company’s CODM is its Chief Executive Officer.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years ended September 30, 2019, 2018 and 2017 is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Year Ended September 30, 2019</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Commercial &amp;</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Infrastructure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Industrial</w:t>
            </w: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6"/>
                <w:szCs w:val="16"/>
                <w:color w:val="auto"/>
              </w:rPr>
              <w:t>Communications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Solutions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321,246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1,076,996</w:t>
            </w:r>
          </w:p>
        </w:tc>
        <w:tc>
          <w:tcPr>
            <w:tcW w:w="0" w:type="dxa"/>
            <w:vAlign w:val="bottom"/>
          </w:tcPr>
          <w:p>
            <w:pPr>
              <w:spacing w:after="0"/>
              <w:rPr>
                <w:sz w:val="1"/>
                <w:szCs w:val="1"/>
                <w:color w:val="auto"/>
              </w:rPr>
            </w:pPr>
          </w:p>
        </w:tc>
      </w:t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services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894,893</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182,103</w:t>
            </w:r>
          </w:p>
        </w:tc>
        <w:tc>
          <w:tcPr>
            <w:tcW w:w="0" w:type="dxa"/>
            <w:vAlign w:val="bottom"/>
          </w:tcPr>
          <w:p>
            <w:pPr>
              <w:spacing w:after="0"/>
              <w:rPr>
                <w:sz w:val="1"/>
                <w:szCs w:val="1"/>
                <w:color w:val="auto"/>
              </w:rPr>
            </w:pPr>
          </w:p>
        </w:tc>
      </w:t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140,575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24,753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41,850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Other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9,557</w:t>
            </w:r>
          </w:p>
        </w:tc>
        <w:tc>
          <w:tcPr>
            <w:tcW w:w="0" w:type="dxa"/>
            <w:vAlign w:val="bottom"/>
          </w:tcPr>
          <w:p>
            <w:pPr>
              <w:spacing w:after="0"/>
              <w:rPr>
                <w:sz w:val="1"/>
                <w:szCs w:val="1"/>
                <w:color w:val="auto"/>
              </w:rPr>
            </w:pPr>
          </w:p>
        </w:tc>
      </w:tr>
      <w:tr>
        <w:trPr>
          <w:trHeight w:val="243"/>
        </w:trPr>
        <w:tc>
          <w:tcPr>
            <w:tcW w:w="3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109,263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445,258</w:t>
            </w:r>
          </w:p>
        </w:tc>
        <w:tc>
          <w:tcPr>
            <w:tcW w:w="0" w:type="dxa"/>
            <w:vAlign w:val="bottom"/>
          </w:tcPr>
          <w:p>
            <w:pPr>
              <w:spacing w:after="0"/>
              <w:rPr>
                <w:sz w:val="1"/>
                <w:szCs w:val="1"/>
                <w:color w:val="auto"/>
              </w:rPr>
            </w:pPr>
          </w:p>
        </w:tc>
      </w:tr>
      <w:tr>
        <w:trPr>
          <w:trHeight w:val="689"/>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9"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Year Ended September 30, 2018</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Commercial &amp;</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Infrastructure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6"/>
                <w:szCs w:val="16"/>
                <w:color w:val="auto"/>
              </w:rPr>
              <w:t>Communications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Solutions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219,655</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876,828</w:t>
            </w:r>
          </w:p>
        </w:tc>
        <w:tc>
          <w:tcPr>
            <w:tcW w:w="0" w:type="dxa"/>
            <w:vAlign w:val="bottom"/>
          </w:tcPr>
          <w:p>
            <w:pPr>
              <w:spacing w:after="0"/>
              <w:rPr>
                <w:sz w:val="1"/>
                <w:szCs w:val="1"/>
                <w:color w:val="auto"/>
              </w:rPr>
            </w:pPr>
          </w:p>
        </w:tc>
      </w:tr>
      <w:tr>
        <w:trPr>
          <w:trHeight w:val="243"/>
        </w:trPr>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services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244,656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726,866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149,962</w:t>
            </w:r>
          </w:p>
        </w:tc>
        <w:tc>
          <w:tcPr>
            <w:tcW w:w="0" w:type="dxa"/>
            <w:vAlign w:val="bottom"/>
          </w:tcPr>
          <w:p>
            <w:pPr>
              <w:spacing w:after="0"/>
              <w:rPr>
                <w:sz w:val="1"/>
                <w:szCs w:val="1"/>
                <w:color w:val="auto"/>
              </w:rPr>
            </w:pPr>
          </w:p>
        </w:tc>
      </w:tr>
      <w:tr>
        <w:trPr>
          <w:trHeight w:val="243"/>
        </w:trPr>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123,920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25,954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Other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43"/>
        </w:trPr>
        <w:tc>
          <w:tcPr>
            <w:tcW w:w="3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80,528</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421,994</w:t>
            </w:r>
          </w:p>
        </w:tc>
        <w:tc>
          <w:tcPr>
            <w:tcW w:w="0" w:type="dxa"/>
            <w:vAlign w:val="bottom"/>
          </w:tcPr>
          <w:p>
            <w:pPr>
              <w:spacing w:after="0"/>
              <w:rPr>
                <w:sz w:val="1"/>
                <w:szCs w:val="1"/>
                <w:color w:val="auto"/>
              </w:rPr>
            </w:pPr>
          </w:p>
        </w:tc>
      </w:tr>
      <w:tr>
        <w:trPr>
          <w:trHeight w:val="635"/>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Year Ended September 30, 2017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Commercial &amp;</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Infrastructure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Times New Roman" w:cs="Times New Roman" w:eastAsia="Times New Roman" w:hAnsi="Times New Roman"/>
                <w:sz w:val="16"/>
                <w:szCs w:val="16"/>
                <w:color w:val="auto"/>
              </w:rPr>
              <w:t>Communications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Solutions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225,275</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810,744</w:t>
            </w:r>
          </w:p>
        </w:tc>
        <w:tc>
          <w:tcPr>
            <w:tcW w:w="0" w:type="dxa"/>
            <w:vAlign w:val="bottom"/>
          </w:tcPr>
          <w:p>
            <w:pPr>
              <w:spacing w:after="0"/>
              <w:rPr>
                <w:sz w:val="1"/>
                <w:szCs w:val="1"/>
                <w:color w:val="auto"/>
              </w:rPr>
            </w:pPr>
          </w:p>
        </w:tc>
      </w:tr>
      <w:tr>
        <w:trPr>
          <w:trHeight w:val="243"/>
        </w:trPr>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services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210,809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670,246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140,498</w:t>
            </w:r>
          </w:p>
        </w:tc>
        <w:tc>
          <w:tcPr>
            <w:tcW w:w="0" w:type="dxa"/>
            <w:vAlign w:val="bottom"/>
          </w:tcPr>
          <w:p>
            <w:pPr>
              <w:spacing w:after="0"/>
              <w:rPr>
                <w:sz w:val="1"/>
                <w:szCs w:val="1"/>
                <w:color w:val="auto"/>
              </w:rPr>
            </w:pPr>
          </w:p>
        </w:tc>
      </w:tr>
      <w:tr>
        <w:trPr>
          <w:trHeight w:val="243"/>
        </w:trPr>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120,370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3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20,342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Other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9,634</w:t>
            </w:r>
          </w:p>
        </w:tc>
        <w:tc>
          <w:tcPr>
            <w:tcW w:w="0" w:type="dxa"/>
            <w:vAlign w:val="bottom"/>
          </w:tcPr>
          <w:p>
            <w:pPr>
              <w:spacing w:after="0"/>
              <w:rPr>
                <w:sz w:val="1"/>
                <w:szCs w:val="1"/>
                <w:color w:val="auto"/>
              </w:rPr>
            </w:pPr>
          </w:p>
        </w:tc>
      </w:tr>
      <w:tr>
        <w:trPr>
          <w:trHeight w:val="243"/>
        </w:trPr>
        <w:tc>
          <w:tcPr>
            <w:tcW w:w="3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63,917</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106,114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117,713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424,494</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824,676 shares were available for issuance at September 30,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2015, our Board of Directors authorized a stock repurchase program for the purchase from time to time of up to 1.5 million shares of the Company’s common stock, and on May 2, 2019,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repurchased 467,819 shares of our common stock during the year ended September 30, 2019, in open market transactions at an average price of $17.34 per share.</w:t>
      </w:r>
    </w:p>
    <w:p>
      <w:pPr>
        <w:sectPr>
          <w:pgSz w:w="11900" w:h="16838" w:orient="portrait"/>
          <w:cols w:equalWidth="0" w:num="1">
            <w:col w:w="11420"/>
          </w:cols>
          <w:pgMar w:left="240" w:top="499"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99" w:right="239" w:bottom="1440" w:gutter="0" w:footer="0" w:header="0"/>
          <w:type w:val="continuous"/>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We repurchased 100,627 shares of our common stock during the year ended September 30, 2018, in open market transactions at an average price of $15.41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2019, we issued 216,679 shares of common stock from treasury and repurchased 97,003 shares of common stock from our employees to satisfy statutory tax withholding requirements upon the vesting of certain performance phantom stock units under the Equity Incentive Plan. We also repurchased 467,819 shares of common stock on the open market pursuant to our stock repurchase program. During the year ended September 30, 2019, we issued 1,923 unrestricted shares of common stock from treasury to members of our Board of Directors as part of their overall compensation and 22,500 unrestricted shares to satisfy the exercise of outstanding options. We also issued 283,195 shares out of treasury for restricted shares granted upon the appointment of the Company’s Chief Executive Officer in March 2019 (as described below).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2018, we repurchased 32,832 shares of common stock from our employees to satisfy minimum tax withholding requirements upon the vesting of restricted stock under the Equity Incentive Plan and repurchased 100,627 shares of common stock on the open market pursuant to our stock repurchase program. During the year ended September 30, 2018, we issued 520 unrestricted shares of common stock from treasury to members of our Board of Directors as part of their overall compensation and 1,500 unrestricted shares to satisfy the exercise of outstanding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September 30, 2019, 2018, and 2017, we recognized $776, $256, and $538, respectively, in compensation expense related to our restricted stock awards. At September 30, 2019, the unamortized compensation cost related to outstanding unvested restricted stock was $3,024. A summary of restricted stock awards for the years ended September 30, 2019, 2018, and 2017 is provided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Year Ended September 30,</w:t>
            </w:r>
          </w:p>
        </w:tc>
        <w:tc>
          <w:tcPr>
            <w:tcW w:w="15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18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1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140,668</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174,334</w:t>
            </w:r>
          </w:p>
        </w:tc>
      </w:tr>
      <w:tr>
        <w:trPr>
          <w:trHeight w:val="243"/>
        </w:trPr>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283,195</w:t>
            </w:r>
          </w:p>
        </w:tc>
        <w:tc>
          <w:tcPr>
            <w:tcW w:w="240" w:type="dxa"/>
            <w:vAlign w:val="bottom"/>
          </w:tcPr>
          <w:p>
            <w:pPr>
              <w:spacing w:after="0"/>
              <w:rPr>
                <w:sz w:val="21"/>
                <w:szCs w:val="21"/>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(140,668)</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r>
      <w:tr>
        <w:trPr>
          <w:trHeight w:val="243"/>
        </w:trPr>
        <w:tc>
          <w:tcPr>
            <w:tcW w:w="6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7"/>
        </w:trPr>
        <w:tc>
          <w:tcPr>
            <w:tcW w:w="61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at end of year</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283,195</w:t>
            </w: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140,668</w:t>
            </w:r>
          </w:p>
        </w:tc>
      </w:tr>
      <w:tr>
        <w:trPr>
          <w:trHeight w:val="20"/>
        </w:trPr>
        <w:tc>
          <w:tcPr>
            <w:tcW w:w="6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shares vesting during the years ended September 30, 2019, 2018, and 2017 was $0, $2,201 and $460, respectively. Fair value was calculated as the number of shares vested times the market price of shares on the date of vesting. At September 30, 2019, we had unvested restricted stock of $3,800. Vesting of this restricted stock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37" w:right="239" w:bottom="1440" w:gutter="0" w:footer="0" w:header="0"/>
        </w:sectPr>
      </w:pPr>
    </w:p>
    <w:bookmarkStart w:id="64" w:name="page65"/>
    <w:bookmarkEnd w:id="64"/>
    <w:p>
      <w:pPr>
        <w:ind w:left="500" w:right="220" w:hanging="451"/>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Award: 80,000 restricted shares vest over a four-year period ending March 4, 2023, based on continued employment with the Company, with 20,000 shares vesting each year.</w:t>
      </w:r>
    </w:p>
    <w:p>
      <w:pPr>
        <w:spacing w:after="0" w:line="323" w:lineRule="exact"/>
        <w:rPr>
          <w:rFonts w:ascii="Times New Roman" w:cs="Times New Roman" w:eastAsia="Times New Roman" w:hAnsi="Times New Roman"/>
          <w:sz w:val="18"/>
          <w:szCs w:val="18"/>
          <w:color w:val="auto"/>
        </w:rPr>
      </w:pPr>
    </w:p>
    <w:p>
      <w:pPr>
        <w:ind w:left="500" w:right="340" w:hanging="451"/>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Plan Award: Subject to a service requirement, 23,195 restricted shares vest contingent upon the Company achieving specified performance targets for the three-year period ending September 30, 2021.</w:t>
      </w:r>
    </w:p>
    <w:p>
      <w:pPr>
        <w:spacing w:after="0" w:line="323" w:lineRule="exact"/>
        <w:rPr>
          <w:rFonts w:ascii="Times New Roman" w:cs="Times New Roman" w:eastAsia="Times New Roman" w:hAnsi="Times New Roman"/>
          <w:sz w:val="18"/>
          <w:szCs w:val="18"/>
          <w:color w:val="auto"/>
        </w:rPr>
      </w:pPr>
    </w:p>
    <w:p>
      <w:pPr>
        <w:ind w:left="500" w:right="80" w:hanging="451"/>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Price-Based Awards: Subject to a service requirement, 180,000 restricted shares vest in four tranches when the closing price per share of the Company's common stock equals or exceeds the price specified below for such tranche for any 20 trading days out of 25 consecutive trading days (the "Vesting Stock Price") at any time during the five years ending March 4, 2024.</w:t>
      </w:r>
    </w:p>
    <w:p>
      <w:pPr>
        <w:spacing w:after="0" w:line="338"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60,000 shares with a Vesting Stock Price of $35 per share;</w:t>
      </w:r>
    </w:p>
    <w:p>
      <w:pPr>
        <w:spacing w:after="0" w:line="387"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40,000 shares with a Vesting Stock Price of $40 per share;</w:t>
      </w:r>
    </w:p>
    <w:p>
      <w:pPr>
        <w:spacing w:after="0" w:line="387"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40,000 shares with a Vesting Stock Price of $45 per share;</w:t>
      </w:r>
    </w:p>
    <w:p>
      <w:pPr>
        <w:spacing w:after="0" w:line="387"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40,000 shares with a Vesting Stock Price of $50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restricted shares granted under the Equity Incentive Plan (vested or unvested) participate in dividends issued to common shareholders,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Phantom Stock Units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Director phantom stock units (“Director PSUs”) are primarily granted to the members of the Board of Directors as part of their overall compensation. These Director PSUs are paid via unrestricted stock grants to each director upon their departure from the Board of Directors. We record compensation expense for the full value of the grant on the date of grant. For the years ended September 30, 2019, 2018, and 2017, we recognized $300, $189, and $167, respectively, in compensation expense related to these grants. At September 30, 2019, the Company had an aggregate of 210,386 Director PSUs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Phantom Stock Units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On February 6, 2019, the Company granted Employee PSUs, which, subject to the achievement of certain performance metrics, could result in the issuance of 264,815 shares of common stock. Of these Employee PSUs, 97,985 Employee PSUs were forfeited during the year ended September 30, 2019, and 3,991 Employee PSUs vested in conjunction with the departure of Company employees. As of September 30, 2019, a maximum of 162,840 shares of common stock may be issued under outstanding Employee PSUs.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2019, we recognized compensation expense of $1,151 related to these grants. The vesting of these awards is subject to either the achievement of specified levels of cumulative net income before taxes or specified stock price levels and continued performance of services through mid-December 2021, or based on continued performance through the vesting date alone. At September 30, 2019, redemption of a portion of the awards is deemed probable.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2018, we recognized a benefit to compensation expense of $581 related to Employee PSU grants. This benefit was the result of a reduction in the estimated number of units deemed probable of vesting, based on the projected achievement of specified performance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issue stock options during the years ended September 30, 2019, 2018 and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99"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 summarizes activity relating to options granted in the years ended September 30, 2013 and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7900" w:type="dxa"/>
            <w:vAlign w:val="bottom"/>
          </w:tcPr>
          <w:p>
            <w:pPr>
              <w:spacing w:after="0"/>
              <w:rPr>
                <w:sz w:val="20"/>
                <w:szCs w:val="20"/>
                <w:color w:val="auto"/>
              </w:rPr>
            </w:pP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7"/>
        </w:trPr>
        <w:tc>
          <w:tcPr>
            <w:tcW w:w="7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September 30, 2016</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r>
      <w:tr>
        <w:trPr>
          <w:trHeight w:val="20"/>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and canceled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September 30, 2017</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r>
      <w:tr>
        <w:trPr>
          <w:trHeight w:val="20"/>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and canceled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September 30, 2018</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20"/>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and canceled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September 30, 2019</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options outstanding and exercisable at September 30, 2019:</w:t>
      </w:r>
    </w:p>
    <w:p>
      <w:pPr>
        <w:spacing w:after="0" w:line="171" w:lineRule="exact"/>
        <w:rPr>
          <w:sz w:val="20"/>
          <w:szCs w:val="20"/>
          <w:color w:val="auto"/>
        </w:rPr>
      </w:pPr>
    </w:p>
    <w:tbl>
      <w:tblPr>
        <w:tblLayout w:type="fixed"/>
        <w:tblInd w:w="2780" w:type="dxa"/>
        <w:tblCellMar>
          <w:top w:w="0" w:type="dxa"/>
          <w:left w:w="0" w:type="dxa"/>
          <w:bottom w:w="0" w:type="dxa"/>
          <w:right w:w="0" w:type="dxa"/>
        </w:tblCellMar>
      </w:tblPr>
      <w:tr>
        <w:trPr>
          <w:trHeight w:val="216"/>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and</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Exercisable as of</w:t>
            </w:r>
          </w:p>
        </w:tc>
        <w:tc>
          <w:tcPr>
            <w:tcW w:w="1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Contractual Life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Weighted-Average</w:t>
            </w:r>
          </w:p>
        </w:tc>
      </w:tr>
      <w:tr>
        <w:trPr>
          <w:trHeight w:val="234"/>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30, 2019</w:t>
            </w:r>
          </w:p>
        </w:tc>
        <w:tc>
          <w:tcPr>
            <w:tcW w:w="120" w:type="dxa"/>
            <w:vAlign w:val="bottom"/>
          </w:tcPr>
          <w:p>
            <w:pPr>
              <w:spacing w:after="0"/>
              <w:rPr>
                <w:sz w:val="20"/>
                <w:szCs w:val="20"/>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in Years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Exercise Price</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$5.76</w:t>
            </w:r>
          </w:p>
        </w:tc>
      </w:tr>
      <w:tr>
        <w:trPr>
          <w:trHeight w:val="243"/>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5.29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$7.27</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w:t>
            </w:r>
          </w:p>
        </w:tc>
      </w:tr>
      <w:tr>
        <w:trPr>
          <w:trHeight w:val="237"/>
        </w:trPr>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$6.35</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2013 and 2015 options cliff vested at the end of a two year period ending at the anniversary date of the grant. All options expire ten years from the grant date if they are not exercised. Upon exercise of stock options, it is our policy to first issue shares from treasury, then issue new shares. Unexercised stock options expire May 2023, January 2025 and February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September 30, 2019, 2018, and 2017, we recognized zero, zero and $23, respectively, in compensation expense related to our stock option awards.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outstanding and exercisable was $254 and $292 at September 30, 2019, and 2018, respectively. The intrinsic value is calculated as the difference between the fair value as of the end of the period and the exercise price of the stock options.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a party to a sublease agreement with Tontine Associates, for corporate office space in Greenwich, Connecticut. The lease was renewed in November 2019, with monthly rent of approximately $8. Payments by the Company are at a rate consistent with that paid by Tontine Associates to its landlord. See Note 3, “Controlling Shareholder” for additional information regarding Tontine.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$2,144, $1,895, and $1,157 in matching expenses in fiscal years 2019, 2018, and 2017, respectively.</w:t>
      </w:r>
    </w:p>
    <w:p>
      <w:pPr>
        <w:sectPr>
          <w:pgSz w:w="11900" w:h="16838" w:orient="portrait"/>
          <w:cols w:equalWidth="0" w:num="1">
            <w:col w:w="11420"/>
          </w:cols>
          <w:pgMar w:left="240" w:top="337"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337" w:right="2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Executive Savings Plan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2019, 2018, or 2017 was deferred under this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 Retirement Benefit Plans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individuals at one of the Company’s locations are entitled to receive fixed annual payments that reach a maximum amount, as specified in the related agreements, for a ten year period following retirement or, in some cases, the attainment of 62 years of age. We recognize the unfunded status of the plan in accrued expenses and other non-current liabilities in our Consolidated Balance Sheet. Benefits vest 50% after ten years of service, which increases by 10% per annum until benefits are fully vested after 15 years of service. We had an unfunded benefit liability of $738 and $755 recorded as of September 30, 2019 and 2018, respectively. We recognized compensation expense related to these agreements of $42, zero and zero during the years ended September 30, 2019, 2018, and 2017,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Infrastructure Solutions segment participates in a multiemployer direct benefit pension plan for employees covered under our collective bargaining agreement. We do not administer the plan. We do not significantly participate in this plan. As of December 31, 2018, this plan was funded at 83.27%.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September 30, 2019 and 2018, are summarized in the following tables by the type of inputs applicable to the fair value measurements: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Total 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savings plan assets</w:t>
            </w:r>
          </w:p>
        </w:tc>
        <w:tc>
          <w:tcPr>
            <w:tcW w:w="3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savings plan liabilities</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3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4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5"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Total 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(Level 3)</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savings plan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savings plan liabilities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fiscal years 2016, 2017, and 2018, we entered into contingent consideration arrangements related to certain acquisitions. Please see Note 19, “Business Combinations” for further discussion. At September 30, 2019, we estimated the fair value of these contingent consideration liabilities at $11. The table below presents a reconciliation of the fair value of these obligations, which used significant unobservable inputs (Level 3).</w:t>
      </w:r>
    </w:p>
    <w:p>
      <w:pPr>
        <w:spacing w:after="0" w:line="12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Contingent Consideration</w:t>
            </w:r>
          </w:p>
        </w:tc>
      </w:tr>
      <w:tr>
        <w:trPr>
          <w:trHeight w:val="234"/>
        </w:trPr>
        <w:tc>
          <w:tcPr>
            <w:tcW w:w="5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Agreement</w:t>
            </w:r>
          </w:p>
        </w:tc>
      </w:tr>
      <w:tr>
        <w:trPr>
          <w:trHeight w:val="27"/>
        </w:trPr>
        <w:tc>
          <w:tcPr>
            <w:tcW w:w="5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September 30,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5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adjustments to fair value</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57"/>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at September 30, 2019</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the inputs used to value the assets summarized in the preceding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Inputs represent unadjusted quoted prices for identical assets exchanged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INVENTORY</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Pr>
          <w:p>
            <w:pPr>
              <w:spacing w:after="0"/>
              <w:rPr>
                <w:sz w:val="21"/>
                <w:szCs w:val="21"/>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2"/>
                <w:szCs w:val="22"/>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6"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17. GOODWILL AND INTANGIBLE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changes in the carrying value of goodwill by segment for the years ended September 30, 2019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Commercial &amp;</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Infrastructure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Industrial</w:t>
            </w:r>
          </w:p>
        </w:tc>
        <w:tc>
          <w:tcPr>
            <w:tcW w:w="14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Solutions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46,693</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(Note 19)</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4,240</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30,931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50,702</w:t>
            </w:r>
          </w:p>
        </w:tc>
      </w:tr>
      <w:tr>
        <w:trPr>
          <w:trHeight w:val="27"/>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Divestitures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50,622</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results of our annual impairment assessment, the fair value of our each of our four segments exceeded the book value at September 30, 2019, and warranted no impairment.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48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Estimated Useful</w:t>
            </w:r>
          </w:p>
        </w:tc>
        <w:tc>
          <w:tcPr>
            <w:tcW w:w="2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 Carrying</w:t>
            </w: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Lives (in Years)</w:t>
            </w:r>
          </w:p>
        </w:tc>
        <w:tc>
          <w:tcPr>
            <w:tcW w:w="20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40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Net</w:t>
            </w: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Trademarks/trade names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3,817</w:t>
            </w:r>
          </w:p>
        </w:tc>
      </w:tr>
      <w:tr>
        <w:trPr>
          <w:trHeight w:val="243"/>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Technical library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6 - 15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22,488</w:t>
            </w:r>
          </w:p>
        </w:tc>
      </w:tr>
      <w:tr>
        <w:trPr>
          <w:trHeight w:val="243"/>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Non-competition arrangements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Backlog and construction contracts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26,623</w:t>
            </w:r>
          </w:p>
        </w:tc>
      </w:tr>
      <w:tr>
        <w:trPr>
          <w:trHeight w:val="20"/>
        </w:trPr>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2"/>
        </w:trPr>
        <w:tc>
          <w:tcPr>
            <w:tcW w:w="4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48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Estimated Useful</w:t>
            </w:r>
          </w:p>
        </w:tc>
        <w:tc>
          <w:tcPr>
            <w:tcW w:w="2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 Carrying</w:t>
            </w: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Lives (in Years)</w:t>
            </w:r>
          </w:p>
        </w:tc>
        <w:tc>
          <w:tcPr>
            <w:tcW w:w="20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40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Net</w:t>
            </w:r>
          </w:p>
        </w:tc>
      </w:tr>
      <w:tr>
        <w:trPr>
          <w:trHeight w:val="27"/>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Trademarks/trade names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4,253</w:t>
            </w:r>
          </w:p>
        </w:tc>
      </w:tr>
      <w:tr>
        <w:trPr>
          <w:trHeight w:val="243"/>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Technical library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6 - 15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25,669</w:t>
            </w:r>
          </w:p>
        </w:tc>
      </w:tr>
      <w:tr>
        <w:trPr>
          <w:trHeight w:val="243"/>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Non-competition arrangements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Backlog and construction contracts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r>
      <w:tr>
        <w:trPr>
          <w:trHeight w:val="257"/>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41,625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30,590</w:t>
            </w:r>
          </w:p>
        </w:tc>
      </w:tr>
      <w:tr>
        <w:trPr>
          <w:trHeight w:val="20"/>
        </w:trPr>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September 30, 2019, 2018, and 2017, amortization expense of intangible assets was $3,950, $4,101 and $5,766, respectively. The weighted average useful life of our intangible assets at September 30, 2019, was 9.3 years. Our estimated future amortization expense for years ended September 30 is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333" w:right="239" w:bottom="1440" w:gutter="0" w:footer="0" w:header="0"/>
        </w:sectPr>
      </w:pPr>
    </w:p>
    <w:bookmarkStart w:id="69" w:name="page70"/>
    <w:bookmarkEnd w:id="69"/>
    <w:tbl>
      <w:tblPr>
        <w:tblLayout w:type="fixed"/>
        <w:tblInd w:w="37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Year Ended September 30,</w:t>
            </w:r>
          </w:p>
        </w:tc>
        <w:tc>
          <w:tcPr>
            <w:tcW w:w="780" w:type="dxa"/>
            <w:vAlign w:val="bottom"/>
          </w:tcPr>
          <w:p>
            <w:pPr>
              <w:spacing w:after="0"/>
              <w:rPr>
                <w:sz w:val="20"/>
                <w:szCs w:val="20"/>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22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43"/>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7"/>
        </w:trPr>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r>
        <w:trPr>
          <w:trHeight w:val="243"/>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7"/>
        </w:trPr>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43"/>
        </w:trPr>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w:t>
            </w:r>
          </w:p>
        </w:tc>
      </w:tr>
      <w:tr>
        <w:trPr>
          <w:trHeight w:val="27"/>
        </w:trPr>
        <w:tc>
          <w:tcPr>
            <w:tcW w:w="9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As of September 30, 2019, we did not have any significant outstanding legal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Risk-Management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2019 and 2018, we had $6,683 and $6,202, respectively, accrued for self-insurance liabilities. We are also subject to construction defect liabilities, primarily within our Residential segment. As of September 30, 2019 and 2018, we had $90 and $171,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2019, $6,268 of our outstanding letters of credit was utilized to collateralize our insurance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2019, the estimated cost to complete our bonded projects was approximately $88,698.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September 30, 2019, $200 of our outstanding letters of credit were to collateralize our vendors.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2019, we had no such significant commitments.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99"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19. BUSINESS COMBINATIONS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completed two acquisitions in the year ended September 30, 2018, for a total aggregate consideration of $7,413, which includes cash consideration paid at closing of $7,091, cash consideration paid subsequent to closing of $125, cash consideration payable in the next fiscal year of $15, and contingent consideration payable in July 2019 and 2020 with aggregate acquisition date fair value estimated at $182.</w:t>
      </w:r>
    </w:p>
    <w:p>
      <w:pPr>
        <w:spacing w:after="0" w:line="176" w:lineRule="exact"/>
        <w:rPr>
          <w:sz w:val="20"/>
          <w:szCs w:val="20"/>
          <w:color w:val="auto"/>
        </w:rPr>
      </w:pPr>
    </w:p>
    <w:p>
      <w:pPr>
        <w:ind w:left="660" w:right="28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Azimuth Communications, Inc. (“Azimuth”) – On April 6, 2018, the Company’s Communications segment acquired all of the outstanding capital stock of Azimuth, a Portland, Oregon-based provider of design and integration services for structured cabling, physical security, access control systems, distributed antenna systems, wireless access, and audio visual systems. The acquisition of Azimuth has accelerated our Communications segment's expansion into the Pacific Northwest market, which the Company believes to be an attractive market.</w:t>
      </w:r>
    </w:p>
    <w:p>
      <w:pPr>
        <w:spacing w:after="0" w:line="18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Contractors North, Inc. ("ECNI") – On July 31, 2018, the Company’s Residential segment acquired substantially all of the assets of ECNI, a Salt Lake City, Utah-based provider of electrical contracting for multi-family residential and hotel construction. We believe the acquisition of ECNI furthers our Residential segment’s growth strategy by providing a foothold in the Salt Lake City market.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accounted for these fiscal 2018 transactions under the acquisition method of accounting, which requires recording assets and liabilities at fair value (Level 3). The valuation of the assets and liabilities assumed for our fiscal 2018 acquisitions as of the acquisition dates is as follows:</w:t>
      </w:r>
    </w:p>
    <w:p>
      <w:pPr>
        <w:spacing w:after="0" w:line="99" w:lineRule="exact"/>
        <w:rPr>
          <w:sz w:val="20"/>
          <w:szCs w:val="20"/>
          <w:color w:val="auto"/>
        </w:rPr>
      </w:pPr>
    </w:p>
    <w:tbl>
      <w:tblPr>
        <w:tblLayout w:type="fixed"/>
        <w:tblInd w:w="2440" w:type="dxa"/>
        <w:tblCellMar>
          <w:top w:w="0" w:type="dxa"/>
          <w:left w:w="0" w:type="dxa"/>
          <w:bottom w:w="0" w:type="dxa"/>
          <w:right w:w="0" w:type="dxa"/>
        </w:tblCellMar>
      </w:tblP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
        </w:trPr>
        <w:tc>
          <w:tcPr>
            <w:tcW w:w="5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(primarily customer relationships)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7"/>
        </w:trPr>
        <w:tc>
          <w:tcPr>
            <w:tcW w:w="5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57"/>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w:t>
            </w:r>
          </w:p>
        </w:tc>
      </w:tr>
      <w:tr>
        <w:trPr>
          <w:trHeight w:val="20"/>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regard to goodwill, the balance is attributable to the workforce of the acquired business and other intangibles that do not qualify for separate recognition.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Azimuth and ECNI acquisitions, we acquired aggregate goodwill of $4,164, of which $1,448 is tax deductible.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QUARTERLY RESULTS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financial information for the years ended September 30, 2019 and 2018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Year Ended September 30, 2019</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First</w:t>
            </w:r>
          </w:p>
        </w:tc>
        <w:tc>
          <w:tcPr>
            <w:tcW w:w="14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Second</w:t>
            </w:r>
          </w:p>
        </w:tc>
        <w:tc>
          <w:tcPr>
            <w:tcW w:w="2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Third</w:t>
            </w:r>
          </w:p>
        </w:tc>
        <w:tc>
          <w:tcPr>
            <w:tcW w:w="24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Fourth</w:t>
            </w:r>
          </w:p>
        </w:tc>
      </w:tr>
      <w:tr>
        <w:trPr>
          <w:trHeight w:val="270"/>
        </w:trPr>
        <w:tc>
          <w:tcPr>
            <w:tcW w:w="4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Quarter</w:t>
            </w:r>
          </w:p>
        </w:tc>
        <w:tc>
          <w:tcPr>
            <w:tcW w:w="140" w:type="dxa"/>
            <w:vAlign w:val="bottom"/>
          </w:tcPr>
          <w:p>
            <w:pPr>
              <w:spacing w:after="0"/>
              <w:rPr>
                <w:sz w:val="23"/>
                <w:szCs w:val="23"/>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293,607</w:t>
            </w:r>
          </w:p>
        </w:tc>
      </w:tr>
      <w:tr>
        <w:trPr>
          <w:trHeight w:val="243"/>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50,870</w:t>
            </w:r>
          </w:p>
        </w:tc>
      </w:tr>
      <w:tr>
        <w:trPr>
          <w:trHeight w:val="27"/>
        </w:trPr>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r>
      <w:tr>
        <w:trPr>
          <w:trHeight w:val="284"/>
        </w:trPr>
        <w:tc>
          <w:tcPr>
            <w:tcW w:w="4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(loss) per share:</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r>
      <w:tr>
        <w:trPr>
          <w:trHeight w:val="864"/>
        </w:trPr>
        <w:tc>
          <w:tcPr>
            <w:tcW w:w="470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Year Ended September 30, 2018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First</w:t>
            </w:r>
          </w:p>
        </w:tc>
        <w:tc>
          <w:tcPr>
            <w:tcW w:w="14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Second</w:t>
            </w:r>
          </w:p>
        </w:tc>
        <w:tc>
          <w:tcPr>
            <w:tcW w:w="2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Third</w:t>
            </w:r>
          </w:p>
        </w:tc>
        <w:tc>
          <w:tcPr>
            <w:tcW w:w="24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Fourth</w:t>
            </w:r>
          </w:p>
        </w:tc>
      </w:tr>
      <w:tr>
        <w:trPr>
          <w:trHeight w:val="270"/>
        </w:trPr>
        <w:tc>
          <w:tcPr>
            <w:tcW w:w="6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Quarter</w:t>
            </w:r>
          </w:p>
        </w:tc>
        <w:tc>
          <w:tcPr>
            <w:tcW w:w="140" w:type="dxa"/>
            <w:vAlign w:val="bottom"/>
          </w:tcPr>
          <w:p>
            <w:pPr>
              <w:spacing w:after="0"/>
              <w:rPr>
                <w:sz w:val="23"/>
                <w:szCs w:val="23"/>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Quarter</w:t>
            </w:r>
          </w:p>
        </w:tc>
        <w:tc>
          <w:tcPr>
            <w:tcW w:w="2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Quarter</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240,275</w:t>
            </w:r>
          </w:p>
        </w:tc>
      </w:tr>
      <w:tr>
        <w:trPr>
          <w:trHeight w:val="243"/>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IES Holdings,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4,675</w:t>
            </w:r>
          </w:p>
        </w:tc>
      </w:tr>
      <w:tr>
        <w:trPr>
          <w:trHeight w:val="2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 of the individual quarterly earnings per share amounts may not agree with year-to-date earnings per share as each period’s computation is based on the weighted average number of shares outstanding during the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99"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 and 15d-15 under the Exchange Act) during the fiscal quarter ended September 30, 2019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2019,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2019.</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that has audited the Company’s financial statements as of and for the three-year period ended September 30, 2019, has issued a report on their audit of management’s internal control over financial reporting, which is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33"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to be included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2020 Annual Meeting of Stockholders (the “Proxy Statement”) to be filed with the SEC no later than January 28, 2020.</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to be included in Item 11 of Part III of this Annual Report on Form 10-K is incorporated by reference from the section entitled “Executive Compensation” in the Proxy Statement.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Stockholders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to be included in Item 12 of Part III of this Annual Report on Form 10-K is incorporated by reference from the section entitled “Security Ownership of Certain Beneficial Owners and Management”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September 30, 2019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 set forth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4"/>
          </w:tcPr>
          <w:p>
            <w:pPr>
              <w:ind w:left="4300"/>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0"/>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 Number of Securities</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 Available for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 Number of</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Future Issuance Under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Securities to be Issued</w:t>
            </w: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(b) Weighted-Average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Upon Exercise of</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Exercise Price of</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Plans (Excluding</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4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 Reflected in</w:t>
            </w:r>
          </w:p>
        </w:tc>
      </w:tr>
      <w:tr>
        <w:trPr>
          <w:trHeight w:val="234"/>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 Category</w:t>
            </w: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Column (a))</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5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162,840</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0"/>
              <w:spacing w:after="0" w:line="264" w:lineRule="exact"/>
              <w:rPr>
                <w:sz w:val="20"/>
                <w:szCs w:val="20"/>
                <w:color w:val="auto"/>
              </w:rPr>
            </w:pPr>
            <w:r>
              <w:rPr>
                <w:rFonts w:ascii="Times New Roman" w:cs="Times New Roman" w:eastAsia="Times New Roman" w:hAnsi="Times New Roman"/>
                <w:sz w:val="18"/>
                <w:szCs w:val="18"/>
                <w:color w:val="auto"/>
              </w:rPr>
              <w:t xml:space="preserve">824,676 </w:t>
            </w:r>
            <w:r>
              <w:rPr>
                <w:rFonts w:ascii="Times New Roman" w:cs="Times New Roman" w:eastAsia="Times New Roman" w:hAnsi="Times New Roman"/>
                <w:sz w:val="25"/>
                <w:szCs w:val="25"/>
                <w:color w:val="auto"/>
                <w:vertAlign w:val="superscript"/>
              </w:rPr>
              <w:t>(1)</w:t>
            </w: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21,750  </w:t>
            </w:r>
            <w:r>
              <w:rPr>
                <w:rFonts w:ascii="Times New Roman" w:cs="Times New Roman" w:eastAsia="Times New Roman" w:hAnsi="Times New Roman"/>
                <w:sz w:val="16"/>
                <w:szCs w:val="16"/>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jc w:val="both"/>
        <w:ind w:right="100" w:firstLine="8"/>
        <w:spacing w:after="0" w:line="258" w:lineRule="auto"/>
        <w:tabs>
          <w:tab w:leader="none" w:pos="2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includes 162,840 shares that may be issued pursuant to outstanding performance based phantom stock units ("PPSUs") based on achievement of performance metrics, where applicable, and otherwise assuming the target award is met.</w:t>
      </w:r>
    </w:p>
    <w:p>
      <w:pPr>
        <w:spacing w:after="0" w:line="19" w:lineRule="exact"/>
        <w:rPr>
          <w:rFonts w:ascii="Times New Roman" w:cs="Times New Roman" w:eastAsia="Times New Roman" w:hAnsi="Times New Roman"/>
          <w:sz w:val="16"/>
          <w:szCs w:val="16"/>
          <w:color w:val="auto"/>
        </w:rPr>
      </w:pPr>
    </w:p>
    <w:p>
      <w:pPr>
        <w:ind w:right="220" w:firstLine="8"/>
        <w:spacing w:after="0" w:line="281" w:lineRule="auto"/>
        <w:tabs>
          <w:tab w:leader="none" w:pos="23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issuable upon exercise of outstanding options granted under the Company’s 2006 Equity Incentive Plan (as amended and restated as of October 2007), which was in place prior to the Amended Plan. This includes 21,750 options with a weighted-average term of 4.29 years.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to be included in Item 13 of Part III of this Annual Report on Form 10-K is incorporated by reference from the section entitled “Certain Relationships and Related Person Transactions” in the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333"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to be included in Item 14 of Part III of this Form 10-K is incorporated by reference from the section entitled “Audit Fees” in the Proxy Statement.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Financial Statements and Supplementary Data, Financial Statement Schedules and Exhibits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See Index to Financial Statements under Item 8. “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227"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420"/>
          </w:cols>
          <w:pgMar w:left="240" w:top="766" w:right="239" w:bottom="1440" w:gutter="0" w:footer="0" w:header="0"/>
        </w:sectPr>
      </w:pP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u w:val="single" w:color="auto"/>
          <w:color w:val="auto"/>
        </w:rPr>
        <w:t>No.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176530</wp:posOffset>
            </wp:positionV>
            <wp:extent cx="6405880" cy="72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05880" cy="720090"/>
                    </a:xfrm>
                    <a:prstGeom prst="rect">
                      <a:avLst/>
                    </a:prstGeom>
                    <a:noFill/>
                  </pic:spPr>
                </pic:pic>
              </a:graphicData>
            </a:graphic>
          </wp:anchor>
        </w:drawing>
      </w:r>
    </w:p>
    <w:p>
      <w:pPr>
        <w:spacing w:after="0" w:line="266" w:lineRule="exact"/>
        <w:rPr>
          <w:sz w:val="20"/>
          <w:szCs w:val="20"/>
          <w:color w:val="auto"/>
        </w:rPr>
      </w:pPr>
    </w:p>
    <w:p>
      <w:pPr>
        <w:jc w:val="both"/>
        <w:ind w:left="460" w:right="1360" w:hanging="458"/>
        <w:spacing w:after="0" w:line="25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2.1 — </w:t>
      </w:r>
      <w:hyperlink r:id="rId44">
        <w:r>
          <w:rPr>
            <w:rFonts w:ascii="Times New Roman" w:cs="Times New Roman" w:eastAsia="Times New Roman" w:hAnsi="Times New Roman"/>
            <w:sz w:val="18"/>
            <w:szCs w:val="18"/>
            <w:u w:val="single" w:color="auto"/>
            <w:color w:val="0000FF"/>
          </w:rPr>
          <w:t>Agreement and Plan of Merger effective as of March 13, 2013, by and among Integrated Electrical Services, Inc.</w:t>
        </w:r>
      </w:hyperlink>
      <w:r>
        <w:rPr>
          <w:rFonts w:ascii="Times New Roman" w:cs="Times New Roman" w:eastAsia="Times New Roman" w:hAnsi="Times New Roman"/>
          <w:sz w:val="16"/>
          <w:szCs w:val="16"/>
          <w:color w:val="auto"/>
        </w:rPr>
        <w:t xml:space="preserve"> </w:t>
      </w:r>
      <w:hyperlink r:id="rId44">
        <w:r>
          <w:rPr>
            <w:rFonts w:ascii="Times New Roman" w:cs="Times New Roman" w:eastAsia="Times New Roman" w:hAnsi="Times New Roman"/>
            <w:sz w:val="18"/>
            <w:szCs w:val="18"/>
            <w:u w:val="single" w:color="auto"/>
            <w:color w:val="0000FF"/>
          </w:rPr>
          <w:t>(n/k/a IES Holdings, Inc.), IES Subsidiary Holdings, Inc. and MISCOR Group, Ltd. (Attached as part of Annex A to</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the joint proxy statement/prospectus that is part of Amendment No. 4 to the Company's Registration Statement on</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Form S-4 filed on August 5, 2013) (the schedules and annexes have been omitted pursuant to Item 601(b)(2) of</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Regulation S-K)</w:t>
        </w:r>
      </w:hyperlink>
    </w:p>
    <w:p>
      <w:pPr>
        <w:spacing w:after="0" w:line="22" w:lineRule="exact"/>
        <w:rPr>
          <w:rFonts w:ascii="Times New Roman" w:cs="Times New Roman" w:eastAsia="Times New Roman" w:hAnsi="Times New Roman"/>
          <w:sz w:val="18"/>
          <w:szCs w:val="18"/>
          <w:u w:val="single" w:color="auto"/>
          <w:color w:val="0000FF"/>
        </w:rPr>
      </w:pPr>
    </w:p>
    <w:p>
      <w:pPr>
        <w:jc w:val="both"/>
        <w:ind w:left="460" w:right="1360" w:hanging="458"/>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2.2 — </w:t>
      </w:r>
      <w:hyperlink r:id="rId45">
        <w:r>
          <w:rPr>
            <w:rFonts w:ascii="Times New Roman" w:cs="Times New Roman" w:eastAsia="Times New Roman" w:hAnsi="Times New Roman"/>
            <w:sz w:val="18"/>
            <w:szCs w:val="18"/>
            <w:u w:val="single" w:color="auto"/>
            <w:color w:val="0000FF"/>
          </w:rPr>
          <w:t>First Amendment to Agreement and Plan of Merger, dated as of July 10, 2013, by and among Integrated Electrical</w:t>
        </w:r>
      </w:hyperlink>
      <w:r>
        <w:rPr>
          <w:rFonts w:ascii="Times New Roman" w:cs="Times New Roman" w:eastAsia="Times New Roman" w:hAnsi="Times New Roman"/>
          <w:sz w:val="16"/>
          <w:szCs w:val="16"/>
          <w:color w:val="auto"/>
        </w:rPr>
        <w:t xml:space="preserve"> </w:t>
      </w:r>
      <w:hyperlink r:id="rId45">
        <w:r>
          <w:rPr>
            <w:rFonts w:ascii="Times New Roman" w:cs="Times New Roman" w:eastAsia="Times New Roman" w:hAnsi="Times New Roman"/>
            <w:sz w:val="18"/>
            <w:szCs w:val="18"/>
            <w:u w:val="single" w:color="auto"/>
            <w:color w:val="0000FF"/>
          </w:rPr>
          <w:t>Services, Inc. (n/k/a IES Holdings, Inc.), IES Subsidiary Holdings, Inc. and MISCOR Group, Ltd. (Attached as part</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of Annex A to the joint proxy statement/prospectus that is part of Amendment No. 4 to the Company's Registration</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Statement on Form S-4 filed on August 5, 2013)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640588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460" w:right="1360" w:hanging="45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2.3 — </w:t>
      </w:r>
      <w:hyperlink r:id="rId47">
        <w:r>
          <w:rPr>
            <w:rFonts w:ascii="Times New Roman" w:cs="Times New Roman" w:eastAsia="Times New Roman" w:hAnsi="Times New Roman"/>
            <w:sz w:val="18"/>
            <w:szCs w:val="18"/>
            <w:u w:val="single" w:color="auto"/>
            <w:color w:val="0000FF"/>
          </w:rPr>
          <w:t>Stock Purchase Agreement dated as of June 1, 2016, by and among IES Infrastructure Solutions, LLC, IES</w:t>
        </w:r>
      </w:hyperlink>
      <w:r>
        <w:rPr>
          <w:rFonts w:ascii="Times New Roman" w:cs="Times New Roman" w:eastAsia="Times New Roman" w:hAnsi="Times New Roman"/>
          <w:sz w:val="16"/>
          <w:szCs w:val="16"/>
          <w:color w:val="auto"/>
        </w:rPr>
        <w:t xml:space="preserve"> </w:t>
      </w:r>
      <w:hyperlink r:id="rId47">
        <w:r>
          <w:rPr>
            <w:rFonts w:ascii="Times New Roman" w:cs="Times New Roman" w:eastAsia="Times New Roman" w:hAnsi="Times New Roman"/>
            <w:sz w:val="18"/>
            <w:szCs w:val="18"/>
            <w:u w:val="single" w:color="auto"/>
            <w:color w:val="0000FF"/>
          </w:rPr>
          <w:t>Holdings, Inc., Technibus, Inc. and Technibus, LLC. (Incorporated by reference to Exhibit 2.1 to the Company’s</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Current Report on Form 8-K filed June 15, 2016)</w:t>
        </w:r>
      </w:hyperlink>
    </w:p>
    <w:p>
      <w:pPr>
        <w:spacing w:after="0" w:line="14" w:lineRule="exact"/>
        <w:rPr>
          <w:rFonts w:ascii="Times New Roman" w:cs="Times New Roman" w:eastAsia="Times New Roman" w:hAnsi="Times New Roman"/>
          <w:sz w:val="16"/>
          <w:szCs w:val="16"/>
          <w:color w:val="auto"/>
        </w:rPr>
      </w:pPr>
    </w:p>
    <w:p>
      <w:pPr>
        <w:jc w:val="both"/>
        <w:ind w:left="460" w:right="1360" w:hanging="45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3.1 — </w:t>
      </w:r>
      <w:hyperlink r:id="rId48">
        <w:r>
          <w:rPr>
            <w:rFonts w:ascii="Times New Roman" w:cs="Times New Roman" w:eastAsia="Times New Roman" w:hAnsi="Times New Roman"/>
            <w:sz w:val="18"/>
            <w:szCs w:val="18"/>
            <w:u w:val="single" w:color="auto"/>
            <w:color w:val="0000FF"/>
          </w:rPr>
          <w:t>Second Amended and Restated Certificate of Incorporation of IES Holdings, Inc., as amended by the Certificate of</w:t>
        </w:r>
      </w:hyperlink>
      <w:r>
        <w:rPr>
          <w:rFonts w:ascii="Times New Roman" w:cs="Times New Roman" w:eastAsia="Times New Roman" w:hAnsi="Times New Roman"/>
          <w:sz w:val="16"/>
          <w:szCs w:val="16"/>
          <w:color w:val="auto"/>
        </w:rPr>
        <w:t xml:space="preserve"> </w:t>
      </w:r>
      <w:hyperlink r:id="rId48">
        <w:r>
          <w:rPr>
            <w:rFonts w:ascii="Times New Roman" w:cs="Times New Roman" w:eastAsia="Times New Roman" w:hAnsi="Times New Roman"/>
            <w:sz w:val="18"/>
            <w:szCs w:val="18"/>
            <w:u w:val="single" w:color="auto"/>
            <w:color w:val="0000FF"/>
          </w:rPr>
          <w:t>Amendment thereto, effective May 24, 2016 (composite).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Company’s Quarterly Report on Form 10-Q filed August 8, 2016)</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-756285</wp:posOffset>
            </wp:positionH>
            <wp:positionV relativeFrom="paragraph">
              <wp:posOffset>3175</wp:posOffset>
            </wp:positionV>
            <wp:extent cx="640588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 — </w:t>
      </w:r>
      <w:hyperlink r:id="rId50">
        <w:r>
          <w:rPr>
            <w:rFonts w:ascii="Times New Roman" w:cs="Times New Roman" w:eastAsia="Times New Roman" w:hAnsi="Times New Roman"/>
            <w:sz w:val="18"/>
            <w:szCs w:val="18"/>
            <w:u w:val="single" w:color="auto"/>
            <w:color w:val="0000FF"/>
          </w:rPr>
          <w:t>Certificate of Designations of Series A Junior Participating Preferred Stock (Incorporated by reference to Exhibit</w:t>
        </w:r>
      </w:hyperlink>
    </w:p>
    <w:p>
      <w:pPr>
        <w:spacing w:after="0" w:line="27"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3.1 to the Company’s Current Report on Form 8-K filed January 28, 2013)</w:t>
        </w:r>
      </w:hyperlink>
    </w:p>
    <w:p>
      <w:pPr>
        <w:spacing w:after="0" w:line="45" w:lineRule="exact"/>
        <w:rPr>
          <w:rFonts w:ascii="Times New Roman" w:cs="Times New Roman" w:eastAsia="Times New Roman" w:hAnsi="Times New Roman"/>
          <w:sz w:val="16"/>
          <w:szCs w:val="16"/>
          <w:color w:val="auto"/>
        </w:rPr>
      </w:pPr>
    </w:p>
    <w:p>
      <w:pPr>
        <w:jc w:val="both"/>
        <w:ind w:left="460" w:right="1360" w:hanging="458"/>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3.3 — </w:t>
      </w:r>
      <w:hyperlink r:id="rId51">
        <w:r>
          <w:rPr>
            <w:rFonts w:ascii="Times New Roman" w:cs="Times New Roman" w:eastAsia="Times New Roman" w:hAnsi="Times New Roman"/>
            <w:sz w:val="18"/>
            <w:szCs w:val="18"/>
            <w:u w:val="single" w:color="auto"/>
            <w:color w:val="0000FF"/>
          </w:rPr>
          <w:t>Amended and Restated Bylaws of IES Holdings, Inc., effective November 6, 2019 (Incorporated by reference to</w:t>
        </w:r>
      </w:hyperlink>
      <w:r>
        <w:rPr>
          <w:rFonts w:ascii="Times New Roman" w:cs="Times New Roman" w:eastAsia="Times New Roman" w:hAnsi="Times New Roman"/>
          <w:sz w:val="16"/>
          <w:szCs w:val="16"/>
          <w:color w:val="auto"/>
        </w:rPr>
        <w:t xml:space="preserve"> </w:t>
      </w:r>
      <w:hyperlink r:id="rId51">
        <w:r>
          <w:rPr>
            <w:rFonts w:ascii="Times New Roman" w:cs="Times New Roman" w:eastAsia="Times New Roman" w:hAnsi="Times New Roman"/>
            <w:sz w:val="18"/>
            <w:szCs w:val="18"/>
            <w:u w:val="single" w:color="auto"/>
            <w:color w:val="0000FF"/>
          </w:rPr>
          <w:t>Exhibit 3.1 to the Company's Current Report on Form 8-K filed on November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wp:posOffset>
            </wp:positionV>
            <wp:extent cx="640588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jc w:val="both"/>
        <w:ind w:left="460" w:right="1360" w:hanging="458"/>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4.1 — </w:t>
      </w:r>
      <w:hyperlink r:id="rId53">
        <w:r>
          <w:rPr>
            <w:rFonts w:ascii="Times New Roman" w:cs="Times New Roman" w:eastAsia="Times New Roman" w:hAnsi="Times New Roman"/>
            <w:sz w:val="18"/>
            <w:szCs w:val="18"/>
            <w:u w:val="single" w:color="auto"/>
            <w:color w:val="0000FF"/>
          </w:rPr>
          <w:t>Specimen common stock certificate. (Incorporated by reference to Exhibit 4.1 to the Company's Annual Report on</w:t>
        </w:r>
      </w:hyperlink>
      <w:r>
        <w:rPr>
          <w:rFonts w:ascii="Times New Roman" w:cs="Times New Roman" w:eastAsia="Times New Roman" w:hAnsi="Times New Roman"/>
          <w:sz w:val="16"/>
          <w:szCs w:val="16"/>
          <w:color w:val="auto"/>
        </w:rPr>
        <w:t xml:space="preserve"> </w:t>
      </w:r>
      <w:hyperlink r:id="rId53">
        <w:r>
          <w:rPr>
            <w:rFonts w:ascii="Times New Roman" w:cs="Times New Roman" w:eastAsia="Times New Roman" w:hAnsi="Times New Roman"/>
            <w:sz w:val="18"/>
            <w:szCs w:val="18"/>
            <w:u w:val="single" w:color="auto"/>
            <w:color w:val="0000FF"/>
          </w:rPr>
          <w:t>Form 10-K filed December 9, 2016)</w:t>
        </w:r>
      </w:hyperlink>
    </w:p>
    <w:p>
      <w:pPr>
        <w:spacing w:after="0" w:line="2" w:lineRule="exact"/>
        <w:rPr>
          <w:sz w:val="20"/>
          <w:szCs w:val="20"/>
          <w:color w:val="auto"/>
        </w:rPr>
      </w:pPr>
    </w:p>
    <w:p>
      <w:pPr>
        <w:jc w:val="both"/>
        <w:ind w:left="460" w:right="1360" w:hanging="458"/>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4.2 — </w:t>
      </w:r>
      <w:hyperlink r:id="rId54">
        <w:r>
          <w:rPr>
            <w:rFonts w:ascii="Times New Roman" w:cs="Times New Roman" w:eastAsia="Times New Roman" w:hAnsi="Times New Roman"/>
            <w:sz w:val="18"/>
            <w:szCs w:val="18"/>
            <w:u w:val="single" w:color="auto"/>
            <w:color w:val="0000FF"/>
          </w:rPr>
          <w:t>Tax Benefit Protection Plan Agreement by and between IES Holdings, Inc. and American Stock Transfer &amp; Trust</w:t>
        </w:r>
      </w:hyperlink>
      <w:r>
        <w:rPr>
          <w:rFonts w:ascii="Times New Roman" w:cs="Times New Roman" w:eastAsia="Times New Roman" w:hAnsi="Times New Roman"/>
          <w:sz w:val="16"/>
          <w:szCs w:val="16"/>
          <w:color w:val="auto"/>
        </w:rPr>
        <w:t xml:space="preserve"> </w:t>
      </w:r>
      <w:hyperlink r:id="rId54">
        <w:r>
          <w:rPr>
            <w:rFonts w:ascii="Times New Roman" w:cs="Times New Roman" w:eastAsia="Times New Roman" w:hAnsi="Times New Roman"/>
            <w:sz w:val="18"/>
            <w:szCs w:val="18"/>
            <w:u w:val="single" w:color="auto"/>
            <w:color w:val="0000FF"/>
          </w:rPr>
          <w:t>Company, LLC, as Rights Agent, dated as of November 8, 2016, including the form of Rights Certificate and</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Summary of Stockholder Rights Plan attached thereto as Exhibits A and B, respectively (Incorporated by reference</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to Exhibit 4.1 to the Company’s Current Report on Form 8-K filed November 9,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640588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460" w:right="1360" w:hanging="45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4.3 — </w:t>
      </w:r>
      <w:hyperlink r:id="rId56">
        <w:r>
          <w:rPr>
            <w:rFonts w:ascii="Times New Roman" w:cs="Times New Roman" w:eastAsia="Times New Roman" w:hAnsi="Times New Roman"/>
            <w:sz w:val="18"/>
            <w:szCs w:val="18"/>
            <w:u w:val="single" w:color="auto"/>
            <w:color w:val="0000FF"/>
          </w:rPr>
          <w:t>Registration Rights Agreement, dated May 12, 2006, by and among Integrated Electrical Services, Inc. (n/k/a IES</w:t>
        </w:r>
      </w:hyperlink>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8"/>
            <w:szCs w:val="18"/>
            <w:u w:val="single" w:color="auto"/>
            <w:color w:val="0000FF"/>
          </w:rPr>
          <w:t>Holdings, Inc.), Tontine Capital Partners, L.P. and certain of its affiliates and Southpoint Master Fund, L.P.</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(Incorporated by reference to Exhibit 10.5 to the Company’s Current Report on Form 8-K filed May 17, 2006)</w:t>
        </w:r>
      </w:hyperlink>
    </w:p>
    <w:p>
      <w:pPr>
        <w:spacing w:after="0" w:line="14" w:lineRule="exact"/>
        <w:rPr>
          <w:rFonts w:ascii="Times New Roman" w:cs="Times New Roman" w:eastAsia="Times New Roman" w:hAnsi="Times New Roman"/>
          <w:sz w:val="16"/>
          <w:szCs w:val="16"/>
          <w:color w:val="auto"/>
        </w:rPr>
      </w:pPr>
    </w:p>
    <w:p>
      <w:pPr>
        <w:jc w:val="both"/>
        <w:ind w:left="460" w:right="1360" w:hanging="45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4.4 — </w:t>
      </w:r>
      <w:hyperlink r:id="rId57">
        <w:r>
          <w:rPr>
            <w:rFonts w:ascii="Times New Roman" w:cs="Times New Roman" w:eastAsia="Times New Roman" w:hAnsi="Times New Roman"/>
            <w:sz w:val="18"/>
            <w:szCs w:val="18"/>
            <w:u w:val="single" w:color="auto"/>
            <w:color w:val="0000FF"/>
          </w:rPr>
          <w:t>First Amendment to Registration Rights Agreement, dated September 11, 2007, by and among Integrated Electrical</w:t>
        </w:r>
      </w:hyperlink>
      <w:r>
        <w:rPr>
          <w:rFonts w:ascii="Times New Roman" w:cs="Times New Roman" w:eastAsia="Times New Roman" w:hAnsi="Times New Roman"/>
          <w:sz w:val="16"/>
          <w:szCs w:val="16"/>
          <w:color w:val="auto"/>
        </w:rPr>
        <w:t xml:space="preserve"> </w:t>
      </w:r>
      <w:hyperlink r:id="rId57">
        <w:r>
          <w:rPr>
            <w:rFonts w:ascii="Times New Roman" w:cs="Times New Roman" w:eastAsia="Times New Roman" w:hAnsi="Times New Roman"/>
            <w:sz w:val="18"/>
            <w:szCs w:val="18"/>
            <w:u w:val="single" w:color="auto"/>
            <w:color w:val="0000FF"/>
          </w:rPr>
          <w:t>Services, Inc. (n/k/a IES Holdings, Inc.), Tontine Capital Partners, L.P. and certain of its affiliates (Incorporated by</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reference to Exhibit 10.24 to the Company’s Annual Report on Form 10-K filed December 14, 2012)</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-756285</wp:posOffset>
            </wp:positionH>
            <wp:positionV relativeFrom="paragraph">
              <wp:posOffset>3175</wp:posOffset>
            </wp:positionV>
            <wp:extent cx="6405880" cy="58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405880" cy="582930"/>
                    </a:xfrm>
                    <a:prstGeom prst="rect">
                      <a:avLst/>
                    </a:prstGeom>
                    <a:noFill/>
                  </pic:spPr>
                </pic:pic>
              </a:graphicData>
            </a:graphic>
          </wp:anchor>
        </w:drawing>
      </w:r>
    </w:p>
    <w:p>
      <w:pPr>
        <w:jc w:val="both"/>
        <w:ind w:left="460" w:right="1360"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 — </w:t>
      </w:r>
      <w:hyperlink r:id="rId59">
        <w:r>
          <w:rPr>
            <w:rFonts w:ascii="Times New Roman" w:cs="Times New Roman" w:eastAsia="Times New Roman" w:hAnsi="Times New Roman"/>
            <w:sz w:val="18"/>
            <w:szCs w:val="18"/>
            <w:u w:val="single" w:color="auto"/>
            <w:color w:val="0000FF"/>
          </w:rPr>
          <w:t>Restated Underwriting, Continuing Indemnity and Security Agreement, dated May 12, 2006, by Integrated</w:t>
        </w:r>
      </w:hyperlink>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8"/>
            <w:szCs w:val="18"/>
            <w:u w:val="single" w:color="auto"/>
            <w:color w:val="0000FF"/>
          </w:rPr>
          <w:t>Electrical Services, Inc. (n/k/a IES Holdings, Inc.) and certain of its subsidiaries and affiliates in favor of Federal</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Insurance Company. (Incorporated by reference to Exhibit 10.4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May 17, 2006)</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460" w:right="1360"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 — </w:t>
      </w:r>
      <w:hyperlink r:id="rId60">
        <w:r>
          <w:rPr>
            <w:rFonts w:ascii="Times New Roman" w:cs="Times New Roman" w:eastAsia="Times New Roman" w:hAnsi="Times New Roman"/>
            <w:sz w:val="18"/>
            <w:szCs w:val="18"/>
            <w:u w:val="single" w:color="auto"/>
            <w:color w:val="0000FF"/>
          </w:rPr>
          <w:t>First Amendment, dated as of October 30, 2006, to the Restated Underwriting, Continuing Indemnity, and Security</w:t>
        </w:r>
      </w:hyperlink>
      <w:r>
        <w:rPr>
          <w:rFonts w:ascii="Times New Roman" w:cs="Times New Roman" w:eastAsia="Times New Roman" w:hAnsi="Times New Roman"/>
          <w:sz w:val="16"/>
          <w:szCs w:val="16"/>
          <w:color w:val="auto"/>
        </w:rPr>
        <w:t xml:space="preserve"> </w:t>
      </w:r>
      <w:hyperlink r:id="rId60">
        <w:r>
          <w:rPr>
            <w:rFonts w:ascii="Times New Roman" w:cs="Times New Roman" w:eastAsia="Times New Roman" w:hAnsi="Times New Roman"/>
            <w:sz w:val="18"/>
            <w:szCs w:val="18"/>
            <w:u w:val="single" w:color="auto"/>
            <w:color w:val="0000FF"/>
          </w:rPr>
          <w:t>Agreement, dated May 12, 2006, by Integrated Electrical Services, Inc. (n/k/a IES Holdings, Inc.), certain of its</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subsidiaries and Federal Insurance Company and certain of its affiliates. (Incorporated by reference to Exhibit 10.1</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to the Company’s Current Report on Form 8-K filed November 6, 2006)</w:t>
        </w:r>
      </w:hyperlink>
    </w:p>
    <w:p>
      <w:pPr>
        <w:spacing w:after="0" w:line="207" w:lineRule="exact"/>
        <w:rPr>
          <w:rFonts w:ascii="Times New Roman" w:cs="Times New Roman" w:eastAsia="Times New Roman" w:hAnsi="Times New Roman"/>
          <w:sz w:val="18"/>
          <w:szCs w:val="18"/>
          <w:u w:val="single" w:color="auto"/>
          <w:color w:val="0000FF"/>
        </w:rPr>
      </w:pPr>
    </w:p>
    <w:p>
      <w:pPr>
        <w:ind w:left="4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2">
            <w:col w:w="1060" w:space="140"/>
            <w:col w:w="10220"/>
          </w:cols>
          <w:pgMar w:left="240" w:top="766" w:right="239" w:bottom="1440" w:gutter="0" w:footer="0" w:header="0"/>
          <w:type w:val="continuous"/>
        </w:sectPr>
      </w:pPr>
    </w:p>
    <w:bookmarkStart w:id="75" w:name="page76"/>
    <w:bookmarkEnd w:id="75"/>
    <w:p>
      <w:pPr>
        <w:jc w:val="both"/>
        <w:ind w:left="460" w:right="159"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405880"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405880" cy="582930"/>
                    </a:xfrm>
                    <a:prstGeom prst="rect">
                      <a:avLst/>
                    </a:prstGeom>
                    <a:noFill/>
                  </pic:spPr>
                </pic:pic>
              </a:graphicData>
            </a:graphic>
          </wp:anchor>
        </w:drawing>
        <w:t xml:space="preserve">10.3 — </w:t>
      </w:r>
      <w:hyperlink r:id="rId62">
        <w:r>
          <w:rPr>
            <w:rFonts w:ascii="Times New Roman" w:cs="Times New Roman" w:eastAsia="Times New Roman" w:hAnsi="Times New Roman"/>
            <w:sz w:val="18"/>
            <w:szCs w:val="18"/>
            <w:u w:val="single" w:color="auto"/>
            <w:color w:val="0000FF"/>
          </w:rPr>
          <w:t>Third Amendment, dated May 1, 2007, to the Restated Underwriting, Continuing Indemnity and Security</w:t>
        </w:r>
      </w:hyperlink>
      <w:r>
        <w:rPr>
          <w:rFonts w:ascii="Times New Roman" w:cs="Times New Roman" w:eastAsia="Times New Roman" w:hAnsi="Times New Roman"/>
          <w:sz w:val="16"/>
          <w:szCs w:val="16"/>
          <w:color w:val="auto"/>
        </w:rPr>
        <w:t xml:space="preserve"> </w:t>
      </w:r>
      <w:hyperlink r:id="rId62">
        <w:r>
          <w:rPr>
            <w:rFonts w:ascii="Times New Roman" w:cs="Times New Roman" w:eastAsia="Times New Roman" w:hAnsi="Times New Roman"/>
            <w:sz w:val="18"/>
            <w:szCs w:val="18"/>
            <w:u w:val="single" w:color="auto"/>
            <w:color w:val="0000FF"/>
          </w:rPr>
          <w:t>Agreement, dated May 12, 2006, by Integrated Electrical Services, Inc. (n/k/a IES Holdings, Inc.), certain of its</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subsidiaries and Federal Insurance Company and certain of its affiliates. (Incorporated by reference to Exhibit 10.1</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to the Company’s Current Report on Form 8-K filed October 12, 2007)</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460" w:right="159"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10.4 — </w:t>
      </w:r>
      <w:hyperlink r:id="rId63">
        <w:r>
          <w:rPr>
            <w:rFonts w:ascii="Times New Roman" w:cs="Times New Roman" w:eastAsia="Times New Roman" w:hAnsi="Times New Roman"/>
            <w:sz w:val="18"/>
            <w:szCs w:val="18"/>
            <w:u w:val="single" w:color="auto"/>
            <w:color w:val="0000FF"/>
          </w:rPr>
          <w:t>Fourth Amendment to the Restated Underwriting, Continuing Indemnity and Security Agreement, dated May 12,</w:t>
        </w:r>
      </w:hyperlink>
      <w:r>
        <w:rPr>
          <w:rFonts w:ascii="Times New Roman" w:cs="Times New Roman" w:eastAsia="Times New Roman" w:hAnsi="Times New Roman"/>
          <w:sz w:val="16"/>
          <w:szCs w:val="16"/>
          <w:color w:val="auto"/>
        </w:rPr>
        <w:t xml:space="preserve"> </w:t>
      </w:r>
      <w:hyperlink r:id="rId63">
        <w:r>
          <w:rPr>
            <w:rFonts w:ascii="Times New Roman" w:cs="Times New Roman" w:eastAsia="Times New Roman" w:hAnsi="Times New Roman"/>
            <w:sz w:val="18"/>
            <w:szCs w:val="18"/>
            <w:u w:val="single" w:color="auto"/>
            <w:color w:val="0000FF"/>
          </w:rPr>
          <w:t>2006, by Integrated Electrical Services, Inc. (n/k/a IES Holdings, Inc.), certain of its subsidiaries and Federal</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Insurance Company and certain of its affiliates.(Incorporated by reference to Exhibit 10.2 to the Company’s Current</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Report on Form 8-K filed October 12, 2007)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6405880"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6405880" cy="582930"/>
                    </a:xfrm>
                    <a:prstGeom prst="rect">
                      <a:avLst/>
                    </a:prstGeom>
                    <a:noFill/>
                  </pic:spPr>
                </pic:pic>
              </a:graphicData>
            </a:graphic>
          </wp:anchor>
        </w:drawing>
      </w:r>
    </w:p>
    <w:p>
      <w:pPr>
        <w:jc w:val="both"/>
        <w:ind w:left="460" w:right="159"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10.5 — </w:t>
      </w:r>
      <w:hyperlink r:id="rId65">
        <w:r>
          <w:rPr>
            <w:rFonts w:ascii="Times New Roman" w:cs="Times New Roman" w:eastAsia="Times New Roman" w:hAnsi="Times New Roman"/>
            <w:sz w:val="18"/>
            <w:szCs w:val="18"/>
            <w:u w:val="single" w:color="auto"/>
            <w:color w:val="0000FF"/>
          </w:rPr>
          <w:t>Rider to Add Principal/Indemnitor and Fifth Amendment, dated September 29, 2008, to Restated Underwriting,</w:t>
        </w:r>
      </w:hyperlink>
      <w:r>
        <w:rPr>
          <w:rFonts w:ascii="Times New Roman" w:cs="Times New Roman" w:eastAsia="Times New Roman" w:hAnsi="Times New Roman"/>
          <w:sz w:val="16"/>
          <w:szCs w:val="16"/>
          <w:color w:val="auto"/>
        </w:rPr>
        <w:t xml:space="preserve"> </w:t>
      </w:r>
      <w:hyperlink r:id="rId65">
        <w:r>
          <w:rPr>
            <w:rFonts w:ascii="Times New Roman" w:cs="Times New Roman" w:eastAsia="Times New Roman" w:hAnsi="Times New Roman"/>
            <w:sz w:val="18"/>
            <w:szCs w:val="18"/>
            <w:u w:val="single" w:color="auto"/>
            <w:color w:val="0000FF"/>
          </w:rPr>
          <w:t>Continuing Indemnity, and Security Agreement, dated May 12, 2006, by Integrated Electrical Services, Inc. (n/k/a</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IES Holdings, Inc.), certain of its subsidiaries and Federal Insurance Company and certain of its affiliates.</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(Incorporated by reference to Exhibit 10.1 to the Company’s Current Report on Form 8-K filed October 24, 2008)</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460" w:right="159" w:hanging="539"/>
        <w:spacing w:after="0" w:line="25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10.6 — </w:t>
      </w:r>
      <w:hyperlink r:id="rId66">
        <w:r>
          <w:rPr>
            <w:rFonts w:ascii="Times New Roman" w:cs="Times New Roman" w:eastAsia="Times New Roman" w:hAnsi="Times New Roman"/>
            <w:sz w:val="18"/>
            <w:szCs w:val="18"/>
            <w:u w:val="single" w:color="auto"/>
            <w:color w:val="0000FF"/>
          </w:rPr>
          <w:t>Agreement of Indemnity, dated May 7, 2010, by Integrated Electrical Services, Inc. (n/k/a IES Holdings, Inc.) and</w:t>
        </w:r>
      </w:hyperlink>
      <w:r>
        <w:rPr>
          <w:rFonts w:ascii="Times New Roman" w:cs="Times New Roman" w:eastAsia="Times New Roman" w:hAnsi="Times New Roman"/>
          <w:sz w:val="16"/>
          <w:szCs w:val="16"/>
          <w:color w:val="auto"/>
        </w:rPr>
        <w:t xml:space="preserve"> </w:t>
      </w:r>
      <w:hyperlink r:id="rId66">
        <w:r>
          <w:rPr>
            <w:rFonts w:ascii="Times New Roman" w:cs="Times New Roman" w:eastAsia="Times New Roman" w:hAnsi="Times New Roman"/>
            <w:sz w:val="18"/>
            <w:szCs w:val="18"/>
            <w:u w:val="single" w:color="auto"/>
            <w:color w:val="0000FF"/>
          </w:rPr>
          <w:t>certain of its present and future subsidiaries and affiliates and Chartis Property Casualty Company, Chartis Insurance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Company of Canada, American Home Assurance Company, Commerce and Industry Insurance Company, Granite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State Insurance Company, Lexington Insurance Company, National Union Fire Insurance Company of Pittsburgh,</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Pa., New Hampshire Insurance Company and The Insurance Company of the State of Pennsylvania and any and all</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of their affiliates, subsidiaries, successors and assigns.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Current Report on Form 8-K filed May 13, 2010)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11430</wp:posOffset>
            </wp:positionV>
            <wp:extent cx="6405880" cy="995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6405880" cy="99504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jc w:val="both"/>
        <w:ind w:left="460" w:right="159" w:hanging="539"/>
        <w:spacing w:after="0" w:line="25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10.7 — </w:t>
      </w:r>
      <w:hyperlink r:id="rId68">
        <w:r>
          <w:rPr>
            <w:rFonts w:ascii="Times New Roman" w:cs="Times New Roman" w:eastAsia="Times New Roman" w:hAnsi="Times New Roman"/>
            <w:sz w:val="18"/>
            <w:szCs w:val="18"/>
            <w:u w:val="single" w:color="auto"/>
            <w:color w:val="0000FF"/>
          </w:rPr>
          <w:t>Amendment No. 1 to Agreement of Indemnity, dated August 16, 2012, between Integrated Electrical Services, Inc.</w:t>
        </w:r>
      </w:hyperlink>
      <w:r>
        <w:rPr>
          <w:rFonts w:ascii="Times New Roman" w:cs="Times New Roman" w:eastAsia="Times New Roman" w:hAnsi="Times New Roman"/>
          <w:sz w:val="16"/>
          <w:szCs w:val="16"/>
          <w:color w:val="auto"/>
        </w:rPr>
        <w:t xml:space="preserve"> </w:t>
      </w:r>
      <w:hyperlink r:id="rId68">
        <w:r>
          <w:rPr>
            <w:rFonts w:ascii="Times New Roman" w:cs="Times New Roman" w:eastAsia="Times New Roman" w:hAnsi="Times New Roman"/>
            <w:sz w:val="18"/>
            <w:szCs w:val="18"/>
            <w:u w:val="single" w:color="auto"/>
            <w:color w:val="0000FF"/>
          </w:rPr>
          <w:t>(n/k/a IES Holdings, Inc.) and certain of its present and future subsidiaries and affiliates and Chartis Property</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Casualty Company, Chartis Insurance Company of Canada, American Home Assurance Company, Commerce and</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Industry Insurance Company, Granite State Insurance Company, Lexington Insurance Company, National Union</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Fire Insurance Company of Pittsburgh, Pa., New Hampshire Insurance Company and The Insurance Company of the</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State of Pennsylvania, and any and all of their affiliates, subsidiaries, successors and assigns (Incorporated by</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reference to Exhibit 10.1 to the Company’s Current Report on Form 8-K filed August 17, 2012)</w:t>
        </w:r>
      </w:hyperlink>
    </w:p>
    <w:p>
      <w:pPr>
        <w:spacing w:after="0" w:line="27" w:lineRule="exact"/>
        <w:rPr>
          <w:rFonts w:ascii="Times New Roman" w:cs="Times New Roman" w:eastAsia="Times New Roman" w:hAnsi="Times New Roman"/>
          <w:sz w:val="18"/>
          <w:szCs w:val="18"/>
          <w:u w:val="single" w:color="auto"/>
          <w:color w:val="0000FF"/>
        </w:rPr>
      </w:pPr>
    </w:p>
    <w:p>
      <w:pPr>
        <w:jc w:val="both"/>
        <w:ind w:left="460" w:right="159"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10.8 — </w:t>
      </w:r>
      <w:hyperlink r:id="rId69">
        <w:r>
          <w:rPr>
            <w:rFonts w:ascii="Times New Roman" w:cs="Times New Roman" w:eastAsia="Times New Roman" w:hAnsi="Times New Roman"/>
            <w:sz w:val="18"/>
            <w:szCs w:val="18"/>
            <w:u w:val="single" w:color="auto"/>
            <w:color w:val="0000FF"/>
          </w:rPr>
          <w:t>Agreement of Indemnity, dated May 7, 2013, by Integrated Electrical Services, Inc. (n/k/a IES Holdings, Inc.) and</w:t>
        </w:r>
      </w:hyperlink>
      <w:r>
        <w:rPr>
          <w:rFonts w:ascii="Times New Roman" w:cs="Times New Roman" w:eastAsia="Times New Roman" w:hAnsi="Times New Roman"/>
          <w:sz w:val="16"/>
          <w:szCs w:val="16"/>
          <w:color w:val="auto"/>
        </w:rPr>
        <w:t xml:space="preserve"> </w:t>
      </w:r>
      <w:hyperlink r:id="rId69">
        <w:r>
          <w:rPr>
            <w:rFonts w:ascii="Times New Roman" w:cs="Times New Roman" w:eastAsia="Times New Roman" w:hAnsi="Times New Roman"/>
            <w:sz w:val="18"/>
            <w:szCs w:val="18"/>
            <w:u w:val="single" w:color="auto"/>
            <w:color w:val="0000FF"/>
          </w:rPr>
          <w:t>certain of its present and future subsidiaries and affiliates and XL Specialty Insurance Company, XL Reinsurance</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America, Inc. and Greenwich Insurance Company and their affiliates, subsidiaries, successors and assigns.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(Incorporated by reference to Exhibit 10.1 to the Company’s Quarterly Report on Form 10-Q filed May 13, 2013)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100330</wp:posOffset>
            </wp:positionV>
            <wp:extent cx="6405880" cy="582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405880" cy="582930"/>
                    </a:xfrm>
                    <a:prstGeom prst="rect">
                      <a:avLst/>
                    </a:prstGeom>
                    <a:noFill/>
                  </pic:spPr>
                </pic:pic>
              </a:graphicData>
            </a:graphic>
          </wp:anchor>
        </w:drawing>
      </w:r>
    </w:p>
    <w:p>
      <w:pPr>
        <w:spacing w:after="0" w:line="147" w:lineRule="exact"/>
        <w:rPr>
          <w:rFonts w:ascii="Times New Roman" w:cs="Times New Roman" w:eastAsia="Times New Roman" w:hAnsi="Times New Roman"/>
          <w:sz w:val="18"/>
          <w:szCs w:val="18"/>
          <w:u w:val="single" w:color="auto"/>
          <w:color w:val="0000FF"/>
        </w:rPr>
      </w:pPr>
    </w:p>
    <w:p>
      <w:pPr>
        <w:jc w:val="both"/>
        <w:ind w:left="460" w:right="159" w:hanging="539"/>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10.9 — </w:t>
      </w:r>
      <w:hyperlink r:id="rId71">
        <w:r>
          <w:rPr>
            <w:rFonts w:ascii="Times New Roman" w:cs="Times New Roman" w:eastAsia="Times New Roman" w:hAnsi="Times New Roman"/>
            <w:sz w:val="18"/>
            <w:szCs w:val="18"/>
            <w:u w:val="single" w:color="auto"/>
            <w:color w:val="0000FF"/>
          </w:rPr>
          <w:t>Agreement of Indemnity, September 9, 2016, by IES Holdings, Inc. and certain of its present and future subsidiaries</w:t>
        </w:r>
      </w:hyperlink>
      <w:r>
        <w:rPr>
          <w:rFonts w:ascii="Times New Roman" w:cs="Times New Roman" w:eastAsia="Times New Roman" w:hAnsi="Times New Roman"/>
          <w:sz w:val="16"/>
          <w:szCs w:val="16"/>
          <w:color w:val="auto"/>
        </w:rPr>
        <w:t xml:space="preserve"> </w:t>
      </w:r>
      <w:hyperlink r:id="rId71">
        <w:r>
          <w:rPr>
            <w:rFonts w:ascii="Times New Roman" w:cs="Times New Roman" w:eastAsia="Times New Roman" w:hAnsi="Times New Roman"/>
            <w:sz w:val="18"/>
            <w:szCs w:val="18"/>
            <w:u w:val="single" w:color="auto"/>
            <w:color w:val="0000FF"/>
          </w:rPr>
          <w:t>and affiliates and Everest Reinsurance Company and Everest National Insurance Company, and their affiliated,</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associated and subsidiary companies, successors and assigns.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Company’s Current Report on Form 8-K filed September 13, 2016)</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460" w:right="15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10.10 — </w:t>
      </w:r>
      <w:hyperlink r:id="rId72">
        <w:r>
          <w:rPr>
            <w:rFonts w:ascii="Times New Roman" w:cs="Times New Roman" w:eastAsia="Times New Roman" w:hAnsi="Times New Roman"/>
            <w:sz w:val="18"/>
            <w:szCs w:val="18"/>
            <w:u w:val="single" w:color="auto"/>
            <w:color w:val="0000FF"/>
          </w:rPr>
          <w:t>General Agreement of Indemnity, July 14, 2017, by IES Holdings, Inc. and certain of its present and future</w:t>
        </w:r>
      </w:hyperlink>
      <w:r>
        <w:rPr>
          <w:rFonts w:ascii="Times New Roman" w:cs="Times New Roman" w:eastAsia="Times New Roman" w:hAnsi="Times New Roman"/>
          <w:sz w:val="16"/>
          <w:szCs w:val="16"/>
          <w:color w:val="auto"/>
        </w:rPr>
        <w:t xml:space="preserve"> </w:t>
      </w:r>
      <w:hyperlink r:id="rId72">
        <w:r>
          <w:rPr>
            <w:rFonts w:ascii="Times New Roman" w:cs="Times New Roman" w:eastAsia="Times New Roman" w:hAnsi="Times New Roman"/>
            <w:sz w:val="18"/>
            <w:szCs w:val="18"/>
            <w:u w:val="single" w:color="auto"/>
            <w:color w:val="0000FF"/>
          </w:rPr>
          <w:t>subsidiaries and affiliates and Travelers Casualty and Surety Company of America, St. Paul Fire and Marine</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Insurance Company, and their affiliated, associated and subsidiary companies, successors and assigns. (Incorporated</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by reference to Exhibit 10.1 to the Company’s Current Report on Form 8-K filed July 14,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6405880" cy="582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6405880" cy="582930"/>
                    </a:xfrm>
                    <a:prstGeom prst="rect">
                      <a:avLst/>
                    </a:prstGeom>
                    <a:noFill/>
                  </pic:spPr>
                </pic:pic>
              </a:graphicData>
            </a:graphic>
          </wp:anchor>
        </w:drawing>
      </w:r>
    </w:p>
    <w:p>
      <w:pPr>
        <w:jc w:val="both"/>
        <w:ind w:left="460" w:right="159" w:hanging="614"/>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10.11 — </w:t>
      </w:r>
      <w:hyperlink r:id="rId74">
        <w:r>
          <w:rPr>
            <w:rFonts w:ascii="Times New Roman" w:cs="Times New Roman" w:eastAsia="Times New Roman" w:hAnsi="Times New Roman"/>
            <w:sz w:val="18"/>
            <w:szCs w:val="18"/>
            <w:u w:val="single" w:color="auto"/>
            <w:color w:val="0000FF"/>
          </w:rPr>
          <w:t>Second Amended and Restated Credit and Security Agreement, dated as of April 10, 2017, by and among IES</w:t>
        </w:r>
      </w:hyperlink>
      <w:r>
        <w:rPr>
          <w:rFonts w:ascii="Times New Roman" w:cs="Times New Roman" w:eastAsia="Times New Roman" w:hAnsi="Times New Roman"/>
          <w:sz w:val="16"/>
          <w:szCs w:val="16"/>
          <w:color w:val="auto"/>
        </w:rPr>
        <w:t xml:space="preserve"> </w:t>
      </w:r>
      <w:hyperlink r:id="rId74">
        <w:r>
          <w:rPr>
            <w:rFonts w:ascii="Times New Roman" w:cs="Times New Roman" w:eastAsia="Times New Roman" w:hAnsi="Times New Roman"/>
            <w:sz w:val="18"/>
            <w:szCs w:val="18"/>
            <w:u w:val="single" w:color="auto"/>
            <w:color w:val="0000FF"/>
          </w:rPr>
          <w:t>Holdings, Inc., each of the other Borrowers and Guarantors named therein and Wells Fargo Bank, National</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Association. (Incorporated by reference to Exhibit 10.1 to the Company’s Current Report on Form 8-K filed April</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10, 2017)</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460" w:right="15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10.12 — </w:t>
      </w:r>
      <w:hyperlink r:id="rId75">
        <w:r>
          <w:rPr>
            <w:rFonts w:ascii="Times New Roman" w:cs="Times New Roman" w:eastAsia="Times New Roman" w:hAnsi="Times New Roman"/>
            <w:sz w:val="18"/>
            <w:szCs w:val="18"/>
            <w:u w:val="single" w:color="auto"/>
            <w:color w:val="0000FF"/>
          </w:rPr>
          <w:t>Joinder, Limited Consent and First Amendment to Second Amended and Restated Credit and Security Agreement,</w:t>
        </w:r>
      </w:hyperlink>
      <w:r>
        <w:rPr>
          <w:rFonts w:ascii="Times New Roman" w:cs="Times New Roman" w:eastAsia="Times New Roman" w:hAnsi="Times New Roman"/>
          <w:sz w:val="16"/>
          <w:szCs w:val="16"/>
          <w:color w:val="auto"/>
        </w:rPr>
        <w:t xml:space="preserve"> </w:t>
      </w:r>
      <w:hyperlink r:id="rId75">
        <w:r>
          <w:rPr>
            <w:rFonts w:ascii="Times New Roman" w:cs="Times New Roman" w:eastAsia="Times New Roman" w:hAnsi="Times New Roman"/>
            <w:sz w:val="18"/>
            <w:szCs w:val="18"/>
            <w:u w:val="single" w:color="auto"/>
            <w:color w:val="0000FF"/>
          </w:rPr>
          <w:t>dated as of July 14, 2017, by and among IES Holdings, Inc., each of the other Borrowers and Guarantors named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therein and Wells Fargo Bank, National Association.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Quarterly Report on Form 10-Q filed on August 4,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5715</wp:posOffset>
            </wp:positionV>
            <wp:extent cx="6405880" cy="582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6405880" cy="582930"/>
                    </a:xfrm>
                    <a:prstGeom prst="rect">
                      <a:avLst/>
                    </a:prstGeom>
                    <a:noFill/>
                  </pic:spPr>
                </pic:pic>
              </a:graphicData>
            </a:graphic>
          </wp:anchor>
        </w:drawing>
      </w:r>
    </w:p>
    <w:p>
      <w:pPr>
        <w:jc w:val="both"/>
        <w:ind w:left="460" w:right="15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10.13 — </w:t>
      </w:r>
      <w:hyperlink r:id="rId77">
        <w:r>
          <w:rPr>
            <w:rFonts w:ascii="Times New Roman" w:cs="Times New Roman" w:eastAsia="Times New Roman" w:hAnsi="Times New Roman"/>
            <w:sz w:val="18"/>
            <w:szCs w:val="18"/>
            <w:u w:val="single" w:color="auto"/>
            <w:color w:val="0000FF"/>
          </w:rPr>
          <w:t>Second Amendment to the Amended Credit Agreement, dated as of August 2, 2017, to Second Amended and</w:t>
        </w:r>
      </w:hyperlink>
      <w:r>
        <w:rPr>
          <w:rFonts w:ascii="Times New Roman" w:cs="Times New Roman" w:eastAsia="Times New Roman" w:hAnsi="Times New Roman"/>
          <w:sz w:val="16"/>
          <w:szCs w:val="16"/>
          <w:color w:val="auto"/>
        </w:rPr>
        <w:t xml:space="preserve"> </w:t>
      </w:r>
      <w:hyperlink r:id="rId77">
        <w:r>
          <w:rPr>
            <w:rFonts w:ascii="Times New Roman" w:cs="Times New Roman" w:eastAsia="Times New Roman" w:hAnsi="Times New Roman"/>
            <w:sz w:val="18"/>
            <w:szCs w:val="18"/>
            <w:u w:val="single" w:color="auto"/>
            <w:color w:val="0000FF"/>
          </w:rPr>
          <w:t>Restated Credit and Security Agreement, dated as of April 10, 2017, by and among IES Holdings, Inc., each of the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other Borrowers and Guarantors named therein and Wells Fargo Bank, National Association. (Incorporated by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reference to Exhibit 10.4 to the Company’s Quarterly Report on Form 10-Q filed on August 4, 2017)</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460" w:right="15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10.14 — </w:t>
      </w:r>
      <w:hyperlink r:id="rId78">
        <w:r>
          <w:rPr>
            <w:rFonts w:ascii="Times New Roman" w:cs="Times New Roman" w:eastAsia="Times New Roman" w:hAnsi="Times New Roman"/>
            <w:sz w:val="18"/>
            <w:szCs w:val="18"/>
            <w:u w:val="single" w:color="auto"/>
            <w:color w:val="0000FF"/>
          </w:rPr>
          <w:t>Third Amendment to Second Amended and Restated Credit and Security Agreement, dated as of July 23, 2018, by</w:t>
        </w:r>
      </w:hyperlink>
      <w:r>
        <w:rPr>
          <w:rFonts w:ascii="Times New Roman" w:cs="Times New Roman" w:eastAsia="Times New Roman" w:hAnsi="Times New Roman"/>
          <w:sz w:val="16"/>
          <w:szCs w:val="16"/>
          <w:color w:val="auto"/>
        </w:rPr>
        <w:t xml:space="preserve"> </w:t>
      </w:r>
      <w:hyperlink r:id="rId78">
        <w:r>
          <w:rPr>
            <w:rFonts w:ascii="Times New Roman" w:cs="Times New Roman" w:eastAsia="Times New Roman" w:hAnsi="Times New Roman"/>
            <w:sz w:val="18"/>
            <w:szCs w:val="18"/>
            <w:u w:val="single" w:color="auto"/>
            <w:color w:val="0000FF"/>
          </w:rPr>
          <w:t>and among IES Holdings, Inc., each of the other Borrowers and Guarantors named therein and Wells Fargo Bank,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National Association.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filed on July 23, 2018)</w:t>
        </w:r>
      </w:hyperlink>
    </w:p>
    <w:p>
      <w:pPr>
        <w:spacing w:after="0" w:line="20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019"/>
          </w:cols>
          <w:pgMar w:left="1440" w:top="499" w:right="1440" w:bottom="1440" w:gutter="0" w:footer="0" w:header="0"/>
        </w:sectPr>
      </w:pPr>
    </w:p>
    <w:bookmarkStart w:id="76" w:name="page77"/>
    <w:bookmarkEnd w:id="76"/>
    <w:p>
      <w:pPr>
        <w:jc w:val="both"/>
        <w:ind w:left="620" w:right="37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405880" cy="582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6405880" cy="582930"/>
                    </a:xfrm>
                    <a:prstGeom prst="rect">
                      <a:avLst/>
                    </a:prstGeom>
                    <a:noFill/>
                  </pic:spPr>
                </pic:pic>
              </a:graphicData>
            </a:graphic>
          </wp:anchor>
        </w:drawing>
        <w:t xml:space="preserve">10.15 — </w:t>
      </w:r>
      <w:hyperlink r:id="rId80">
        <w:r>
          <w:rPr>
            <w:rFonts w:ascii="Times New Roman" w:cs="Times New Roman" w:eastAsia="Times New Roman" w:hAnsi="Times New Roman"/>
            <w:sz w:val="18"/>
            <w:szCs w:val="18"/>
            <w:u w:val="single" w:color="auto"/>
            <w:color w:val="0000FF"/>
          </w:rPr>
          <w:t>Fourth Amendment, dated as of May 20, 2019, to Second Amended and Restated Credit and Security Agreement,</w:t>
        </w:r>
      </w:hyperlink>
      <w:r>
        <w:rPr>
          <w:rFonts w:ascii="Times New Roman" w:cs="Times New Roman" w:eastAsia="Times New Roman" w:hAnsi="Times New Roman"/>
          <w:sz w:val="16"/>
          <w:szCs w:val="16"/>
          <w:color w:val="auto"/>
        </w:rPr>
        <w:t xml:space="preserve"> </w:t>
      </w:r>
      <w:hyperlink r:id="rId80">
        <w:r>
          <w:rPr>
            <w:rFonts w:ascii="Times New Roman" w:cs="Times New Roman" w:eastAsia="Times New Roman" w:hAnsi="Times New Roman"/>
            <w:sz w:val="18"/>
            <w:szCs w:val="18"/>
            <w:u w:val="single" w:color="auto"/>
            <w:color w:val="0000FF"/>
          </w:rPr>
          <w:t>dated as of April 10, 2017, by and among IES Holdings, Inc., each of the other Borrowers and Guarantors named</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therein and Wells Fargo Bank, National Association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Quarterly Report on Form 10-Q filed August 2, 2019)</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620" w:right="15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10.16 — </w:t>
      </w:r>
      <w:hyperlink r:id="rId81">
        <w:r>
          <w:rPr>
            <w:rFonts w:ascii="Times New Roman" w:cs="Times New Roman" w:eastAsia="Times New Roman" w:hAnsi="Times New Roman"/>
            <w:sz w:val="18"/>
            <w:szCs w:val="18"/>
            <w:u w:val="single" w:color="auto"/>
            <w:color w:val="0000FF"/>
          </w:rPr>
          <w:t>Fifth Amendment to Second Amended and Restated Credit and Security Agreement, dated as of September 6, 2019,</w:t>
        </w:r>
      </w:hyperlink>
      <w:r>
        <w:rPr>
          <w:rFonts w:ascii="Times New Roman" w:cs="Times New Roman" w:eastAsia="Times New Roman" w:hAnsi="Times New Roman"/>
          <w:sz w:val="16"/>
          <w:szCs w:val="16"/>
          <w:color w:val="auto"/>
        </w:rPr>
        <w:t xml:space="preserve"> </w:t>
      </w:r>
      <w:hyperlink r:id="rId81">
        <w:r>
          <w:rPr>
            <w:rFonts w:ascii="Times New Roman" w:cs="Times New Roman" w:eastAsia="Times New Roman" w:hAnsi="Times New Roman"/>
            <w:sz w:val="18"/>
            <w:szCs w:val="18"/>
            <w:u w:val="single" w:color="auto"/>
            <w:color w:val="0000FF"/>
          </w:rPr>
          <w:t>by and among IES Holdings, Inc., each of the other Borrowers and Guarantors named therein and Wells Fargo Bank,</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National Association (Incorporated by reference to Exhibit 10.1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September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-654685</wp:posOffset>
            </wp:positionH>
            <wp:positionV relativeFrom="paragraph">
              <wp:posOffset>5715</wp:posOffset>
            </wp:positionV>
            <wp:extent cx="640588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ind w:left="620" w:right="479" w:hanging="620"/>
        <w:spacing w:after="0" w:line="298"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10.17 — </w:t>
      </w:r>
      <w:hyperlink r:id="rId83">
        <w:r>
          <w:rPr>
            <w:rFonts w:ascii="Times New Roman" w:cs="Times New Roman" w:eastAsia="Times New Roman" w:hAnsi="Times New Roman"/>
            <w:sz w:val="17"/>
            <w:szCs w:val="17"/>
            <w:u w:val="single" w:color="auto"/>
            <w:color w:val="0000FF"/>
          </w:rPr>
          <w:t>Sublease Agreement between Tontine Associates, L.L.C. and IES Shared Services, Inc., dated March 29, 2012</w:t>
        </w:r>
      </w:hyperlink>
      <w:r>
        <w:rPr>
          <w:rFonts w:ascii="Times New Roman" w:cs="Times New Roman" w:eastAsia="Times New Roman" w:hAnsi="Times New Roman"/>
          <w:sz w:val="15"/>
          <w:szCs w:val="15"/>
          <w:color w:val="auto"/>
        </w:rPr>
        <w:t xml:space="preserve"> </w:t>
      </w:r>
      <w:hyperlink r:id="rId83">
        <w:r>
          <w:rPr>
            <w:rFonts w:ascii="Times New Roman" w:cs="Times New Roman" w:eastAsia="Times New Roman" w:hAnsi="Times New Roman"/>
            <w:sz w:val="17"/>
            <w:szCs w:val="17"/>
            <w:u w:val="single" w:color="auto"/>
            <w:color w:val="0000FF"/>
          </w:rPr>
          <w:t>(Incorporated by reference to Exhibit 3.1 to the Company’s Quarterly Report on Form 10-Q filed May 15, 2012)</w:t>
        </w:r>
      </w:hyperlink>
    </w:p>
    <w:p>
      <w:pPr>
        <w:spacing w:after="0" w:line="1" w:lineRule="exact"/>
        <w:rPr>
          <w:sz w:val="20"/>
          <w:szCs w:val="20"/>
          <w:color w:val="auto"/>
        </w:rPr>
      </w:pPr>
    </w:p>
    <w:p>
      <w:pPr>
        <w:ind w:left="620" w:right="239" w:hanging="62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10.18 — </w:t>
      </w:r>
      <w:hyperlink r:id="rId84">
        <w:r>
          <w:rPr>
            <w:rFonts w:ascii="Times New Roman" w:cs="Times New Roman" w:eastAsia="Times New Roman" w:hAnsi="Times New Roman"/>
            <w:sz w:val="18"/>
            <w:szCs w:val="18"/>
            <w:u w:val="single" w:color="auto"/>
            <w:color w:val="0000FF"/>
          </w:rPr>
          <w:t>First Amendment between Tontine Associates, L.L.C., IES Shared Services, Inc. and IES Management ROO, LP,</w:t>
        </w:r>
      </w:hyperlink>
      <w:r>
        <w:rPr>
          <w:rFonts w:ascii="Times New Roman" w:cs="Times New Roman" w:eastAsia="Times New Roman" w:hAnsi="Times New Roman"/>
          <w:sz w:val="16"/>
          <w:szCs w:val="16"/>
          <w:color w:val="auto"/>
        </w:rPr>
        <w:t xml:space="preserve"> </w:t>
      </w:r>
      <w:hyperlink r:id="rId84">
        <w:r>
          <w:rPr>
            <w:rFonts w:ascii="Times New Roman" w:cs="Times New Roman" w:eastAsia="Times New Roman" w:hAnsi="Times New Roman"/>
            <w:sz w:val="18"/>
            <w:szCs w:val="18"/>
            <w:u w:val="single" w:color="auto"/>
            <w:color w:val="0000FF"/>
          </w:rPr>
          <w:t>dated as of March 31, 2016, to Sublease Agreement between Tontine Associates, L.L.C., and IES Shared Services,</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Inc., dated March 29, 2012. (Incorporated by reference to Exhibit 10.5 to the Company’s Quarterly Report on Form</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10-Q filed May 9,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-654685</wp:posOffset>
            </wp:positionH>
            <wp:positionV relativeFrom="paragraph">
              <wp:posOffset>5715</wp:posOffset>
            </wp:positionV>
            <wp:extent cx="6405880"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620" w:right="259" w:hanging="620"/>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10.19 — </w:t>
      </w:r>
      <w:hyperlink r:id="rId86">
        <w:r>
          <w:rPr>
            <w:rFonts w:ascii="Times New Roman" w:cs="Times New Roman" w:eastAsia="Times New Roman" w:hAnsi="Times New Roman"/>
            <w:sz w:val="18"/>
            <w:szCs w:val="18"/>
            <w:u w:val="single" w:color="auto"/>
            <w:color w:val="0000FF"/>
          </w:rPr>
          <w:t>Second Amendment, dated as of May 1, 2019, to Sublease Agreement, dated as of March 29, 2012 and amended as</w:t>
        </w:r>
      </w:hyperlink>
      <w:r>
        <w:rPr>
          <w:rFonts w:ascii="Times New Roman" w:cs="Times New Roman" w:eastAsia="Times New Roman" w:hAnsi="Times New Roman"/>
          <w:sz w:val="16"/>
          <w:szCs w:val="16"/>
          <w:color w:val="auto"/>
        </w:rPr>
        <w:t xml:space="preserve"> </w:t>
      </w:r>
      <w:hyperlink r:id="rId86">
        <w:r>
          <w:rPr>
            <w:rFonts w:ascii="Times New Roman" w:cs="Times New Roman" w:eastAsia="Times New Roman" w:hAnsi="Times New Roman"/>
            <w:sz w:val="18"/>
            <w:szCs w:val="18"/>
            <w:u w:val="single" w:color="auto"/>
            <w:color w:val="0000FF"/>
          </w:rPr>
          <w:t>of March 31, 2016, between Tontine Associates, L.L.C. and IES Management ROO, LP (Incorporated by reference</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to Exhibit 10.12 to the Company's Quarterly Report on Form 10-Q filed May 6, 2019)</w:t>
        </w:r>
      </w:hyperlink>
    </w:p>
    <w:p>
      <w:pPr>
        <w:spacing w:after="0" w:line="14" w:lineRule="exact"/>
        <w:rPr>
          <w:rFonts w:ascii="Times New Roman" w:cs="Times New Roman" w:eastAsia="Times New Roman" w:hAnsi="Times New Roman"/>
          <w:sz w:val="16"/>
          <w:szCs w:val="16"/>
          <w:color w:val="auto"/>
        </w:rPr>
      </w:pPr>
    </w:p>
    <w:p>
      <w:pPr>
        <w:ind w:left="620" w:right="159" w:hanging="620"/>
        <w:spacing w:after="0" w:line="24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6"/>
          <w:szCs w:val="16"/>
          <w:color w:val="auto"/>
        </w:rPr>
        <w:t xml:space="preserve">10.20 — </w:t>
      </w:r>
      <w:hyperlink w:anchor="page80">
        <w:r>
          <w:rPr>
            <w:rFonts w:ascii="Times New Roman" w:cs="Times New Roman" w:eastAsia="Times New Roman" w:hAnsi="Times New Roman"/>
            <w:sz w:val="18"/>
            <w:szCs w:val="18"/>
            <w:u w:val="single" w:color="auto"/>
            <w:color w:val="0000FF"/>
          </w:rPr>
          <w:t>Third Amendment, dated as of November 5, 2019, to Sublease Agreement, dated as of March 29, 2012 and amended</w:t>
        </w:r>
      </w:hyperlink>
      <w:r>
        <w:rPr>
          <w:rFonts w:ascii="Times New Roman" w:cs="Times New Roman" w:eastAsia="Times New Roman" w:hAnsi="Times New Roman"/>
          <w:sz w:val="16"/>
          <w:szCs w:val="16"/>
          <w:color w:val="auto"/>
        </w:rPr>
        <w:t xml:space="preserve"> </w:t>
      </w:r>
      <w:hyperlink w:anchor="page80">
        <w:r>
          <w:rPr>
            <w:rFonts w:ascii="Times New Roman" w:cs="Times New Roman" w:eastAsia="Times New Roman" w:hAnsi="Times New Roman"/>
            <w:sz w:val="18"/>
            <w:szCs w:val="18"/>
            <w:u w:val="single" w:color="auto"/>
            <w:color w:val="0000FF"/>
          </w:rPr>
          <w:t>as of March 31, 2016 and May 1, 2019, between Tontine Associates, L.L.C. and IES Management ROO, LP (an</w:t>
        </w:r>
      </w:hyperlink>
      <w:r>
        <w:rPr>
          <w:rFonts w:ascii="Times New Roman" w:cs="Times New Roman" w:eastAsia="Times New Roman" w:hAnsi="Times New Roman"/>
          <w:sz w:val="18"/>
          <w:szCs w:val="18"/>
          <w:u w:val="single" w:color="auto"/>
          <w:color w:val="0000FF"/>
        </w:rPr>
        <w:t xml:space="preserve"> </w:t>
      </w:r>
      <w:hyperlink w:anchor="page80">
        <w:r>
          <w:rPr>
            <w:rFonts w:ascii="Times New Roman" w:cs="Times New Roman" w:eastAsia="Times New Roman" w:hAnsi="Times New Roman"/>
            <w:sz w:val="18"/>
            <w:szCs w:val="18"/>
            <w:u w:val="single" w:color="auto"/>
            <w:color w:val="0000FF"/>
          </w:rPr>
          <w:t>exhibit to this agreement has been omitted pursuant to Item 601(a)(5) of Regulation S-K. A copy of the omitted</w:t>
        </w:r>
      </w:hyperlink>
      <w:r>
        <w:rPr>
          <w:rFonts w:ascii="Times New Roman" w:cs="Times New Roman" w:eastAsia="Times New Roman" w:hAnsi="Times New Roman"/>
          <w:sz w:val="18"/>
          <w:szCs w:val="18"/>
          <w:u w:val="single" w:color="auto"/>
          <w:color w:val="0000FF"/>
        </w:rPr>
        <w:t xml:space="preserve"> </w:t>
      </w:r>
      <w:hyperlink w:anchor="page80">
        <w:r>
          <w:rPr>
            <w:rFonts w:ascii="Times New Roman" w:cs="Times New Roman" w:eastAsia="Times New Roman" w:hAnsi="Times New Roman"/>
            <w:sz w:val="18"/>
            <w:szCs w:val="18"/>
            <w:u w:val="single" w:color="auto"/>
            <w:color w:val="0000FF"/>
          </w:rPr>
          <w:t>exhibit will be furnished to the SEC upon request.)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25"/>
            <w:szCs w:val="25"/>
            <w:color w:val="000000"/>
            <w:vertAlign w:val="superscript"/>
          </w:rPr>
          <w:t>(1)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-654685</wp:posOffset>
            </wp:positionH>
            <wp:positionV relativeFrom="paragraph">
              <wp:posOffset>-15240</wp:posOffset>
            </wp:positionV>
            <wp:extent cx="6405880"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10.21 — </w:t>
      </w:r>
      <w:hyperlink r:id="rId88">
        <w:r>
          <w:rPr>
            <w:rFonts w:ascii="Times New Roman" w:cs="Times New Roman" w:eastAsia="Times New Roman" w:hAnsi="Times New Roman"/>
            <w:sz w:val="18"/>
            <w:szCs w:val="18"/>
            <w:u w:val="single" w:color="auto"/>
            <w:color w:val="0000FF"/>
          </w:rPr>
          <w:t>Board Observer Letter Agreement between Tontine Associates, L.L.C. and IES Holdings, Inc., dated December 6,</w:t>
        </w:r>
      </w:hyperlink>
    </w:p>
    <w:p>
      <w:pPr>
        <w:spacing w:after="0" w:line="7" w:lineRule="exact"/>
        <w:rPr>
          <w:rFonts w:ascii="Times New Roman" w:cs="Times New Roman" w:eastAsia="Times New Roman" w:hAnsi="Times New Roman"/>
          <w:sz w:val="18"/>
          <w:szCs w:val="18"/>
          <w:u w:val="single" w:color="auto"/>
          <w:color w:val="0000FF"/>
        </w:rPr>
      </w:pPr>
    </w:p>
    <w:p>
      <w:pPr>
        <w:ind w:left="62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2018 (Incorporated by reference to Exhibit 10.17 to the Company's Annual Report on Form 10-K filed December 7,</w:t>
        </w:r>
      </w:hyperlink>
    </w:p>
    <w:p>
      <w:pPr>
        <w:spacing w:after="0" w:line="9" w:lineRule="exact"/>
        <w:rPr>
          <w:rFonts w:ascii="Times New Roman" w:cs="Times New Roman" w:eastAsia="Times New Roman" w:hAnsi="Times New Roman"/>
          <w:sz w:val="18"/>
          <w:szCs w:val="18"/>
          <w:u w:val="single" w:color="auto"/>
          <w:color w:val="0000FF"/>
        </w:rPr>
      </w:pPr>
    </w:p>
    <w:p>
      <w:pPr>
        <w:ind w:left="62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2018)</w:t>
        </w:r>
      </w:hyperlink>
    </w:p>
    <w:p>
      <w:pPr>
        <w:spacing w:after="0" w:line="45" w:lineRule="exact"/>
        <w:rPr>
          <w:rFonts w:ascii="Times New Roman" w:cs="Times New Roman" w:eastAsia="Times New Roman" w:hAnsi="Times New Roman"/>
          <w:sz w:val="18"/>
          <w:szCs w:val="18"/>
          <w:u w:val="single" w:color="auto"/>
          <w:color w:val="0000FF"/>
        </w:rPr>
      </w:pPr>
    </w:p>
    <w:p>
      <w:pPr>
        <w:jc w:val="both"/>
        <w:ind w:left="62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*10.22 — </w:t>
      </w:r>
      <w:hyperlink r:id="rId89">
        <w:r>
          <w:rPr>
            <w:rFonts w:ascii="Times New Roman" w:cs="Times New Roman" w:eastAsia="Times New Roman" w:hAnsi="Times New Roman"/>
            <w:sz w:val="18"/>
            <w:szCs w:val="18"/>
            <w:u w:val="single" w:color="auto"/>
            <w:color w:val="0000FF"/>
          </w:rPr>
          <w:t>Term Life Insurance Plan (Incorporated by reference to Exhibit 10.3 to the Company’s Current Report on Form 8-K</w:t>
        </w:r>
      </w:hyperlink>
      <w:r>
        <w:rPr>
          <w:rFonts w:ascii="Times New Roman" w:cs="Times New Roman" w:eastAsia="Times New Roman" w:hAnsi="Times New Roman"/>
          <w:sz w:val="16"/>
          <w:szCs w:val="16"/>
          <w:color w:val="auto"/>
        </w:rPr>
        <w:t xml:space="preserve"> </w:t>
      </w:r>
      <w:hyperlink r:id="rId89">
        <w:r>
          <w:rPr>
            <w:rFonts w:ascii="Times New Roman" w:cs="Times New Roman" w:eastAsia="Times New Roman" w:hAnsi="Times New Roman"/>
            <w:sz w:val="18"/>
            <w:szCs w:val="18"/>
            <w:u w:val="single" w:color="auto"/>
            <w:color w:val="0000FF"/>
          </w:rPr>
          <w:t>filed October 17,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-3810</wp:posOffset>
            </wp:positionV>
            <wp:extent cx="640588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*10.23 — </w:t>
      </w:r>
      <w:hyperlink r:id="rId91">
        <w:r>
          <w:rPr>
            <w:rFonts w:ascii="Times New Roman" w:cs="Times New Roman" w:eastAsia="Times New Roman" w:hAnsi="Times New Roman"/>
            <w:sz w:val="18"/>
            <w:szCs w:val="18"/>
            <w:u w:val="single" w:color="auto"/>
            <w:color w:val="0000FF"/>
          </w:rPr>
          <w:t>Integrated Electrical Services, Inc. (n/k/a IES Holdings, Inc.) 2006 Equity Incentive Plan, as amended and restated</w:t>
        </w:r>
      </w:hyperlink>
      <w:r>
        <w:rPr>
          <w:rFonts w:ascii="Times New Roman" w:cs="Times New Roman" w:eastAsia="Times New Roman" w:hAnsi="Times New Roman"/>
          <w:sz w:val="16"/>
          <w:szCs w:val="16"/>
          <w:color w:val="auto"/>
        </w:rPr>
        <w:t xml:space="preserve"> </w:t>
      </w:r>
      <w:hyperlink r:id="rId91">
        <w:r>
          <w:rPr>
            <w:rFonts w:ascii="Times New Roman" w:cs="Times New Roman" w:eastAsia="Times New Roman" w:hAnsi="Times New Roman"/>
            <w:sz w:val="18"/>
            <w:szCs w:val="18"/>
            <w:u w:val="single" w:color="auto"/>
            <w:color w:val="0000FF"/>
          </w:rPr>
          <w:t>through 2007 (Incorporated by reference to Exhibit 10.1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October 17, 2007)</w:t>
        </w:r>
      </w:hyperlink>
    </w:p>
    <w:p>
      <w:pPr>
        <w:spacing w:after="0" w:line="14" w:lineRule="exact"/>
        <w:rPr>
          <w:rFonts w:ascii="Times New Roman" w:cs="Times New Roman" w:eastAsia="Times New Roman" w:hAnsi="Times New Roman"/>
          <w:sz w:val="16"/>
          <w:szCs w:val="16"/>
          <w:color w:val="auto"/>
        </w:rPr>
      </w:pP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*10.24 — </w:t>
      </w:r>
      <w:hyperlink r:id="rId92">
        <w:r>
          <w:rPr>
            <w:rFonts w:ascii="Times New Roman" w:cs="Times New Roman" w:eastAsia="Times New Roman" w:hAnsi="Times New Roman"/>
            <w:sz w:val="18"/>
            <w:szCs w:val="18"/>
            <w:u w:val="single" w:color="auto"/>
            <w:color w:val="0000FF"/>
          </w:rPr>
          <w:t>Form of Performance-Based Phantom Stock Unit Award Agreement under the Company’s 2006 Equity Incentive</w:t>
        </w:r>
      </w:hyperlink>
      <w:r>
        <w:rPr>
          <w:rFonts w:ascii="Times New Roman" w:cs="Times New Roman" w:eastAsia="Times New Roman" w:hAnsi="Times New Roman"/>
          <w:sz w:val="16"/>
          <w:szCs w:val="16"/>
          <w:color w:val="auto"/>
        </w:rPr>
        <w:t xml:space="preserve"> </w:t>
      </w:r>
      <w:hyperlink r:id="rId92">
        <w:r>
          <w:rPr>
            <w:rFonts w:ascii="Times New Roman" w:cs="Times New Roman" w:eastAsia="Times New Roman" w:hAnsi="Times New Roman"/>
            <w:sz w:val="18"/>
            <w:szCs w:val="18"/>
            <w:u w:val="single" w:color="auto"/>
            <w:color w:val="0000FF"/>
          </w:rPr>
          <w:t>Plan, as amended and restated through 2007 (Incorporated by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Report on Form 10-Q filed February 8, 2016)</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-654685</wp:posOffset>
            </wp:positionH>
            <wp:positionV relativeFrom="paragraph">
              <wp:posOffset>3175</wp:posOffset>
            </wp:positionV>
            <wp:extent cx="640588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*10.25 — </w:t>
      </w:r>
      <w:hyperlink r:id="rId94">
        <w:r>
          <w:rPr>
            <w:rFonts w:ascii="Times New Roman" w:cs="Times New Roman" w:eastAsia="Times New Roman" w:hAnsi="Times New Roman"/>
            <w:sz w:val="18"/>
            <w:szCs w:val="18"/>
            <w:u w:val="single" w:color="auto"/>
            <w:color w:val="0000FF"/>
          </w:rPr>
          <w:t>Integrated Electrical Services, Inc. (n/k/a IES Holdings, Inc.) Amended and Restated 2006 Equity Incentive Plan (as</w:t>
        </w:r>
      </w:hyperlink>
      <w:r>
        <w:rPr>
          <w:rFonts w:ascii="Times New Roman" w:cs="Times New Roman" w:eastAsia="Times New Roman" w:hAnsi="Times New Roman"/>
          <w:sz w:val="16"/>
          <w:szCs w:val="16"/>
          <w:color w:val="auto"/>
        </w:rPr>
        <w:t xml:space="preserve"> </w:t>
      </w:r>
      <w:hyperlink r:id="rId94">
        <w:r>
          <w:rPr>
            <w:rFonts w:ascii="Times New Roman" w:cs="Times New Roman" w:eastAsia="Times New Roman" w:hAnsi="Times New Roman"/>
            <w:sz w:val="18"/>
            <w:szCs w:val="18"/>
            <w:u w:val="single" w:color="auto"/>
            <w:color w:val="0000FF"/>
          </w:rPr>
          <w:t>of February 9, 2016) (Incorporated by reference to Exhibit A to the Company’s Definitive Proxy Statement filed</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December 28, 2015)</w:t>
        </w:r>
      </w:hyperlink>
    </w:p>
    <w:p>
      <w:pPr>
        <w:spacing w:after="0" w:line="14" w:lineRule="exact"/>
        <w:rPr>
          <w:rFonts w:ascii="Times New Roman" w:cs="Times New Roman" w:eastAsia="Times New Roman" w:hAnsi="Times New Roman"/>
          <w:sz w:val="16"/>
          <w:szCs w:val="16"/>
          <w:color w:val="auto"/>
        </w:rPr>
      </w:pP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*10.26 — </w:t>
      </w:r>
      <w:hyperlink r:id="rId95">
        <w:r>
          <w:rPr>
            <w:rFonts w:ascii="Times New Roman" w:cs="Times New Roman" w:eastAsia="Times New Roman" w:hAnsi="Times New Roman"/>
            <w:sz w:val="18"/>
            <w:szCs w:val="18"/>
            <w:u w:val="single" w:color="auto"/>
            <w:color w:val="0000FF"/>
          </w:rPr>
          <w:t>Form of Phantom Stock Unit Award under the Company’s Amended and Restated 2006 Equity Incentive Plan (as of</w:t>
        </w:r>
      </w:hyperlink>
      <w:r>
        <w:rPr>
          <w:rFonts w:ascii="Times New Roman" w:cs="Times New Roman" w:eastAsia="Times New Roman" w:hAnsi="Times New Roman"/>
          <w:sz w:val="16"/>
          <w:szCs w:val="16"/>
          <w:color w:val="auto"/>
        </w:rPr>
        <w:t xml:space="preserve"> </w:t>
      </w:r>
      <w:hyperlink r:id="rId95">
        <w:r>
          <w:rPr>
            <w:rFonts w:ascii="Times New Roman" w:cs="Times New Roman" w:eastAsia="Times New Roman" w:hAnsi="Times New Roman"/>
            <w:sz w:val="18"/>
            <w:szCs w:val="18"/>
            <w:u w:val="single" w:color="auto"/>
            <w:color w:val="0000FF"/>
          </w:rPr>
          <w:t>February 9, 2016) (Incorporated by reference to Exhibit 10.4 to the Company’s Quarterly Report on Form 10-Q filed</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May 9, 2016)</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-654685</wp:posOffset>
            </wp:positionH>
            <wp:positionV relativeFrom="paragraph">
              <wp:posOffset>3175</wp:posOffset>
            </wp:positionV>
            <wp:extent cx="6405880" cy="445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*10.27 — </w:t>
      </w:r>
      <w:hyperlink r:id="rId97">
        <w:r>
          <w:rPr>
            <w:rFonts w:ascii="Times New Roman" w:cs="Times New Roman" w:eastAsia="Times New Roman" w:hAnsi="Times New Roman"/>
            <w:sz w:val="18"/>
            <w:szCs w:val="18"/>
            <w:u w:val="single" w:color="auto"/>
            <w:color w:val="0000FF"/>
          </w:rPr>
          <w:t>Form of Stock Option Award Agreement under the Company’s Amended and Restated 2006 Equity Incentive Plan</w:t>
        </w:r>
      </w:hyperlink>
      <w:r>
        <w:rPr>
          <w:rFonts w:ascii="Times New Roman" w:cs="Times New Roman" w:eastAsia="Times New Roman" w:hAnsi="Times New Roman"/>
          <w:sz w:val="16"/>
          <w:szCs w:val="16"/>
          <w:color w:val="auto"/>
        </w:rPr>
        <w:t xml:space="preserve"> </w:t>
      </w:r>
      <w:hyperlink r:id="rId97">
        <w:r>
          <w:rPr>
            <w:rFonts w:ascii="Times New Roman" w:cs="Times New Roman" w:eastAsia="Times New Roman" w:hAnsi="Times New Roman"/>
            <w:sz w:val="18"/>
            <w:szCs w:val="18"/>
            <w:u w:val="single" w:color="auto"/>
            <w:color w:val="0000FF"/>
          </w:rPr>
          <w:t>(as of February 9, 2016) (Incorporated by reference to Exhibit 10.3 to the Company’s Quarterly Report on Form 10-</w:t>
        </w:r>
      </w:hyperlink>
      <w:hyperlink r:id="rId97">
        <w:r>
          <w:rPr>
            <w:rFonts w:ascii="Times New Roman" w:cs="Times New Roman" w:eastAsia="Times New Roman" w:hAnsi="Times New Roman"/>
            <w:sz w:val="18"/>
            <w:szCs w:val="18"/>
            <w:u w:val="single" w:color="auto"/>
            <w:color w:val="0000FF"/>
          </w:rPr>
          <w:t>Q filed May 9, 2016)</w:t>
        </w:r>
      </w:hyperlink>
    </w:p>
    <w:p>
      <w:pPr>
        <w:spacing w:after="0" w:line="14" w:lineRule="exact"/>
        <w:rPr>
          <w:rFonts w:ascii="Times New Roman" w:cs="Times New Roman" w:eastAsia="Times New Roman" w:hAnsi="Times New Roman"/>
          <w:sz w:val="16"/>
          <w:szCs w:val="16"/>
          <w:color w:val="auto"/>
        </w:rPr>
      </w:pP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*10.28 — </w:t>
      </w:r>
      <w:hyperlink r:id="rId98">
        <w:r>
          <w:rPr>
            <w:rFonts w:ascii="Times New Roman" w:cs="Times New Roman" w:eastAsia="Times New Roman" w:hAnsi="Times New Roman"/>
            <w:sz w:val="18"/>
            <w:szCs w:val="18"/>
            <w:u w:val="single" w:color="auto"/>
            <w:color w:val="0000FF"/>
          </w:rPr>
          <w:t>Form of Restricted Stock Award Agreement under the Company’s Amended and Restated 2006 Equity Incentive</w:t>
        </w:r>
      </w:hyperlink>
      <w:r>
        <w:rPr>
          <w:rFonts w:ascii="Times New Roman" w:cs="Times New Roman" w:eastAsia="Times New Roman" w:hAnsi="Times New Roman"/>
          <w:sz w:val="16"/>
          <w:szCs w:val="16"/>
          <w:color w:val="auto"/>
        </w:rPr>
        <w:t xml:space="preserve"> </w:t>
      </w:r>
      <w:hyperlink r:id="rId98">
        <w:r>
          <w:rPr>
            <w:rFonts w:ascii="Times New Roman" w:cs="Times New Roman" w:eastAsia="Times New Roman" w:hAnsi="Times New Roman"/>
            <w:sz w:val="18"/>
            <w:szCs w:val="18"/>
            <w:u w:val="single" w:color="auto"/>
            <w:color w:val="0000FF"/>
          </w:rPr>
          <w:t>Plan (as of February 9, 2016) (Incorporated by reference to Exhibit 10.2 to the Company’s Quarterly Report on</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Form 10-Q filed May 9, 2016)</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-654685</wp:posOffset>
            </wp:positionH>
            <wp:positionV relativeFrom="paragraph">
              <wp:posOffset>3175</wp:posOffset>
            </wp:positionV>
            <wp:extent cx="640588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*10.29 — </w:t>
      </w:r>
      <w:hyperlink r:id="rId100">
        <w:r>
          <w:rPr>
            <w:rFonts w:ascii="Times New Roman" w:cs="Times New Roman" w:eastAsia="Times New Roman" w:hAnsi="Times New Roman"/>
            <w:sz w:val="18"/>
            <w:szCs w:val="18"/>
            <w:u w:val="single" w:color="auto"/>
            <w:color w:val="0000FF"/>
          </w:rPr>
          <w:t>Performance-Based Phantom Stock Unit Award Agreement, dated as of June 6, 2016, by and between the Company</w:t>
        </w:r>
      </w:hyperlink>
      <w:r>
        <w:rPr>
          <w:rFonts w:ascii="Times New Roman" w:cs="Times New Roman" w:eastAsia="Times New Roman" w:hAnsi="Times New Roman"/>
          <w:sz w:val="16"/>
          <w:szCs w:val="16"/>
          <w:color w:val="auto"/>
        </w:rPr>
        <w:t xml:space="preserve"> </w:t>
      </w:r>
      <w:hyperlink r:id="rId100">
        <w:r>
          <w:rPr>
            <w:rFonts w:ascii="Times New Roman" w:cs="Times New Roman" w:eastAsia="Times New Roman" w:hAnsi="Times New Roman"/>
            <w:sz w:val="18"/>
            <w:szCs w:val="18"/>
            <w:u w:val="single" w:color="auto"/>
            <w:color w:val="0000FF"/>
          </w:rPr>
          <w:t>and Mr. Santoni, under the Company’s Amended and Restated 2006 Equity Incentive Plan (as of February 9, 2016)</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(Incorporated by reference to Exhibit 10.1 to the Company’s Current Report on Form 8-K filed June 7, 2016)</w:t>
        </w:r>
      </w:hyperlink>
    </w:p>
    <w:p>
      <w:pPr>
        <w:spacing w:after="0" w:line="14" w:lineRule="exact"/>
        <w:rPr>
          <w:rFonts w:ascii="Times New Roman" w:cs="Times New Roman" w:eastAsia="Times New Roman" w:hAnsi="Times New Roman"/>
          <w:sz w:val="16"/>
          <w:szCs w:val="16"/>
          <w:color w:val="auto"/>
        </w:rPr>
      </w:pPr>
    </w:p>
    <w:p>
      <w:pPr>
        <w:jc w:val="both"/>
        <w:ind w:left="62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*10.30 — </w:t>
      </w:r>
      <w:hyperlink r:id="rId101">
        <w:r>
          <w:rPr>
            <w:rFonts w:ascii="Times New Roman" w:cs="Times New Roman" w:eastAsia="Times New Roman" w:hAnsi="Times New Roman"/>
            <w:sz w:val="18"/>
            <w:szCs w:val="18"/>
            <w:u w:val="single" w:color="auto"/>
            <w:color w:val="0000FF"/>
          </w:rPr>
          <w:t>Performance-Based Phantom Cash Unit Award Agreement, dated as of June 6, 2016, by and between the Company</w:t>
        </w:r>
      </w:hyperlink>
      <w:r>
        <w:rPr>
          <w:rFonts w:ascii="Times New Roman" w:cs="Times New Roman" w:eastAsia="Times New Roman" w:hAnsi="Times New Roman"/>
          <w:sz w:val="16"/>
          <w:szCs w:val="16"/>
          <w:color w:val="auto"/>
        </w:rPr>
        <w:t xml:space="preserve"> </w:t>
      </w:r>
      <w:hyperlink r:id="rId101">
        <w:r>
          <w:rPr>
            <w:rFonts w:ascii="Times New Roman" w:cs="Times New Roman" w:eastAsia="Times New Roman" w:hAnsi="Times New Roman"/>
            <w:sz w:val="18"/>
            <w:szCs w:val="18"/>
            <w:u w:val="single" w:color="auto"/>
            <w:color w:val="0000FF"/>
          </w:rPr>
          <w:t>and Mr. Santoni, under the Company’s Amended and Restated 2006 Equity Incentive Plan (as of February 9, 2016)</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(Incorporated by reference to Exhibit 10.2 to the Company’s Current Report on Form 8-K filed June 7, 2016)</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-654685</wp:posOffset>
            </wp:positionH>
            <wp:positionV relativeFrom="paragraph">
              <wp:posOffset>3175</wp:posOffset>
            </wp:positionV>
            <wp:extent cx="640588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jc w:val="both"/>
        <w:ind w:left="62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*10.31 — </w:t>
      </w:r>
      <w:hyperlink r:id="rId103">
        <w:r>
          <w:rPr>
            <w:rFonts w:ascii="Times New Roman" w:cs="Times New Roman" w:eastAsia="Times New Roman" w:hAnsi="Times New Roman"/>
            <w:sz w:val="18"/>
            <w:szCs w:val="18"/>
            <w:u w:val="single" w:color="auto"/>
            <w:color w:val="0000FF"/>
          </w:rPr>
          <w:t>Amended and Restated 2009 Deferred Compensation Plan (Incorporated by reference to Exhibit 10.34 to the</w:t>
        </w:r>
      </w:hyperlink>
      <w:r>
        <w:rPr>
          <w:rFonts w:ascii="Times New Roman" w:cs="Times New Roman" w:eastAsia="Times New Roman" w:hAnsi="Times New Roman"/>
          <w:sz w:val="16"/>
          <w:szCs w:val="16"/>
          <w:color w:val="auto"/>
        </w:rPr>
        <w:t xml:space="preserve"> </w:t>
      </w:r>
      <w:hyperlink r:id="rId103">
        <w:r>
          <w:rPr>
            <w:rFonts w:ascii="Times New Roman" w:cs="Times New Roman" w:eastAsia="Times New Roman" w:hAnsi="Times New Roman"/>
            <w:sz w:val="18"/>
            <w:szCs w:val="18"/>
            <w:u w:val="single" w:color="auto"/>
            <w:color w:val="0000FF"/>
          </w:rPr>
          <w:t>Company’s Annual Report on Form 10-K filed December 15, 2008)</w:t>
        </w:r>
      </w:hyperlink>
    </w:p>
    <w:p>
      <w:pPr>
        <w:spacing w:after="0" w:line="2" w:lineRule="exact"/>
        <w:rPr>
          <w:sz w:val="20"/>
          <w:szCs w:val="20"/>
          <w:color w:val="auto"/>
        </w:rPr>
      </w:pPr>
    </w:p>
    <w:p>
      <w:pPr>
        <w:jc w:val="both"/>
        <w:ind w:left="620" w:right="159" w:hanging="701"/>
        <w:spacing w:after="0" w:line="31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*10.32 — </w:t>
      </w:r>
      <w:hyperlink r:id="rId104">
        <w:r>
          <w:rPr>
            <w:rFonts w:ascii="Times New Roman" w:cs="Times New Roman" w:eastAsia="Times New Roman" w:hAnsi="Times New Roman"/>
            <w:sz w:val="17"/>
            <w:szCs w:val="17"/>
            <w:u w:val="single" w:color="auto"/>
            <w:color w:val="0000FF"/>
          </w:rPr>
          <w:t>Integrated Electrical Services, Inc. (n/k/a IES Holdings, Inc.) Long Term Incentive Plan, as amended and restated.</w:t>
        </w:r>
      </w:hyperlink>
      <w:r>
        <w:rPr>
          <w:rFonts w:ascii="Times New Roman" w:cs="Times New Roman" w:eastAsia="Times New Roman" w:hAnsi="Times New Roman"/>
          <w:sz w:val="15"/>
          <w:szCs w:val="15"/>
          <w:color w:val="auto"/>
        </w:rPr>
        <w:t xml:space="preserve"> </w:t>
      </w:r>
      <w:hyperlink r:id="rId104">
        <w:r>
          <w:rPr>
            <w:rFonts w:ascii="Times New Roman" w:cs="Times New Roman" w:eastAsia="Times New Roman" w:hAnsi="Times New Roman"/>
            <w:sz w:val="17"/>
            <w:szCs w:val="17"/>
            <w:u w:val="single" w:color="auto"/>
            <w:color w:val="0000FF"/>
          </w:rPr>
          <w:t>(Incorporated by reference to Exhibit 10.2 to the Company’s Current Report on Form 8-K filed September 23, 2009)</w:t>
        </w:r>
      </w:hyperlink>
    </w:p>
    <w:p>
      <w:pPr>
        <w:sectPr>
          <w:pgSz w:w="11900" w:h="16838" w:orient="portrait"/>
          <w:cols w:equalWidth="0" w:num="1">
            <w:col w:w="9179"/>
          </w:cols>
          <w:pgMar w:left="1280" w:top="499" w:right="1440" w:bottom="1440" w:gutter="0" w:footer="0" w:header="0"/>
        </w:sectPr>
      </w:pPr>
    </w:p>
    <w:p>
      <w:pPr>
        <w:spacing w:after="0" w:line="1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9179"/>
          </w:cols>
          <w:pgMar w:left="1280" w:top="499" w:right="1440" w:bottom="1440" w:gutter="0" w:footer="0" w:header="0"/>
          <w:type w:val="continuous"/>
        </w:sectPr>
      </w:pPr>
    </w:p>
    <w:bookmarkStart w:id="77" w:name="page78"/>
    <w:bookmarkEnd w:id="77"/>
    <w:p>
      <w:pPr>
        <w:jc w:val="both"/>
        <w:ind w:left="74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405880"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5">
                      <a:extLst>
                        <a:ext uri="{28A0092B-C50C-407E-A947-70E740481C1C}"/>
                      </a:extLst>
                    </a:blip>
                    <a:srcRect/>
                    <a:stretch>
                      <a:fillRect/>
                    </a:stretch>
                  </pic:blipFill>
                  <pic:spPr bwMode="auto">
                    <a:xfrm>
                      <a:off x="0" y="0"/>
                      <a:ext cx="6405880" cy="445770"/>
                    </a:xfrm>
                    <a:prstGeom prst="rect">
                      <a:avLst/>
                    </a:prstGeom>
                    <a:noFill/>
                  </pic:spPr>
                </pic:pic>
              </a:graphicData>
            </a:graphic>
          </wp:anchor>
        </w:drawing>
        <w:t xml:space="preserve">*10.33 — </w:t>
      </w:r>
      <w:hyperlink r:id="rId106">
        <w:r>
          <w:rPr>
            <w:rFonts w:ascii="Times New Roman" w:cs="Times New Roman" w:eastAsia="Times New Roman" w:hAnsi="Times New Roman"/>
            <w:sz w:val="18"/>
            <w:szCs w:val="18"/>
            <w:u w:val="single" w:color="auto"/>
            <w:color w:val="0000FF"/>
          </w:rPr>
          <w:t>Amended and Restated Integrated Electrical Services, Inc. (n/k/a IES Holdings, Inc.) Executive Severance Benefit</w:t>
        </w:r>
      </w:hyperlink>
      <w:r>
        <w:rPr>
          <w:rFonts w:ascii="Times New Roman" w:cs="Times New Roman" w:eastAsia="Times New Roman" w:hAnsi="Times New Roman"/>
          <w:sz w:val="16"/>
          <w:szCs w:val="16"/>
          <w:color w:val="auto"/>
        </w:rPr>
        <w:t xml:space="preserve"> </w:t>
      </w:r>
      <w:hyperlink r:id="rId106">
        <w:r>
          <w:rPr>
            <w:rFonts w:ascii="Times New Roman" w:cs="Times New Roman" w:eastAsia="Times New Roman" w:hAnsi="Times New Roman"/>
            <w:sz w:val="18"/>
            <w:szCs w:val="18"/>
            <w:u w:val="single" w:color="auto"/>
            <w:color w:val="0000FF"/>
          </w:rPr>
          <w:t>Plan, effective January 12, 2016 (Incorporated by reference to Exhibit 10.30 to the Company's Annual Report on</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Form 10-K filed December 9, 2016)</w:t>
        </w:r>
      </w:hyperlink>
    </w:p>
    <w:p>
      <w:pPr>
        <w:spacing w:after="0" w:line="14" w:lineRule="exact"/>
        <w:rPr>
          <w:rFonts w:ascii="Times New Roman" w:cs="Times New Roman" w:eastAsia="Times New Roman" w:hAnsi="Times New Roman"/>
          <w:sz w:val="16"/>
          <w:szCs w:val="16"/>
          <w:color w:val="auto"/>
        </w:rPr>
      </w:pPr>
    </w:p>
    <w:p>
      <w:pPr>
        <w:jc w:val="both"/>
        <w:ind w:left="74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*10.34 — </w:t>
      </w:r>
      <w:hyperlink r:id="rId107">
        <w:r>
          <w:rPr>
            <w:rFonts w:ascii="Times New Roman" w:cs="Times New Roman" w:eastAsia="Times New Roman" w:hAnsi="Times New Roman"/>
            <w:sz w:val="18"/>
            <w:szCs w:val="18"/>
            <w:u w:val="single" w:color="auto"/>
            <w:color w:val="0000FF"/>
          </w:rPr>
          <w:t>Form of Phantom Stock Unit Award under the Company’s Amended and Restated 2006 Equity Incentive Plan (as of</w:t>
        </w:r>
      </w:hyperlink>
      <w:r>
        <w:rPr>
          <w:rFonts w:ascii="Times New Roman" w:cs="Times New Roman" w:eastAsia="Times New Roman" w:hAnsi="Times New Roman"/>
          <w:sz w:val="16"/>
          <w:szCs w:val="16"/>
          <w:color w:val="auto"/>
        </w:rPr>
        <w:t xml:space="preserve"> </w:t>
      </w:r>
      <w:hyperlink r:id="rId107">
        <w:r>
          <w:rPr>
            <w:rFonts w:ascii="Times New Roman" w:cs="Times New Roman" w:eastAsia="Times New Roman" w:hAnsi="Times New Roman"/>
            <w:sz w:val="18"/>
            <w:szCs w:val="18"/>
            <w:u w:val="single" w:color="auto"/>
            <w:color w:val="0000FF"/>
          </w:rPr>
          <w:t>February 9, 2016), dated February 6, 2019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Report on Form 10-Q filed May 6, 2019)</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-578485</wp:posOffset>
            </wp:positionH>
            <wp:positionV relativeFrom="paragraph">
              <wp:posOffset>3175</wp:posOffset>
            </wp:positionV>
            <wp:extent cx="640588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jc w:val="both"/>
        <w:ind w:left="74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*10.35 — </w:t>
      </w:r>
      <w:hyperlink r:id="rId109">
        <w:r>
          <w:rPr>
            <w:rFonts w:ascii="Times New Roman" w:cs="Times New Roman" w:eastAsia="Times New Roman" w:hAnsi="Times New Roman"/>
            <w:sz w:val="18"/>
            <w:szCs w:val="18"/>
            <w:u w:val="single" w:color="auto"/>
            <w:color w:val="0000FF"/>
          </w:rPr>
          <w:t>IES Holdings, Inc. Short-Term Incentive Plan (Incorporated by reference to Exhibit 10.1 to the Company’s Current</w:t>
        </w:r>
      </w:hyperlink>
      <w:r>
        <w:rPr>
          <w:rFonts w:ascii="Times New Roman" w:cs="Times New Roman" w:eastAsia="Times New Roman" w:hAnsi="Times New Roman"/>
          <w:sz w:val="16"/>
          <w:szCs w:val="16"/>
          <w:color w:val="auto"/>
        </w:rPr>
        <w:t xml:space="preserve"> </w:t>
      </w:r>
      <w:hyperlink r:id="rId109">
        <w:r>
          <w:rPr>
            <w:rFonts w:ascii="Times New Roman" w:cs="Times New Roman" w:eastAsia="Times New Roman" w:hAnsi="Times New Roman"/>
            <w:sz w:val="18"/>
            <w:szCs w:val="18"/>
            <w:u w:val="single" w:color="auto"/>
            <w:color w:val="0000FF"/>
          </w:rPr>
          <w:t>Report on Form 8-K filed March, 5, 2019)</w:t>
        </w:r>
      </w:hyperlink>
    </w:p>
    <w:p>
      <w:pPr>
        <w:spacing w:after="0" w:line="2" w:lineRule="exact"/>
        <w:rPr>
          <w:sz w:val="20"/>
          <w:szCs w:val="20"/>
          <w:color w:val="auto"/>
        </w:rPr>
      </w:pPr>
    </w:p>
    <w:p>
      <w:pPr>
        <w:jc w:val="both"/>
        <w:ind w:left="74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*10.36 — </w:t>
      </w:r>
      <w:hyperlink r:id="rId110">
        <w:r>
          <w:rPr>
            <w:rFonts w:ascii="Times New Roman" w:cs="Times New Roman" w:eastAsia="Times New Roman" w:hAnsi="Times New Roman"/>
            <w:sz w:val="18"/>
            <w:szCs w:val="18"/>
            <w:u w:val="single" w:color="auto"/>
            <w:color w:val="0000FF"/>
          </w:rPr>
          <w:t>IES Holdings, Inc. Long-Term Incentive Plan Annual Grant Program (Incorporated by reference to Exhibit 10.2 to</w:t>
        </w:r>
      </w:hyperlink>
      <w:r>
        <w:rPr>
          <w:rFonts w:ascii="Times New Roman" w:cs="Times New Roman" w:eastAsia="Times New Roman" w:hAnsi="Times New Roman"/>
          <w:sz w:val="16"/>
          <w:szCs w:val="16"/>
          <w:color w:val="auto"/>
        </w:rPr>
        <w:t xml:space="preserve"> </w:t>
      </w:r>
      <w:hyperlink r:id="rId110">
        <w:r>
          <w:rPr>
            <w:rFonts w:ascii="Times New Roman" w:cs="Times New Roman" w:eastAsia="Times New Roman" w:hAnsi="Times New Roman"/>
            <w:sz w:val="18"/>
            <w:szCs w:val="18"/>
            <w:u w:val="single" w:color="auto"/>
            <w:color w:val="0000FF"/>
          </w:rPr>
          <w:t>the Company’s Current Report on Form 8-K filed March,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-3810</wp:posOffset>
            </wp:positionV>
            <wp:extent cx="6405880"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1">
                      <a:extLst>
                        <a:ext uri="{28A0092B-C50C-407E-A947-70E740481C1C}"/>
                      </a:extLst>
                    </a:blip>
                    <a:srcRect/>
                    <a:stretch>
                      <a:fillRect/>
                    </a:stretch>
                  </pic:blipFill>
                  <pic:spPr bwMode="auto">
                    <a:xfrm>
                      <a:off x="0" y="0"/>
                      <a:ext cx="6405880" cy="445770"/>
                    </a:xfrm>
                    <a:prstGeom prst="rect">
                      <a:avLst/>
                    </a:prstGeom>
                    <a:noFill/>
                  </pic:spPr>
                </pic:pic>
              </a:graphicData>
            </a:graphic>
          </wp:anchor>
        </w:drawing>
      </w:r>
    </w:p>
    <w:p>
      <w:pPr>
        <w:jc w:val="both"/>
        <w:ind w:left="740" w:right="159" w:hanging="701"/>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*10.37 — </w:t>
      </w:r>
      <w:hyperlink r:id="rId112">
        <w:r>
          <w:rPr>
            <w:rFonts w:ascii="Times New Roman" w:cs="Times New Roman" w:eastAsia="Times New Roman" w:hAnsi="Times New Roman"/>
            <w:sz w:val="18"/>
            <w:szCs w:val="18"/>
            <w:u w:val="single" w:color="auto"/>
            <w:color w:val="0000FF"/>
          </w:rPr>
          <w:t>Form of Cumulative Income Restricted Stock Award Agreement under the Company’s 2006 Equity Incentive Plan</w:t>
        </w:r>
      </w:hyperlink>
      <w:r>
        <w:rPr>
          <w:rFonts w:ascii="Times New Roman" w:cs="Times New Roman" w:eastAsia="Times New Roman" w:hAnsi="Times New Roman"/>
          <w:sz w:val="16"/>
          <w:szCs w:val="16"/>
          <w:color w:val="auto"/>
        </w:rPr>
        <w:t xml:space="preserve"> </w:t>
      </w:r>
      <w:hyperlink r:id="rId112">
        <w:r>
          <w:rPr>
            <w:rFonts w:ascii="Times New Roman" w:cs="Times New Roman" w:eastAsia="Times New Roman" w:hAnsi="Times New Roman"/>
            <w:sz w:val="18"/>
            <w:szCs w:val="18"/>
            <w:u w:val="single" w:color="auto"/>
            <w:color w:val="0000FF"/>
          </w:rPr>
          <w:t>(as of February 9, 2016), dated March 4, 2019 (Incorporated by reference to Exhibit 10.5 to the Company’s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Quarterly Report on Form 10-Q filed May 6, 2019)</w:t>
        </w:r>
      </w:hyperlink>
    </w:p>
    <w:p>
      <w:pPr>
        <w:spacing w:after="0" w:line="14" w:lineRule="exact"/>
        <w:rPr>
          <w:rFonts w:ascii="Times New Roman" w:cs="Times New Roman" w:eastAsia="Times New Roman" w:hAnsi="Times New Roman"/>
          <w:sz w:val="16"/>
          <w:szCs w:val="16"/>
          <w:color w:val="auto"/>
        </w:rPr>
      </w:pPr>
    </w:p>
    <w:p>
      <w:pPr>
        <w:jc w:val="both"/>
        <w:ind w:left="740" w:right="159" w:hanging="701"/>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*10.38 — </w:t>
      </w:r>
      <w:hyperlink r:id="rId113">
        <w:r>
          <w:rPr>
            <w:rFonts w:ascii="Times New Roman" w:cs="Times New Roman" w:eastAsia="Times New Roman" w:hAnsi="Times New Roman"/>
            <w:sz w:val="18"/>
            <w:szCs w:val="18"/>
            <w:u w:val="single" w:color="auto"/>
            <w:color w:val="0000FF"/>
          </w:rPr>
          <w:t>Time-Based Restricted Stock Award Agreement, dated as of March 4, 2019, by and between IES Holdings, Inc. and</w:t>
        </w:r>
      </w:hyperlink>
      <w:r>
        <w:rPr>
          <w:rFonts w:ascii="Times New Roman" w:cs="Times New Roman" w:eastAsia="Times New Roman" w:hAnsi="Times New Roman"/>
          <w:sz w:val="16"/>
          <w:szCs w:val="16"/>
          <w:color w:val="auto"/>
        </w:rPr>
        <w:t xml:space="preserve"> </w:t>
      </w:r>
      <w:hyperlink r:id="rId113">
        <w:r>
          <w:rPr>
            <w:rFonts w:ascii="Times New Roman" w:cs="Times New Roman" w:eastAsia="Times New Roman" w:hAnsi="Times New Roman"/>
            <w:sz w:val="18"/>
            <w:szCs w:val="18"/>
            <w:u w:val="single" w:color="auto"/>
            <w:color w:val="0000FF"/>
          </w:rPr>
          <w:t>Gary S. Matthews, under the Company’s Amended and Restated 2006 Equity Incentive Plan (as of February 9,</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2016) (Incorporated by reference to Exhibit 10.6 to the Company’s Quarterly Report on Form 10-Q filed May 6,</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-578485</wp:posOffset>
            </wp:positionH>
            <wp:positionV relativeFrom="paragraph">
              <wp:posOffset>5715</wp:posOffset>
            </wp:positionV>
            <wp:extent cx="6405880" cy="5829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6405880" cy="582930"/>
                    </a:xfrm>
                    <a:prstGeom prst="rect">
                      <a:avLst/>
                    </a:prstGeom>
                    <a:noFill/>
                  </pic:spPr>
                </pic:pic>
              </a:graphicData>
            </a:graphic>
          </wp:anchor>
        </w:drawing>
      </w:r>
    </w:p>
    <w:p>
      <w:pPr>
        <w:jc w:val="both"/>
        <w:ind w:left="740" w:right="159" w:hanging="701"/>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*10.39 — </w:t>
      </w:r>
      <w:hyperlink r:id="rId115">
        <w:r>
          <w:rPr>
            <w:rFonts w:ascii="Times New Roman" w:cs="Times New Roman" w:eastAsia="Times New Roman" w:hAnsi="Times New Roman"/>
            <w:sz w:val="18"/>
            <w:szCs w:val="18"/>
            <w:u w:val="single" w:color="auto"/>
            <w:color w:val="0000FF"/>
          </w:rPr>
          <w:t>First Stock Price-Based Restricted Stock Award Agreement, dated as of March 4, 2019, by and between IES</w:t>
        </w:r>
      </w:hyperlink>
      <w:r>
        <w:rPr>
          <w:rFonts w:ascii="Times New Roman" w:cs="Times New Roman" w:eastAsia="Times New Roman" w:hAnsi="Times New Roman"/>
          <w:sz w:val="16"/>
          <w:szCs w:val="16"/>
          <w:color w:val="auto"/>
        </w:rPr>
        <w:t xml:space="preserve"> </w:t>
      </w:r>
      <w:hyperlink r:id="rId115">
        <w:r>
          <w:rPr>
            <w:rFonts w:ascii="Times New Roman" w:cs="Times New Roman" w:eastAsia="Times New Roman" w:hAnsi="Times New Roman"/>
            <w:sz w:val="18"/>
            <w:szCs w:val="18"/>
            <w:u w:val="single" w:color="auto"/>
            <w:color w:val="0000FF"/>
          </w:rPr>
          <w:t>Holdings, Inc. and Gary S. Matthews, under the Company’s Amended and Restated 2006 Equity Incentive Plan (as</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of February 9, 2016) (Incorporated by reference to Exhibit 10.7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filed May 6, 2019)</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740" w:right="159" w:hanging="701"/>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*10.40 — </w:t>
      </w:r>
      <w:hyperlink r:id="rId116">
        <w:r>
          <w:rPr>
            <w:rFonts w:ascii="Times New Roman" w:cs="Times New Roman" w:eastAsia="Times New Roman" w:hAnsi="Times New Roman"/>
            <w:sz w:val="18"/>
            <w:szCs w:val="18"/>
            <w:u w:val="single" w:color="auto"/>
            <w:color w:val="0000FF"/>
          </w:rPr>
          <w:t>Second Stock Price-Based Restricted Stock Award Agreement, dated as of March 4, 2019, by and between IES</w:t>
        </w:r>
      </w:hyperlink>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8"/>
            <w:szCs w:val="18"/>
            <w:u w:val="single" w:color="auto"/>
            <w:color w:val="0000FF"/>
          </w:rPr>
          <w:t>Holdings, Inc. and Gary S. Matthews, under the Company’s Amended and Restated 2006 Equity Incentive Plan (as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of February 9, 2016) (Incorporated by reference to Exhibit 10.8 to the Company’s Quarterly Report on Form 10-Q</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filed May 6,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-578485</wp:posOffset>
            </wp:positionH>
            <wp:positionV relativeFrom="paragraph">
              <wp:posOffset>5715</wp:posOffset>
            </wp:positionV>
            <wp:extent cx="640588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7">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jc w:val="both"/>
        <w:ind w:left="74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*10.41 — </w:t>
      </w:r>
      <w:hyperlink r:id="rId118">
        <w:r>
          <w:rPr>
            <w:rFonts w:ascii="Times New Roman" w:cs="Times New Roman" w:eastAsia="Times New Roman" w:hAnsi="Times New Roman"/>
            <w:sz w:val="18"/>
            <w:szCs w:val="18"/>
            <w:u w:val="single" w:color="auto"/>
            <w:color w:val="0000FF"/>
          </w:rPr>
          <w:t>Employment Agreement between IES Holdings, Inc. and Gary S. Matthews, dated as of February 28, 2019</w:t>
        </w:r>
      </w:hyperlink>
      <w:r>
        <w:rPr>
          <w:rFonts w:ascii="Times New Roman" w:cs="Times New Roman" w:eastAsia="Times New Roman" w:hAnsi="Times New Roman"/>
          <w:sz w:val="16"/>
          <w:szCs w:val="16"/>
          <w:color w:val="auto"/>
        </w:rPr>
        <w:t xml:space="preserve"> </w:t>
      </w:r>
      <w:hyperlink r:id="rId118">
        <w:r>
          <w:rPr>
            <w:rFonts w:ascii="Times New Roman" w:cs="Times New Roman" w:eastAsia="Times New Roman" w:hAnsi="Times New Roman"/>
            <w:sz w:val="18"/>
            <w:szCs w:val="18"/>
            <w:u w:val="single" w:color="auto"/>
            <w:color w:val="0000FF"/>
          </w:rPr>
          <w:t>(Incorporated by reference to Exhibit 10.9 to the Company’s Quarterly Report on Form 10-Q filed May 6, 2019)</w:t>
        </w:r>
      </w:hyperlink>
    </w:p>
    <w:p>
      <w:pPr>
        <w:spacing w:after="0" w:line="2" w:lineRule="exact"/>
        <w:rPr>
          <w:sz w:val="20"/>
          <w:szCs w:val="20"/>
          <w:color w:val="auto"/>
        </w:rPr>
      </w:pPr>
    </w:p>
    <w:p>
      <w:pPr>
        <w:jc w:val="both"/>
        <w:ind w:left="74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*10.42 — </w:t>
      </w:r>
      <w:hyperlink r:id="rId119">
        <w:r>
          <w:rPr>
            <w:rFonts w:ascii="Times New Roman" w:cs="Times New Roman" w:eastAsia="Times New Roman" w:hAnsi="Times New Roman"/>
            <w:sz w:val="18"/>
            <w:szCs w:val="18"/>
            <w:u w:val="single" w:color="auto"/>
            <w:color w:val="0000FF"/>
          </w:rPr>
          <w:t>Transition Agreement and Release between IES Holdings, Inc. and Robert W. Lewey, dated as of March 9, 2019</w:t>
        </w:r>
      </w:hyperlink>
      <w:r>
        <w:rPr>
          <w:rFonts w:ascii="Times New Roman" w:cs="Times New Roman" w:eastAsia="Times New Roman" w:hAnsi="Times New Roman"/>
          <w:sz w:val="16"/>
          <w:szCs w:val="16"/>
          <w:color w:val="auto"/>
        </w:rPr>
        <w:t xml:space="preserve"> </w:t>
      </w:r>
      <w:hyperlink r:id="rId119">
        <w:r>
          <w:rPr>
            <w:rFonts w:ascii="Times New Roman" w:cs="Times New Roman" w:eastAsia="Times New Roman" w:hAnsi="Times New Roman"/>
            <w:sz w:val="18"/>
            <w:szCs w:val="18"/>
            <w:u w:val="single" w:color="auto"/>
            <w:color w:val="0000FF"/>
          </w:rPr>
          <w:t>(Incorporated by reference to Exhibit 10.10 to the Company’s Quarterly Report on Form 10-Q filed May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-3810</wp:posOffset>
            </wp:positionV>
            <wp:extent cx="640588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a:extLst>
                        <a:ext uri="{28A0092B-C50C-407E-A947-70E740481C1C}"/>
                      </a:extLst>
                    </a:blip>
                    <a:srcRect/>
                    <a:stretch>
                      <a:fillRect/>
                    </a:stretch>
                  </pic:blipFill>
                  <pic:spPr bwMode="auto">
                    <a:xfrm>
                      <a:off x="0" y="0"/>
                      <a:ext cx="6405880" cy="308610"/>
                    </a:xfrm>
                    <a:prstGeom prst="rect">
                      <a:avLst/>
                    </a:prstGeom>
                    <a:noFill/>
                  </pic:spPr>
                </pic:pic>
              </a:graphicData>
            </a:graphic>
          </wp:anchor>
        </w:drawing>
      </w:r>
    </w:p>
    <w:p>
      <w:pPr>
        <w:jc w:val="both"/>
        <w:ind w:left="740" w:right="159" w:hanging="701"/>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6"/>
          <w:szCs w:val="16"/>
          <w:color w:val="auto"/>
        </w:rPr>
        <w:t xml:space="preserve">*10.43 — </w:t>
      </w:r>
      <w:hyperlink r:id="rId121">
        <w:r>
          <w:rPr>
            <w:rFonts w:ascii="Times New Roman" w:cs="Times New Roman" w:eastAsia="Times New Roman" w:hAnsi="Times New Roman"/>
            <w:sz w:val="18"/>
            <w:szCs w:val="18"/>
            <w:u w:val="single" w:color="auto"/>
            <w:color w:val="0000FF"/>
          </w:rPr>
          <w:t>Consulting Fee Agreement between IES Holdings, Inc. and Robert W. Lewey, dated as of March 9, 2019</w:t>
        </w:r>
      </w:hyperlink>
      <w:r>
        <w:rPr>
          <w:rFonts w:ascii="Times New Roman" w:cs="Times New Roman" w:eastAsia="Times New Roman" w:hAnsi="Times New Roman"/>
          <w:sz w:val="16"/>
          <w:szCs w:val="16"/>
          <w:color w:val="auto"/>
        </w:rPr>
        <w:t xml:space="preserve"> </w:t>
      </w:r>
      <w:hyperlink r:id="rId121">
        <w:r>
          <w:rPr>
            <w:rFonts w:ascii="Times New Roman" w:cs="Times New Roman" w:eastAsia="Times New Roman" w:hAnsi="Times New Roman"/>
            <w:sz w:val="18"/>
            <w:szCs w:val="18"/>
            <w:u w:val="single" w:color="auto"/>
            <w:color w:val="0000FF"/>
          </w:rPr>
          <w:t>(Incorporated by reference to Exhibit 10.11 to the Company’s Quarterly Report on Form 10-Q filed May 6, 2019)</w:t>
        </w:r>
      </w:hyperlink>
    </w:p>
    <w:p>
      <w:pPr>
        <w:ind w:left="20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21.1 — </w:t>
      </w:r>
      <w:hyperlink w:anchor="page84">
        <w:r>
          <w:rPr>
            <w:rFonts w:ascii="Times New Roman" w:cs="Times New Roman" w:eastAsia="Times New Roman" w:hAnsi="Times New Roman"/>
            <w:sz w:val="18"/>
            <w:szCs w:val="18"/>
            <w:u w:val="single" w:color="auto"/>
            <w:color w:val="0000FF"/>
          </w:rPr>
          <w:t>Subsidiaries of the Registrant</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-13335</wp:posOffset>
            </wp:positionV>
            <wp:extent cx="64058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ind w:left="200"/>
        <w:spacing w:after="0" w:line="22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 </w:t>
      </w:r>
      <w:hyperlink w:anchor="page85">
        <w:r>
          <w:rPr>
            <w:rFonts w:ascii="Times New Roman" w:cs="Times New Roman" w:eastAsia="Times New Roman" w:hAnsi="Times New Roman"/>
            <w:sz w:val="18"/>
            <w:szCs w:val="18"/>
            <w:u w:val="single" w:color="auto"/>
            <w:color w:val="0000FF"/>
          </w:rPr>
          <w:t>Consent of Ernst &amp; Young LLP</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25"/>
          <w:szCs w:val="25"/>
          <w:color w:val="auto"/>
          <w:vertAlign w:val="superscript"/>
        </w:rPr>
        <w:t>(1)</w:t>
      </w:r>
    </w:p>
    <w:p>
      <w:pPr>
        <w:ind w:left="200"/>
        <w:spacing w:after="0" w:line="22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31.1 — </w:t>
      </w:r>
      <w:hyperlink w:anchor="page86">
        <w:r>
          <w:rPr>
            <w:rFonts w:ascii="Times New Roman" w:cs="Times New Roman" w:eastAsia="Times New Roman" w:hAnsi="Times New Roman"/>
            <w:sz w:val="18"/>
            <w:szCs w:val="18"/>
            <w:u w:val="single" w:color="auto"/>
            <w:color w:val="0000FF"/>
          </w:rPr>
          <w:t>Rule 13a-14(a)/15d-14(a) Certification of Gary S. Matthews, Chief Executive Officer</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-13335</wp:posOffset>
            </wp:positionV>
            <wp:extent cx="64058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ind w:left="200"/>
        <w:spacing w:after="0" w:line="22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31.2 — </w:t>
      </w:r>
      <w:hyperlink w:anchor="page87">
        <w:r>
          <w:rPr>
            <w:rFonts w:ascii="Times New Roman" w:cs="Times New Roman" w:eastAsia="Times New Roman" w:hAnsi="Times New Roman"/>
            <w:sz w:val="18"/>
            <w:szCs w:val="18"/>
            <w:u w:val="single" w:color="auto"/>
            <w:color w:val="0000FF"/>
          </w:rPr>
          <w:t>Rule 13a-14(a)/15d-14(a) Certification of Tracy A. McLauchlin, Chief Financial Officer</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25"/>
          <w:szCs w:val="25"/>
          <w:color w:val="auto"/>
          <w:vertAlign w:val="superscript"/>
        </w:rPr>
        <w:t>(1)</w:t>
      </w:r>
    </w:p>
    <w:p>
      <w:pPr>
        <w:ind w:left="200"/>
        <w:spacing w:after="0" w:line="22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32.1 — </w:t>
      </w:r>
      <w:hyperlink w:anchor="page88">
        <w:r>
          <w:rPr>
            <w:rFonts w:ascii="Times New Roman" w:cs="Times New Roman" w:eastAsia="Times New Roman" w:hAnsi="Times New Roman"/>
            <w:sz w:val="18"/>
            <w:szCs w:val="18"/>
            <w:u w:val="single" w:color="auto"/>
            <w:color w:val="0000FF"/>
          </w:rPr>
          <w:t>Section 1350 Certification of Gary S. Matthews, Chief Executive Officer</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-13335</wp:posOffset>
            </wp:positionV>
            <wp:extent cx="64058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ind w:left="200"/>
        <w:spacing w:after="0" w:line="2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32.2 — </w:t>
      </w:r>
      <w:hyperlink w:anchor="page89">
        <w:r>
          <w:rPr>
            <w:rFonts w:ascii="Times New Roman" w:cs="Times New Roman" w:eastAsia="Times New Roman" w:hAnsi="Times New Roman"/>
            <w:sz w:val="18"/>
            <w:szCs w:val="18"/>
            <w:u w:val="single" w:color="auto"/>
            <w:color w:val="0000FF"/>
          </w:rPr>
          <w:t>Section 1350 Certification of Tracy A. McLauchlin, Chief Financial Officer</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25"/>
          <w:szCs w:val="25"/>
          <w:color w:val="auto"/>
          <w:vertAlign w:val="superscript"/>
        </w:rPr>
        <w:t>(2)</w:t>
      </w:r>
    </w:p>
    <w:p>
      <w:pPr>
        <w:spacing w:after="0" w:line="1" w:lineRule="exact"/>
        <w:rPr>
          <w:sz w:val="20"/>
          <w:szCs w:val="20"/>
          <w:color w:val="auto"/>
        </w:rPr>
      </w:pPr>
    </w:p>
    <w:p>
      <w:pPr>
        <w:ind w:left="740" w:right="159" w:hanging="658"/>
        <w:spacing w:after="0" w:line="233" w:lineRule="auto"/>
        <w:rPr>
          <w:sz w:val="20"/>
          <w:szCs w:val="20"/>
          <w:color w:val="auto"/>
        </w:rPr>
      </w:pPr>
      <w:r>
        <w:rPr>
          <w:rFonts w:ascii="Times New Roman" w:cs="Times New Roman" w:eastAsia="Times New Roman" w:hAnsi="Times New Roman"/>
          <w:sz w:val="18"/>
          <w:szCs w:val="18"/>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-13970</wp:posOffset>
            </wp:positionV>
            <wp:extent cx="64058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ind w:left="20"/>
        <w:spacing w:after="0" w:line="225" w:lineRule="auto"/>
        <w:rPr>
          <w:sz w:val="20"/>
          <w:szCs w:val="20"/>
          <w:color w:val="auto"/>
        </w:rPr>
      </w:pPr>
      <w:r>
        <w:rPr>
          <w:rFonts w:ascii="Times New Roman" w:cs="Times New Roman" w:eastAsia="Times New Roman" w:hAnsi="Times New Roman"/>
          <w:sz w:val="18"/>
          <w:szCs w:val="18"/>
          <w:color w:val="auto"/>
        </w:rPr>
        <w:t xml:space="preserve">101.SCH Inline XBRL Schema Document </w:t>
      </w:r>
      <w:r>
        <w:rPr>
          <w:rFonts w:ascii="Times New Roman" w:cs="Times New Roman" w:eastAsia="Times New Roman" w:hAnsi="Times New Roman"/>
          <w:sz w:val="25"/>
          <w:szCs w:val="25"/>
          <w:color w:val="auto"/>
          <w:vertAlign w:val="superscript"/>
        </w:rPr>
        <w:t>(1)</w:t>
      </w:r>
    </w:p>
    <w:p>
      <w:pPr>
        <w:spacing w:after="0" w:line="226" w:lineRule="auto"/>
        <w:rPr>
          <w:sz w:val="20"/>
          <w:szCs w:val="20"/>
          <w:color w:val="auto"/>
        </w:rPr>
      </w:pPr>
      <w:r>
        <w:rPr>
          <w:rFonts w:ascii="Times New Roman" w:cs="Times New Roman" w:eastAsia="Times New Roman" w:hAnsi="Times New Roman"/>
          <w:sz w:val="18"/>
          <w:szCs w:val="18"/>
          <w:color w:val="auto"/>
        </w:rPr>
        <w:t xml:space="preserve">101.LAB Inline XBRL Label Linkbase Document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-13970</wp:posOffset>
            </wp:positionV>
            <wp:extent cx="64058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6">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ind w:left="40"/>
        <w:spacing w:after="0" w:line="225" w:lineRule="auto"/>
        <w:rPr>
          <w:sz w:val="20"/>
          <w:szCs w:val="20"/>
          <w:color w:val="auto"/>
        </w:rPr>
      </w:pPr>
      <w:r>
        <w:rPr>
          <w:rFonts w:ascii="Times New Roman" w:cs="Times New Roman" w:eastAsia="Times New Roman" w:hAnsi="Times New Roman"/>
          <w:sz w:val="18"/>
          <w:szCs w:val="18"/>
          <w:color w:val="auto"/>
        </w:rPr>
        <w:t xml:space="preserve">101.PRE Inline XBRL Presentation Linkbase Document </w:t>
      </w:r>
      <w:r>
        <w:rPr>
          <w:rFonts w:ascii="Times New Roman" w:cs="Times New Roman" w:eastAsia="Times New Roman" w:hAnsi="Times New Roman"/>
          <w:sz w:val="25"/>
          <w:szCs w:val="25"/>
          <w:color w:val="auto"/>
          <w:vertAlign w:val="superscript"/>
        </w:rPr>
        <w:t>(1)</w:t>
      </w:r>
    </w:p>
    <w:p>
      <w:pPr>
        <w:ind w:left="20"/>
        <w:spacing w:after="0" w:line="226" w:lineRule="auto"/>
        <w:rPr>
          <w:sz w:val="20"/>
          <w:szCs w:val="20"/>
          <w:color w:val="auto"/>
        </w:rPr>
      </w:pPr>
      <w:r>
        <w:rPr>
          <w:rFonts w:ascii="Times New Roman" w:cs="Times New Roman" w:eastAsia="Times New Roman" w:hAnsi="Times New Roman"/>
          <w:sz w:val="18"/>
          <w:szCs w:val="18"/>
          <w:color w:val="auto"/>
        </w:rPr>
        <w:t xml:space="preserve">101.DEF Inline XBRL Definition Linkbase Document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-13970</wp:posOffset>
            </wp:positionV>
            <wp:extent cx="64058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7">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18"/>
          <w:szCs w:val="18"/>
          <w:color w:val="auto"/>
        </w:rPr>
        <w:t xml:space="preserve">101.CAL Inline XBRL Calculation Linkbase Document </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740" w:right="159" w:hanging="323"/>
        <w:spacing w:after="0" w:line="259" w:lineRule="auto"/>
        <w:rPr>
          <w:sz w:val="20"/>
          <w:szCs w:val="20"/>
          <w:color w:val="auto"/>
        </w:rPr>
      </w:pPr>
      <w:r>
        <w:rPr>
          <w:rFonts w:ascii="Times New Roman" w:cs="Times New Roman" w:eastAsia="Times New Roman" w:hAnsi="Times New Roman"/>
          <w:sz w:val="18"/>
          <w:szCs w:val="18"/>
          <w:color w:val="auto"/>
        </w:rPr>
        <w:t>104 Cover Page Interactive Data File - the cover page interactive data file does not appear in the Interactive Data File because its XBRL tags are embedded within the Inline XBRL document</w:t>
      </w:r>
    </w:p>
    <w:p>
      <w:pPr>
        <w:spacing w:after="0" w:line="317" w:lineRule="exact"/>
        <w:rPr>
          <w:sz w:val="20"/>
          <w:szCs w:val="20"/>
          <w:color w:val="auto"/>
        </w:rPr>
      </w:pPr>
    </w:p>
    <w:p>
      <w:pPr>
        <w:ind w:left="740" w:hanging="14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 required to be filed herewith pursuant to Item 15(a)</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this Annual Report on Form 10-K.</w:t>
      </w:r>
    </w:p>
    <w:p>
      <w:pPr>
        <w:spacing w:after="0" w:line="45" w:lineRule="exact"/>
        <w:rPr>
          <w:sz w:val="20"/>
          <w:szCs w:val="20"/>
          <w:color w:val="auto"/>
        </w:rPr>
      </w:pPr>
    </w:p>
    <w:p>
      <w:pPr>
        <w:ind w:left="740" w:hanging="2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rFonts w:ascii="Times New Roman" w:cs="Times New Roman" w:eastAsia="Times New Roman" w:hAnsi="Times New Roman"/>
          <w:sz w:val="18"/>
          <w:szCs w:val="18"/>
          <w:color w:val="auto"/>
        </w:rPr>
      </w:pPr>
    </w:p>
    <w:p>
      <w:pPr>
        <w:ind w:left="740" w:hanging="2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9299"/>
          </w:cols>
          <w:pgMar w:left="1160" w:top="499"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299"/>
          </w:cols>
          <w:pgMar w:left="1160" w:top="499" w:right="1440"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December 6, 2019.</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IES HOLDINGS, INC.</w:t>
      </w:r>
    </w:p>
    <w:p>
      <w:pPr>
        <w:spacing w:after="0" w:line="200" w:lineRule="exact"/>
        <w:rPr>
          <w:sz w:val="20"/>
          <w:szCs w:val="20"/>
          <w:color w:val="auto"/>
        </w:rPr>
      </w:pPr>
    </w:p>
    <w:p>
      <w:pPr>
        <w:spacing w:after="0" w:line="272" w:lineRule="exact"/>
        <w:rPr>
          <w:sz w:val="20"/>
          <w:szCs w:val="20"/>
          <w:color w:val="auto"/>
        </w:rPr>
      </w:pPr>
    </w:p>
    <w:p>
      <w:pPr>
        <w:ind w:left="45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S. Matthews</w:t>
      </w:r>
    </w:p>
    <w:p>
      <w:pPr>
        <w:spacing w:after="0" w:line="4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i w:val="1"/>
          <w:iCs w:val="1"/>
          <w:color w:val="auto"/>
        </w:rPr>
        <w:t>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-126365</wp:posOffset>
            </wp:positionV>
            <wp:extent cx="27787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officers and directors of IES HOLDINGS, INC. hereby constitutes and appoints Gary S. Matthews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 agents, or either of them, or their or his substitutes or substitute, may lawfully do or cause to be done by virtue hereof.</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86"/>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Gary S. Matthews</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Gary S. Matthews</w:t>
            </w:r>
          </w:p>
        </w:tc>
        <w:tc>
          <w:tcPr>
            <w:tcW w:w="510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520" w:type="dxa"/>
            <w:vAlign w:val="bottom"/>
          </w:tcPr>
          <w:p>
            <w:pPr>
              <w:spacing w:after="0"/>
              <w:rPr>
                <w:sz w:val="24"/>
                <w:szCs w:val="24"/>
                <w:color w:val="auto"/>
              </w:rPr>
            </w:pP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34"/>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Tracy A. McLauchlin</w:t>
            </w:r>
          </w:p>
        </w:tc>
        <w:tc>
          <w:tcPr>
            <w:tcW w:w="51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and Treasurer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Tracy A. McLauchlin</w:t>
            </w:r>
          </w:p>
        </w:tc>
        <w:tc>
          <w:tcPr>
            <w:tcW w:w="51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5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Todd M. Cleveland</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Todd M. Cleveland</w:t>
            </w:r>
          </w:p>
        </w:tc>
        <w:tc>
          <w:tcPr>
            <w:tcW w:w="5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Joseph L. Dowling III</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L. Dowling III</w:t>
            </w:r>
          </w:p>
        </w:tc>
        <w:tc>
          <w:tcPr>
            <w:tcW w:w="5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David B. Gendell</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B. Gendell</w:t>
            </w:r>
          </w:p>
        </w:tc>
        <w:tc>
          <w:tcPr>
            <w:tcW w:w="5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Jeffrey L. Gendell</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Jeffrey L. Gendell</w:t>
            </w:r>
          </w:p>
        </w:tc>
        <w:tc>
          <w:tcPr>
            <w:tcW w:w="5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Joe D. Koshkin</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Joe D. Koshkin</w:t>
            </w:r>
          </w:p>
        </w:tc>
        <w:tc>
          <w:tcPr>
            <w:tcW w:w="5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Donald L. Luke</w:t>
            </w:r>
          </w:p>
        </w:tc>
        <w:tc>
          <w:tcPr>
            <w:tcW w:w="5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December 6, 2019</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Donald L. Luke</w:t>
            </w:r>
          </w:p>
        </w:tc>
        <w:tc>
          <w:tcPr>
            <w:tcW w:w="5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333" w:right="239" w:bottom="1440" w:gutter="0" w:footer="0" w:header="0"/>
          <w:type w:val="continuous"/>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SUBLEASE AGREEMENT</w:t>
      </w:r>
    </w:p>
    <w:p>
      <w:pPr>
        <w:spacing w:after="0" w:line="22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This Third Amendment to Sublease Agreement is entered into as of November 5, 2019 (the “</w:t>
      </w:r>
      <w:r>
        <w:rPr>
          <w:rFonts w:ascii="Times New Roman" w:cs="Times New Roman" w:eastAsia="Times New Roman" w:hAnsi="Times New Roman"/>
          <w:sz w:val="18"/>
          <w:szCs w:val="18"/>
          <w:u w:val="single" w:color="auto"/>
          <w:color w:val="auto"/>
        </w:rPr>
        <w:t>Sublease Amendment</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TONTINE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ASSOCIATES, LLC</w:t>
      </w:r>
      <w:r>
        <w:rPr>
          <w:rFonts w:ascii="Times New Roman" w:cs="Times New Roman" w:eastAsia="Times New Roman" w:hAnsi="Times New Roman"/>
          <w:sz w:val="18"/>
          <w:szCs w:val="18"/>
          <w:color w:val="auto"/>
        </w:rPr>
        <w:t>, having an office at One Sound Shore Drive, Suite 304, Greenwich, Connecticut 06830 (the “</w:t>
      </w:r>
      <w:r>
        <w:rPr>
          <w:rFonts w:ascii="Times New Roman" w:cs="Times New Roman" w:eastAsia="Times New Roman" w:hAnsi="Times New Roman"/>
          <w:sz w:val="18"/>
          <w:szCs w:val="18"/>
          <w:u w:val="single" w:color="auto"/>
          <w:color w:val="auto"/>
        </w:rPr>
        <w:t>Sublessor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IES MANAGEMENT ROO, LP</w:t>
      </w:r>
      <w:r>
        <w:rPr>
          <w:rFonts w:ascii="Times New Roman" w:cs="Times New Roman" w:eastAsia="Times New Roman" w:hAnsi="Times New Roman"/>
          <w:sz w:val="18"/>
          <w:szCs w:val="18"/>
          <w:color w:val="auto"/>
        </w:rPr>
        <w:t>, sharing office space with Sublessor (the “</w:t>
      </w:r>
      <w:r>
        <w:rPr>
          <w:rFonts w:ascii="Times New Roman" w:cs="Times New Roman" w:eastAsia="Times New Roman" w:hAnsi="Times New Roman"/>
          <w:sz w:val="18"/>
          <w:szCs w:val="18"/>
          <w:u w:val="single" w:color="auto"/>
          <w:color w:val="auto"/>
        </w:rPr>
        <w:t>Sublessee</w:t>
      </w:r>
      <w:r>
        <w:rPr>
          <w:rFonts w:ascii="Times New Roman" w:cs="Times New Roman" w:eastAsia="Times New Roman" w:hAnsi="Times New Roman"/>
          <w:sz w:val="18"/>
          <w:szCs w:val="18"/>
          <w:color w:val="auto"/>
        </w:rPr>
        <w:t>” and, together with the Sublessor,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03"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Sublessor and</w:t>
      </w:r>
      <w:r>
        <w:rPr>
          <w:rFonts w:ascii="Times New Roman" w:cs="Times New Roman" w:eastAsia="Times New Roman" w:hAnsi="Times New Roman"/>
          <w:sz w:val="18"/>
          <w:szCs w:val="18"/>
          <w:b w:val="1"/>
          <w:bCs w:val="1"/>
          <w:color w:val="auto"/>
        </w:rPr>
        <w:t xml:space="preserve"> IES SHARED SERVICES,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Original Sublessee</w:t>
      </w:r>
      <w:r>
        <w:rPr>
          <w:rFonts w:ascii="Times New Roman" w:cs="Times New Roman" w:eastAsia="Times New Roman" w:hAnsi="Times New Roman"/>
          <w:sz w:val="18"/>
          <w:szCs w:val="18"/>
          <w:color w:val="auto"/>
        </w:rPr>
        <w:t>”), are parties to a Sublease dated March 29, 2012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Sublease</w:t>
      </w:r>
      <w:r>
        <w:rPr>
          <w:rFonts w:ascii="Times New Roman" w:cs="Times New Roman" w:eastAsia="Times New Roman" w:hAnsi="Times New Roman"/>
          <w:sz w:val="18"/>
          <w:szCs w:val="18"/>
          <w:color w:val="auto"/>
        </w:rPr>
        <w:t>”), for a portion of the premises (the “</w:t>
      </w:r>
      <w:r>
        <w:rPr>
          <w:rFonts w:ascii="Times New Roman" w:cs="Times New Roman" w:eastAsia="Times New Roman" w:hAnsi="Times New Roman"/>
          <w:sz w:val="18"/>
          <w:szCs w:val="18"/>
          <w:u w:val="single" w:color="auto"/>
          <w:color w:val="auto"/>
        </w:rPr>
        <w:t>Subleased Premises</w:t>
      </w:r>
      <w:r>
        <w:rPr>
          <w:rFonts w:ascii="Times New Roman" w:cs="Times New Roman" w:eastAsia="Times New Roman" w:hAnsi="Times New Roman"/>
          <w:sz w:val="18"/>
          <w:szCs w:val="18"/>
          <w:color w:val="auto"/>
        </w:rPr>
        <w:t>”) located at One Sound Shore Drive, Suite 304, Greenwich, Connecticut 06830 (the “</w:t>
      </w:r>
      <w:r>
        <w:rPr>
          <w:rFonts w:ascii="Times New Roman" w:cs="Times New Roman" w:eastAsia="Times New Roman" w:hAnsi="Times New Roman"/>
          <w:sz w:val="18"/>
          <w:szCs w:val="18"/>
          <w:u w:val="single" w:color="auto"/>
          <w:color w:val="auto"/>
        </w:rPr>
        <w:t>Lease Premises</w:t>
      </w:r>
      <w:r>
        <w:rPr>
          <w:rFonts w:ascii="Times New Roman" w:cs="Times New Roman" w:eastAsia="Times New Roman" w:hAnsi="Times New Roman"/>
          <w:sz w:val="18"/>
          <w:szCs w:val="18"/>
          <w:color w:val="auto"/>
        </w:rPr>
        <w:t>”), which is leased by Sublessor from Sound Shore Partners LLC pursuant to a Lease Agreement (the “</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Original Sublease expired on March 31, 2016 and (i) was amended by that certain First Amendment to the Original Sublease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1, 2016 between the Sublessor, Original Sublessee and Sublessee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pursuant to which the Original Sublease was novated with respect to the Original Sublessee, and the Sublessee was substituted in place of the Original Sublessee under the Sublease, and the lease term was extended to June 30, 2019, and (ii) was further amended by that certain Second Amendment to the Original Sublease dated May 1, 2019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and, together with the First Amendment and the Original Sublease, the “</w:t>
      </w:r>
      <w:r>
        <w:rPr>
          <w:rFonts w:ascii="Times New Roman" w:cs="Times New Roman" w:eastAsia="Times New Roman" w:hAnsi="Times New Roman"/>
          <w:sz w:val="18"/>
          <w:szCs w:val="18"/>
          <w:u w:val="single" w:color="auto"/>
          <w:color w:val="auto"/>
        </w:rPr>
        <w:t>Sublease</w:t>
      </w:r>
      <w:r>
        <w:rPr>
          <w:rFonts w:ascii="Times New Roman" w:cs="Times New Roman" w:eastAsia="Times New Roman" w:hAnsi="Times New Roman"/>
          <w:sz w:val="18"/>
          <w:szCs w:val="18"/>
          <w:color w:val="auto"/>
        </w:rPr>
        <w:t>”), pursuant to which, the lease term was further extended to December 31, 2019;</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Sublessor has renewed its Lease Agreement for the Lease Premises effective January 1, 2020 for a term expiring on February 28,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Sublease, effective as of January 1,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as set forth below to extend the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Sublease and to reflect the new lease rates therein of the Subleased Premises.</w:t>
      </w:r>
    </w:p>
    <w:p>
      <w:pPr>
        <w:spacing w:after="0" w:line="155"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for the mutual and reciprocal promises contained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the Parties hereby agree to amend the Sublease as follows: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not otherwise defined herein shall have the meanings ascribed thereto in the Sublease.</w:t>
      </w:r>
    </w:p>
    <w:p>
      <w:pPr>
        <w:spacing w:after="0" w:line="225" w:lineRule="exact"/>
        <w:rPr>
          <w:sz w:val="20"/>
          <w:szCs w:val="20"/>
          <w:color w:val="auto"/>
        </w:rPr>
      </w:pPr>
    </w:p>
    <w:p>
      <w:pPr>
        <w:ind w:left="800" w:hanging="792"/>
        <w:spacing w:after="0"/>
        <w:tabs>
          <w:tab w:leader="none" w:pos="8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of the Sublease shall be extended for three (3) years and two (2) months so that the Sublease Expiration Date shall be February 27,</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2023.</w:t>
      </w:r>
    </w:p>
    <w:p>
      <w:pPr>
        <w:spacing w:after="0" w:line="206" w:lineRule="exact"/>
        <w:rPr>
          <w:rFonts w:ascii="Times New Roman" w:cs="Times New Roman" w:eastAsia="Times New Roman" w:hAnsi="Times New Roman"/>
          <w:sz w:val="17"/>
          <w:szCs w:val="17"/>
          <w:color w:val="auto"/>
        </w:rPr>
      </w:pPr>
    </w:p>
    <w:p>
      <w:pPr>
        <w:ind w:left="800" w:hanging="792"/>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As of the Effective Date, the first paragraph of Section 2.1 of the Sublease is hereby deleted and the following is inserted in its place: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As of the Effective Date and continuing thereafter on the first day of each and every calendar month during the term of this Sublease, Sublessee shall pay to Sublessor, as base rent for the Subleased Premises, monthly rent (exclusive of any Additional Rent pursuant to and in accordance with Article 2.2 of the Original Sublease) (the “</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for each calendar month or portion thereof during the Term of this Sublease as follows:</w:t>
      </w:r>
    </w:p>
    <w:p>
      <w:pPr>
        <w:spacing w:after="0" w:line="310" w:lineRule="exact"/>
        <w:rPr>
          <w:sz w:val="20"/>
          <w:szCs w:val="20"/>
          <w:color w:val="auto"/>
        </w:rPr>
      </w:pPr>
    </w:p>
    <w:tbl>
      <w:tblPr>
        <w:tblLayout w:type="fixed"/>
        <w:tblInd w:w="530" w:type="dxa"/>
        <w:tblCellMar>
          <w:top w:w="0" w:type="dxa"/>
          <w:left w:w="0" w:type="dxa"/>
          <w:bottom w:w="0" w:type="dxa"/>
          <w:right w:w="0" w:type="dxa"/>
        </w:tblCellMar>
      </w:tblPr>
      <w:tr>
        <w:trPr>
          <w:trHeight w:val="216"/>
        </w:trPr>
        <w:tc>
          <w:tcPr>
            <w:tcW w:w="1980" w:type="dxa"/>
            <w:vAlign w:val="bottom"/>
            <w:tcBorders>
              <w:top w:val="single" w:sz="8" w:color="auto"/>
              <w:left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760" w:type="dxa"/>
            <w:vAlign w:val="bottom"/>
            <w:tcBorders>
              <w:top w:val="single" w:sz="8" w:color="auto"/>
            </w:tcBorders>
          </w:tcPr>
          <w:p>
            <w:pPr>
              <w:spacing w:after="0"/>
              <w:rPr>
                <w:sz w:val="18"/>
                <w:szCs w:val="18"/>
                <w:color w:val="auto"/>
              </w:rPr>
            </w:pPr>
          </w:p>
        </w:tc>
        <w:tc>
          <w:tcPr>
            <w:tcW w:w="22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Base Rent*</w:t>
            </w:r>
          </w:p>
        </w:tc>
        <w:tc>
          <w:tcPr>
            <w:tcW w:w="600" w:type="dxa"/>
            <w:vAlign w:val="bottom"/>
            <w:tcBorders>
              <w:top w:val="single" w:sz="8" w:color="auto"/>
            </w:tcBorders>
          </w:tcPr>
          <w:p>
            <w:pPr>
              <w:spacing w:after="0"/>
              <w:rPr>
                <w:sz w:val="18"/>
                <w:szCs w:val="18"/>
                <w:color w:val="auto"/>
              </w:rPr>
            </w:pPr>
          </w:p>
        </w:tc>
        <w:tc>
          <w:tcPr>
            <w:tcW w:w="2300" w:type="dxa"/>
            <w:vAlign w:val="bottom"/>
            <w:tcBorders>
              <w:top w:val="single" w:sz="8" w:color="auto"/>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Monthly Installment*</w:t>
            </w:r>
          </w:p>
        </w:tc>
      </w:tr>
      <w:tr>
        <w:trPr>
          <w:trHeight w:val="48"/>
        </w:trPr>
        <w:tc>
          <w:tcPr>
            <w:tcW w:w="198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r>
      <w:tr>
        <w:trPr>
          <w:trHeight w:val="21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from January 1, 2020 through and including December 31,</w:t>
            </w: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1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$96,862.50</w:t>
            </w:r>
          </w:p>
        </w:tc>
        <w:tc>
          <w:tcPr>
            <w:tcW w:w="880" w:type="dxa"/>
            <w:vAlign w:val="bottom"/>
            <w:tcBorders>
              <w:right w:val="single" w:sz="8" w:color="auto"/>
            </w:tcBorders>
          </w:tcPr>
          <w:p>
            <w:pPr>
              <w:spacing w:after="0"/>
              <w:rPr>
                <w:sz w:val="20"/>
                <w:szCs w:val="20"/>
                <w:color w:val="auto"/>
              </w:rPr>
            </w:pPr>
          </w:p>
        </w:tc>
        <w:tc>
          <w:tcPr>
            <w:tcW w:w="21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$8,071.88</w:t>
            </w:r>
          </w:p>
        </w:tc>
        <w:tc>
          <w:tcPr>
            <w:tcW w:w="72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1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from January 1, 2021 through and including December 31,</w:t>
            </w: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1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$99,076.50</w:t>
            </w:r>
          </w:p>
        </w:tc>
        <w:tc>
          <w:tcPr>
            <w:tcW w:w="880" w:type="dxa"/>
            <w:vAlign w:val="bottom"/>
            <w:tcBorders>
              <w:right w:val="single" w:sz="8" w:color="auto"/>
            </w:tcBorders>
          </w:tcPr>
          <w:p>
            <w:pPr>
              <w:spacing w:after="0"/>
              <w:rPr>
                <w:sz w:val="20"/>
                <w:szCs w:val="20"/>
                <w:color w:val="auto"/>
              </w:rPr>
            </w:pPr>
          </w:p>
        </w:tc>
        <w:tc>
          <w:tcPr>
            <w:tcW w:w="21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$8,256.38</w:t>
            </w:r>
          </w:p>
        </w:tc>
        <w:tc>
          <w:tcPr>
            <w:tcW w:w="72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18"/>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from January 1, 2022 through and including the Sublease</w:t>
            </w: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4"/>
        </w:trPr>
        <w:tc>
          <w:tcPr>
            <w:tcW w:w="45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Expiration Date.</w:t>
            </w:r>
          </w:p>
        </w:tc>
        <w:tc>
          <w:tcPr>
            <w:tcW w:w="21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9"/>
              </w:rPr>
              <w:t>$101,290.50</w:t>
            </w:r>
          </w:p>
        </w:tc>
        <w:tc>
          <w:tcPr>
            <w:tcW w:w="880" w:type="dxa"/>
            <w:vAlign w:val="bottom"/>
            <w:tcBorders>
              <w:right w:val="single" w:sz="8" w:color="auto"/>
            </w:tcBorders>
          </w:tcPr>
          <w:p>
            <w:pPr>
              <w:spacing w:after="0"/>
              <w:rPr>
                <w:sz w:val="20"/>
                <w:szCs w:val="20"/>
                <w:color w:val="auto"/>
              </w:rPr>
            </w:pPr>
          </w:p>
        </w:tc>
        <w:tc>
          <w:tcPr>
            <w:tcW w:w="21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$8,440.88</w:t>
            </w:r>
          </w:p>
        </w:tc>
        <w:tc>
          <w:tcPr>
            <w:tcW w:w="72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bl>
    <w:p>
      <w:pPr>
        <w:ind w:left="540" w:hanging="127"/>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for a reconciliation of these amounts to amounts payable by Sublessor under renewed Lease Agreement.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Sublessee shall continue to pay the Additional Rent due and owing under the Sublease pursuant to and in accordance with Article 2.2 of the Original Sublease.</w:t>
      </w:r>
    </w:p>
    <w:p>
      <w:pPr>
        <w:sectPr>
          <w:pgSz w:w="11900" w:h="16838" w:orient="portrait"/>
          <w:cols w:equalWidth="0" w:num="1">
            <w:col w:w="11420"/>
          </w:cols>
          <w:pgMar w:left="240" w:top="738" w:right="239" w:bottom="1440" w:gutter="0" w:footer="0" w:header="0"/>
        </w:sectPr>
      </w:pPr>
    </w:p>
    <w:bookmarkStart w:id="80" w:name="page81"/>
    <w:bookmarkEnd w:id="80"/>
    <w:p>
      <w:pPr>
        <w:jc w:val="both"/>
        <w:ind w:firstLine="8"/>
        <w:spacing w:after="0" w:line="258" w:lineRule="auto"/>
        <w:tabs>
          <w:tab w:leader="none" w:pos="7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 Credit</w:t>
      </w:r>
      <w:r>
        <w:rPr>
          <w:rFonts w:ascii="Times New Roman" w:cs="Times New Roman" w:eastAsia="Times New Roman" w:hAnsi="Times New Roman"/>
          <w:sz w:val="18"/>
          <w:szCs w:val="18"/>
          <w:color w:val="auto"/>
        </w:rPr>
        <w:t>: Notwithstanding the terms of Section 2(a), and provided that Sublessee is not in default under this Sublease, Sublessee shall receive a rental credit in the amount of $11,346.75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which Sublessee shall apply in one (1) installment of $8,071.88 to pay in part the Base Rent for the first month following the Effective Date (i.e., January 2020) and one (1) installment of $3,274.87 to pay in part the Base Rent for the second month following the Effective Date (i.e., February 2020). The Credit shall abate during any period of a default by Sublessee. In the event Sublessee is in default at any time during this Sublease, any Credit provided shall be negated and recoverable by Sublessor and may be sued for in a non-payment proceeding.</w:t>
      </w:r>
    </w:p>
    <w:p>
      <w:pPr>
        <w:spacing w:after="0" w:line="18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Sublessor Representations and Warranties.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Sublessor hereby represents and warrants to Sublessee the following:</w:t>
      </w:r>
    </w:p>
    <w:p>
      <w:pPr>
        <w:spacing w:after="0" w:line="225"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marked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true, complete, and correct copy of the Prime Lease;</w:t>
      </w:r>
    </w:p>
    <w:p>
      <w:pPr>
        <w:spacing w:after="0" w:line="225"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Lease is in full force and effect and has not been amended or modified except as expressly set forth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8"/>
        <w:spacing w:after="0" w:line="282" w:lineRule="auto"/>
        <w:tabs>
          <w:tab w:leader="none" w:pos="7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one or more counterparts, each of which shall be deemed an original, but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the Sublease shall remain the same and in full force and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420"/>
          </w:cols>
          <w:pgMar w:left="240" w:top="769"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IN WITNESS WHEREOF, Sublessor and Sublessee have duly executed this Third Amendment as of the day and year first above written.</w:t>
      </w:r>
    </w:p>
    <w:p>
      <w:pPr>
        <w:sectPr>
          <w:pgSz w:w="11900" w:h="16838" w:orient="portrait"/>
          <w:cols w:equalWidth="0" w:num="1">
            <w:col w:w="9900"/>
          </w:cols>
          <w:pgMar w:left="900" w:top="769" w:right="109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SUBLESSOR:</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TONTINE ASSOCIATES, L.L.C., a Delaware limited liability company</w:t>
      </w:r>
    </w:p>
    <w:p>
      <w:pPr>
        <w:spacing w:after="0" w:line="218" w:lineRule="exact"/>
        <w:rPr>
          <w:sz w:val="20"/>
          <w:szCs w:val="20"/>
          <w:color w:val="auto"/>
        </w:rPr>
      </w:pPr>
    </w:p>
    <w:p>
      <w:pPr>
        <w:ind w:left="3240"/>
        <w:spacing w:after="0"/>
        <w:tabs>
          <w:tab w:leader="none" w:pos="3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Jeffrey L. Gendell</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Jeffrey L. Gendell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SUBLESSEE:</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IES MANAGEMENT ROO, L.P., a Texas limited partnership</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 IES OPERATIONS GROUP, INC., its General Partner</w:t>
      </w:r>
    </w:p>
    <w:p>
      <w:pPr>
        <w:spacing w:after="0" w:line="225" w:lineRule="exact"/>
        <w:rPr>
          <w:sz w:val="20"/>
          <w:szCs w:val="20"/>
          <w:color w:val="auto"/>
        </w:rPr>
      </w:pPr>
    </w:p>
    <w:p>
      <w:pPr>
        <w:ind w:left="3240"/>
        <w:spacing w:after="0"/>
        <w:tabs>
          <w:tab w:leader="none" w:pos="3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Tracy A. McLauchlin</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Tracy A. McLauchlin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 President and Treasurer</w:t>
      </w:r>
    </w:p>
    <w:p>
      <w:pPr>
        <w:sectPr>
          <w:pgSz w:w="11900" w:h="16838" w:orient="portrait"/>
          <w:cols w:equalWidth="0" w:num="1">
            <w:col w:w="9900"/>
          </w:cols>
          <w:pgMar w:left="900" w:top="769" w:right="109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Tontine 2019 Prime Lease Renewal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 pursuant to Item 601(a)(5) of Regulation S-K. A copy of the omitted exhibit will be furnished to the SEC upon request.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1" w:lineRule="exact"/>
        <w:rPr>
          <w:sz w:val="20"/>
          <w:szCs w:val="20"/>
          <w:color w:val="auto"/>
        </w:rPr>
      </w:pPr>
    </w:p>
    <w:p>
      <w:pPr>
        <w:jc w:val="center"/>
        <w:ind w:left="260" w:right="140"/>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Amounts Payable by Sublessor Under Lease Renewal and Amounts Payable by Sublessee Under Third Amendment to Sublease Agreement</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1/1/20-12/31/20</w:t>
            </w:r>
          </w:p>
        </w:tc>
        <w:tc>
          <w:tcPr>
            <w:tcW w:w="340" w:type="dxa"/>
            <w:vAlign w:val="bottom"/>
          </w:tcPr>
          <w:p>
            <w:pPr>
              <w:spacing w:after="0"/>
              <w:rPr>
                <w:sz w:val="17"/>
                <w:szCs w:val="17"/>
                <w:color w:val="auto"/>
              </w:rPr>
            </w:pP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1/1/21-12/31/21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1/1/22-2/28/23</w:t>
            </w:r>
          </w:p>
        </w:tc>
      </w:tr>
      <w:tr>
        <w:trPr>
          <w:trHeight w:val="291"/>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Aggregate Square Footage</w:t>
            </w:r>
          </w:p>
        </w:tc>
        <w:tc>
          <w:tcPr>
            <w:tcW w:w="2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3,690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3,690</w:t>
            </w:r>
          </w:p>
        </w:tc>
        <w:tc>
          <w:tcPr>
            <w:tcW w:w="260" w:type="dxa"/>
            <w:vAlign w:val="bottom"/>
          </w:tcPr>
          <w:p>
            <w:pPr>
              <w:spacing w:after="0"/>
              <w:rPr>
                <w:sz w:val="24"/>
                <w:szCs w:val="24"/>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 Share of Square Footage</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23"/>
                <w:szCs w:val="23"/>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 Square Footage</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2,214</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2,214</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2,214</w:t>
            </w:r>
          </w:p>
        </w:tc>
        <w:tc>
          <w:tcPr>
            <w:tcW w:w="260" w:type="dxa"/>
            <w:vAlign w:val="bottom"/>
          </w:tcPr>
          <w:p>
            <w:pPr>
              <w:spacing w:after="0"/>
              <w:rPr>
                <w:sz w:val="23"/>
                <w:szCs w:val="23"/>
                <w:color w:val="auto"/>
              </w:rPr>
            </w:pPr>
          </w:p>
        </w:tc>
      </w:tr>
      <w:tr>
        <w:trPr>
          <w:trHeight w:val="59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Annual Fixed Rent Payable by Sublessor before Rent Inclusion Factor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151,290.00</w:t>
            </w:r>
          </w:p>
        </w:tc>
        <w:tc>
          <w:tcPr>
            <w:tcW w:w="34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$ 154,980.00</w:t>
            </w:r>
          </w:p>
        </w:tc>
        <w:tc>
          <w:tcPr>
            <w:tcW w:w="34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$ 158,670.00</w:t>
            </w: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Annual Rent Inclusion Factor</w:t>
            </w:r>
          </w:p>
        </w:tc>
        <w:tc>
          <w:tcPr>
            <w:tcW w:w="220" w:type="dxa"/>
            <w:vAlign w:val="bottom"/>
          </w:tcPr>
          <w:p>
            <w:pPr>
              <w:spacing w:after="0"/>
              <w:rPr>
                <w:sz w:val="23"/>
                <w:szCs w:val="2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10,147.50</w:t>
            </w:r>
          </w:p>
        </w:tc>
        <w:tc>
          <w:tcPr>
            <w:tcW w:w="340" w:type="dxa"/>
            <w:vAlign w:val="bottom"/>
          </w:tcPr>
          <w:p>
            <w:pPr>
              <w:spacing w:after="0"/>
              <w:rPr>
                <w:sz w:val="23"/>
                <w:szCs w:val="23"/>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10,147.50</w:t>
            </w:r>
          </w:p>
        </w:tc>
        <w:tc>
          <w:tcPr>
            <w:tcW w:w="340" w:type="dxa"/>
            <w:vAlign w:val="bottom"/>
          </w:tcPr>
          <w:p>
            <w:pPr>
              <w:spacing w:after="0"/>
              <w:rPr>
                <w:sz w:val="23"/>
                <w:szCs w:val="23"/>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10,147.50</w:t>
            </w:r>
          </w:p>
        </w:tc>
      </w:tr>
      <w:tr>
        <w:trPr>
          <w:trHeight w:val="27"/>
        </w:trPr>
        <w:tc>
          <w:tcPr>
            <w:tcW w:w="5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Annual Fixed Rent Payable by Sublessor including Rent Inclusion Factor</w:t>
            </w:r>
          </w:p>
        </w:tc>
        <w:tc>
          <w:tcPr>
            <w:tcW w:w="2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$ 161,437.50</w:t>
            </w:r>
          </w:p>
        </w:tc>
        <w:tc>
          <w:tcPr>
            <w:tcW w:w="34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$ 165,127.50</w:t>
            </w:r>
          </w:p>
        </w:tc>
        <w:tc>
          <w:tcPr>
            <w:tcW w:w="34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$ 168,817.50</w:t>
            </w:r>
          </w:p>
        </w:tc>
      </w:tr>
      <w:tr>
        <w:trPr>
          <w:trHeight w:val="25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Annual Fixed Rent per Square Foot Payable by Sublessor including Rent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Inclusion Factor</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$44.75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$45.75</w:t>
            </w:r>
          </w:p>
        </w:tc>
        <w:tc>
          <w:tcPr>
            <w:tcW w:w="260" w:type="dxa"/>
            <w:vAlign w:val="bottom"/>
          </w:tcPr>
          <w:p>
            <w:pPr>
              <w:spacing w:after="0"/>
              <w:rPr>
                <w:sz w:val="20"/>
                <w:szCs w:val="20"/>
                <w:color w:val="auto"/>
              </w:rPr>
            </w:pPr>
          </w:p>
        </w:tc>
      </w:tr>
      <w:tr>
        <w:trPr>
          <w:trHeight w:val="57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Sublessee’s % Share of Annual Fixed Rent Payable by Sublessor including Rent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Inclusion Factor</w:t>
            </w:r>
          </w:p>
        </w:tc>
        <w:tc>
          <w:tcPr>
            <w:tcW w:w="2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20"/>
                <w:szCs w:val="20"/>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Sublessee’s Annual Base Rent Payable under Sublease</w:t>
            </w:r>
          </w:p>
        </w:tc>
        <w:tc>
          <w:tcPr>
            <w:tcW w:w="220" w:type="dxa"/>
            <w:vAlign w:val="bottom"/>
          </w:tcPr>
          <w:p>
            <w:pPr>
              <w:spacing w:after="0"/>
              <w:rPr>
                <w:sz w:val="23"/>
                <w:szCs w:val="23"/>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$ 96,862.50</w:t>
            </w:r>
          </w:p>
        </w:tc>
        <w:tc>
          <w:tcPr>
            <w:tcW w:w="34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$ 99,076.50</w:t>
            </w:r>
          </w:p>
        </w:tc>
        <w:tc>
          <w:tcPr>
            <w:tcW w:w="34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$ 101,290.50</w:t>
            </w: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Sublessee’s Annual Base Rent per Square Foot Payable under Sublease</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$43.75</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$44.75</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$45.75</w:t>
            </w:r>
          </w:p>
        </w:tc>
        <w:tc>
          <w:tcPr>
            <w:tcW w:w="260" w:type="dxa"/>
            <w:vAlign w:val="bottom"/>
          </w:tcPr>
          <w:p>
            <w:pPr>
              <w:spacing w:after="0"/>
              <w:rPr>
                <w:sz w:val="23"/>
                <w:szCs w:val="23"/>
                <w:color w:val="auto"/>
              </w:rPr>
            </w:pPr>
          </w:p>
        </w:tc>
      </w:tr>
      <w:tr>
        <w:trPr>
          <w:trHeight w:val="59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Monthly Fixed Rent Payable by Sublessor before Rent Inclusion Factor</w:t>
            </w:r>
          </w:p>
        </w:tc>
        <w:tc>
          <w:tcPr>
            <w:tcW w:w="2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$ 12,607.50</w:t>
            </w:r>
          </w:p>
        </w:tc>
        <w:tc>
          <w:tcPr>
            <w:tcW w:w="34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$ 12,915.00</w:t>
            </w:r>
          </w:p>
        </w:tc>
        <w:tc>
          <w:tcPr>
            <w:tcW w:w="34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$ 13,222.50</w:t>
            </w: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Monthly Rent Inclusion Factor</w:t>
            </w:r>
          </w:p>
        </w:tc>
        <w:tc>
          <w:tcPr>
            <w:tcW w:w="220" w:type="dxa"/>
            <w:vAlign w:val="bottom"/>
          </w:tcPr>
          <w:p>
            <w:pPr>
              <w:spacing w:after="0"/>
              <w:rPr>
                <w:sz w:val="23"/>
                <w:szCs w:val="2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845.63</w:t>
            </w:r>
          </w:p>
        </w:tc>
        <w:tc>
          <w:tcPr>
            <w:tcW w:w="340" w:type="dxa"/>
            <w:vAlign w:val="bottom"/>
          </w:tcPr>
          <w:p>
            <w:pPr>
              <w:spacing w:after="0"/>
              <w:rPr>
                <w:sz w:val="23"/>
                <w:szCs w:val="23"/>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845.63</w:t>
            </w:r>
          </w:p>
        </w:tc>
        <w:tc>
          <w:tcPr>
            <w:tcW w:w="340" w:type="dxa"/>
            <w:vAlign w:val="bottom"/>
          </w:tcPr>
          <w:p>
            <w:pPr>
              <w:spacing w:after="0"/>
              <w:rPr>
                <w:sz w:val="23"/>
                <w:szCs w:val="23"/>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845.63</w:t>
            </w:r>
          </w:p>
        </w:tc>
      </w:tr>
      <w:tr>
        <w:trPr>
          <w:trHeight w:val="27"/>
        </w:trPr>
        <w:tc>
          <w:tcPr>
            <w:tcW w:w="5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Monthly Fixed Rent Payable by Sublessor including Rent Inclusion Factor</w:t>
            </w:r>
          </w:p>
        </w:tc>
        <w:tc>
          <w:tcPr>
            <w:tcW w:w="22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$ 13,453.13</w:t>
            </w:r>
          </w:p>
        </w:tc>
        <w:tc>
          <w:tcPr>
            <w:tcW w:w="34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$ 13,760.63</w:t>
            </w:r>
          </w:p>
        </w:tc>
        <w:tc>
          <w:tcPr>
            <w:tcW w:w="34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$ 14,068.13</w:t>
            </w:r>
          </w:p>
        </w:tc>
      </w:tr>
      <w:tr>
        <w:trPr>
          <w:trHeight w:val="25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Monthly Fixed Rent per Square Foot Payable by Sublessor including Rent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Inclusion Factor</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20"/>
                <w:szCs w:val="20"/>
                <w:color w:val="auto"/>
              </w:rPr>
            </w:pPr>
          </w:p>
        </w:tc>
      </w:tr>
      <w:tr>
        <w:trPr>
          <w:trHeight w:val="57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Sublessee’s % Share of Monthly Fixed Rent Payable by Sublessor including Rent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Inclusion Factor</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20"/>
                <w:szCs w:val="20"/>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Sublessee’s Monthly Base Rent Payable under Sublease</w:t>
            </w:r>
          </w:p>
        </w:tc>
        <w:tc>
          <w:tcPr>
            <w:tcW w:w="220" w:type="dxa"/>
            <w:vAlign w:val="bottom"/>
          </w:tcPr>
          <w:p>
            <w:pPr>
              <w:spacing w:after="0"/>
              <w:rPr>
                <w:sz w:val="23"/>
                <w:szCs w:val="23"/>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$ 8,071.88</w:t>
            </w:r>
          </w:p>
        </w:tc>
        <w:tc>
          <w:tcPr>
            <w:tcW w:w="34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$ 8,256.38</w:t>
            </w:r>
          </w:p>
        </w:tc>
        <w:tc>
          <w:tcPr>
            <w:tcW w:w="340" w:type="dxa"/>
            <w:vAlign w:val="bottom"/>
          </w:tcPr>
          <w:p>
            <w:pPr>
              <w:spacing w:after="0"/>
              <w:rPr>
                <w:sz w:val="23"/>
                <w:szCs w:val="23"/>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$ 8,440.88</w:t>
            </w: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Sublessee’s Monthly Base Rent per Square Foot Payable under Sublease</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23"/>
                <w:szCs w:val="23"/>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Note: “Rent Inclusion Factor” is that part of the Fixed Rent payable by Sublessor under Lease Agreement allocable to the provision of electrical energy. In the original Lease Agreement and first three amendments thereto, the Fixed Rent was stated on a basis including the Rent Inclusion Factor. In the current amendment to the Lease Agreement, the Fixed Rent is stated on a basis before the Rent Inclusion Factor, with the Rent Inclusion Factor identified separately. In the Original Sublease and prior amendments, Sublessee’s Base Rent is based on a certain percentage of Sublessor’s Fixed Rent including the Rent Inclusion Factor. In this Third Amendment to Sublease Agreement, Sublessee’s share of the Fixed Rent is stated as a percentage of the Fixed Rent including the Rent Inclusion Factor, consistent with the Original Sublease and prior amendments.</w:t>
      </w:r>
    </w:p>
    <w:p>
      <w:pPr>
        <w:sectPr>
          <w:pgSz w:w="11900" w:h="16838" w:orient="portrait"/>
          <w:cols w:equalWidth="0" w:num="1">
            <w:col w:w="11420"/>
          </w:cols>
          <w:pgMar w:left="240" w:top="553"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5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4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0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38"/>
        </w:trPr>
        <w:tc>
          <w:tcPr>
            <w:tcW w:w="3980" w:type="dxa"/>
            <w:vAlign w:val="bottom"/>
          </w:tcPr>
          <w:p>
            <w:pPr>
              <w:spacing w:after="0"/>
              <w:rPr>
                <w:sz w:val="24"/>
                <w:szCs w:val="24"/>
                <w:color w:val="auto"/>
              </w:rPr>
            </w:pPr>
          </w:p>
        </w:tc>
        <w:tc>
          <w:tcPr>
            <w:tcW w:w="74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r>
      <w:tr>
        <w:trPr>
          <w:trHeight w:val="670"/>
        </w:trPr>
        <w:tc>
          <w:tcPr>
            <w:tcW w:w="3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Subsidiary</w:t>
            </w:r>
          </w:p>
        </w:tc>
        <w:tc>
          <w:tcPr>
            <w:tcW w:w="1060" w:type="dxa"/>
            <w:vAlign w:val="bottom"/>
            <w:tcBorders>
              <w:bottom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Jurisdiction of Incorporation</w:t>
            </w:r>
          </w:p>
        </w:tc>
      </w:tr>
      <w:tr>
        <w:trPr>
          <w:trHeight w:val="36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Azimuth Communications, Inc.</w:t>
            </w:r>
          </w:p>
        </w:tc>
        <w:tc>
          <w:tcPr>
            <w:tcW w:w="10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Calumet Armature and Electric,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Freeman Enclosure Systems,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HK Engine Components,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ICS Holdings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Commercial,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Communications,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Consolidation,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Infrastructure Solutions,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Management, LP</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Management ROO, LP</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Operations Group,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Residential,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Shared Services,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IES Subsidiary Holdings,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Integrated Electrical Finance,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Key Electrical Supply,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Magnetech Industrial Services,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NEXT Electric,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Southern Industrial Sales and Services,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 Mechanical,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Technibus, Inc.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Technical Services II, LLC</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r>
      <w:tr>
        <w:trPr>
          <w:trHeight w:val="270"/>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Popp &amp; Company</w:t>
            </w:r>
          </w:p>
        </w:tc>
        <w:tc>
          <w:tcPr>
            <w:tcW w:w="10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420"/>
          </w:cols>
          <w:pgMar w:left="240" w:top="630"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333-209483) pertaining to the Amended and Restated 2006 Equity Incentive Plan of IES Holdings,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333-134100) pertaining to the 2006 Equity Incentive Plan of IES Holdings, Inc.;</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333-186786) pertaining to the registration for resale of common stock of IES Holdings, Inc. by the selling stockholders named therein;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333-215071) pertaining to the registration for resale of common stock of IES Holdings, Inc. by the selling stockholders named therein;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December 6, 2019,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2019.</w:t>
      </w:r>
    </w:p>
    <w:p>
      <w:pPr>
        <w:spacing w:after="0" w:line="17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2019</w:t>
      </w:r>
    </w:p>
    <w:p>
      <w:pPr>
        <w:sectPr>
          <w:pgSz w:w="11900" w:h="16838" w:orient="portrait"/>
          <w:cols w:equalWidth="0" w:num="1">
            <w:col w:w="11420"/>
          </w:cols>
          <w:pgMar w:left="240" w:top="738"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 Matthews, certify that:</w:t>
      </w:r>
    </w:p>
    <w:p>
      <w:pPr>
        <w:spacing w:after="0" w:line="131" w:lineRule="exact"/>
        <w:rPr>
          <w:sz w:val="20"/>
          <w:szCs w:val="20"/>
          <w:color w:val="auto"/>
        </w:rPr>
      </w:pPr>
    </w:p>
    <w:p>
      <w:pPr>
        <w:ind w:left="420" w:hanging="187"/>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IES Holdings, Inc.;</w:t>
      </w:r>
    </w:p>
    <w:p>
      <w:pPr>
        <w:spacing w:after="0" w:line="130" w:lineRule="exact"/>
        <w:rPr>
          <w:rFonts w:ascii="Times New Roman" w:cs="Times New Roman" w:eastAsia="Times New Roman" w:hAnsi="Times New Roman"/>
          <w:sz w:val="18"/>
          <w:szCs w:val="18"/>
          <w:color w:val="auto"/>
        </w:rPr>
      </w:pPr>
    </w:p>
    <w:p>
      <w:pPr>
        <w:ind w:firstLine="315"/>
        <w:spacing w:after="0" w:line="282" w:lineRule="auto"/>
        <w:tabs>
          <w:tab w:leader="none" w:pos="5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firstLine="333"/>
        <w:spacing w:after="0" w:line="282" w:lineRule="auto"/>
        <w:tabs>
          <w:tab w:leader="none" w:pos="52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firstLine="365"/>
        <w:spacing w:after="0" w:line="266" w:lineRule="auto"/>
        <w:tabs>
          <w:tab w:leader="none" w:pos="561"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jc w:val="both"/>
        <w:ind w:right="20" w:firstLine="272"/>
        <w:spacing w:after="0" w:line="266" w:lineRule="auto"/>
        <w:tabs>
          <w:tab w:leader="none" w:pos="51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firstLine="233"/>
        <w:spacing w:after="0" w:line="266"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81" w:lineRule="exact"/>
        <w:rPr>
          <w:rFonts w:ascii="Times New Roman" w:cs="Times New Roman" w:eastAsia="Times New Roman" w:hAnsi="Times New Roman"/>
          <w:sz w:val="18"/>
          <w:szCs w:val="18"/>
          <w:color w:val="auto"/>
        </w:rPr>
      </w:pPr>
    </w:p>
    <w:p>
      <w:pPr>
        <w:ind w:firstLine="233"/>
        <w:spacing w:after="0" w:line="282" w:lineRule="auto"/>
        <w:tabs>
          <w:tab w:leader="none" w:pos="4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firstLine="261"/>
        <w:spacing w:after="0" w:line="266" w:lineRule="auto"/>
        <w:tabs>
          <w:tab w:leader="none" w:pos="513"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firstLine="298"/>
        <w:spacing w:after="0" w:line="282" w:lineRule="auto"/>
        <w:tabs>
          <w:tab w:leader="none" w:pos="4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firstLine="233"/>
        <w:spacing w:after="0" w:line="28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firstLine="262"/>
        <w:spacing w:after="0" w:line="282" w:lineRule="auto"/>
        <w:tabs>
          <w:tab w:leader="none" w:pos="5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Gary S. Matthews</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as Principal Executive Officer</w:t>
      </w:r>
    </w:p>
    <w:p>
      <w:pPr>
        <w:sectPr>
          <w:pgSz w:w="11900" w:h="16838" w:orient="portrait"/>
          <w:cols w:equalWidth="0" w:num="1">
            <w:col w:w="11420"/>
          </w:cols>
          <w:pgMar w:left="240" w:top="738"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Tracy A. McLauchlin, certify that:</w:t>
      </w:r>
    </w:p>
    <w:p>
      <w:pPr>
        <w:spacing w:after="0" w:line="131" w:lineRule="exact"/>
        <w:rPr>
          <w:sz w:val="20"/>
          <w:szCs w:val="20"/>
          <w:color w:val="auto"/>
        </w:rPr>
      </w:pPr>
    </w:p>
    <w:p>
      <w:pPr>
        <w:ind w:left="420" w:hanging="187"/>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IES Holdings, Inc.;</w:t>
      </w:r>
    </w:p>
    <w:p>
      <w:pPr>
        <w:spacing w:after="0" w:line="130" w:lineRule="exact"/>
        <w:rPr>
          <w:rFonts w:ascii="Times New Roman" w:cs="Times New Roman" w:eastAsia="Times New Roman" w:hAnsi="Times New Roman"/>
          <w:sz w:val="18"/>
          <w:szCs w:val="18"/>
          <w:color w:val="auto"/>
        </w:rPr>
      </w:pPr>
    </w:p>
    <w:p>
      <w:pPr>
        <w:ind w:firstLine="315"/>
        <w:spacing w:after="0" w:line="282" w:lineRule="auto"/>
        <w:tabs>
          <w:tab w:leader="none" w:pos="5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firstLine="333"/>
        <w:spacing w:after="0" w:line="282" w:lineRule="auto"/>
        <w:tabs>
          <w:tab w:leader="none" w:pos="52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firstLine="365"/>
        <w:spacing w:after="0" w:line="266" w:lineRule="auto"/>
        <w:tabs>
          <w:tab w:leader="none" w:pos="561"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jc w:val="both"/>
        <w:ind w:left="40" w:right="20" w:firstLine="254"/>
        <w:spacing w:after="0" w:line="266" w:lineRule="auto"/>
        <w:tabs>
          <w:tab w:leader="none" w:pos="5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40" w:firstLine="251"/>
        <w:spacing w:after="0" w:line="266" w:lineRule="auto"/>
        <w:tabs>
          <w:tab w:leader="none" w:pos="5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spacing w:after="0" w:line="81" w:lineRule="exact"/>
        <w:rPr>
          <w:rFonts w:ascii="Times New Roman" w:cs="Times New Roman" w:eastAsia="Times New Roman" w:hAnsi="Times New Roman"/>
          <w:sz w:val="18"/>
          <w:szCs w:val="18"/>
          <w:color w:val="auto"/>
        </w:rPr>
      </w:pPr>
    </w:p>
    <w:p>
      <w:pPr>
        <w:ind w:left="40" w:firstLine="252"/>
        <w:spacing w:after="0" w:line="282" w:lineRule="auto"/>
        <w:tabs>
          <w:tab w:leader="none" w:pos="54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firstLine="243"/>
        <w:spacing w:after="0" w:line="266" w:lineRule="auto"/>
        <w:tabs>
          <w:tab w:leader="none" w:pos="54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firstLine="298"/>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40" w:right="20" w:firstLine="249"/>
        <w:spacing w:after="0" w:line="282" w:lineRule="auto"/>
        <w:tabs>
          <w:tab w:leader="none" w:pos="53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firstLine="244"/>
        <w:spacing w:after="0" w:line="282" w:lineRule="auto"/>
        <w:tabs>
          <w:tab w:leader="none" w:pos="53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44164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Tracy A. McLauchlin</w:t>
      </w:r>
    </w:p>
    <w:p>
      <w:pPr>
        <w:spacing w:after="0" w:line="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 Principal Financial Officer</w:t>
      </w:r>
    </w:p>
    <w:p>
      <w:pPr>
        <w:sectPr>
          <w:pgSz w:w="11900" w:h="16838" w:orient="portrait"/>
          <w:cols w:equalWidth="0" w:num="1">
            <w:col w:w="11420"/>
          </w:cols>
          <w:pgMar w:left="240" w:top="779"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IES Holdings, Inc. (the “Company”) on Form 10-K for the period ending September 30, 2019 (the “Report”), I, Gary S. Matthews,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6540" w:val="left"/>
        </w:tabs>
        <w:rPr>
          <w:sz w:val="20"/>
          <w:szCs w:val="20"/>
          <w:color w:val="auto"/>
        </w:rPr>
      </w:pPr>
      <w:r>
        <w:rPr>
          <w:rFonts w:ascii="Times New Roman" w:cs="Times New Roman" w:eastAsia="Times New Roman" w:hAnsi="Times New Roman"/>
          <w:sz w:val="18"/>
          <w:szCs w:val="18"/>
          <w:color w:val="auto"/>
        </w:rPr>
        <w:t>Date:</w:t>
        <w:tab/>
        <w:t>December 6, 2019</w:t>
      </w:r>
      <w:r>
        <w:rPr>
          <w:sz w:val="20"/>
          <w:szCs w:val="20"/>
          <w:color w:val="auto"/>
        </w:rPr>
        <w:tab/>
      </w:r>
      <w:r>
        <w:rPr>
          <w:rFonts w:ascii="Times New Roman" w:cs="Times New Roman" w:eastAsia="Times New Roman" w:hAnsi="Times New Roman"/>
          <w:sz w:val="17"/>
          <w:szCs w:val="17"/>
          <w:color w:val="auto"/>
        </w:rPr>
        <w:t>By: /s/ GARY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34290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Gary S. Matthews</w:t>
      </w:r>
    </w:p>
    <w:p>
      <w:pPr>
        <w:spacing w:after="0" w:line="6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as Principal Executive Officer</w:t>
      </w:r>
    </w:p>
    <w:p>
      <w:pPr>
        <w:sectPr>
          <w:pgSz w:w="11900" w:h="16838" w:orient="portrait"/>
          <w:cols w:equalWidth="0" w:num="1">
            <w:col w:w="11420"/>
          </w:cols>
          <w:pgMar w:left="240" w:top="738"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IES Holdings, Inc. (the “Company”) on Form 10-K for the period ending September 30, 2019 (the “Report”), I, Tracy A. McLauchlin, Senior Vice President, Chief Financial Officer and Treasurer of the Company,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5420" w:val="left"/>
        </w:tabs>
        <w:rPr>
          <w:sz w:val="20"/>
          <w:szCs w:val="20"/>
          <w:color w:val="auto"/>
        </w:rPr>
      </w:pPr>
      <w:r>
        <w:rPr>
          <w:rFonts w:ascii="Times New Roman" w:cs="Times New Roman" w:eastAsia="Times New Roman" w:hAnsi="Times New Roman"/>
          <w:sz w:val="18"/>
          <w:szCs w:val="18"/>
          <w:color w:val="auto"/>
        </w:rPr>
        <w:t>Date:</w:t>
        <w:tab/>
        <w:t>December 6, 2019</w:t>
      </w:r>
      <w:r>
        <w:rPr>
          <w:sz w:val="20"/>
          <w:szCs w:val="20"/>
          <w:color w:val="auto"/>
        </w:rPr>
        <w:tab/>
      </w:r>
      <w:r>
        <w:rPr>
          <w:rFonts w:ascii="Times New Roman" w:cs="Times New Roman" w:eastAsia="Times New Roman" w:hAnsi="Times New Roman"/>
          <w:sz w:val="18"/>
          <w:szCs w:val="18"/>
          <w:color w:val="auto"/>
        </w:rPr>
        <w:t>By: /s/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Tracy A. McLauchlin</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as Principal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amp;"/>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emdash "/>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lvl w:ilvl="1">
      <w:lvlJc w:val="left"/>
      <w:lvlText w:val="%2."/>
      <w:numFmt w:val="lowerLetter"/>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lvl w:ilvl="1">
      <w:lvlJc w:val="left"/>
      <w:lvlText w:val="(%2)"/>
      <w:numFmt w:val="lowerLetter"/>
      <w:start w:val="1"/>
    </w:lvl>
  </w:abstractNum>
  <w:abstractNum w:abstractNumId="22">
    <w:nsid w:val="836C40E"/>
    <w:multiLevelType w:val="hybridMultilevel"/>
    <w:lvl w:ilvl="0">
      <w:lvlJc w:val="left"/>
      <w:lvlText w:val="*"/>
      <w:numFmt w:val="bullet"/>
      <w:start w:val="1"/>
    </w:lvl>
    <w:lvl w:ilvl="1">
      <w:lvlJc w:val="left"/>
      <w:lvlText w:val="(%2)"/>
      <w:numFmt w:val="lowerLetter"/>
      <w:start w:val="2"/>
    </w:lvl>
  </w:abstractNum>
  <w:abstractNum w:abstractNumId="23">
    <w:nsid w:val="2901D8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26">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
    <w:nsid w:val="7C3DBD3D"/>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4"/>
    </w:lvl>
  </w:abstractNum>
  <w:abstractNum w:abstractNumId="28">
    <w:nsid w:val="737B8DDC"/>
    <w:multiLevelType w:val="hybridMultilevel"/>
    <w:lvl w:ilvl="0">
      <w:lvlJc w:val="left"/>
      <w:lvlText w:val="(%1)"/>
      <w:numFmt w:val="lowerLetter"/>
      <w:start w:val="1"/>
    </w:lvl>
    <w:lvl w:ilvl="1">
      <w:lvlJc w:val="left"/>
      <w:lvlText w:val="(%2)"/>
      <w:numFmt w:val="lowerLetter"/>
      <w:start w:val="2"/>
    </w:lvl>
  </w:abstractNum>
  <w:abstractNum w:abstractNumId="29">
    <w:nsid w:val="6CEAF08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5"/>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9" Type="http://schemas.openxmlformats.org/officeDocument/2006/relationships/image" Target="media/image38.png"/><Relationship Id="rId52" Type="http://schemas.openxmlformats.org/officeDocument/2006/relationships/image" Target="media/image39.png"/><Relationship Id="rId55" Type="http://schemas.openxmlformats.org/officeDocument/2006/relationships/image" Target="media/image40.png"/><Relationship Id="rId58" Type="http://schemas.openxmlformats.org/officeDocument/2006/relationships/image" Target="media/image41.png"/><Relationship Id="rId61" Type="http://schemas.openxmlformats.org/officeDocument/2006/relationships/image" Target="media/image42.png"/><Relationship Id="rId64" Type="http://schemas.openxmlformats.org/officeDocument/2006/relationships/image" Target="media/image43.png"/><Relationship Id="rId67" Type="http://schemas.openxmlformats.org/officeDocument/2006/relationships/image" Target="media/image44.png"/><Relationship Id="rId70" Type="http://schemas.openxmlformats.org/officeDocument/2006/relationships/image" Target="media/image45.png"/><Relationship Id="rId73" Type="http://schemas.openxmlformats.org/officeDocument/2006/relationships/image" Target="media/image46.png"/><Relationship Id="rId76" Type="http://schemas.openxmlformats.org/officeDocument/2006/relationships/image" Target="media/image47.png"/><Relationship Id="rId79" Type="http://schemas.openxmlformats.org/officeDocument/2006/relationships/image" Target="media/image48.png"/><Relationship Id="rId82" Type="http://schemas.openxmlformats.org/officeDocument/2006/relationships/image" Target="media/image49.png"/><Relationship Id="rId85" Type="http://schemas.openxmlformats.org/officeDocument/2006/relationships/image" Target="media/image50.png"/><Relationship Id="rId87" Type="http://schemas.openxmlformats.org/officeDocument/2006/relationships/image" Target="media/image51.png"/><Relationship Id="rId90" Type="http://schemas.openxmlformats.org/officeDocument/2006/relationships/image" Target="media/image52.png"/><Relationship Id="rId93" Type="http://schemas.openxmlformats.org/officeDocument/2006/relationships/image" Target="media/image53.png"/><Relationship Id="rId96" Type="http://schemas.openxmlformats.org/officeDocument/2006/relationships/image" Target="media/image54.png"/><Relationship Id="rId99" Type="http://schemas.openxmlformats.org/officeDocument/2006/relationships/image" Target="media/image55.png"/><Relationship Id="rId102" Type="http://schemas.openxmlformats.org/officeDocument/2006/relationships/image" Target="media/image56.png"/><Relationship Id="rId105" Type="http://schemas.openxmlformats.org/officeDocument/2006/relationships/image" Target="media/image57.png"/><Relationship Id="rId108" Type="http://schemas.openxmlformats.org/officeDocument/2006/relationships/image" Target="media/image58.png"/><Relationship Id="rId111" Type="http://schemas.openxmlformats.org/officeDocument/2006/relationships/image" Target="media/image59.png"/><Relationship Id="rId114" Type="http://schemas.openxmlformats.org/officeDocument/2006/relationships/image" Target="media/image60.png"/><Relationship Id="rId117" Type="http://schemas.openxmlformats.org/officeDocument/2006/relationships/image" Target="media/image61.png"/><Relationship Id="rId120"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26" Type="http://schemas.openxmlformats.org/officeDocument/2006/relationships/image" Target="media/image67.png"/><Relationship Id="rId127" Type="http://schemas.openxmlformats.org/officeDocument/2006/relationships/image" Target="media/image68.png"/><Relationship Id="rId128" Type="http://schemas.openxmlformats.org/officeDocument/2006/relationships/image" Target="media/image69.png"/><Relationship Id="rId129"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44" Type="http://schemas.openxmlformats.org/officeDocument/2006/relationships/hyperlink" Target="http://www.sec.gov/Archives/edgar/data/1048268/000119312513105462/d502169dex21.htm" TargetMode="External"/><Relationship Id="rId45" Type="http://schemas.openxmlformats.org/officeDocument/2006/relationships/hyperlink" Target="http://www.sec.gov/Archives/edgar/data/1048268/000119312513287371/d566538dex21.htm" TargetMode="External"/><Relationship Id="rId47" Type="http://schemas.openxmlformats.org/officeDocument/2006/relationships/hyperlink" Target="http://www.sec.gov/Archives/edgar/data/1048268/000119312516621943/d148351dex21.htm" TargetMode="External"/><Relationship Id="rId48" Type="http://schemas.openxmlformats.org/officeDocument/2006/relationships/hyperlink" Target="http://www.sec.gov/Archives/edgar/data/1048268/000119312516674386/d211495dex31.htm" TargetMode="External"/><Relationship Id="rId50" Type="http://schemas.openxmlformats.org/officeDocument/2006/relationships/hyperlink" Target="http://www.sec.gov/Archives/edgar/data/1048268/000119312513026383/d474722dex31.htm" TargetMode="External"/><Relationship Id="rId51" Type="http://schemas.openxmlformats.org/officeDocument/2006/relationships/hyperlink" Target="http://www.sec.gov/Archives/edgar/data/1048268/000119312516600652/d197326dex32.htm" TargetMode="External"/><Relationship Id="rId53" Type="http://schemas.openxmlformats.org/officeDocument/2006/relationships/hyperlink" Target="http://www.sec.gov/Archives/edgar/data/1048268/000119312516789187/d310826dex41.htm" TargetMode="External"/><Relationship Id="rId54" Type="http://schemas.openxmlformats.org/officeDocument/2006/relationships/hyperlink" Target="http://www.sec.gov/Archives/edgar/data/1048268/000119312516763155/d487615dex41.htm" TargetMode="External"/><Relationship Id="rId56" Type="http://schemas.openxmlformats.org/officeDocument/2006/relationships/hyperlink" Target="http://www.sec.gov/Archives/edgar/data/1048268/000095012906005627/h36237exv10w5.htm" TargetMode="External"/><Relationship Id="rId57" Type="http://schemas.openxmlformats.org/officeDocument/2006/relationships/hyperlink" Target="http://www.sec.gov/Archives/edgar/data/1048268/000119312512503507/d452277dex1024.htm" TargetMode="External"/><Relationship Id="rId59" Type="http://schemas.openxmlformats.org/officeDocument/2006/relationships/hyperlink" Target="http://www.sec.gov/Archives/edgar/data/1048268/000095012906005627/h36237exv10w4.htm" TargetMode="External"/><Relationship Id="rId60" Type="http://schemas.openxmlformats.org/officeDocument/2006/relationships/hyperlink" Target="http://www.sec.gov/Archives/edgar/data/1048268/000116923206004252/d69762_ex10-1.htm" TargetMode="External"/><Relationship Id="rId62" Type="http://schemas.openxmlformats.org/officeDocument/2006/relationships/hyperlink" Target="http://www.sec.gov/Archives/edgar/data/1048268/000116923207003907/d72817_ex10-1.txt" TargetMode="External"/><Relationship Id="rId63" Type="http://schemas.openxmlformats.org/officeDocument/2006/relationships/hyperlink" Target="http://www.sec.gov/Archives/edgar/data/1048268/000116923207003907/d72817_ex10-2.txt" TargetMode="External"/><Relationship Id="rId65" Type="http://schemas.openxmlformats.org/officeDocument/2006/relationships/hyperlink" Target="http://www.sec.gov/Archives/edgar/data/1048268/000095012908005299/h64625exv10w1.htm" TargetMode="External"/><Relationship Id="rId66" Type="http://schemas.openxmlformats.org/officeDocument/2006/relationships/hyperlink" Target="http://www.sec.gov/Archives/edgar/data/1048268/000095012310049149/h73084exv10w1.htm" TargetMode="External"/><Relationship Id="rId68" Type="http://schemas.openxmlformats.org/officeDocument/2006/relationships/hyperlink" Target="http://www.sec.gov/Archives/edgar/data/1048268/000104826812000030/ies_amd1indemnityagmt-2012.htm" TargetMode="External"/><Relationship Id="rId69" Type="http://schemas.openxmlformats.org/officeDocument/2006/relationships/hyperlink" Target="http://www.sec.gov/Archives/edgar/data/1048268/000119312513215581/d535788dex101.htm" TargetMode="External"/><Relationship Id="rId71" Type="http://schemas.openxmlformats.org/officeDocument/2006/relationships/hyperlink" Target="http://www.sec.gov/Archives/edgar/data/1048268/000119312516708628/d258745dex101.htm" TargetMode="External"/><Relationship Id="rId72" Type="http://schemas.openxmlformats.org/officeDocument/2006/relationships/hyperlink" Target="http://www.sec.gov/Archives/edgar/data/1048268/000119312517227986/d419769dex101.htm" TargetMode="External"/><Relationship Id="rId74" Type="http://schemas.openxmlformats.org/officeDocument/2006/relationships/hyperlink" Target="http://www.sec.gov/Archives/edgar/data/1048268/000119312517118614/d375708dex101.htm" TargetMode="External"/><Relationship Id="rId75" Type="http://schemas.openxmlformats.org/officeDocument/2006/relationships/hyperlink" Target="http://www.sec.gov/Archives/edgar/data/1048268/000119312517248190/d437455dex102.htm" TargetMode="External"/><Relationship Id="rId77" Type="http://schemas.openxmlformats.org/officeDocument/2006/relationships/hyperlink" Target="http://www.sec.gov/Archives/edgar/data/1048268/000119312517248190/d437455dex104.htm" TargetMode="External"/><Relationship Id="rId78" Type="http://schemas.openxmlformats.org/officeDocument/2006/relationships/hyperlink" Target="http://www.sec.gov/Archives/edgar/data/1048268/000119312518223804/d527044dex101.htm" TargetMode="External"/><Relationship Id="rId80" Type="http://schemas.openxmlformats.org/officeDocument/2006/relationships/hyperlink" Target="http://www.sec.gov/Archives/edgar/data/1048268/000104826819000004/q32019ex102.htm" TargetMode="External"/><Relationship Id="rId81" Type="http://schemas.openxmlformats.org/officeDocument/2006/relationships/hyperlink" Target="http://www.sec.gov/Archives/edgar/data/1048268/000119312519240563/d801022dex101.htm" TargetMode="External"/><Relationship Id="rId83" Type="http://schemas.openxmlformats.org/officeDocument/2006/relationships/hyperlink" Target="http://www.sec.gov/Archives/edgar/data/1048268/000095012906005456/h36181exv4w1.htm" TargetMode="External"/><Relationship Id="rId84" Type="http://schemas.openxmlformats.org/officeDocument/2006/relationships/hyperlink" Target="http://www.sec.gov/Archives/edgar/data/1048268/000119312516582843/d193200dex105.htm" TargetMode="External"/><Relationship Id="rId86" Type="http://schemas.openxmlformats.org/officeDocument/2006/relationships/hyperlink" Target="http://www.sec.gov/Archives/edgar/data/1048268/000119312519138305/d740684dex1012.htm" TargetMode="External"/><Relationship Id="rId88" Type="http://schemas.openxmlformats.org/officeDocument/2006/relationships/hyperlink" Target="http://www.sec.gov/Archives/edgar/data/1048268/000119312518344274/d668006dex1017.htm" TargetMode="External"/><Relationship Id="rId89" Type="http://schemas.openxmlformats.org/officeDocument/2006/relationships/hyperlink" Target="http://www.sec.gov/Archives/edgar/data/1048268/000104826807000040/d72828_ex10-3.htm" TargetMode="External"/><Relationship Id="rId91" Type="http://schemas.openxmlformats.org/officeDocument/2006/relationships/hyperlink" Target="http://www.sec.gov/Archives/edgar/data/1048268/000104826807000040/d72828_ex10-1.htm" TargetMode="External"/><Relationship Id="rId92" Type="http://schemas.openxmlformats.org/officeDocument/2006/relationships/hyperlink" Target="http://www.sec.gov/Archives/edgar/data/1048268/000119312516453210/d133572dex101.htm" TargetMode="External"/><Relationship Id="rId94" Type="http://schemas.openxmlformats.org/officeDocument/2006/relationships/hyperlink" Target="http://www.sec.gov/Archives/edgar/data/1048268/000119312515413732/d103218ddef14a.htm" TargetMode="External"/><Relationship Id="rId95" Type="http://schemas.openxmlformats.org/officeDocument/2006/relationships/hyperlink" Target="http://www.sec.gov/Archives/edgar/data/1048268/000119312516582843/d193200dex104.htm" TargetMode="External"/><Relationship Id="rId97" Type="http://schemas.openxmlformats.org/officeDocument/2006/relationships/hyperlink" Target="http://www.sec.gov/Archives/edgar/data/1048268/000119312516582843/d193200dex103.htm" TargetMode="External"/><Relationship Id="rId98" Type="http://schemas.openxmlformats.org/officeDocument/2006/relationships/hyperlink" Target="http://www.sec.gov/Archives/edgar/data/1048268/000119312516582843/d193200dex102.htm" TargetMode="External"/><Relationship Id="rId100" Type="http://schemas.openxmlformats.org/officeDocument/2006/relationships/hyperlink" Target="http://www.sec.gov/Archives/edgar/data/1048268/000119312516615339/d173606dex101.htm" TargetMode="External"/><Relationship Id="rId101" Type="http://schemas.openxmlformats.org/officeDocument/2006/relationships/hyperlink" Target="http://www.sec.gov/Archives/edgar/data/1048268/000119312516615339/d173606dex102.htm" TargetMode="External"/><Relationship Id="rId103" Type="http://schemas.openxmlformats.org/officeDocument/2006/relationships/hyperlink" Target="http://www.sec.gov/Archives/edgar/data/1048268/000104746908013171/a2188873zex-10_34.htm" TargetMode="External"/><Relationship Id="rId104" Type="http://schemas.openxmlformats.org/officeDocument/2006/relationships/hyperlink" Target="http://www.sec.gov/Archives/edgar/data/1048268/000104826809000014/ltipfy2009_2010.htm" TargetMode="External"/><Relationship Id="rId106" Type="http://schemas.openxmlformats.org/officeDocument/2006/relationships/hyperlink" Target="http://www.sec.gov/Archives/edgar/data/1048268/000119312516789187/d310826dex1030.htm" TargetMode="External"/><Relationship Id="rId107" Type="http://schemas.openxmlformats.org/officeDocument/2006/relationships/hyperlink" Target="http://www.sec.gov/Archives/edgar/data/1048268/000119312519138305/d740684dex102.htm" TargetMode="External"/><Relationship Id="rId109" Type="http://schemas.openxmlformats.org/officeDocument/2006/relationships/hyperlink" Target="http://www.sec.gov/Archives/edgar/data/1048268/000119312519064120/d697792dex101.htm" TargetMode="External"/><Relationship Id="rId110" Type="http://schemas.openxmlformats.org/officeDocument/2006/relationships/hyperlink" Target="http://www.sec.gov/Archives/edgar/data/1048268/000119312519064120/d697792dex102.htm" TargetMode="External"/><Relationship Id="rId112" Type="http://schemas.openxmlformats.org/officeDocument/2006/relationships/hyperlink" Target="http://www.sec.gov/Archives/edgar/data/1048268/000119312519138305/d740684dex105.htm" TargetMode="External"/><Relationship Id="rId113" Type="http://schemas.openxmlformats.org/officeDocument/2006/relationships/hyperlink" Target="http://www.sec.gov/Archives/edgar/data/1048268/000119312519138305/d740684dex106.htm" TargetMode="External"/><Relationship Id="rId115" Type="http://schemas.openxmlformats.org/officeDocument/2006/relationships/hyperlink" Target="http://www.sec.gov/Archives/edgar/data/1048268/000119312519138305/d740684dex107.htm" TargetMode="External"/><Relationship Id="rId116" Type="http://schemas.openxmlformats.org/officeDocument/2006/relationships/hyperlink" Target="http://www.sec.gov/Archives/edgar/data/1048268/000119312519138305/d740684dex108.htm" TargetMode="External"/><Relationship Id="rId118" Type="http://schemas.openxmlformats.org/officeDocument/2006/relationships/hyperlink" Target="http://www.sec.gov/Archives/edgar/data/1048268/000119312519138305/d740684dex109.htm" TargetMode="External"/><Relationship Id="rId119" Type="http://schemas.openxmlformats.org/officeDocument/2006/relationships/hyperlink" Target="http://www.sec.gov/Archives/edgar/data/1048268/000119312519138305/d740684dex1010.htm" TargetMode="External"/><Relationship Id="rId121" Type="http://schemas.openxmlformats.org/officeDocument/2006/relationships/hyperlink" Target="http://www.sec.gov/Archives/edgar/data/1048268/000119312519138305/d740684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2019-12-28T01:09:19Z</dcterms:created>
  <dcterms:modified xsi:type="dcterms:W3CDTF">2019-12-28T01:09:19Z</dcterms:modified>
</cp:coreProperties>
</file>