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-60960</wp:posOffset>
            </wp:positionV>
            <wp:extent cx="2120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-71120</wp:posOffset>
            </wp:positionV>
            <wp:extent cx="2120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35" w:lineRule="exact"/>
        <w:rPr>
          <w:sz w:val="24"/>
          <w:szCs w:val="24"/>
          <w:color w:val="auto"/>
        </w:rPr>
      </w:pPr>
    </w:p>
    <w:p>
      <w:pPr>
        <w:ind w:left="280" w:hanging="238"/>
        <w:spacing w:after="0"/>
        <w:tabs>
          <w:tab w:leader="none" w:pos="2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2" w:lineRule="exact"/>
        <w:rPr>
          <w:rFonts w:ascii="MS PGothic" w:cs="MS PGothic" w:eastAsia="MS PGothic" w:hAnsi="MS PGothic"/>
          <w:sz w:val="21"/>
          <w:szCs w:val="21"/>
          <w:color w:val="auto"/>
        </w:rPr>
      </w:pPr>
    </w:p>
    <w:p>
      <w:pPr>
        <w:ind w:left="4140"/>
        <w:spacing w:after="0"/>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For the fiscal year ended September 30, 2024</w:t>
      </w:r>
    </w:p>
    <w:p>
      <w:pPr>
        <w:spacing w:after="0" w:line="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2" w:lineRule="exact"/>
        <w:rPr>
          <w:sz w:val="24"/>
          <w:szCs w:val="24"/>
          <w:color w:val="auto"/>
        </w:rPr>
      </w:pPr>
    </w:p>
    <w:p>
      <w:pPr>
        <w:ind w:left="280" w:hanging="238"/>
        <w:spacing w:after="0"/>
        <w:tabs>
          <w:tab w:leader="none" w:pos="2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ind w:left="372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78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w w:val="79"/>
              </w:rPr>
              <w:t>to</w:t>
            </w:r>
          </w:p>
        </w:tc>
      </w:tr>
      <w:tr>
        <w:trPr>
          <w:trHeight w:val="297"/>
        </w:trPr>
        <w:tc>
          <w:tcPr>
            <w:tcW w:w="5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4283710</wp:posOffset>
            </wp:positionH>
            <wp:positionV relativeFrom="paragraph">
              <wp:posOffset>-200660</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-3810</wp:posOffset>
            </wp:positionV>
            <wp:extent cx="72834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 cy="36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tbl>
      <w:tblPr>
        <w:tblLayout w:type="fixed"/>
        <w:tblInd w:w="4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520" w:type="dxa"/>
            <w:vAlign w:val="bottom"/>
          </w:tcPr>
          <w:p>
            <w:pPr>
              <w:jc w:val="center"/>
              <w:ind w:left="128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20" w:type="dxa"/>
            <w:vAlign w:val="bottom"/>
          </w:tcPr>
          <w:p>
            <w:pPr>
              <w:jc w:val="right"/>
              <w:ind w:right="2025"/>
              <w:spacing w:after="0"/>
              <w:rPr>
                <w:sz w:val="20"/>
                <w:szCs w:val="20"/>
                <w:color w:val="auto"/>
              </w:rPr>
            </w:pPr>
            <w:r>
              <w:rPr>
                <w:rFonts w:ascii="Times New Roman" w:cs="Times New Roman" w:eastAsia="Times New Roman" w:hAnsi="Times New Roman"/>
                <w:sz w:val="15"/>
                <w:szCs w:val="15"/>
                <w:b w:val="1"/>
                <w:bCs w:val="1"/>
                <w:color w:val="auto"/>
              </w:rPr>
              <w:t>76-0542208</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658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 or organization)</w:t>
            </w:r>
          </w:p>
        </w:tc>
        <w:tc>
          <w:tcPr>
            <w:tcW w:w="3520" w:type="dxa"/>
            <w:vAlign w:val="bottom"/>
          </w:tcPr>
          <w:p>
            <w:pPr>
              <w:jc w:val="center"/>
              <w:ind w:right="1345"/>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c>
          <w:tcPr>
            <w:tcW w:w="0" w:type="dxa"/>
            <w:vAlign w:val="bottom"/>
          </w:tcPr>
          <w:p>
            <w:pPr>
              <w:spacing w:after="0"/>
              <w:rPr>
                <w:sz w:val="1"/>
                <w:szCs w:val="1"/>
                <w:color w:val="auto"/>
              </w:rPr>
            </w:pPr>
          </w:p>
        </w:tc>
      </w:tr>
      <w:tr>
        <w:trPr>
          <w:trHeight w:val="269"/>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tc>
        <w:tc>
          <w:tcPr>
            <w:tcW w:w="3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0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40" w:type="dxa"/>
            <w:vAlign w:val="bottom"/>
          </w:tcPr>
          <w:p>
            <w:pPr>
              <w:spacing w:after="0"/>
              <w:rPr>
                <w:sz w:val="21"/>
                <w:szCs w:val="21"/>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3520" w:type="dxa"/>
            <w:vAlign w:val="bottom"/>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5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rPr>
              <w:t>IESC</w:t>
            </w:r>
          </w:p>
        </w:tc>
        <w:tc>
          <w:tcPr>
            <w:tcW w:w="352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289"/>
        </w:trPr>
        <w:tc>
          <w:tcPr>
            <w:tcW w:w="540" w:type="dxa"/>
            <w:vAlign w:val="bottom"/>
          </w:tcPr>
          <w:p>
            <w:pPr>
              <w:spacing w:after="0"/>
              <w:rPr>
                <w:sz w:val="24"/>
                <w:szCs w:val="24"/>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59"/>
        </w:trPr>
        <w:tc>
          <w:tcPr>
            <w:tcW w:w="10640" w:type="dxa"/>
            <w:vAlign w:val="bottom"/>
            <w:gridSpan w:val="8"/>
          </w:tcPr>
          <w:p>
            <w:pPr>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7"/>
        </w:trPr>
        <w:tc>
          <w:tcPr>
            <w:tcW w:w="10640" w:type="dxa"/>
            <w:vAlign w:val="bottom"/>
            <w:gridSpan w:val="8"/>
          </w:tcPr>
          <w:p>
            <w:pPr>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w:t>
      </w:r>
    </w:p>
    <w:p>
      <w:pPr>
        <w:spacing w:after="0" w:line="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5"/>
          <w:szCs w:val="15"/>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ind w:right="160" w:firstLine="39"/>
        <w:spacing w:after="0" w:line="22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0" w:type="dxa"/>
        <w:tblCellMar>
          <w:top w:w="0" w:type="dxa"/>
          <w:left w:w="0" w:type="dxa"/>
          <w:bottom w:w="0" w:type="dxa"/>
          <w:right w:w="0" w:type="dxa"/>
        </w:tblCellMar>
      </w:tblPr>
      <w:tr>
        <w:trPr>
          <w:trHeight w:val="225"/>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91" w:lineRule="exact"/>
              <w:rPr>
                <w:sz w:val="20"/>
                <w:szCs w:val="20"/>
                <w:color w:val="auto"/>
              </w:rPr>
            </w:pPr>
            <w:r>
              <w:rPr>
                <w:rFonts w:ascii="MS PGothic" w:cs="MS PGothic" w:eastAsia="MS PGothic" w:hAnsi="MS PGothic"/>
                <w:sz w:val="19"/>
                <w:szCs w:val="19"/>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45"/>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91" w:lineRule="exact"/>
              <w:rPr>
                <w:sz w:val="20"/>
                <w:szCs w:val="20"/>
                <w:color w:val="auto"/>
              </w:rPr>
            </w:pPr>
            <w:r>
              <w:rPr>
                <w:rFonts w:ascii="MS PGothic" w:cs="MS PGothic" w:eastAsia="MS PGothic" w:hAnsi="MS PGothic"/>
                <w:sz w:val="19"/>
                <w:szCs w:val="19"/>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7"/>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91" w:lineRule="exact"/>
              <w:rPr>
                <w:sz w:val="20"/>
                <w:szCs w:val="20"/>
                <w:color w:val="auto"/>
              </w:rPr>
            </w:pPr>
            <w:r>
              <w:rPr>
                <w:rFonts w:ascii="MS PGothic" w:cs="MS PGothic" w:eastAsia="MS PGothic" w:hAnsi="MS PGothic"/>
                <w:sz w:val="19"/>
                <w:szCs w:val="19"/>
                <w:color w:val="auto"/>
              </w:rPr>
              <w:t>☐</w:t>
            </w:r>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31" w:lineRule="exact"/>
        <w:rPr>
          <w:sz w:val="24"/>
          <w:szCs w:val="24"/>
          <w:color w:val="auto"/>
        </w:rPr>
      </w:pPr>
    </w:p>
    <w:p>
      <w:pPr>
        <w:ind w:right="480"/>
        <w:spacing w:after="0" w:line="23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20"/>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140"/>
        <w:spacing w:after="0" w:line="21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ind w:right="100"/>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85" w:lineRule="exact"/>
        <w:tabs>
          <w:tab w:leader="none" w:pos="68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4"/>
          <w:szCs w:val="14"/>
          <w:color w:val="auto"/>
        </w:rPr>
        <w:t>No</w:t>
      </w:r>
      <w:r>
        <w:rPr>
          <w:rFonts w:ascii="MS PGothic" w:cs="MS PGothic" w:eastAsia="MS PGothic" w:hAnsi="MS PGothic"/>
          <w:sz w:val="18"/>
          <w:szCs w:val="18"/>
          <w:color w:val="auto"/>
        </w:rPr>
        <w:t xml:space="preserve">   ☑</w:t>
      </w:r>
    </w:p>
    <w:p>
      <w:pPr>
        <w:spacing w:after="0" w:line="104"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The aggregate market value of the voting stock of the registrant held by non-affiliates as of March 31, 2024, was approximately $1,045.3 million. On November 18, 2024, there were 19,971,670 shares of common stock outstanding.</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6" w:lineRule="exact"/>
        <w:rPr>
          <w:sz w:val="24"/>
          <w:szCs w:val="24"/>
          <w:color w:val="auto"/>
        </w:rPr>
      </w:pPr>
    </w:p>
    <w:p>
      <w:pPr>
        <w:ind w:right="160"/>
        <w:spacing w:after="0" w:line="289" w:lineRule="auto"/>
        <w:rPr>
          <w:sz w:val="20"/>
          <w:szCs w:val="20"/>
          <w:color w:val="auto"/>
        </w:rPr>
      </w:pPr>
      <w:r>
        <w:rPr>
          <w:rFonts w:ascii="Times New Roman" w:cs="Times New Roman" w:eastAsia="Times New Roman" w:hAnsi="Times New Roman"/>
          <w:sz w:val="15"/>
          <w:szCs w:val="15"/>
          <w:color w:val="auto"/>
        </w:rPr>
        <w:t>Certain information contained in the Proxy Statement for the 2025 Annual Meeting of Stockholders of the Registrant to be held on February 20, 2025,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394335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71386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gridSpan w:val="4"/>
            <w:vMerge w:val="restart"/>
          </w:tcPr>
          <w:p>
            <w:pPr>
              <w:ind w:left="840"/>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10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4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DEFINITIONS</w:t>
            </w:r>
          </w:p>
        </w:tc>
        <w:tc>
          <w:tcPr>
            <w:tcW w:w="560" w:type="dxa"/>
            <w:vAlign w:val="bottom"/>
            <w:tcBorders>
              <w:top w:val="single" w:sz="8" w:color="0000FF"/>
            </w:tcBorders>
            <w:gridSpan w:val="2"/>
          </w:tcPr>
          <w:p>
            <w:pPr>
              <w:spacing w:after="0"/>
              <w:rPr>
                <w:sz w:val="17"/>
                <w:szCs w:val="17"/>
                <w:color w:val="auto"/>
              </w:rPr>
            </w:pPr>
          </w:p>
        </w:tc>
        <w:tc>
          <w:tcPr>
            <w:tcW w:w="46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w w:val="99"/>
              </w:rPr>
              <w:t>DISCLOSURE REGARDING FORWARD LOOKING STATEMENTS</w:t>
            </w:r>
          </w:p>
        </w:tc>
        <w:tc>
          <w:tcPr>
            <w:tcW w:w="464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1</w:t>
            </w:r>
          </w:p>
        </w:tc>
        <w:tc>
          <w:tcPr>
            <w:tcW w:w="0" w:type="dxa"/>
            <w:vAlign w:val="bottom"/>
          </w:tcPr>
          <w:p>
            <w:pPr>
              <w:spacing w:after="0"/>
              <w:rPr>
                <w:sz w:val="1"/>
                <w:szCs w:val="1"/>
                <w:color w:val="auto"/>
              </w:rPr>
            </w:pPr>
          </w:p>
        </w:tc>
      </w:tr>
      <w:tr>
        <w:trPr>
          <w:trHeight w:val="199"/>
        </w:trPr>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w:t>
            </w:r>
          </w:p>
        </w:tc>
        <w:tc>
          <w:tcPr>
            <w:tcW w:w="8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BUSINESS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24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500" w:type="dxa"/>
            <w:vAlign w:val="bottom"/>
            <w:gridSpan w:val="8"/>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1B.</w:t>
            </w:r>
          </w:p>
        </w:tc>
        <w:tc>
          <w:tcPr>
            <w:tcW w:w="240" w:type="dxa"/>
            <w:vAlign w:val="bottom"/>
          </w:tcPr>
          <w:p>
            <w:pPr>
              <w:spacing w:after="0"/>
              <w:rPr>
                <w:sz w:val="18"/>
                <w:szCs w:val="18"/>
                <w:color w:val="auto"/>
              </w:rPr>
            </w:pPr>
          </w:p>
        </w:tc>
        <w:tc>
          <w:tcPr>
            <w:tcW w:w="2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UNRESOLVED STAFF COMMENTS</w:t>
            </w:r>
          </w:p>
        </w:tc>
        <w:tc>
          <w:tcPr>
            <w:tcW w:w="6000" w:type="dxa"/>
            <w:vAlign w:val="bottom"/>
            <w:gridSpan w:val="4"/>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0" w:type="dxa"/>
            <w:vAlign w:val="bottom"/>
          </w:tcPr>
          <w:p>
            <w:pPr>
              <w:spacing w:after="0"/>
              <w:rPr>
                <w:sz w:val="1"/>
                <w:szCs w:val="1"/>
                <w:color w:val="auto"/>
              </w:rPr>
            </w:pPr>
          </w:p>
        </w:tc>
      </w:tr>
      <w:tr>
        <w:trPr>
          <w:trHeight w:val="20"/>
        </w:trPr>
        <w:tc>
          <w:tcPr>
            <w:tcW w:w="6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1C.</w:t>
            </w:r>
          </w:p>
        </w:tc>
        <w:tc>
          <w:tcPr>
            <w:tcW w:w="1420" w:type="dxa"/>
            <w:vAlign w:val="bottom"/>
            <w:tcBorders>
              <w:bottom w:val="single" w:sz="8" w:color="0000FF"/>
            </w:tcBorders>
            <w:gridSpan w:val="5"/>
            <w:vMerge w:val="continue"/>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60" w:type="dxa"/>
            <w:vAlign w:val="bottom"/>
            <w:gridSpan w:val="5"/>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0" w:type="dxa"/>
            <w:vAlign w:val="bottom"/>
          </w:tcPr>
          <w:p>
            <w:pPr>
              <w:spacing w:after="0"/>
              <w:rPr>
                <w:sz w:val="1"/>
                <w:szCs w:val="1"/>
                <w:color w:val="auto"/>
              </w:rPr>
            </w:pPr>
          </w:p>
        </w:tc>
      </w:tr>
      <w:tr>
        <w:trPr>
          <w:trHeight w:val="20"/>
        </w:trPr>
        <w:tc>
          <w:tcPr>
            <w:tcW w:w="600" w:type="dxa"/>
            <w:vAlign w:val="bottom"/>
            <w:tcBorders>
              <w:bottom w:val="single" w:sz="8" w:color="0000FF"/>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8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0000FF"/>
              </w:rPr>
              <w:t>Item 2.</w:t>
            </w:r>
          </w:p>
        </w:tc>
        <w:tc>
          <w:tcPr>
            <w:tcW w:w="870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FF"/>
              </w:rPr>
              <w:t>PROPERTIES</w:t>
            </w:r>
          </w:p>
        </w:tc>
        <w:tc>
          <w:tcPr>
            <w:tcW w:w="104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7"/>
                <w:szCs w:val="17"/>
                <w:color w:val="0000FF"/>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3.</w:t>
            </w:r>
          </w:p>
        </w:tc>
        <w:tc>
          <w:tcPr>
            <w:tcW w:w="8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4.</w:t>
            </w:r>
          </w:p>
        </w:tc>
        <w:tc>
          <w:tcPr>
            <w:tcW w:w="87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488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5.</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23</w:t>
            </w:r>
          </w:p>
        </w:tc>
        <w:tc>
          <w:tcPr>
            <w:tcW w:w="0" w:type="dxa"/>
            <w:vAlign w:val="bottom"/>
          </w:tcPr>
          <w:p>
            <w:pPr>
              <w:spacing w:after="0"/>
              <w:rPr>
                <w:sz w:val="1"/>
                <w:szCs w:val="1"/>
                <w:color w:val="auto"/>
              </w:rPr>
            </w:pPr>
          </w:p>
        </w:tc>
      </w:tr>
      <w:tr>
        <w:trPr>
          <w:trHeight w:val="128"/>
        </w:trPr>
        <w:tc>
          <w:tcPr>
            <w:tcW w:w="48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60" w:type="dxa"/>
            <w:vAlign w:val="bottom"/>
            <w:tcBorders>
              <w:top w:val="single" w:sz="8" w:color="0000FF"/>
            </w:tcBorders>
            <w:gridSpan w:val="7"/>
          </w:tcPr>
          <w:p>
            <w:pPr>
              <w:spacing w:after="0" w:line="128" w:lineRule="exact"/>
              <w:rPr>
                <w:sz w:val="20"/>
                <w:szCs w:val="20"/>
                <w:color w:val="auto"/>
              </w:rPr>
            </w:pPr>
            <w:r>
              <w:rPr>
                <w:rFonts w:ascii="Times New Roman" w:cs="Times New Roman" w:eastAsia="Times New Roman" w:hAnsi="Times New Roman"/>
                <w:sz w:val="14"/>
                <w:szCs w:val="14"/>
                <w:color w:val="0000FF"/>
              </w:rPr>
              <w:t>PURCHASES OF EQUITY SECURITIES</w:t>
            </w:r>
          </w:p>
        </w:tc>
        <w:tc>
          <w:tcPr>
            <w:tcW w:w="3400" w:type="dxa"/>
            <w:vAlign w:val="bottom"/>
            <w:tcBorders>
              <w:top w:val="single" w:sz="8" w:color="0000FF"/>
            </w:tcBorders>
            <w:gridSpan w:val="3"/>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80" w:type="dxa"/>
            <w:vAlign w:val="bottom"/>
            <w:gridSpan w:val="4"/>
            <w:shd w:val="clear" w:color="auto" w:fill="0000FF"/>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7A.</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8.</w:t>
            </w:r>
          </w:p>
        </w:tc>
        <w:tc>
          <w:tcPr>
            <w:tcW w:w="280" w:type="dxa"/>
            <w:vAlign w:val="bottom"/>
          </w:tcPr>
          <w:p>
            <w:pPr>
              <w:spacing w:after="0"/>
              <w:rPr>
                <w:sz w:val="17"/>
                <w:szCs w:val="17"/>
                <w:color w:val="auto"/>
              </w:rPr>
            </w:pPr>
          </w:p>
        </w:tc>
        <w:tc>
          <w:tcPr>
            <w:tcW w:w="58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3160" w:type="dxa"/>
            <w:vAlign w:val="bottom"/>
            <w:gridSpan w:val="4"/>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69</w:t>
            </w:r>
          </w:p>
        </w:tc>
        <w:tc>
          <w:tcPr>
            <w:tcW w:w="0" w:type="dxa"/>
            <w:vAlign w:val="bottom"/>
          </w:tcPr>
          <w:p>
            <w:pPr>
              <w:spacing w:after="0"/>
              <w:rPr>
                <w:sz w:val="1"/>
                <w:szCs w:val="1"/>
                <w:color w:val="auto"/>
              </w:rPr>
            </w:pPr>
          </w:p>
        </w:tc>
      </w:tr>
      <w:tr>
        <w:trPr>
          <w:trHeight w:val="148"/>
        </w:trPr>
        <w:tc>
          <w:tcPr>
            <w:tcW w:w="4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Borders>
              <w:top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5"/>
                <w:szCs w:val="15"/>
                <w:color w:val="0000FF"/>
              </w:rPr>
              <w:t>DISCLOSURE</w:t>
            </w:r>
          </w:p>
        </w:tc>
        <w:tc>
          <w:tcPr>
            <w:tcW w:w="5780" w:type="dxa"/>
            <w:vAlign w:val="bottom"/>
            <w:tcBorders>
              <w:top w:val="single" w:sz="8" w:color="0000FF"/>
            </w:tcBorders>
            <w:gridSpan w:val="7"/>
          </w:tcPr>
          <w:p>
            <w:pPr>
              <w:spacing w:after="0"/>
              <w:rPr>
                <w:sz w:val="12"/>
                <w:szCs w:val="12"/>
                <w:color w:val="auto"/>
              </w:rPr>
            </w:pPr>
          </w:p>
        </w:tc>
        <w:tc>
          <w:tcPr>
            <w:tcW w:w="1440" w:type="dxa"/>
            <w:vAlign w:val="bottom"/>
            <w:gridSpan w:val="3"/>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6540" w:type="dxa"/>
            <w:vAlign w:val="bottom"/>
            <w:gridSpan w:val="9"/>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9A.</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Item 9B.</w:t>
            </w:r>
          </w:p>
        </w:tc>
        <w:tc>
          <w:tcPr>
            <w:tcW w:w="280" w:type="dxa"/>
            <w:vAlign w:val="bottom"/>
          </w:tcPr>
          <w:p>
            <w:pPr>
              <w:spacing w:after="0"/>
              <w:rPr>
                <w:sz w:val="17"/>
                <w:szCs w:val="17"/>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540" w:type="dxa"/>
            <w:vAlign w:val="bottom"/>
            <w:gridSpan w:val="9"/>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III</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10.DIRECTORS, EXECUTIVE OFFICERS AND CORPORATE GOVERNANCE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11.</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12.</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SECURITY OWNERSHIP OF CERTAIN BENEFICIAL OWNERS AND MANAGEMENT AND RELATED</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0" w:type="dxa"/>
            <w:vAlign w:val="bottom"/>
          </w:tcPr>
          <w:p>
            <w:pPr>
              <w:spacing w:after="0"/>
              <w:rPr>
                <w:sz w:val="1"/>
                <w:szCs w:val="1"/>
                <w:color w:val="auto"/>
              </w:rPr>
            </w:pPr>
          </w:p>
        </w:tc>
      </w:tr>
      <w:tr>
        <w:trPr>
          <w:trHeight w:val="148"/>
        </w:trPr>
        <w:tc>
          <w:tcPr>
            <w:tcW w:w="56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3780" w:type="dxa"/>
            <w:vAlign w:val="bottom"/>
            <w:tcBorders>
              <w:top w:val="single" w:sz="8" w:color="0000FF"/>
            </w:tcBorders>
            <w:gridSpan w:val="4"/>
          </w:tcPr>
          <w:p>
            <w:pPr>
              <w:spacing w:after="0" w:line="135" w:lineRule="exact"/>
              <w:rPr>
                <w:sz w:val="20"/>
                <w:szCs w:val="20"/>
                <w:color w:val="auto"/>
              </w:rPr>
            </w:pPr>
            <w:r>
              <w:rPr>
                <w:rFonts w:ascii="Times New Roman" w:cs="Times New Roman" w:eastAsia="Times New Roman" w:hAnsi="Times New Roman"/>
                <w:sz w:val="15"/>
                <w:szCs w:val="15"/>
                <w:color w:val="0000FF"/>
              </w:rPr>
              <w:t>STOCKHOLDER MATTERS</w:t>
            </w:r>
          </w:p>
        </w:tc>
        <w:tc>
          <w:tcPr>
            <w:tcW w:w="3840" w:type="dxa"/>
            <w:vAlign w:val="bottom"/>
            <w:tcBorders>
              <w:top w:val="single" w:sz="8" w:color="0000FF"/>
            </w:tcBorders>
            <w:gridSpan w:val="4"/>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3780" w:type="dxa"/>
            <w:vAlign w:val="bottom"/>
            <w:gridSpan w:val="4"/>
            <w:shd w:val="clear" w:color="auto" w:fill="0000FF"/>
          </w:tcPr>
          <w:p>
            <w:pPr>
              <w:spacing w:after="0"/>
              <w:rPr>
                <w:sz w:val="2"/>
                <w:szCs w:val="2"/>
                <w:color w:val="auto"/>
              </w:rPr>
            </w:pPr>
          </w:p>
        </w:tc>
        <w:tc>
          <w:tcPr>
            <w:tcW w:w="35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13.</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14.</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95"/>
              </w:rPr>
              <w:t>PART IV</w:t>
            </w:r>
          </w:p>
        </w:tc>
        <w:tc>
          <w:tcPr>
            <w:tcW w:w="2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9"/>
        </w:trPr>
        <w:tc>
          <w:tcPr>
            <w:tcW w:w="360" w:type="dxa"/>
            <w:vAlign w:val="bottom"/>
          </w:tcPr>
          <w:p>
            <w:pPr>
              <w:spacing w:after="0"/>
              <w:rPr>
                <w:sz w:val="17"/>
                <w:szCs w:val="17"/>
                <w:color w:val="auto"/>
              </w:rPr>
            </w:pPr>
          </w:p>
        </w:tc>
        <w:tc>
          <w:tcPr>
            <w:tcW w:w="7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15.EXHIBITS, FINANCIAL STATEMENT SCHEDULES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3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9"/>
        </w:trPr>
        <w:tc>
          <w:tcPr>
            <w:tcW w:w="360" w:type="dxa"/>
            <w:vAlign w:val="bottom"/>
          </w:tcPr>
          <w:p>
            <w:pPr>
              <w:spacing w:after="0"/>
              <w:rPr>
                <w:sz w:val="17"/>
                <w:szCs w:val="17"/>
                <w:color w:val="auto"/>
              </w:rPr>
            </w:pPr>
          </w:p>
        </w:tc>
        <w:tc>
          <w:tcPr>
            <w:tcW w:w="7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74</w:t>
            </w:r>
          </w:p>
        </w:tc>
        <w:tc>
          <w:tcPr>
            <w:tcW w:w="300" w:type="dxa"/>
            <w:vAlign w:val="bottom"/>
          </w:tcPr>
          <w:p>
            <w:pPr>
              <w:spacing w:after="0"/>
              <w:rPr>
                <w:sz w:val="17"/>
                <w:szCs w:val="17"/>
                <w:color w:val="auto"/>
              </w:rPr>
            </w:pPr>
          </w:p>
        </w:tc>
      </w:tr>
      <w:tr>
        <w:trPr>
          <w:trHeight w:val="759"/>
        </w:trPr>
        <w:tc>
          <w:tcPr>
            <w:tcW w:w="3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In this Annual Report on Form 10-K, the words “IES”, the “Company”, the “Registrant”, “we”, “our”, “ours” and “us” refer to IES Holdings, Inc. and, except as otherwise specified herein, to our subsidiaries.</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86" w:lineRule="exact"/>
        <w:rPr>
          <w:sz w:val="20"/>
          <w:szCs w:val="20"/>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04" w:lineRule="exact"/>
        <w:rPr>
          <w:rFonts w:ascii="Times New Roman" w:cs="Times New Roman" w:eastAsia="Times New Roman" w:hAnsi="Times New Roman"/>
          <w:sz w:val="17"/>
          <w:szCs w:val="17"/>
          <w:color w:val="auto"/>
        </w:rPr>
      </w:pPr>
    </w:p>
    <w:p>
      <w:pPr>
        <w:ind w:left="500" w:right="8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supply chain constraints, high rates of inflation, changes in consumer sentiment, elevated interest rates, and market disruptions resulting from a number of factors, including geo-political events such as the Ukraine-Russia war, the conflict in the Middle East, and trade tensions between the U.S. and China;</w:t>
      </w:r>
    </w:p>
    <w:p>
      <w:pPr>
        <w:spacing w:after="0" w:line="189" w:lineRule="exact"/>
        <w:rPr>
          <w:rFonts w:ascii="Times New Roman" w:cs="Times New Roman" w:eastAsia="Times New Roman" w:hAnsi="Times New Roman"/>
          <w:sz w:val="17"/>
          <w:szCs w:val="17"/>
          <w:color w:val="auto"/>
        </w:rPr>
      </w:pPr>
    </w:p>
    <w:p>
      <w:pPr>
        <w:ind w:left="50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90" w:lineRule="exact"/>
        <w:rPr>
          <w:rFonts w:ascii="Times New Roman" w:cs="Times New Roman" w:eastAsia="Times New Roman" w:hAnsi="Times New Roman"/>
          <w:sz w:val="17"/>
          <w:szCs w:val="17"/>
          <w:color w:val="auto"/>
        </w:rPr>
      </w:pPr>
    </w:p>
    <w:p>
      <w:pPr>
        <w:jc w:val="both"/>
        <w:ind w:left="500" w:right="140" w:hanging="458"/>
        <w:spacing w:after="0" w:line="233"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91" w:lineRule="exact"/>
        <w:rPr>
          <w:rFonts w:ascii="Times New Roman" w:cs="Times New Roman" w:eastAsia="Times New Roman" w:hAnsi="Times New Roman"/>
          <w:sz w:val="17"/>
          <w:szCs w:val="17"/>
          <w:color w:val="auto"/>
        </w:rPr>
      </w:pPr>
    </w:p>
    <w:p>
      <w:pPr>
        <w:ind w:left="500" w:right="24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77" w:lineRule="exact"/>
        <w:rPr>
          <w:rFonts w:ascii="Times New Roman" w:cs="Times New Roman" w:eastAsia="Times New Roman" w:hAnsi="Times New Roman"/>
          <w:sz w:val="17"/>
          <w:szCs w:val="17"/>
          <w:color w:val="auto"/>
        </w:rPr>
      </w:pPr>
    </w:p>
    <w:p>
      <w:pPr>
        <w:ind w:left="500" w:right="4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90"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small number of customers from whom we derive a meaningful portion of our revenues;</w:t>
      </w:r>
    </w:p>
    <w:p>
      <w:pPr>
        <w:spacing w:after="0" w:line="20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including subcontractors and suppliers, to complete our projects;</w:t>
      </w:r>
    </w:p>
    <w:p>
      <w:pPr>
        <w:spacing w:after="0" w:line="217" w:lineRule="exact"/>
        <w:rPr>
          <w:rFonts w:ascii="Times New Roman" w:cs="Times New Roman" w:eastAsia="Times New Roman" w:hAnsi="Times New Roman"/>
          <w:sz w:val="17"/>
          <w:szCs w:val="17"/>
          <w:color w:val="auto"/>
        </w:rPr>
      </w:pPr>
    </w:p>
    <w:p>
      <w:pPr>
        <w:ind w:left="500" w:right="18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0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17" w:lineRule="exact"/>
        <w:rPr>
          <w:rFonts w:ascii="Times New Roman" w:cs="Times New Roman" w:eastAsia="Times New Roman" w:hAnsi="Times New Roman"/>
          <w:sz w:val="17"/>
          <w:szCs w:val="17"/>
          <w:color w:val="auto"/>
        </w:rPr>
      </w:pPr>
    </w:p>
    <w:p>
      <w:pPr>
        <w:ind w:left="500" w:right="18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90" w:lineRule="exact"/>
        <w:rPr>
          <w:rFonts w:ascii="Times New Roman" w:cs="Times New Roman" w:eastAsia="Times New Roman" w:hAnsi="Times New Roman"/>
          <w:sz w:val="17"/>
          <w:szCs w:val="17"/>
          <w:color w:val="auto"/>
        </w:rPr>
      </w:pPr>
    </w:p>
    <w:p>
      <w:pPr>
        <w:jc w:val="both"/>
        <w:ind w:left="50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spacing w:after="0" w:line="176" w:lineRule="exact"/>
        <w:rPr>
          <w:rFonts w:ascii="Times New Roman" w:cs="Times New Roman" w:eastAsia="Times New Roman" w:hAnsi="Times New Roman"/>
          <w:sz w:val="17"/>
          <w:szCs w:val="17"/>
          <w:color w:val="auto"/>
        </w:rPr>
      </w:pPr>
    </w:p>
    <w:p>
      <w:pPr>
        <w:ind w:left="500" w:right="16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ectPr>
          <w:pgSz w:w="11900" w:h="16838" w:orient="portrait"/>
          <w:cols w:equalWidth="0" w:num="1">
            <w:col w:w="11200"/>
          </w:cols>
          <w:pgMar w:left="320" w:top="9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type w:val="continuous"/>
        </w:sectPr>
      </w:pPr>
    </w:p>
    <w:bookmarkStart w:id="3" w:name="page4"/>
    <w:bookmarkEnd w:id="3"/>
    <w:p>
      <w:pPr>
        <w:ind w:left="500" w:right="60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factors such as cyclicality, downturns in levels of construction or the housing market, and differing regional economic conditions;</w:t>
      </w:r>
    </w:p>
    <w:p>
      <w:pPr>
        <w:spacing w:after="0" w:line="16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our billings and collections;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17" w:lineRule="exact"/>
        <w:rPr>
          <w:rFonts w:ascii="Times New Roman" w:cs="Times New Roman" w:eastAsia="Times New Roman" w:hAnsi="Times New Roman"/>
          <w:sz w:val="17"/>
          <w:szCs w:val="17"/>
          <w:color w:val="auto"/>
        </w:rPr>
      </w:pPr>
    </w:p>
    <w:p>
      <w:pPr>
        <w:ind w:left="500" w:right="34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90" w:lineRule="exact"/>
        <w:rPr>
          <w:rFonts w:ascii="Times New Roman" w:cs="Times New Roman" w:eastAsia="Times New Roman" w:hAnsi="Times New Roman"/>
          <w:sz w:val="17"/>
          <w:szCs w:val="17"/>
          <w:color w:val="auto"/>
        </w:rPr>
      </w:pPr>
    </w:p>
    <w:p>
      <w:pPr>
        <w:ind w:left="500" w:right="38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spacing w:after="0" w:line="16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conduct environmental remediation activities required by certain environmental laws and regulations;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general labor constraints;</w:t>
      </w:r>
    </w:p>
    <w:p>
      <w:pPr>
        <w:spacing w:after="0" w:line="217" w:lineRule="exact"/>
        <w:rPr>
          <w:rFonts w:ascii="Times New Roman" w:cs="Times New Roman" w:eastAsia="Times New Roman" w:hAnsi="Times New Roman"/>
          <w:sz w:val="17"/>
          <w:szCs w:val="17"/>
          <w:color w:val="auto"/>
        </w:rPr>
      </w:pPr>
    </w:p>
    <w:p>
      <w:pPr>
        <w:ind w:left="500" w:right="34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spacing w:after="0" w:line="190" w:lineRule="exact"/>
        <w:rPr>
          <w:rFonts w:ascii="Times New Roman" w:cs="Times New Roman" w:eastAsia="Times New Roman" w:hAnsi="Times New Roman"/>
          <w:sz w:val="17"/>
          <w:szCs w:val="17"/>
          <w:color w:val="auto"/>
        </w:rPr>
      </w:pPr>
    </w:p>
    <w:p>
      <w:pPr>
        <w:ind w:left="500" w:right="60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access capital markets and generate cash from operations to fund our working capital needs and capital expenditures, to complete acquisitions, and for debt service;</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our effective tax rate or cash paid for taxes from changes in tax positions we have taken or changes in tax laws;</w:t>
      </w:r>
    </w:p>
    <w:p>
      <w:pPr>
        <w:spacing w:after="0" w:line="204" w:lineRule="exact"/>
        <w:rPr>
          <w:rFonts w:ascii="Times New Roman" w:cs="Times New Roman" w:eastAsia="Times New Roman" w:hAnsi="Times New Roman"/>
          <w:sz w:val="17"/>
          <w:szCs w:val="17"/>
          <w:color w:val="auto"/>
        </w:rPr>
      </w:pPr>
    </w:p>
    <w:p>
      <w:pPr>
        <w:ind w:left="500" w:right="50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certain estimates and assumptions that may differ from actual results in the preparation of our financial statements;</w:t>
      </w:r>
    </w:p>
    <w:p>
      <w:pPr>
        <w:spacing w:after="0" w:line="204" w:lineRule="exact"/>
        <w:rPr>
          <w:rFonts w:ascii="Times New Roman" w:cs="Times New Roman" w:eastAsia="Times New Roman" w:hAnsi="Times New Roman"/>
          <w:sz w:val="17"/>
          <w:szCs w:val="17"/>
          <w:color w:val="auto"/>
        </w:rPr>
      </w:pPr>
    </w:p>
    <w:p>
      <w:pPr>
        <w:ind w:left="500" w:right="2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the use of percentage-of-completion accounting, which could result in the reduction or elimination of previously recorded revenues and profits;</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17" w:lineRule="exact"/>
        <w:rPr>
          <w:rFonts w:ascii="Times New Roman" w:cs="Times New Roman" w:eastAsia="Times New Roman" w:hAnsi="Times New Roman"/>
          <w:sz w:val="17"/>
          <w:szCs w:val="17"/>
          <w:color w:val="auto"/>
        </w:rPr>
      </w:pPr>
    </w:p>
    <w:p>
      <w:pPr>
        <w:jc w:val="both"/>
        <w:ind w:left="500" w:right="140" w:hanging="458"/>
        <w:spacing w:after="0" w:line="233"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500" w:right="74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spacing w:after="0" w:line="190" w:lineRule="exact"/>
        <w:rPr>
          <w:rFonts w:ascii="Times New Roman" w:cs="Times New Roman" w:eastAsia="Times New Roman" w:hAnsi="Times New Roman"/>
          <w:sz w:val="17"/>
          <w:szCs w:val="17"/>
          <w:color w:val="auto"/>
        </w:rPr>
      </w:pPr>
    </w:p>
    <w:p>
      <w:pPr>
        <w:ind w:left="50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04" w:lineRule="exact"/>
        <w:rPr>
          <w:rFonts w:ascii="Times New Roman" w:cs="Times New Roman" w:eastAsia="Times New Roman" w:hAnsi="Times New Roman"/>
          <w:sz w:val="17"/>
          <w:szCs w:val="17"/>
          <w:color w:val="auto"/>
        </w:rPr>
      </w:pPr>
    </w:p>
    <w:p>
      <w:pPr>
        <w:ind w:left="500" w:right="16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500" w:right="26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 and</w:t>
      </w:r>
    </w:p>
    <w:p>
      <w:pPr>
        <w:spacing w:after="0" w:line="190" w:lineRule="exact"/>
        <w:rPr>
          <w:rFonts w:ascii="Times New Roman" w:cs="Times New Roman" w:eastAsia="Times New Roman" w:hAnsi="Times New Roman"/>
          <w:sz w:val="17"/>
          <w:szCs w:val="17"/>
          <w:color w:val="auto"/>
        </w:rPr>
      </w:pPr>
    </w:p>
    <w:p>
      <w:pPr>
        <w:ind w:left="500" w:right="24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w:t>
      </w:r>
    </w:p>
    <w:p>
      <w:pPr>
        <w:spacing w:after="0" w:line="18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Annual Report on Form 10-K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w:t>
      </w:r>
    </w:p>
    <w:p>
      <w:pPr>
        <w:sectPr>
          <w:pgSz w:w="11900" w:h="16838" w:orient="portrait"/>
          <w:cols w:equalWidth="0" w:num="1">
            <w:col w:w="11240"/>
          </w:cols>
          <w:pgMar w:left="320" w:top="729" w:right="3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4" w:name="page5"/>
    <w:bookmarkEnd w:id="4"/>
    <w:p>
      <w:pPr>
        <w:ind w:right="300"/>
        <w:spacing w:after="0" w:line="287" w:lineRule="auto"/>
        <w:rPr>
          <w:sz w:val="20"/>
          <w:szCs w:val="20"/>
          <w:color w:val="auto"/>
        </w:rPr>
      </w:pPr>
      <w:r>
        <w:rPr>
          <w:rFonts w:ascii="Times New Roman" w:cs="Times New Roman" w:eastAsia="Times New Roman" w:hAnsi="Times New Roman"/>
          <w:sz w:val="17"/>
          <w:szCs w:val="17"/>
          <w:color w:val="auto"/>
        </w:rPr>
        <w:t>provided in this Annual Report on Form 10-K pursuant to the safe harbor established under the Private Securities Litigation Reform Act of 1995 and should be evaluated in the context of the estimates, assumptions, uncertainties and risks described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spacing w:after="0" w:line="177"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spacing w:after="0" w:line="17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spacing w:after="0" w:line="177"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7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IES Holdings, Inc. is a Delaware corporation established in 1997 and headquartered in Houston, Texas, with an executive office in Greenwich, Connecticut.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STRATEGY</w:t>
      </w:r>
    </w:p>
    <w:p>
      <w:pPr>
        <w:spacing w:after="0" w:line="2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seek to create shareholder value by growing our business through increasing our market share, geographic and market expansion and adding to our capabilities, as well as improving operating margins and generating free cash flow, by investing in our existing businesses and completing acquisitions. We primarily seek to acquire businesses that strategically complement our existing business segments. In addition, we may seek to acquire or invest in stand-alone platform companies based in North America. In evaluating potential acquisition candidates, we seek to invest in businesses with, among other characteristics:</w:t>
      </w:r>
    </w:p>
    <w:p>
      <w:pPr>
        <w:spacing w:after="0" w:line="197"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proven management with a willingness to continue post-acquisition;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 technological and/or product obsolescence risk;</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market position and sustainable competitive advantages;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cash flow characteristics.</w:t>
      </w:r>
    </w:p>
    <w:p>
      <w:pPr>
        <w:spacing w:after="0" w:line="22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We believe that acquisitions provide an opportunity to expand into new or related services, products, end markets or geographic areas and diversify our revenue and profit streams. While we may use acquisitions to build our presence in the industries we serve, we will also consider potential acquisitions in other industries, which could result in changes in our operations from those historically conducted by us.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OPERATING SEGMENTS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 (percentage columns may not add due to rounding):</w:t>
      </w:r>
    </w:p>
    <w:tbl>
      <w:tblPr>
        <w:tblLayout w:type="fixed"/>
        <w:tblInd w:w="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7"/>
                <w:szCs w:val="17"/>
                <w:color w:val="auto"/>
              </w:rPr>
              <w:t>Year Ended September 30,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12"/>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7"/>
                <w:szCs w:val="17"/>
                <w:color w:val="auto"/>
                <w:w w:val="99"/>
              </w:rPr>
              <w:t>2023</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r>
      <w:tr>
        <w:trPr>
          <w:trHeight w:val="212"/>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9"/>
          </w:tcPr>
          <w:p>
            <w:pPr>
              <w:jc w:val="center"/>
              <w:ind w:left="395"/>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25.8 %</w:t>
            </w:r>
          </w:p>
        </w:tc>
      </w:tr>
      <w:tr>
        <w:trPr>
          <w:trHeight w:val="219"/>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1,388,840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52.2 %</w:t>
            </w:r>
          </w:p>
        </w:tc>
      </w:tr>
      <w:tr>
        <w:trPr>
          <w:trHeight w:val="21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r>
      <w:tr>
        <w:trPr>
          <w:trHeight w:val="219"/>
        </w:trPr>
        <w:tc>
          <w:tcPr>
            <w:tcW w:w="4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367,948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14.2 %</w:t>
            </w:r>
          </w:p>
        </w:tc>
      </w:tr>
      <w:tr>
        <w:trPr>
          <w:trHeight w:val="237"/>
        </w:trPr>
        <w:tc>
          <w:tcPr>
            <w:tcW w:w="4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Consolidated</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2,884,358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financial information by segment, see Note 11, “Operating Segments” in the notes to our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Originally established in 1984, our Communications segment is a leading provider of network infrastructure solutions for data centers and other mission critical environments. Our services include the design, installation and maintenance of network infrastructure for leading and recognizable global technology, social networking and e-commerce brands, including many Fortune 100 and 500 corporations. We serve a variety of industries and end 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24 offices, which includes the segment headquarters located in Tempe, Arizona, and also provide dedicated onsite teams at our customers’ sites.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Communications segment is driven by demand for computing and storage resources as a result of technology advancements and obsolescence and changes in data consumption patterns. Demand in the data center market remains strong, and we continue to provide technology infrastructure services for applications such as data centers, distribution centers, and high-tech manufacturing facilities. As technology evolves, we are focused on expanding our capabilities as an integrator of audio-visual and other building technology offerings, which continue to experience strong demand. At September 30, 2024, our Communications business has a record level of backlog. However, if customers in our end markets reduce their capital budgets due to economic, technological or other factors, this could result in a decrease in activity for our Communications segment. While demand remains strong across our key end markets, the pace of growth in this business may also be slowed by the availability of labor.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spacing w:after="0" w:line="19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3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Our competition consists of both large national or regional competitors and small, privately owned contractors who generally have limited access to capital. We compete on quality of service and/or price and seek to emphasize our financial capabilities and long history of delivering high quality solutions to our customers.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Originally established in 1973, our Residential segment is a leading provider of electrical installation services for single-family housing and multi-family apartment complexes, as well as HVAC and plumbing installation services in certain markets, and cable television installations for residential and light commercial applications. The Residential segment also provides services for the installation of residential solar power, both for new construction and existing residences. The Residential segment is made up of 75 total locations, which include the segment headquarters in Houston, Texas. These locations geographically cover the Sun-Belt, Western, Mid-Atlantic, Midwest and Northeastern regions of the United States.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 In our single-family business, we remain cautious about demand for single-family housing, as elevated mortgage rates and the impacts of inflation on materials and labor costs have resulted in a decline in housing affordability. In addition, expectations of falling interest rates over the next year could cause consumers to delay home purchases in anticipation of lower mortgage costs. However, in the longer term, we still expect strong demand for new single-family housing. In our multi-family business, elevated interest rates in fiscal 2024 and tighter lending conditions for project owners have resulted in a reduction in backlog at September 30, 2024 compared with September 30, 2023. As a result, we expect a reduction in multi-family revenue for fiscal 2025 compared with fiscal 2024.</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Demand for our Residential services is highly dependent on the number of single-family and multi-family home starts in the markets we serve. Although we operate in multiple states, the majority of our single-family revenues are derived from services provided in Texas and Florida. The majority of our multi-family revenue is earned in Texas and across the Mid-Atlantic and Southeast regions. Our sales efforts include a variety of strategies, including a concentrated focus on national and regional homebuilders and multi-family developers and a local sales strategy for single and multi-family housing projects. A significant portion of our Residential business volume is generated from long-term, repeat customers, some of whom use IES as a preferred provider for major projects.</w:t>
      </w:r>
    </w:p>
    <w:p>
      <w:pPr>
        <w:spacing w:after="0" w:line="20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long-term strategy is to continue to be a leading provider of electrical services to the residential market, and to continue to expand our offerings of plumbing and HVAC services into markets where we previously offered only electrical services, while also expanding all service offerings into new geographic markets. The key elements of our long-term strategy include a continued focus on maintaining a low and variable cost structure and cash generation, allowing us to effectively scale according to the housing cycle, and to opportunistically increase our market share.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66"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Our competition primarily consists of small, privately owned contractors who generally have limited access to capital. We believe that we have a competitive advantage over these smaller competitors due to our key employees’ long-standing customer relationships, our financial capabilities, our employee training program, and our local market knowledge and competitive pricing. There are few barriers to entry for electrical contracting services in the residential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during fall and winter.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Infrastructure Solutions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Infrastructure Solutions segment provides electro-mechanical solutions for industrial operations to domestic and international customers. Our Custom Engineered Solutions business includes the manufacture of custom commercial and industrial generator enclosures, the manufacture of custom-engineered power distribution equipment, including metal enclosed bus duct solutions used in power distribution, and structural steel fabrication and services. Our Industrial Services business includes the maintenance and repair of alternating current (AC) and direct current (DC) electric motors and generators, as well as power generating and distribution equipment; the manufacture, re-manufacture, and repair of industrial lifting magnets; and maintenance and repair of railroad main and auxiliary generators, main alternators, and traction motors.</w:t>
      </w:r>
    </w:p>
    <w:p>
      <w:pPr>
        <w:spacing w:after="0" w:line="199"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This segment serves the steel, railroad, marine, petrochemical, pipeline, pulp and paper, wind energy, mining, automotive, power generation, scrap yards, data center, and utility industries. Our Infrastructure Solutions segment is comprised of 13 locations in Alabama, Georgia, Illinois, Indiana, Ohio, Oklahoma, Pennsylvania, South Carolina and West Virginia, and is headquartered in Massillon, Ohio.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the need for electrical or pipeline infrastructure improvements and the overall health of the economy.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Our sales efforts are primarily driven by personnel based at our operating locations, as well as independent sales representatives. Our custom-engineered power distribution, bus system and generator enclosure products and services are principally sold in partnership with an original equipment manufacturer (“OEM”) or to an engineering, procurement and construction firm on behalf of the end-user. Regarding our apparatus repair services, the majority of our customers are located within a 200-mile radius of our facilities, and we believe that the locations of our facilities allow us to rapidly address and respond to the needs of our customers. Our long-term strategy is to be a leader in custom-engineered metal enclosed bus systems and generator enclosures and the preferred solutions provider of outsourced electro-mechanical services, repairs, and manufacturing to our select markets.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6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Our competition ranges from small, single location service centers to large, multi-national companies. Our Custom Engineered Solutions business competes with domestic and international manufacturers and distributors. We believe that we have a competitive advantage due to our specific product offerings, geographic proximity to customer sites, and our ability to design high quality products to meet each customer's unique requirements. Our Industrial Services business competes with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Infrastructure Solutions’ revenues from its custom-engineered bus systems and generator enclosures are affected by the timing of customers' capital spending projects.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&amp; Industrial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Commercial &amp; Industrial segment provides electrical and mechanical design, service, and construction services to commercial and industrial markets.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Our design services range from budget assistance to providing design-build and LEED (Leadership in Energy &amp; Environmental Design) solutions to our end customers. Our maintenance and emergency services include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8" w:name="page9"/>
    <w:bookmarkEnd w:id="8"/>
    <w:p>
      <w:pPr>
        <w:ind w:right="540"/>
        <w:spacing w:after="0" w:line="287" w:lineRule="auto"/>
        <w:rPr>
          <w:sz w:val="20"/>
          <w:szCs w:val="20"/>
          <w:color w:val="auto"/>
        </w:rPr>
      </w:pPr>
      <w:r>
        <w:rPr>
          <w:rFonts w:ascii="Times New Roman" w:cs="Times New Roman" w:eastAsia="Times New Roman" w:hAnsi="Times New Roman"/>
          <w:sz w:val="17"/>
          <w:szCs w:val="17"/>
          <w:color w:val="auto"/>
        </w:rPr>
        <w:t>critical plant shutdown, troubleshooting, emergency testing, preventative maintenance, and constant presence. We also provide mechanical services such as maintenance agreements, installation, or replacement of mechanical equipment for commercial and industrial facilities.</w:t>
      </w:r>
    </w:p>
    <w:p>
      <w:pPr>
        <w:spacing w:after="0" w:line="17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This segment provides services for a variety of project types, including office buildings, manufacturing facilities, data centers, wind farms, solar facilities, municipal infrastructure and health care facilities. The Commercial &amp; Industrial segment consists of 17 locations, which includes the segment headquarters in Houston, Texas. Geographically, these locations cover Texas, Nebraska, Oregon, Wisconsin, and the Southeast and Mid-Atlantic regions.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Given the diverse end markets of our Commercial &amp; Industrial customers, which include both commercial buildings, such as offices, healthcare facilities and schools, and industrial projects, such as power, agricultural and food processing, and heavy manufacturing facilities, we are subject to many trends within the construction industry. In general, demand for our Commercial &amp; Industrial services is driven by construction and renovation activity levels, economic growth, and availability of bank or other financing. Due to economic, technological or other factors, there can be no assurance that construction and demand will increase.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is awarded from long-term, repeat customers. From time to time, we are contracted on projects with completion times extending beyond one year or over several years, which are generally more complex and difficult to estimate.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3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The electrical and mechanical contracting services industry is generally highly competitive and includes a number of regional or small privately-held local firms. Traditionally, competitors in certain parts of this market have faced few barriers to entry. Therefore, we seek to pursue projects where our access to capital and expertise provide a competitive advantage.</w:t>
      </w:r>
    </w:p>
    <w:p>
      <w:pPr>
        <w:spacing w:after="0" w:line="20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Industry expertise, project size, location and past performance determine our bidding strategy, the level of involvement from competitors and our level of success in bidding for new work.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SOURCES OF SUPPLY</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raw materials and components we use within our segments include, but are not limited to, electrical fixtures and system components, copper, aluminum, raw steel, and certain plastics. These raw materials and components are generally available from a variety of domestic suppliers at competitive prices. Delivery times are typically short for most raw materials and standard components, but during periods of peak demand, may extend to one month or more. Fluctuations in lead times in sourcing certain components may lead to project inefficiencies resulting from schedule extensions. We are also exposed to increases in the prices of certain commodities. Our strategy to reduce commodity cost exposure includes early buying of commodities for particular projects or general inventory, as well as including escalation and escape provisions in project bids, quotes and contracts wherever possible. However, such protections are not included in every contract or project, and in such cases, we may not be fully reimbursed for increases in commodity prices by our customers and may be exposed to commodity price volatility on longer-term projects where we have prepaid for commodities.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primary risks in our existing operations include project bidding and management, bodily injury, property and environmental damage, and construction defects. We monitor project bidding and management practices at various levels within the Company. We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9" w:name="page10"/>
    <w:bookmarkEnd w:id="9"/>
    <w:p>
      <w:pPr>
        <w:ind w:right="40"/>
        <w:spacing w:after="0" w:line="260" w:lineRule="auto"/>
        <w:rPr>
          <w:sz w:val="20"/>
          <w:szCs w:val="20"/>
          <w:color w:val="auto"/>
        </w:rPr>
      </w:pPr>
      <w:r>
        <w:rPr>
          <w:rFonts w:ascii="Times New Roman" w:cs="Times New Roman" w:eastAsia="Times New Roman" w:hAnsi="Times New Roman"/>
          <w:sz w:val="17"/>
          <w:szCs w:val="17"/>
          <w:color w:val="auto"/>
        </w:rPr>
        <w:t>maintain automobile, general liability and construction defect insurance for third-party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have a robust safety program, and seek to maintain standardized safety and environmental policies and procedures.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spacing w:after="0" w:line="199"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Annual Report on Form 10-K.</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We have a diverse customer base. During both of the years ended September 30, 2024 and 2023, one customer accounted for 12.0% of our consolidated revenues and no other customer accounted for more than 10% of our consolidated revenues. No single customer accounted for more than 10% of our consolidated revenues during the year ended September 30, 2022. We emphasize developing and maintaining relationships with our customers by providing superior, high-quality service. Management at each of our segments is responsible for determining sales strategies and sales activities.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CONTROLLING SHAREHOLDER</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majority of our outstanding common stock is owned by Tontine Associates, L.L.C. ("Tontine Associates") and its affiliates (collectively, “Tontine”). Tontine owns approximately 55 percent of our outstanding common stock based on a Form 4 filed by Tontine with the United States Securities and Exchange Commission (the "SEC") on September 16, 2024, and the Company's shares outstanding as of November 18, 2024. As a result, Tontine can control most of our affairs, including most actions requiring the approval of shareholders, such as the approval of any potential merger or sale of all or substantially all of the Company's assets or business segments, or the Company itself. Most of Tontine’s shares are registered for resale on a resale shelf registration statement filed by the Company with the SEC. Tontine’s sale of all or a significant portion of its shares could result in a change of control of the Company, which would trigger the change of control provisions in a number of our material agreements, including our credit agreement, bonding agreements with our sureties and our executive severance plan. For more information, see Note 3, “Controlling Shareholder” 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While backlog is not a defined term under accounting principles generally accepted in the United States of America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by segment: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w w:val="99"/>
              </w:rPr>
              <w:t>2023</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3"/>
                <w:szCs w:val="13"/>
                <w:color w:val="auto"/>
              </w:rPr>
            </w:pPr>
          </w:p>
        </w:tc>
        <w:tc>
          <w:tcPr>
            <w:tcW w:w="1080" w:type="dxa"/>
            <w:vAlign w:val="bottom"/>
          </w:tcPr>
          <w:p>
            <w:pPr>
              <w:jc w:val="center"/>
              <w:ind w:right="34"/>
              <w:spacing w:after="0" w:line="161" w:lineRule="exact"/>
              <w:rPr>
                <w:sz w:val="20"/>
                <w:szCs w:val="20"/>
                <w:color w:val="auto"/>
              </w:rPr>
            </w:pPr>
            <w:r>
              <w:rPr>
                <w:rFonts w:ascii="Times New Roman" w:cs="Times New Roman" w:eastAsia="Times New Roman" w:hAnsi="Times New Roman"/>
                <w:sz w:val="17"/>
                <w:szCs w:val="17"/>
                <w:color w:val="auto"/>
              </w:rPr>
              <w:t>Agreements</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Remaining</w:t>
            </w:r>
          </w:p>
        </w:tc>
        <w:tc>
          <w:tcPr>
            <w:tcW w:w="180" w:type="dxa"/>
            <w:vAlign w:val="bottom"/>
          </w:tcPr>
          <w:p>
            <w:pPr>
              <w:spacing w:after="0"/>
              <w:rPr>
                <w:sz w:val="13"/>
                <w:szCs w:val="13"/>
                <w:color w:val="auto"/>
              </w:rPr>
            </w:pPr>
          </w:p>
        </w:tc>
        <w:tc>
          <w:tcPr>
            <w:tcW w:w="1060" w:type="dxa"/>
            <w:vAlign w:val="bottom"/>
          </w:tcPr>
          <w:p>
            <w:pPr>
              <w:jc w:val="center"/>
              <w:ind w:right="34"/>
              <w:spacing w:after="0" w:line="161" w:lineRule="exact"/>
              <w:rPr>
                <w:sz w:val="20"/>
                <w:szCs w:val="20"/>
                <w:color w:val="auto"/>
              </w:rPr>
            </w:pPr>
            <w:r>
              <w:rPr>
                <w:rFonts w:ascii="Times New Roman" w:cs="Times New Roman" w:eastAsia="Times New Roman" w:hAnsi="Times New Roman"/>
                <w:sz w:val="17"/>
                <w:szCs w:val="17"/>
                <w:color w:val="auto"/>
                <w:w w:val="99"/>
              </w:rPr>
              <w:t>Agreements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w w:val="99"/>
              </w:rPr>
              <w:t>without an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rPr>
              <w:t>without 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Performance</w:t>
            </w:r>
          </w:p>
        </w:tc>
        <w:tc>
          <w:tcPr>
            <w:tcW w:w="180" w:type="dxa"/>
            <w:vAlign w:val="bottom"/>
          </w:tcPr>
          <w:p>
            <w:pPr>
              <w:spacing w:after="0"/>
              <w:rPr>
                <w:sz w:val="15"/>
                <w:szCs w:val="15"/>
                <w:color w:val="auto"/>
              </w:rPr>
            </w:pPr>
          </w:p>
        </w:tc>
        <w:tc>
          <w:tcPr>
            <w:tcW w:w="10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enforceable</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Backlog</w:t>
            </w:r>
          </w:p>
        </w:tc>
        <w:tc>
          <w:tcPr>
            <w:tcW w:w="140" w:type="dxa"/>
            <w:vAlign w:val="bottom"/>
          </w:tcPr>
          <w:p>
            <w:pPr>
              <w:spacing w:after="0"/>
              <w:rPr>
                <w:sz w:val="15"/>
                <w:szCs w:val="15"/>
                <w:color w:val="auto"/>
              </w:rPr>
            </w:pPr>
          </w:p>
        </w:tc>
        <w:tc>
          <w:tcPr>
            <w:tcW w:w="10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Performance</w:t>
            </w:r>
          </w:p>
        </w:tc>
        <w:tc>
          <w:tcPr>
            <w:tcW w:w="180" w:type="dxa"/>
            <w:vAlign w:val="bottom"/>
          </w:tcPr>
          <w:p>
            <w:pPr>
              <w:spacing w:after="0"/>
              <w:rPr>
                <w:sz w:val="15"/>
                <w:szCs w:val="15"/>
                <w:color w:val="auto"/>
              </w:rPr>
            </w:pPr>
          </w:p>
        </w:tc>
        <w:tc>
          <w:tcPr>
            <w:tcW w:w="10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rPr>
              <w:t>enforceable</w:t>
            </w:r>
          </w:p>
        </w:tc>
        <w:tc>
          <w:tcPr>
            <w:tcW w:w="260" w:type="dxa"/>
            <w:vAlign w:val="bottom"/>
          </w:tcPr>
          <w:p>
            <w:pPr>
              <w:spacing w:after="0"/>
              <w:rPr>
                <w:sz w:val="15"/>
                <w:szCs w:val="15"/>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Backlog</w:t>
            </w:r>
          </w:p>
        </w:tc>
        <w:tc>
          <w:tcPr>
            <w:tcW w:w="0" w:type="dxa"/>
            <w:vAlign w:val="bottom"/>
          </w:tcPr>
          <w:p>
            <w:pPr>
              <w:spacing w:after="0"/>
              <w:rPr>
                <w:sz w:val="1"/>
                <w:szCs w:val="1"/>
                <w:color w:val="auto"/>
              </w:rPr>
            </w:pPr>
          </w:p>
        </w:tc>
      </w:tr>
      <w:tr>
        <w:trPr>
          <w:trHeight w:val="219"/>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line="219" w:lineRule="exact"/>
              <w:rPr>
                <w:sz w:val="20"/>
                <w:szCs w:val="20"/>
                <w:color w:val="auto"/>
              </w:rPr>
            </w:pPr>
            <w:r>
              <w:rPr>
                <w:rFonts w:ascii="Times New Roman" w:cs="Times New Roman" w:eastAsia="Times New Roman" w:hAnsi="Times New Roman"/>
                <w:sz w:val="17"/>
                <w:szCs w:val="17"/>
                <w:color w:val="auto"/>
                <w:w w:val="97"/>
              </w:rPr>
              <w:t xml:space="preserve">obligation </w:t>
            </w:r>
            <w:r>
              <w:rPr>
                <w:rFonts w:ascii="Times New Roman" w:cs="Times New Roman" w:eastAsia="Times New Roman" w:hAnsi="Times New Roman"/>
                <w:sz w:val="22"/>
                <w:szCs w:val="22"/>
                <w:color w:val="auto"/>
                <w:w w:val="97"/>
                <w:vertAlign w:val="superscript"/>
              </w:rPr>
              <w:t>(1)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4"/>
              <w:spacing w:after="0" w:line="219" w:lineRule="exact"/>
              <w:rPr>
                <w:sz w:val="20"/>
                <w:szCs w:val="20"/>
                <w:color w:val="auto"/>
              </w:rPr>
            </w:pPr>
            <w:r>
              <w:rPr>
                <w:rFonts w:ascii="Times New Roman" w:cs="Times New Roman" w:eastAsia="Times New Roman" w:hAnsi="Times New Roman"/>
                <w:sz w:val="17"/>
                <w:szCs w:val="17"/>
                <w:color w:val="auto"/>
                <w:w w:val="95"/>
              </w:rPr>
              <w:t xml:space="preserve">obligation </w:t>
            </w:r>
            <w:r>
              <w:rPr>
                <w:rFonts w:ascii="Times New Roman" w:cs="Times New Roman" w:eastAsia="Times New Roman" w:hAnsi="Times New Roman"/>
                <w:sz w:val="22"/>
                <w:szCs w:val="22"/>
                <w:color w:val="auto"/>
                <w:w w:val="95"/>
                <w:vertAlign w:val="superscript"/>
              </w:rPr>
              <w:t>(1)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4"/>
          </w:tcPr>
          <w:p>
            <w:pPr>
              <w:jc w:val="right"/>
              <w:ind w:right="614"/>
              <w:spacing w:after="0"/>
              <w:rPr>
                <w:sz w:val="20"/>
                <w:szCs w:val="20"/>
                <w:color w:val="auto"/>
              </w:rPr>
            </w:pPr>
            <w:r>
              <w:rPr>
                <w:rFonts w:ascii="Times New Roman" w:cs="Times New Roman" w:eastAsia="Times New Roman" w:hAnsi="Times New Roman"/>
                <w:sz w:val="15"/>
                <w:szCs w:val="15"/>
                <w:color w:val="auto"/>
              </w:rPr>
              <w:t>(Dollars 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448,783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66,878</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515,661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42,239</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412,167</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329,364</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95,124</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414,179</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103,657</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517,836</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100,815</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426,749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527,564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240,683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349,765</w:t>
            </w:r>
          </w:p>
        </w:tc>
        <w:tc>
          <w:tcPr>
            <w:tcW w:w="0" w:type="dxa"/>
            <w:vAlign w:val="bottom"/>
          </w:tcPr>
          <w:p>
            <w:pPr>
              <w:spacing w:after="0"/>
              <w:rPr>
                <w:sz w:val="1"/>
                <w:szCs w:val="1"/>
                <w:color w:val="auto"/>
              </w:rPr>
            </w:pPr>
          </w:p>
        </w:tc>
      </w:tr>
      <w:tr>
        <w:trPr>
          <w:trHeight w:val="21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296,733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21,708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318,441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250,234</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278,244</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1,175,695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610,459</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1,786,154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414,589</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1,558,012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right="40" w:firstLine="3"/>
        <w:spacing w:after="0" w:line="289" w:lineRule="auto"/>
        <w:tabs>
          <w:tab w:leader="none" w:pos="21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includes signed agreements and letters of intent that we do not have a legal right to enforce prior to beginning work. These agreements are excluded from remaining performance obligations until work begins.</w:t>
      </w:r>
    </w:p>
    <w:p>
      <w:pPr>
        <w:spacing w:after="0" w:line="17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expect that $1.3 billion of our September 30, 2024 backlog will result in revenue during fiscal 2025, with the remaining $0.5 billion expected to be realized in fiscal 2026; however, there can be no assurance that this backlog will be completed within expected time frames or at all. The increase in our backlog year over year was primarily driven by strong demand and increased market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operations are subject to various federal, state and local laws and regulations, including:</w:t>
      </w:r>
    </w:p>
    <w:p>
      <w:pPr>
        <w:spacing w:after="0" w:line="243"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requirements applicable to electricians, plumbers, and mechanical service technicians;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and electrical codes;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relating to worker safety, labor relations and protection of the environment;</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relating to consumer protection, including those governing residential service agreements;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qualifications of our business legal structure in the jurisdictions where we do business.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Many state and local regulations governing electricians and mechanical services require permits and licenses to be held by individuals engaged in such services.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spacing w:after="0" w:line="2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We believe that we have all licenses required to conduct our operations and are in material compliance with applicable regulatory requirements. Failure to comply with applicable regulations could result in substantial fines or revocation of our operating licenses or an inability to perform government work.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CAPITAL FACILITIES</w:t>
      </w:r>
    </w:p>
    <w:p>
      <w:pPr>
        <w:spacing w:after="0" w:line="3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During fiscal year 2024, the Company maintained a revolving credit facility, as further described in Item 7.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 and Results of Operations — Liquidity and Capital Resources</w:t>
      </w:r>
      <w:r>
        <w:rPr>
          <w:rFonts w:ascii="Times New Roman" w:cs="Times New Roman" w:eastAsia="Times New Roman" w:hAnsi="Times New Roman"/>
          <w:sz w:val="17"/>
          <w:szCs w:val="17"/>
          <w:color w:val="auto"/>
        </w:rPr>
        <w:t>” of this Annual Report on Form 10-K. For a discussion of the Company’s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resources, see Item 7. </w:t>
      </w:r>
      <w:r>
        <w:rPr>
          <w:rFonts w:ascii="Times New Roman" w:cs="Times New Roman" w:eastAsia="Times New Roman" w:hAnsi="Times New Roman"/>
          <w:sz w:val="17"/>
          <w:szCs w:val="17"/>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7"/>
          <w:szCs w:val="17"/>
          <w:color w:val="auto"/>
        </w:rPr>
        <w:t xml:space="preserve"> of this Annual Report on Form 10-K.</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Company’s financial information by segment, see Note 11, “Operating Segments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notes to our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34"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At IES, we believe that attracting and retaining highly qualified and motivated employees at all levels is a key driver of our continued growth and success. Our human capital management objectives include recruiting, retaining, developing, incentivizing and integrating our current and prospective employees as well as prioritizing and protecting their safety.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Employees</w:t>
      </w:r>
    </w:p>
    <w:p>
      <w:pPr>
        <w:spacing w:after="0" w:line="24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At September 30, 2024, we had 9,485 employees, of which 9,423 were full-time employees. We are party to two collective bargaining agreements covering fewer than 30 employees within our Infrastructure Solutions segment. We have not experienced, and do not expect, any work stoppage, and we believe that our relationship with our employees is strong.</w:t>
      </w:r>
    </w:p>
    <w:p>
      <w:pPr>
        <w:spacing w:after="0" w:line="1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are committed to diversity and inclusion in the workplace, and our policies prohibit discrimination based on race, color, sex, gender, gender identity, sexual orientation, religion, marital status, national origin, ethnicity, citizenship status, religious creed or belief, physical or mental disability, protected veteran status and relatives of protected veterans, marital or familial status, legally protected medical condition, genetic information and any other status protected by local, state or federal law. This commitment applies to all aspects of employment, including recruitment, hiring, training, compensation, job assignment, advancement, performance feedback and separation.</w:t>
      </w:r>
    </w:p>
    <w:p>
      <w:pPr>
        <w:spacing w:after="0" w:line="20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strive to support our employees’ and their families’ health by offering comprehensive benefits programs, including medical, dental, vision and prescription insurance. We also offer our employees a 401(k) plan, and life and disability insurance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Recruiting and Training</w:t>
      </w:r>
    </w:p>
    <w:p>
      <w:pPr>
        <w:spacing w:after="0" w:line="23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key factor in IES’s long-term strategy is the recruitment and retention of high-quality employees. We use both internal and external resources to recruit employees, including monitoring competitive compensation levels in the markets in which we operate. Our Communications segment has entered into a partnership with the U.S. Army to guarantee job interviews to those who have completed Army Reserve training or a first term of active duty service, and we value the leadership and work ethic military veterans bring to the Company.</w:t>
      </w:r>
    </w:p>
    <w:p>
      <w:pPr>
        <w:spacing w:after="0" w:line="1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We have invested significant resources in development opportunities for employees. For example, our Residential segment has established two residential education centers, which are dedicated facilities that train employees from around the country in the technical skills necessary for successful careers in residential electrical, plumbing and HVAC contracting. At all of our segments, partly in response to the COVID-19 pandemic, we expanded online training offerings to help meet the needs of our changing workplaces. We believe our investment in training supports employee motivation and retention at the same time that it improves productivity and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Safety</w:t>
      </w: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are committed to fostering a strong safety culture that supports the health, safety and wellness of our employees, and this commitment is reflected in our track record of workplace safety that exceeds industry averages. Our regional safety managers, under the supervision of our Senior Vice President of Safety, seek to maintain standardized safety and environmental policies, programs and procedures and provide personal protective equipment relevant to each segment, including programs to train new employees. Our safety leadership continuously monitors and addresses safety performance, provides regular training and educational programs on safety and participates in numerous industry safety organizations.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LOCATIONS</w:t>
      </w:r>
    </w:p>
    <w:p>
      <w:pPr>
        <w:spacing w:after="0" w:line="3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As of September 30, 2024, we have 131 domestic locations. In addition to our 2 executive and corporate offices, as of September 30, 2024, we have 24 locations within our Communications business, 75 locations within our Residential business, 13 locations within our Infrastructure Solutions business and 17 locations within our Commercial &amp; Industrial business. This geographic diversity helps to reduce our exposure to unfavorable economic developments in any given region.</w:t>
      </w:r>
    </w:p>
    <w:p>
      <w:pPr>
        <w:spacing w:after="0" w:line="1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EXECUTIVE OFFICERS OF THE REGISTRANT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with respect to each executive officer is as follows:</w:t>
      </w:r>
    </w:p>
    <w:p>
      <w:pPr>
        <w:spacing w:after="0" w:line="2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Jeffrey, L. Gendell, </w:t>
      </w:r>
      <w:r>
        <w:rPr>
          <w:rFonts w:ascii="Times New Roman" w:cs="Times New Roman" w:eastAsia="Times New Roman" w:hAnsi="Times New Roman"/>
          <w:sz w:val="17"/>
          <w:szCs w:val="17"/>
          <w:color w:val="auto"/>
        </w:rPr>
        <w:t>65, has served as the Chief Executive Officer of the Company since October 1, 2020; he previously served as Interim Chief Executive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July 31, 2020 to September 30, 2020. Mr. Gendell has also served as a director and as Chairman of the Board since November 2016. Mr. Gendell is the founder and managing member of Tontine, our controlling shareholder. Mr. Gendell formed Tontine in 1995 and manages all of the investment decisions at the firm. Prior to forming Tontine, Mr. Gendell held senior investment management positions at several other private investment firms, including Odyssey Partners, L.P., and began his career in investment banking over 40 years ago at Smith Barney, Harris Upham &amp; Co., where he was involved in capital markets, corporate finance and M&amp;A activity.</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i w:val="1"/>
          <w:iCs w:val="1"/>
          <w:color w:val="auto"/>
        </w:rPr>
        <w:t>Matthew J. Simmes</w:t>
      </w:r>
      <w:r>
        <w:rPr>
          <w:rFonts w:ascii="Times New Roman" w:cs="Times New Roman" w:eastAsia="Times New Roman" w:hAnsi="Times New Roman"/>
          <w:sz w:val="17"/>
          <w:szCs w:val="17"/>
          <w:color w:val="auto"/>
        </w:rPr>
        <w:t>, 49, has served as President and Chief Operating Officer of the Company since December 7, 2023; he previously served as Chief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of the Company from December 3, 2021 to December 6, 2023. Mr. Simmes has spent 31 years at IES and its predecessors in a variety of roles. He served as President of IES Communications from January 2017 to December 2021 and as Vice President of Operations of the segment from March 2007 to December 2016.</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i w:val="1"/>
          <w:iCs w:val="1"/>
          <w:color w:val="auto"/>
        </w:rPr>
        <w:t>Tracy A. McLauchlin</w:t>
      </w:r>
      <w:r>
        <w:rPr>
          <w:rFonts w:ascii="Times New Roman" w:cs="Times New Roman" w:eastAsia="Times New Roman" w:hAnsi="Times New Roman"/>
          <w:sz w:val="17"/>
          <w:szCs w:val="17"/>
          <w:color w:val="auto"/>
        </w:rPr>
        <w:t>, 55, has served as Senior Vice President, Chief Financial Officer and Treasurer of the Company since May 2015. She previously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employed by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w:t>
      </w:r>
    </w:p>
    <w:p>
      <w:pPr>
        <w:spacing w:after="0" w:line="18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7"/>
          <w:szCs w:val="17"/>
          <w:i w:val="1"/>
          <w:iCs w:val="1"/>
          <w:color w:val="auto"/>
        </w:rPr>
        <w:t>Mary K. Newman</w:t>
      </w:r>
      <w:r>
        <w:rPr>
          <w:rFonts w:ascii="Times New Roman" w:cs="Times New Roman" w:eastAsia="Times New Roman" w:hAnsi="Times New Roman"/>
          <w:sz w:val="17"/>
          <w:szCs w:val="17"/>
          <w:color w:val="auto"/>
        </w:rPr>
        <w:t>, 44, has served as Vice President, General Counsel and Corporate Secretary of the Company since December 2019. Prior to joining IES, 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Newman was a Partner with the law firm of Dinsmore &amp; Shohl, LLP from January 2017 to November 2019 and was an Associate from September 2011 to December 2016, where her practice focused on representing public and private companies in corporate transactions, including mergers, acquisitions and dispositions. She began her legal career with the law firm of Sullivan &amp; Cromwell LLP after receiving her J.D. from Harvard Law School and B.A. from Duke University.</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We have adopted a Code of Ethics for Financial Executives that applies to our principal executive officer, principal financial officer and principal accounting officer. The Code of Ethics may be found on our website at </w:t>
      </w:r>
      <w:r>
        <w:rPr>
          <w:rFonts w:ascii="Times New Roman" w:cs="Times New Roman" w:eastAsia="Times New Roman" w:hAnsi="Times New Roman"/>
          <w:sz w:val="17"/>
          <w:szCs w:val="17"/>
          <w:i w:val="1"/>
          <w:iCs w:val="1"/>
          <w:color w:val="auto"/>
        </w:rPr>
        <w:t>www.ies-corporate.com/governance-documents</w:t>
      </w:r>
      <w:r>
        <w:rPr>
          <w:rFonts w:ascii="Times New Roman" w:cs="Times New Roman" w:eastAsia="Times New Roman" w:hAnsi="Times New Roman"/>
          <w:sz w:val="17"/>
          <w:szCs w:val="17"/>
          <w:color w:val="auto"/>
        </w:rPr>
        <w:t>. 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Current Report on Form 8-K. Paper copies of these documents are also available free of charge upon written request to us.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3"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 xml:space="preserve">General information about us can be found on our website at </w:t>
      </w:r>
      <w:r>
        <w:rPr>
          <w:rFonts w:ascii="Times New Roman" w:cs="Times New Roman" w:eastAsia="Times New Roman" w:hAnsi="Times New Roman"/>
          <w:sz w:val="17"/>
          <w:szCs w:val="17"/>
          <w:i w:val="1"/>
          <w:iCs w:val="1"/>
          <w:color w:val="auto"/>
        </w:rPr>
        <w:t>www.ies-co.com</w:t>
      </w:r>
      <w:r>
        <w:rPr>
          <w:rFonts w:ascii="Times New Roman" w:cs="Times New Roman" w:eastAsia="Times New Roman" w:hAnsi="Times New Roman"/>
          <w:sz w:val="17"/>
          <w:szCs w:val="17"/>
          <w:color w:val="auto"/>
        </w:rPr>
        <w:t xml:space="preserve"> under “Investor Relations.” We file our interim and annual financial reports, as well as other reports required by the Securities Exchange Act of 1934, as amended (the “Exchange Act”), with the SEC.</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which will provide you with a copy of these reports, or you may find them at </w:t>
      </w:r>
      <w:r>
        <w:rPr>
          <w:rFonts w:ascii="Times New Roman" w:cs="Times New Roman" w:eastAsia="Times New Roman" w:hAnsi="Times New Roman"/>
          <w:sz w:val="17"/>
          <w:szCs w:val="17"/>
          <w:i w:val="1"/>
          <w:iCs w:val="1"/>
          <w:color w:val="auto"/>
        </w:rPr>
        <w:t>www.ies-corporate.com/financial-information/sec-filings</w:t>
      </w:r>
      <w:r>
        <w:rPr>
          <w:rFonts w:ascii="Times New Roman" w:cs="Times New Roman" w:eastAsia="Times New Roman" w:hAnsi="Times New Roman"/>
          <w:sz w:val="17"/>
          <w:szCs w:val="17"/>
          <w:color w:val="auto"/>
        </w:rPr>
        <w:t>. The materials that we file with the SEC are also available free of charge through the SEC’s website at</w:t>
      </w:r>
      <w:r>
        <w:rPr>
          <w:rFonts w:ascii="Times New Roman" w:cs="Times New Roman" w:eastAsia="Times New Roman" w:hAnsi="Times New Roman"/>
          <w:sz w:val="17"/>
          <w:szCs w:val="17"/>
          <w:i w:val="1"/>
          <w:iCs w:val="1"/>
          <w:color w:val="auto"/>
        </w:rPr>
        <w:t xml:space="preserve"> www.sec.gov</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In addition to the Code of Ethics for Financial Executives, we have adopted a Code of Business Conduct and Ethics for directors, officers and employees (the Legal Compliance and Corporate Policy Manual), and established Corporate Governance Guidelines and</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13" w:name="page14"/>
    <w:bookmarkEnd w:id="13"/>
    <w:p>
      <w:pPr>
        <w:ind w:right="100"/>
        <w:spacing w:after="0" w:line="287" w:lineRule="auto"/>
        <w:rPr>
          <w:sz w:val="20"/>
          <w:szCs w:val="20"/>
          <w:color w:val="auto"/>
        </w:rPr>
      </w:pPr>
      <w:r>
        <w:rPr>
          <w:rFonts w:ascii="Times New Roman" w:cs="Times New Roman" w:eastAsia="Times New Roman" w:hAnsi="Times New Roman"/>
          <w:sz w:val="17"/>
          <w:szCs w:val="17"/>
          <w:color w:val="auto"/>
        </w:rPr>
        <w:t>adopted charters outlining the duties of our Audit, Human Resources and Compensation and Nominating/Governance Committees, copies of which may be found on our website. Paper copies of these documents are also available free of charge upon written request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the Operations of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Demand for our services is cyclical and vulnerable to economic downturns affecting the industries we serve.</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Demand for our services has been, and will likely continue to be, cyclical in nature and vulnerable to downturns in the construction industry, the housing market, and other industries in which our end customers operate. Many of our customers depend on the availability of credit to purchase our services or electrical and mechanical products. In the past, when the general level of economic activity has been reduced from historical levels, certain of our customers have delayed or cancelled projects or capital spending, thereby reducing our revenues and profitability. General concerns about the fundamental soundness of the economy may cause customers to defer projects, even if they have credit available to them. Prolonged uncertainties in the credit market, or the return of constrained credit market conditions, including the impact of interest rates in the housing markets, could adversely affect demand, which would have adverse effects on our financial condition and results of operations.</w:t>
      </w:r>
    </w:p>
    <w:p>
      <w:pPr>
        <w:spacing w:after="0" w:line="201"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7"/>
          <w:szCs w:val="17"/>
          <w:b w:val="1"/>
          <w:bCs w:val="1"/>
          <w:color w:val="auto"/>
        </w:rPr>
        <w:t>We could be adversely impacted by changes in general economic conditions, including the effects of inflation, supply chain constraints, and an economic downturn or recession.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Our business and the industries in which we operate are vulnerable to changing macroeconomic conditions, including supply chain constraints, high rates of inflation, changes in consumer sentiment, elevated interest rates, and market disruptions resulting from a number of factors, including geo-political events such as the Ukraine-Russia war, the conflict in the Middle East, and trade tensions between the U.S. and China. These and other market factors have negatively impacted, and may continue to negatively impact, our revenues and our cost for labor, materials, utilities, and other goods and services as well as our ability to collect on our outstanding receivables, to the extent our customers are affected by the same negative conditions. Further, if the U.S. economy experiences a downturn or recession, our customers may be unable to obtain financing for new projects, or they may decide to delay or cancel projects even if they have credit available to them. As a result, these conditions have had, and they or any similar future conditions may continue to have, adverse impacts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highly competitive nature of our industries could affect our profitability by reducing our revenues or profit margins.</w:t>
      </w:r>
    </w:p>
    <w:p>
      <w:pPr>
        <w:spacing w:after="0" w:line="24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industries in which we compete are highly fragmented and are generally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and custom engineered electro-mechanical products for mission critical infrastructure, have attractive growth and profitability characteristics. Some of our competitors in certain markets may offer a greater range of services than we offer in those markets, including mechanical construction and facilities management.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spacing w:after="0" w:line="19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We generate a significant portion of our revenues under fixed price contracts. The estimates we use in placing bids and changes in commodity and labor costs could have an adverse effect on our ability to maintain our profitability.</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and execute projects, have in the past resulted in, and may in the future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7"/>
          <w:szCs w:val="17"/>
          <w:color w:val="auto"/>
        </w:rPr>
        <w:t>If the costs associated with labor and commodities, such as copper, aluminum, steel, electrical components, fuel, and certain plastics, increase due to low supply, inflation, general market conditions, supply chain disruptions and delays, or other forces, losses may be incurred. Some of our materials have been and may continue to be subject to sudden and significant price increases, and continued high demand and low supply for those resources may lead to additional price increases. Depending on competitive pressures and the fixed price nature of many of our contracts, we may not be able to pass on these cost increases to our customers, which would reduce our gross profit margins and, in turn, make it more difficult for us to maintain our profitability. We have a work force of over 9,000 employees, and our labor costs may fluctuate based on availability of and demand for workers as well as other labor related risks, including risks related to collective bargaining agreements, benefits arrangements, increased healthcare costs, wage and hour claims and other compensation arrangements.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failure to secure new contracts may adversely affect our cash flows and financial results.</w:t>
      </w:r>
    </w:p>
    <w:p>
      <w:pPr>
        <w:spacing w:after="0" w:line="22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Much of our revenue is derived from projects that are awarded through a competitive bid process. Contract bidding and negotiations are affected by a number of factors, including our own cost structure and bidding policies. The failure to bid and be awarded projects, cancellations of projects or delays in project start dates could affect our ability to deploy our assets profitably.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Further, when we are awarded contracts, we face additional risks that could affect whether, or when, work will begin. We could experience a decrease in profitability if we are unable to replace canceled, completed or expired contracts with new work.</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derive a meaningful portion of our revenues from a small number of customers, and the loss of one or more of these customers could adversely affect our revenues, results of operations, and financial condition.</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one customer that represented approximately 12.0% of our consolidated revenue in fiscal 2024, and there are other customers that are significant to our individual operating segments. Although we have long-standing relationships with some of these significant customers, it is not possible for us to predict the future level of demand for our services by these customers, and if one or more of them were to significantly delay, reduce or curtail activity, or stop accepting bids from us, it could have a material impact on our operating results.</w:t>
      </w:r>
    </w:p>
    <w:p>
      <w:pPr>
        <w:spacing w:after="0" w:line="19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b w:val="1"/>
          <w:bCs w:val="1"/>
          <w:color w:val="auto"/>
        </w:rPr>
        <w:t>We rely on third parties, including subcontractors and suppliers, in connection with many of our projects and a failure to retain subcontractors or obtain supplies, or increased costs as a result of using these third parties, could adversely impact our revenues, results of operations, and financial condition.</w:t>
      </w:r>
    </w:p>
    <w:p>
      <w:pPr>
        <w:spacing w:after="0" w:line="17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We hire third-party subcontractors to perform work on certain of our projects, and if we are unable to retain qualified subcontractors or if our subcontractors do not perform in accordance with their obligations, we have in the past incurred, and may in the future incur, additional costs or experience delays in project execution,</w:t>
      </w:r>
    </w:p>
    <w:p>
      <w:pPr>
        <w:spacing w:after="0" w:line="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which could subject us to contractual penalties. We also rely on suppliers for the materials necessary to complete our projects, and if a supplier fails to provide supplies when scheduled or at a higher than price than expected, project delays and additional costs could have an adverse effect on our operating results.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inability to carry out plans and strategies as expected, including our inability to identify and complete acquisitions and investments that meet our investment criteria in furtherance of our corporate strategy or the subsequent underperformance of those acquisitions and investments, may adversely impact our future growth and profitability.</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corporate strategy includes creating shareholder value through acquiring businesses that we believe will strategically complement our existing business segments or acquiring or investing in stand-alone platform companies based in North America. While we believe that acquisitions will provide an opportunity to expand into new or related services, products, end-markets or geographic areas and diversify our revenue and profit streams, potential acquisitions could result in changes in our operations from those historically conducted by us and introduce the requirement for new controls. Alternatively, our failure to diversify from existing markets may limit our future growth. In addition, we have made, and may continue to make, investments in debt or equity securities of publicly traded and privately held companies, including early-stage companies and more established companies. We are subject to risks associated with these investments. In addition, we may have limited ability to dispose of these investments due to lack of an active market for or contractual limitations on our ability to sell a particular investment, and the partial or complete loss of invested capital, and significant changes in the fair value of our investment portfolio could adversely impact our financial results. Further, valuations of non-marketable debt and equity investments are inherently complex due to the lack of readily available market data and may involve subjective judgments and estimates. Some of our past acquisitions and investments have not performed as expected, and there is no assurance that future acquisitions and investments will perform as expected or generate a positive return on investment due to factors we could not predict prior to the acquisition or due to incorrect investment assumptions.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Acquisitions, dispositions and other strategic transactions that we may pursue could have a negative effect on our results of operations.</w:t>
      </w:r>
    </w:p>
    <w:p>
      <w:pPr>
        <w:spacing w:after="0" w:line="23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our financial condition, results of operations and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difficulties of integrating a business, assets or operations may include, among other things:</w:t>
      </w:r>
    </w:p>
    <w:p>
      <w:pPr>
        <w:spacing w:after="0" w:line="28"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geographically separated organizations and possible differences in corporate cultures and management philosophies;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demands on management resources, which may distract management’s attention from day-to-day business;</w:t>
      </w:r>
    </w:p>
    <w:p>
      <w:pPr>
        <w:spacing w:after="0" w:line="10" w:lineRule="exact"/>
        <w:rPr>
          <w:rFonts w:ascii="Times New Roman" w:cs="Times New Roman" w:eastAsia="Times New Roman" w:hAnsi="Times New Roman"/>
          <w:sz w:val="17"/>
          <w:szCs w:val="17"/>
          <w:color w:val="auto"/>
        </w:rPr>
      </w:pPr>
    </w:p>
    <w:p>
      <w:pPr>
        <w:ind w:left="620" w:right="26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the disclosure systems, compliance requirements, accounting systems, and accounting controls and procedures of the acquired company, which may interfere with our ability to make timely and accurate public disclosure; and</w:t>
      </w: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demands of managing new locations, new personnel and new lines of business acquired.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 may not be realized or may not result in profits.</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Customers often have no obligation under our contracts to assign or release work to us, and many contracts may be terminated on short notice. Reductions in backlog due to cancellation of one or more contracts by a customer or for other reasons, or our failure to execute projects in backlog as expected,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fail to adequately recover on contract change orders.</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From time to time, we may pursue claims against our customers to recover costs incurred on a project in excess of the original contract amount. Such additional costs may be incurred in connection with project delays caused by our customers or third parties, including other trades, or changes in project scope or specifications. While we generally negotiate with the customer for additional compensation, we may be unable to obtain, through negotiation, arbitration, litigation or otherwise, adequate compensation for the additional work performed or expenses incurred. The process of pursuing a claim may be lengthy, result in significant legal fees, and negatively impact our relationships with customers. In addition, our ability to recover on contract change orders could be negatively impacted by our customers' reduced access to capital in a weak economic environment, particularly in a period of restrictive credit markets. Furthermore, we may be required to invest significant working capital to fund cost overruns while the resolution of a claim is pending, and our additional costs may not be recovered until the claim is resolved, if at all. When appropriate, we establish provisions against possible exposures, and we adjust these provisions from time to time, but our assumptions and estimates related to these exposures might prove to be inadequate or inaccurate. Unfavorable resolution of these matters can result in a reduction of revenues and profit recognized in prior periods or the recognition of a loss, which could have a material adverse effect on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incur significant charges or be adversely impacted by the closure or sale of facilities or assets.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costs pursuant to obligations to indemnify buyers after assets are sold, or other unexpected liabilities from closed facilities beyond the closing date, and if we dispose of a segment or business, we may continue to be subject to certain prior liabilities of that business after its disposition and may not be able to negotiate for limitations on those liabilities, all of which could adversely impact our financial returns.</w:t>
      </w:r>
    </w:p>
    <w:p>
      <w:pPr>
        <w:spacing w:after="0" w:line="19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Epidemics, pandemics, and other potential public health emergencies could have a future materially adverse impact on our business, including our financial condition, cash flows and results of operations.</w:t>
      </w:r>
    </w:p>
    <w:p>
      <w:pPr>
        <w:spacing w:after="0" w:line="17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Pandemics and other public health emergencies, such as the COVID-19 pandemic, have had adverse impacts on our results of operations in the past. The impact of future epidemics, pandemics or other public health emergencies on our business is difficult to predict, but adverse impacts could include the potential for job site closures or work stoppages, supply chain disruptions, delays 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6" w:name="page17"/>
    <w:bookmarkEnd w:id="16"/>
    <w:p>
      <w:pPr>
        <w:ind w:right="100"/>
        <w:spacing w:after="0" w:line="287" w:lineRule="auto"/>
        <w:rPr>
          <w:sz w:val="20"/>
          <w:szCs w:val="20"/>
          <w:color w:val="auto"/>
        </w:rPr>
      </w:pPr>
      <w:r>
        <w:rPr>
          <w:rFonts w:ascii="Times New Roman" w:cs="Times New Roman" w:eastAsia="Times New Roman" w:hAnsi="Times New Roman"/>
          <w:sz w:val="17"/>
          <w:szCs w:val="17"/>
          <w:color w:val="auto"/>
        </w:rPr>
        <w:t>awarding new project bids, construction delays, reduced demand for our services, delays in our ability to collect from our customers, or illness of management or other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availability and cost of surety bonds affect our ability to enter into new contracts and our margins on those engagements.</w:t>
      </w:r>
    </w:p>
    <w:p>
      <w:pPr>
        <w:spacing w:after="0" w:line="24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or if we are unable to obtain bonds at a reasonable cost, we may be unable to compete for, or work on, certain projects.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risks associated with seasonality, adverse weather conditions, and climate change.</w:t>
      </w:r>
    </w:p>
    <w:p>
      <w:pPr>
        <w:spacing w:after="0" w:line="2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business is subject to seasonal variations in operations and demand that affect the construction business, particularly in the Residential and Commercial &amp; Industrial segments. Adverse weather conditions, including rain, heat, ice, cold or snow, may not only delay our work and contribute to project inefficiency, but may negatively impact our schedules and profitability by delaying the work of other trades on a construction site. Extreme weather conditions (such as hurricanes or other storms, droughts, extreme heat or cold, wildfires and floods) have from time to time had, and may in the future have, a negative impact on our business, including by limiting the availability of resources, increasing our costs, damaging property, disrupting our workforce, or causing projects to be delayed or</w:t>
      </w:r>
    </w:p>
    <w:p>
      <w:pPr>
        <w:spacing w:after="0" w:line="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cancelled. A portion of our business operates in certain geographic areas, such as Texas and Florida, where these risks are elevated. If the cost of property insurance in those or other geographic areas increases, or if it becomes more difficult to obtain, it could have a negative impact on customer demand, particularly in our Residential segment. To the extent climate change results in an increase in extreme weather events and adverse weather conditions, the likelihood of a negative impact on our results of operations may increase.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results may fluctuate from period to period due to cyclicality, regional economic conditions, or other factors.</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Factors arising from the cyclicality of industries in which we operate, including the timing of new customer contracts, may result in significant fluctuations in our operating results on a quarterly or annual basis. Our results from period to period may also be affected by regional economic conditions that affect the construction market. In particular, a prolonged period of weak demand in the oil and gas industry or increased regulatory restrictions on the industry could dampen the housing market in certain regions, resulting in reduced demand for the services provided by our Residential segment. Infrastructure Solutions’ revenues from industrial services may be affected by the timing of scheduled outages or capital projects at its industrial customers’ facilities, by demand for design, construction and site support of data centers, and by changes in spending in public infrastructure, power and steel markets. Industrial and rail customers may also be affected by volatility in oil prices. Accordingly, our performance in any particular quarter or year may not be indicative of the results that can be expected for any other quarter, for the entire year, or for any other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experience difficulties in managing our billings and collections.</w:t>
      </w:r>
    </w:p>
    <w:p>
      <w:pPr>
        <w:spacing w:after="0" w:line="2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billings under fixed price contracts in our contracting business are generally based upon achieving certain milestones and will only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operations are subject to numerous physical hazards. If an accident occurs, it could result in an adverse effect on our business.</w:t>
      </w:r>
    </w:p>
    <w:p>
      <w:pPr>
        <w:spacing w:after="0" w:line="2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While we have invested significant efforts in our safety programs in an effort to minimize safety risks, we have experienced serious accidents in the past and may experience additional accidents in the future. Serious accidents may subject us to penalties, civil litigation or criminal prosecution. Our insurance does not cover all types or amounts of liabilities. In addition, if our safety record were to substantially deteriorate over time, our customers could cancel our contracts or not award us future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Our current insurance coverage may not be adequate, and we may not be able to obtain insurance at acceptable rates, or at all.</w:t>
      </w:r>
    </w:p>
    <w:p>
      <w:pPr>
        <w:spacing w:after="0" w:line="23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We maintain insurance coverage in part because some of our contracts require us to carry certain levels of insurance coverage, which is common in the industries in which we operate. Our third-party insurance is subject to deductibles for which we establish reserves. In addition, we maintain most of our employee health insurance coverage on a self-insured basis and are responsible for losses up to our stop loss coverage, which sets a limit on our liability for claim costs. No assurance can be given that our insurance or our provisions for incurred claims and incurred but not reported claims will be adequate to cover all losses or liabilities we may incur in our operations, including employee health care costs, which have increased in recent years; nor can we provide assurance that we will be able to maintain adequate insurance at reasonable rates.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and claims can cause unexpected losses.</w:t>
      </w:r>
    </w:p>
    <w:p>
      <w:pPr>
        <w:spacing w:after="0" w:line="2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all of our businesses, we are subject to potential claims and litigation, including contractual disputes, warranty claims, and claims related to our compliance with legal and regulatory requirements. We have in the past been, and may in the future be, named as a defendant in lawsuits, claims and other legal proceedings;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We also have in the past been, and may in the future be, subject to employment-related claims including workers' compensation, employment discrimination, and wage and hour claims.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 In addition, due to the inherent uncertainties of litigation, we cannot accurately predict the ultimate outcome of any such actions or proceedings, which could result in significant expense, damage to our reputation and diversion of management’s attention from our business.</w:t>
      </w:r>
    </w:p>
    <w:p>
      <w:pPr>
        <w:spacing w:after="0" w:line="200" w:lineRule="exact"/>
        <w:rPr>
          <w:sz w:val="20"/>
          <w:szCs w:val="20"/>
          <w:color w:val="auto"/>
        </w:rPr>
      </w:pPr>
    </w:p>
    <w:p>
      <w:pPr>
        <w:spacing w:after="0" w:line="21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Latent defect litigation is normal for residential home builders in some parts of the country. Any increases in our latent defect claims and litigation could place pressure on our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requirements could result in significant compliance costs and liabilities.</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have operations throughout the United States and are subject to multiple state and local regulations. In addition, our segments from time to time perform work as federal government subcontractors, or perform work on projects that have received federal government funding, and as a result may be subject to federal laws and requirements applicable to government contractors. If we fail to comply with those requirements, we may be subject to fines, penalties or suspension from doing business with the federal government. Our 131 locations are located in 27 states, which exposes us to a variety of different state and local laws and regulations, including those pertaining to electrical contractor and other licensing requirements. These laws and regulations govern many aspects of our business, and there are often different standards and requirements in different locations.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 In addition, we are required to maintain certain electrical, construction, mechanical and business licenses. If we fail to successfully transfer, renew or obtain such licenses where applicable, we may experience increased costs and other negative impacts on our business.</w:t>
      </w:r>
    </w:p>
    <w:p>
      <w:pPr>
        <w:spacing w:after="0" w:line="200" w:lineRule="exact"/>
        <w:rPr>
          <w:sz w:val="20"/>
          <w:szCs w:val="20"/>
          <w:color w:val="auto"/>
        </w:rPr>
      </w:pPr>
    </w:p>
    <w:p>
      <w:pPr>
        <w:spacing w:after="0" w:line="207" w:lineRule="exact"/>
        <w:rPr>
          <w:sz w:val="20"/>
          <w:szCs w:val="20"/>
          <w:color w:val="auto"/>
        </w:rPr>
      </w:pPr>
    </w:p>
    <w:p>
      <w:pPr>
        <w:ind w:right="880"/>
        <w:spacing w:after="0" w:line="292" w:lineRule="auto"/>
        <w:rPr>
          <w:sz w:val="20"/>
          <w:szCs w:val="20"/>
          <w:color w:val="auto"/>
        </w:rPr>
      </w:pPr>
      <w:r>
        <w:rPr>
          <w:rFonts w:ascii="Times New Roman" w:cs="Times New Roman" w:eastAsia="Times New Roman" w:hAnsi="Times New Roman"/>
          <w:sz w:val="17"/>
          <w:szCs w:val="17"/>
          <w:b w:val="1"/>
          <w:bCs w:val="1"/>
          <w:color w:val="auto"/>
        </w:rPr>
        <w:t>Disruptions to the proper functioning of our information technology systems or security breaches of our critical data, sensitive information or information technology systems could disrupt operations and cause increases in costs, decreases in revenues and/or harm to our reputation.</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Our Company continues to increase its dependence on information technology systems, networks, and infrastructure to conduct our day-to-day operations and manage the way we provide services to our customers. Disruptions to our information technology systems or our failure to adequately protect critical data, sensitive information, and information technology systems could materially affect our business or result in harm to our reputation. Our critical accounting, project management, estimating, and financial information systems, some of which are third-party platforms, all rely on the proper functioning and security of our information technology environment and are critical to the successful operation of our business. We also collect and retain information about our customers, stockholders, vendors, and employees, with the expectation by such third parties being that we will adequately protect such information. Although our information technology systems, networks and infrastructure are protected through our policies, procedures and physical and software safeguards, our information technology environment is still vulnerable to natural disasters, power losses, telecommunication failures, deliberate intrusions, inadvertent user misuse or error, computer viruses, malicious code, ransomware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8" w:name="page19"/>
    <w:bookmarkEnd w:id="18"/>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attacks, acts of terrorism and other cyber security risks, which could cause a loss of critical data, or release of sensitive information. If critical information systems fail or are otherwise unavailable, or if sensitive information is released, we could experience reputational harm, loss of customers and revenue, loss of proprietary data, regulatory actions and scrutiny, statutory penalties, and litigation.</w:t>
      </w:r>
    </w:p>
    <w:p>
      <w:pPr>
        <w:spacing w:after="0" w:line="1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We have from time to time experienced cybersecurity incidents, such as ransomware attacks or unauthorized parties gaining access to our information technology systems, and privacy incidents, such as potential exposure of data. While to date such incidents have not had a material impact on our business, there can be no assurance that future incidents would not have an adverse effect on our business or reputation. Additionally, the process of integrating the information systems of the businesses we acquire is complex and exposes us to additional risk as we might not adequately identify weaknesses in the acquired business’s information systems or information handling, privacy and security policies and protocols, which could expose us to unexpected liabilities or make our own systems and data more vulnerable to attack. In addition, data privacy laws and regulations governing the unauthorized disclosure of confidential information may pose compliance challenges and result in additional costs for our businesses. A failure to comply with such laws and regulations could result in penalties or fines, legal liabilities or reputational harm.</w:t>
      </w:r>
    </w:p>
    <w:p>
      <w:pPr>
        <w:spacing w:after="0" w:line="19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b w:val="1"/>
          <w:bCs w:val="1"/>
          <w:color w:val="auto"/>
        </w:rPr>
        <w:t>We may be required to conduct environmental remediation activities, which could be expensive and inhibit the growth of our business and our ability to maintain profitability, particularly in our Infrastructure Solutions business.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could be held liable for such contamination created not only from our own activities but also from the historical activities of companies we have acquired, or the activities of others on properties that we own or lease. There can be no assurance that the discovery of currently unknown problems or conditions will not require substantial additional expenditures. In addition, if we do not comply with these laws and regulations, we could be subject to material administrative, civil or criminal penalties, or other substantial liabilities.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Compliance with current and future environmental laws and regulations, including those relating to climate change, could adversely impact our business.</w:t>
      </w:r>
    </w:p>
    <w:p>
      <w:pPr>
        <w:spacing w:after="0" w:line="2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Increasing concerns about climate change and other environmental issues may result in additional environmental regulations and restrictions, and we cannot predict the nature, scope or effect of legislation or regulatory requirements that could be imposed, or how existing or future laws or regulations will be administered or interpreted. Compliance with more stringent laws or regulations, as well as more vigorous enforcement policies of the regulatory agencies, could increase the costs of projects for us or our customers, potentially resulting in reduced profitability or a reduced demand for our services, or require us to incur substantial costs of compliance.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loss of a group or several key personnel, either at the corporate or operating level, or general labor constraints could adversely affect our business.</w:t>
      </w:r>
    </w:p>
    <w:p>
      <w:pPr>
        <w:spacing w:after="0" w:line="24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As a service organization, relationships with significant customers can be dependent on certain employees within our organization, and our ability to meet our contractual obligations to our customers and support our growth strategy may be limited by our ability to retain and train necessary personnel. We cannot guarantee that any member of management at the corporate or operating segment level will continue in their capacity for any particular period of time, and there is significant competition in our industry for managerial personnel. We have a severance plan in place that covers certain of our senior leaders; however, this plan can neither guarantee that we will not lose key employees, nor prevent them from competing against us.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w:t>
      </w:r>
    </w:p>
    <w:p>
      <w:pPr>
        <w:spacing w:after="0" w:line="20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Our business is labor intensive, and many of our operations experience a high rate of employee turnover. We also may be constrained in hiring and retaining sufficient qualified employees to support our growth strategy due to general labor shortages in our industries. In addition, a lack of skilled labor or increased turnover rates within our employee base could lead to increased costs, such as increased overtime to meet demand and increased wage rates to attract and retain employees. Continued labor constraints may limit our ability to grow and may limit our profitability due to the impact of rising wages.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Financial Results, Financing and Liquidity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impact on our customers of negative conditions in the credit and capital markets may adversely affect our business.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 number of economic factors, including financing conditions for our customers' industries, have, in the past, adversely affected our customers and their ability or willingness to fund expenditures. Many of our customers depend on the availability of credit to help finance their capital and maintenance projects. At times, tightened availability of credit and changes in interest rates that affect the cost of construction financing and mortgages have negatively impacted the ability of existing and prospective customers to obtain sufficient financing and fund projects we might otherwise perform. As a result, our customers may defer such projects for an unknown, and perhaps lengthy, period. Any such deferrals would inhibit our growth and would adversely affect our results of operations.</w:t>
      </w:r>
    </w:p>
    <w:p>
      <w:pPr>
        <w:spacing w:after="0" w:line="20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In a weak economic environment, particularly in a period of restrictive credit markets, we may experience greater difficulties in collecting payments from our customers due to, among other reasons, a diminution in our ultimate customers’ access to the credit markets. If clients delay in paying or fail to pay a significant amount of our outstanding receivables, it could have an adverse effect on our liquidity, results of operations, and financial position.</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To fund our working capital requirements, complete acquisitions and service any debt we may incur, we may require a significant amount of cash. Our ability to generate cash from operations or to access the capital markets for required funding depends on many factors that are beyond our control.</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ability to continue to grow our business, including through acquisitions and the funding of working capital requirements, as well as our ability to make payments on or refinance any indebtedness we may incur, will depend on our ability to access capital markets and generate cash from operations in the future. This is subject to our operational performance, as well as general economic, financial, capital market, competitive, legislative, regulatory and other factors that are beyond our control.</w:t>
      </w:r>
    </w:p>
    <w:p>
      <w:pPr>
        <w:spacing w:after="0" w:line="19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There can be no assurance that our business will generate sufficient cash flow from operations or asset sales, or have access to sources of cash from the capital markets or from borrowings under our credit facility, in amounts sufficient to enable us to complete acquisitions, to service any debt we may incur or to fund our other liquidity needs. We may need to refinance our credit facility on or before maturity. We cannot provide assurance that we will be able to refinance our credit facility on commercially reasonable terms or at all. Our inability to access capital on commercially reasonable terms could have a material adverse effect on our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tax positions or changes in tax laws may adversely affect our results.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effective tax rate and cash paid for taxes are impacted by the tax positions that we have adopted. Taxing authorities may not always agree with the positions we have taken. We have established reserves for tax positions that we have determined to be less than likely to be sustained by taxing authorities. However, there can be no assurance that our results of operations will not be adversely affected in the event that disagreement over our tax positions does arise. Additionally, new tax laws or changes in existing interpretation and guidance could affect our provision for income taxes, deferred tax assets and liabilities, and reserves for uncertain tax positions, potentially resulting in an increase to our effective tax rate, which could adversely affect our results.</w:t>
      </w:r>
    </w:p>
    <w:p>
      <w:pPr>
        <w:spacing w:after="0" w:line="19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We have restrictions and covenants under our credit agreement and the failure to meet these covenants, including liquidity and other financial requirements, could result in a default under our credit agreement.</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may not be able to remain in compliance with the covenants in our credit agreement, including financial covenants which, among other things, require minimum levels of liquidity and require us to maintain a specified fixed charge coverage ratio as defined under our credit agreement. Other covenants, among other things, limit our ability to provide liens, restrict fundamental changes, limit transactions with affiliates and subsidiaries, restrict changes to our organization documents, limit asset dispositions, limit investments, limit the ability to incur debt, restrict certain payments to shareholders, limit our ability to repurchase our stock, and limit the ability to change the nature of our business. A failure to fulfill the terms and requirements of our credit agreement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spacing w:after="0" w:line="20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b w:val="1"/>
          <w:bCs w:val="1"/>
          <w:color w:val="auto"/>
        </w:rPr>
        <w:t>The preparation of our financial statements requires management to make certain estimates and assumptions that may differ from actual results, and we may be adversely impacted by new accounting, control and operating procedures.</w:t>
      </w:r>
    </w:p>
    <w:p>
      <w:pPr>
        <w:spacing w:after="0" w:line="17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GAAP accounting requires that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precisely from available data and, accordingly, requires the use of management’s judgment. Estimates and assumptions are used in, among other areas, our assessment of revenue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recognition of construction in progress, fair value assumptions in accounting for business combinations, stock-based compensation, reserves for legal matters, and</w:t>
      </w:r>
    </w:p>
    <w:p>
      <w:pPr>
        <w:spacing w:after="0" w:line="4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realizability of deferred tax assets and unrecognized tax benefits. Actual results could differ from those estimates and assumptions, and such differences may be material to our financial statements.</w:t>
      </w:r>
    </w:p>
    <w:p>
      <w:pPr>
        <w:spacing w:after="0" w:line="17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use of percentage-of-completion accounting could result in a reduction or elimination of previously reported profits.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reported operating results could be adversely affected as a result of goodwill impairment charges.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GAAP accounting requires that goodwill attributable to each of our reporting units be tested at least annually, or when changes in circumstance indicate the carrying value of our reporting units may not be recoverable. At September 30, 2024, we had recorded $94.0 million of goodwill on our Consolidated Balance Sheets. Factors that could lead to impairment of current goodwill in the future include significant adverse changes in the business climate, declines in the financial condition of our business, and actual or projected future operating results affecting the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Existence of a controlling shareholder.</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 majority of our outstanding common stock is owned by Tontine, and Jeffrey Gendell, founder and managing member of Tontine, serves as our Chief Executive Officer and as Chairman of our Board of Directors. Tontine owns approximately 55 percent of the Company’s outstanding common stock based on a Form 4 filed by Tontine with the SEC on September 16, 2024, and the Company's shares outstanding as of November 18, 2024.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of the Company's assets or business segments or the Company itself. This control also gives Tontine the ability to bring matters to a shareholder vote that may not be in the best interest of our other shareholders or stakeholders. The concentration of ownership may also have the effect of discouraging a change in control transaction, which could prevent other shareholders from selling their shares in the Company at a premium as part of such transaction. Additionally, Tontine is in the business of investing in companies and may, from time to time, acquire and hold interests in businesses that compete directly or indirectly with us or act as suppliers or customers of the Company. Most of Tontine's shares are registered for resale on a resale shelf registration statement filed by the Company with the SEC. Pursuant to such resale shelf registration statement,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 significant portion of its shares could result in a change of control of the Company, which may trigger the change of control provisions in a number of our material agreements, including our credit agreement, bonding agreements with our sureties, and our executive severance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common stock has less liquidity than many other stocks listed on the Nasdaq Global Market.</w:t>
      </w:r>
    </w:p>
    <w:p>
      <w:pPr>
        <w:spacing w:after="0" w:line="24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Historically, the trading volume of our common stock has been relatively low when compared to other companies listed on the Nasdaq Global Market or other stock exchanges. While we have experienced increased liquidity in our stock during recent years compared with historical levels, we cannot say with certainty that a more active and liquid trading market for our common stock will continue to</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21" w:name="page22"/>
    <w:bookmarkEnd w:id="21"/>
    <w:p>
      <w:pPr>
        <w:ind w:right="460"/>
        <w:spacing w:after="0" w:line="287" w:lineRule="auto"/>
        <w:rPr>
          <w:sz w:val="20"/>
          <w:szCs w:val="20"/>
          <w:color w:val="auto"/>
        </w:rPr>
      </w:pPr>
      <w:r>
        <w:rPr>
          <w:rFonts w:ascii="Times New Roman" w:cs="Times New Roman" w:eastAsia="Times New Roman" w:hAnsi="Times New Roman"/>
          <w:sz w:val="17"/>
          <w:szCs w:val="17"/>
          <w:color w:val="auto"/>
        </w:rPr>
        <w:t>develop. Because of this, it may be more difficult for shareholders to sell a substantial number of shares for the same price at which shareholders could sell a smaller number of shares.</w:t>
      </w:r>
    </w:p>
    <w:p>
      <w:pPr>
        <w:spacing w:after="0" w:line="17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addition, our historically lower liquidity has in the past contributed to increased volatility in the price of our common stock. This lower liquidity, along with the other risk factors discussed herein, may impact our stock price in the future.</w:t>
      </w:r>
    </w:p>
    <w:p>
      <w:pPr>
        <w:spacing w:after="0" w:line="17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We may issue additional shares of common stock, preferred stock or convertible securities that will dilute the percentage ownership interest of existing stockholders and may dilute the book value per share of our common stock.</w:t>
      </w:r>
    </w:p>
    <w:p>
      <w:pPr>
        <w:spacing w:after="0" w:line="1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authorized capital includes 100,000,000 shares of common stock and 10,000,000 shares of preferred stock. As of September 30, 2024, we had 22,049,529 shares of common stock issued, 19,971,670 shares of common stock outstanding and no shares of preferred stock issued or outstanding. As of September 30, 2024, we had the ability to issue 581,169 shares of common stock, including upon the exercise of options, as future grants under our existing equity compensation plans.</w:t>
      </w:r>
    </w:p>
    <w:p>
      <w:pPr>
        <w:spacing w:after="0" w:line="1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Although we currently do not have any intention of issuing additional common stock (other than pursuant to our equity compensation plans) or preferred stock, we may do so in the future as consideration for certain acquisitions and in order to meet our capital needs. Subject to applicable Nasdaq Listing Rules, our Board of Directors generally has the authority, without action by or vote of the stockholders, to issue all or part of any authorized but unissued shares of common stock or preferred stock for any corporate purpose. We may seek additional equity capital in the future as we develop our business and expand our operations. Any issuance of additional shares of common stock, preferred stock, or convertible securities will dilute the percentage ownership interest of our stockholders and may dilute the book value per share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sales of our common stock could adversely affect our stock price.</w:t>
      </w:r>
    </w:p>
    <w:p>
      <w:pPr>
        <w:spacing w:after="0" w:line="24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spacing w:after="0" w:line="193"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b w:val="1"/>
          <w:bCs w:val="1"/>
          <w:color w:val="auto"/>
        </w:rPr>
        <w:t>Increasing scrutiny and changing expectations from investors and customers with respect to our environmental, social and governance practices may impose additional costs on us or expose us to reputational or other risks.</w:t>
      </w:r>
    </w:p>
    <w:p>
      <w:pPr>
        <w:spacing w:after="0" w:line="173"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Investors have increased their emphasis on the environmental, social and governance (“ESG”) practices of companies across all industries, including the environmental impact of operations and human capital management. Certain stockholders use third-party benchmarks or scores to measure a company’s ESG practices when deciding whether to invest in its common stock or engage with the company to require changes to its practices. In addition, our customers may evaluate our ESG practices or require that we adopt certain ESG policies as a condition of awarding contracts.</w:t>
      </w:r>
    </w:p>
    <w:p>
      <w:pPr>
        <w:spacing w:after="0" w:line="1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failure to comply with investor or customer expectations and standards, which are evolving and vary considerably, or the perception that we have not responded appropriately to the growing concern for ESG issues, could result in reputational harm to our business and could have an adverse effect on us.</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organizations that provide ratings information to investors on ESG matters may assign unfavorable ratings to IES or our industries, which may lead to negative investor sentiment and the diversion of investment capital to other companies or industries, which could have a negative impact on our stock price and our costs of capital.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Our bylaws designate the Court of Chancery of the State of Delaware as the sole and exclusive forum for certain types of actions and proceedings that may be initiated by our shareholders, which could increase the costs for our shareholders to bring claims, discourage our shareholders from bringing claims, or limit our shareholders’ ability to obtain a favorable judicial forum for disputes with us or our current or former directors, officers, employees or shareholders in such capacity.</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the Court of Chancery of the State of Delaware is, to the fullest extent permitted by law, the sole and exclusive forum for claims, including derivative claims that are based upon a violation of a duty by a current or former director, officer, employee or shareholder in such capacity or as to which the Delaware General Corporation Law confers jurisdiction upon the Court of Chancery. The exclusive forum provision may increase the costs for a shareholder to bring a claim or limit a shareholder’s ability to bring a claim in a judicial forum that the shareholder finds favorable for disputes with us or our directors, officers, employees or shareholders in such capacity, which may discourage such lawsuits against us and such persons. Alternatively, if a court were to find these provisions of our bylaws inapplicable to, or unenforceable in respect of, the claims as to which they are intended to apply, then we may incur additional costs associated with</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2" w:name="page23"/>
    <w:bookmarkEnd w:id="22"/>
    <w:p>
      <w:pPr>
        <w:ind w:right="40"/>
        <w:spacing w:after="0" w:line="264" w:lineRule="auto"/>
        <w:rPr>
          <w:sz w:val="20"/>
          <w:szCs w:val="20"/>
          <w:color w:val="auto"/>
        </w:rPr>
      </w:pPr>
      <w:r>
        <w:rPr>
          <w:rFonts w:ascii="Times New Roman" w:cs="Times New Roman" w:eastAsia="Times New Roman" w:hAnsi="Times New Roman"/>
          <w:sz w:val="17"/>
          <w:szCs w:val="17"/>
          <w:color w:val="auto"/>
        </w:rPr>
        <w:t>resolving such matters in other jurisdictions, which could adversely affect our business, financial position or results of operations. While the exclusive forum provision applies to state and federal law claims, our shareholders will not be deemed to have waived our compliance with, and the exclusive forum provision will not preclude or contract the scope of exclusive federal or concurrent jurisdiction for actions brought under, the federal securities laws, including the Exchange Act, or the Securities Act of 1933, as amended, and the rules and regulations promulgated thereunder.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Risks</w:t>
      </w:r>
    </w:p>
    <w:p>
      <w:pPr>
        <w:spacing w:after="0" w:line="2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control system, misstatements due to error could occur without being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52525"/>
        </w:rPr>
        <w:t>Cybersecurity Risk Management and Strategy</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252525"/>
        </w:rPr>
        <w:t>As part of the Company’s overall risk management, the Company has adopted processes designed to assess, identify and manage material risks from cybersecurity threats. Our program has been designed and evaluated based on the National Institute of Standards and Technology Cybersecurity Framework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52525"/>
        </w:rPr>
        <w:t>NIST CSF</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52525"/>
        </w:rPr>
        <w:t>). This does not imply that we meet any particular technical standards, specifications, or requirements, only that we use NIST CSF as a guide to identify, assess, and manage cybersecurity risks relevant to our business. The cybersecurity risk management program includes, among other things, processes to manage risks associated with third party service providers, regular review and testing of the Company’s cybersecurity practices through audits, internal assessments and tabletop exercises, and mandatory annual cybersecurity awareness training for all employees. In addition, the Company has adopted an incident response plan establishing the processes for responding to any cybersecurity incident. The Company has engaged third party cybersecurity firms to perform maturity assessments of our cybersecurity risk management program, the results of which are reported to the Board.</w:t>
      </w:r>
    </w:p>
    <w:p>
      <w:pPr>
        <w:spacing w:after="0" w:line="12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252525"/>
        </w:rPr>
        <w:t>We have experienced cybersecurity attacks and incidents in the past and could in the future experience similar attacks. To date, no cybersecurity incident or attack, or any risk from cybersecurity threats, has materially affected or has been determined to be reasonably likely to materially affect the Company or our business strategy,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52525"/>
        </w:rPr>
        <w:t>Cybersecurity Governance</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252525"/>
        </w:rPr>
        <w:t>Our Board oversees the Company’s general risk management processes, and with respect to cybersecurity risks the oversight is performed primarily through the Audit Committee of the Board, which is briefed at least quarterly on cybersecurity threats, the results of periodic assessment and reviews of the Company’s cybersecurity programs, and cybersecurity developments affecting companies generally. Our incident response plan provides for prompt notice to the Board of any material cybersecurity incident.</w:t>
      </w:r>
    </w:p>
    <w:p>
      <w:pPr>
        <w:spacing w:after="0" w:line="120"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252525"/>
        </w:rPr>
        <w:t>Our cybersecurity program is overseen by our head of cybersecurity, with guidance from our Chief Technical Officer and our Vice President of Information Technology. Our head of cybersecurity has more than ten years of experience managing cybersecurity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3" w:name="page24"/>
    <w:bookmarkEnd w:id="23"/>
    <w:p>
      <w:pPr>
        <w:jc w:val="both"/>
        <w:ind w:right="440"/>
        <w:spacing w:after="0" w:line="287" w:lineRule="auto"/>
        <w:rPr>
          <w:sz w:val="20"/>
          <w:szCs w:val="20"/>
          <w:color w:val="auto"/>
        </w:rPr>
      </w:pPr>
      <w:r>
        <w:rPr>
          <w:rFonts w:ascii="Times New Roman" w:cs="Times New Roman" w:eastAsia="Times New Roman" w:hAnsi="Times New Roman"/>
          <w:sz w:val="17"/>
          <w:szCs w:val="17"/>
          <w:color w:val="252525"/>
        </w:rPr>
        <w:t>matters, holds an undergraduate degree in information systems with a focus on information security, and holds numerous certificates across the cybersecurity landscape. Our head of cybersecurity is also responsible for providing the Audit Committee with quarterly updates on cybersecurity risks and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At September 30, 2024, we maintained branch offices, warehouses, sales facilities and administrative offices at 131 locations. The majority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Times New Roman" w:cs="Times New Roman" w:eastAsia="Times New Roman" w:hAnsi="Times New Roman"/>
          <w:sz w:val="17"/>
          <w:szCs w:val="17"/>
          <w:i w:val="1"/>
          <w:iCs w:val="1"/>
          <w:color w:val="auto"/>
        </w:rPr>
        <w:t>Business —Operating Segments</w:t>
      </w:r>
      <w:r>
        <w:rPr>
          <w:rFonts w:ascii="Times New Roman" w:cs="Times New Roman" w:eastAsia="Times New Roman" w:hAnsi="Times New Roman"/>
          <w:sz w:val="17"/>
          <w:szCs w:val="17"/>
          <w:color w:val="auto"/>
        </w:rPr>
        <w:t>”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4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For further information regarding legal proceedings, see Note 18,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Commitments and Contingencies — </w:t>
      </w:r>
      <w:r>
        <w:rPr>
          <w:rFonts w:ascii="Times New Roman" w:cs="Times New Roman" w:eastAsia="Times New Roman" w:hAnsi="Times New Roman"/>
          <w:sz w:val="17"/>
          <w:szCs w:val="17"/>
          <w:i w:val="1"/>
          <w:iCs w:val="1"/>
          <w:color w:val="auto"/>
        </w:rPr>
        <w:t>Legal Matters</w:t>
      </w:r>
      <w:r>
        <w:rPr>
          <w:rFonts w:ascii="Times New Roman" w:cs="Times New Roman" w:eastAsia="Times New Roman" w:hAnsi="Times New Roman"/>
          <w:sz w:val="17"/>
          <w:szCs w:val="17"/>
          <w:color w:val="auto"/>
        </w:rPr>
        <w:t>” in the notes to our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trades on the Nasdaq Global Market under the ticker symbol “IESC.”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November 18, 2024, the closing market price of our common stock was $264.67 per share and there were approximately 299 holders of record.</w:t>
      </w:r>
    </w:p>
    <w:p>
      <w:pPr>
        <w:spacing w:after="0" w:line="2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We have never declared or paid dividends on our common stock. We intend to retain any future earnings and do not expect to pay cash dividends in the foreseeable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2015, our Board of Directors authorized a stock repurchase program for the purchase from time to time of up to 1.5 million shares of the Company’s common stock, and in 2019, authorized the repurchase from time to time of up to an additional 1.0 million shares of the Company's common stock under the stock repurchase program. In December 2022, our Board of Directors terminated our previous stock repurchase program and authorized a new $40 million stock repurchase program. In July 2024, the Company fully utilized the amount remaining under this $40 million authorization. On July 31, 2024, the Board authorized a new $200 million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2024, we repurchased 289,284 shares of common stock at an average price of $136.34 per share for a total aggregate purchase price of $39.4 million. The Company had $198.1 million remaining under its stock repurchase authorization at September 30,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purchases of common stock by the Company during the three months ended September 30,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Pr>
          <w:p>
            <w:pPr>
              <w:spacing w:after="0"/>
              <w:rPr>
                <w:sz w:val="17"/>
                <w:szCs w:val="17"/>
                <w:color w:val="auto"/>
              </w:rPr>
            </w:pPr>
          </w:p>
        </w:tc>
        <w:tc>
          <w:tcPr>
            <w:tcW w:w="17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Average Price</w:t>
            </w: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Total Number of Shares</w:t>
            </w:r>
          </w:p>
        </w:tc>
        <w:tc>
          <w:tcPr>
            <w:tcW w:w="3240" w:type="dxa"/>
            <w:vAlign w:val="bottom"/>
            <w:gridSpan w:val="3"/>
          </w:tcPr>
          <w:p>
            <w:pPr>
              <w:jc w:val="center"/>
              <w:ind w:right="760"/>
              <w:spacing w:after="0"/>
              <w:rPr>
                <w:sz w:val="20"/>
                <w:szCs w:val="20"/>
                <w:color w:val="auto"/>
              </w:rPr>
            </w:pPr>
            <w:r>
              <w:rPr>
                <w:rFonts w:ascii="Times New Roman" w:cs="Times New Roman" w:eastAsia="Times New Roman" w:hAnsi="Times New Roman"/>
                <w:sz w:val="17"/>
                <w:szCs w:val="17"/>
                <w:color w:val="auto"/>
              </w:rPr>
              <w:t>Maximum Dollar Value of Shares</w:t>
            </w:r>
          </w:p>
        </w:tc>
        <w:tc>
          <w:tcPr>
            <w:tcW w:w="0" w:type="dxa"/>
            <w:vAlign w:val="bottom"/>
          </w:tcPr>
          <w:p>
            <w:pPr>
              <w:spacing w:after="0"/>
              <w:rPr>
                <w:sz w:val="1"/>
                <w:szCs w:val="1"/>
                <w:color w:val="auto"/>
              </w:rPr>
            </w:pPr>
          </w:p>
        </w:tc>
      </w:tr>
      <w:tr>
        <w:trPr>
          <w:trHeight w:val="168"/>
        </w:trPr>
        <w:tc>
          <w:tcPr>
            <w:tcW w:w="32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508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Purchased as Part of a  That May Yet Be Purchased Under</w:t>
            </w:r>
          </w:p>
        </w:tc>
        <w:tc>
          <w:tcPr>
            <w:tcW w:w="0" w:type="dxa"/>
            <w:vAlign w:val="bottom"/>
          </w:tcPr>
          <w:p>
            <w:pPr>
              <w:spacing w:after="0"/>
              <w:rPr>
                <w:sz w:val="1"/>
                <w:szCs w:val="1"/>
                <w:color w:val="auto"/>
              </w:rPr>
            </w:pPr>
          </w:p>
        </w:tc>
      </w:tr>
      <w:tr>
        <w:trPr>
          <w:trHeight w:val="232"/>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Period</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Shares Purchased</w:t>
            </w:r>
          </w:p>
        </w:tc>
        <w:tc>
          <w:tcPr>
            <w:tcW w:w="11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Paid Per Share</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Publicly Announced Plan</w:t>
            </w:r>
          </w:p>
        </w:tc>
        <w:tc>
          <w:tcPr>
            <w:tcW w:w="160" w:type="dxa"/>
            <w:vAlign w:val="bottom"/>
          </w:tcPr>
          <w:p>
            <w:pPr>
              <w:spacing w:after="0"/>
              <w:rPr>
                <w:sz w:val="20"/>
                <w:szCs w:val="20"/>
                <w:color w:val="auto"/>
              </w:rPr>
            </w:pPr>
          </w:p>
        </w:tc>
        <w:tc>
          <w:tcPr>
            <w:tcW w:w="308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color w:val="auto"/>
              </w:rPr>
              <w:t>the Publicly Announced Plan</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2024 – July 31,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124,892</w:t>
            </w: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$140.75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2024 – August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1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$173.62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2024 – September 30,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w:t>
            </w: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$145.92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198,141,288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138,203</w:t>
            </w:r>
          </w:p>
        </w:tc>
        <w:tc>
          <w:tcPr>
            <w:tcW w:w="11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$141.37</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198,141,288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6"/>
        </w:trPr>
        <w:tc>
          <w:tcPr>
            <w:tcW w:w="3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23</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Five-Year Stock Performance Graph</w:t>
      </w:r>
    </w:p>
    <w:p>
      <w:pPr>
        <w:spacing w:after="0" w:line="24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graph below compares the cumulative five year total return provided shareholders on IES Holdings, Inc.'s common stock relative to the cumulative total returns of (i) the Russell 2000 index, (ii) a customized peer group of four companies that includes Comfort Systems USA Inc., MYR Group Inc., Sterling Infrastructure, Inc. and Primoris (the "Peer Group (Old)") and (iii) a revised customized peer group of five companies that includes Comfort Systems USA Inc., MYR Group Inc., Sterling Infrastructure, Inc., Primoris and Installed Building Products, Inc. (the “Peer Group (New)”). The change from the Peer Group (Old) to the Peer Group (New) was made to better reflect companies relevant to the Company's current business. An investment of $100 (with reinvestment of all dividends) is assumed to have been made in our common stock, in the Russell 2000 index, and in the peer group on September 30, 2019, and its relative performance is tracked through September 30, 2024.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Comparison of Five Year Cumulative Total Return*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IES Holdings, Inc., the Russell 2000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7620</wp:posOffset>
            </wp:positionV>
            <wp:extent cx="5255895" cy="3307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5895" cy="330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 invested on September 30, 2019 in stock or index, including reinvestment of dividends.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2020</w:t>
            </w:r>
          </w:p>
        </w:tc>
        <w:tc>
          <w:tcPr>
            <w:tcW w:w="1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IES Holdings, Inc.</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969.50</w:t>
            </w:r>
          </w:p>
        </w:tc>
      </w:tr>
      <w:tr>
        <w:trPr>
          <w:trHeight w:val="219"/>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Russell 2000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156.60</w:t>
            </w:r>
          </w:p>
        </w:tc>
      </w:tr>
      <w:tr>
        <w:trPr>
          <w:trHeight w:val="219"/>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Peer Group (Old)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530.14</w:t>
            </w:r>
          </w:p>
        </w:tc>
      </w:tr>
      <w:tr>
        <w:trPr>
          <w:trHeight w:val="223"/>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Peer Group (New)</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our Consolidated Financial Statements and the notes thereto, set forth in Item 8.</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 For additional information, see </w:t>
      </w:r>
      <w:r>
        <w:rPr>
          <w:rFonts w:ascii="Times New Roman" w:cs="Times New Roman" w:eastAsia="Times New Roman" w:hAnsi="Times New Roman"/>
          <w:sz w:val="17"/>
          <w:szCs w:val="17"/>
          <w:i w:val="1"/>
          <w:iCs w:val="1"/>
          <w:color w:val="auto"/>
        </w:rPr>
        <w:t>“Disclosure Regarding Forward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Looking Statements” </w:t>
      </w:r>
      <w:r>
        <w:rPr>
          <w:rFonts w:ascii="Times New Roman" w:cs="Times New Roman" w:eastAsia="Times New Roman" w:hAnsi="Times New Roman"/>
          <w:sz w:val="17"/>
          <w:szCs w:val="17"/>
          <w:color w:val="auto"/>
        </w:rPr>
        <w:t>in Part I of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this Annual Report on Form 10-K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Trends</w:t>
      </w: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capital spending on data centers, distribution centers, and high-tech manufacturing facilities, demand for back-up power,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w:t>
      </w:r>
    </w:p>
    <w:p>
      <w:pPr>
        <w:spacing w:after="0" w:line="3" w:lineRule="exact"/>
        <w:rPr>
          <w:sz w:val="20"/>
          <w:szCs w:val="20"/>
          <w:color w:val="auto"/>
        </w:rPr>
      </w:pPr>
    </w:p>
    <w:p>
      <w:pPr>
        <w:ind w:right="100" w:firstLine="3"/>
        <w:spacing w:after="0" w:line="255" w:lineRule="auto"/>
        <w:tabs>
          <w:tab w:leader="none" w:pos="25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aging public infrastructure, which must be replaced or repaired, (iii) an increasing demand for data storage, and (iv) increased emphasis on environmental and energy efficiency, which may lead to increased public and private spending. However, there can be no assurance that we will not experience a decrease in demand for our services due to economic, technological or other factors beyond our control, including interest rate increases, increases in the price of copper, aluminum, steel, fuel, electrical components, certain plastics, and other commodity prices and other economic factors, which may reduce the demand for housing in the regions where our Residential division operates, and may impact levels of construction. For further discussion of the industries in which we operate, please see Item 1. “</w:t>
      </w:r>
      <w:r>
        <w:rPr>
          <w:rFonts w:ascii="Times New Roman" w:cs="Times New Roman" w:eastAsia="Times New Roman" w:hAnsi="Times New Roman"/>
          <w:sz w:val="17"/>
          <w:szCs w:val="17"/>
          <w:i w:val="1"/>
          <w:iCs w:val="1"/>
          <w:color w:val="auto"/>
        </w:rPr>
        <w:t>Business - Operating Segments</w:t>
      </w:r>
      <w:r>
        <w:rPr>
          <w:rFonts w:ascii="Times New Roman" w:cs="Times New Roman" w:eastAsia="Times New Roman" w:hAnsi="Times New Roman"/>
          <w:sz w:val="17"/>
          <w:szCs w:val="17"/>
          <w:color w:val="auto"/>
        </w:rPr>
        <w:t>”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Outlook</w:t>
      </w:r>
    </w:p>
    <w:p>
      <w:pPr>
        <w:spacing w:after="0" w:line="247"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color w:val="auto"/>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2024 as compared to fiscal 2023.</w:t>
      </w:r>
    </w:p>
    <w:p>
      <w:pPr>
        <w:spacing w:after="0" w:line="19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Entering fiscal 2025, we see strong demand across many of our key end markets. However, our business segments each have their own unique set of factors influencing demand for our services. Heading into fiscal 2025, we are cautious about near-term demand for single-family housing as elevated mortgage rates and the impacts of inflation on materials and labor costs have resulted in a decline in housing affordability. In addition, consumer expectations about future interest rate reductions may cause some home buyers to delay purchases in anticipation of lower mortgage costs. In the multi-family business, higher borrowing costs for project owners during fiscal 2024 have resulted in a reduction in backlog at September 30, 2024 compared with September 30, 2023. This will result in lower multi-family revenues in fiscal 2025 as compared with the prior year. However, backlog across our business segments as a whole remains at record levels, reflecting strong demand in key end markets. Demand with respect to data centers, a key end market served by our Communications, Infrastructure Solutions, and Commercial &amp; Industrial segments, remains particularly strong. However, availability of labor and capacity could constrain the rate at which we are able to grow this business.</w:t>
      </w:r>
    </w:p>
    <w:p>
      <w:pPr>
        <w:spacing w:after="0" w:line="200" w:lineRule="exact"/>
        <w:rPr>
          <w:sz w:val="20"/>
          <w:szCs w:val="20"/>
          <w:color w:val="auto"/>
        </w:rPr>
      </w:pPr>
    </w:p>
    <w:p>
      <w:pPr>
        <w:spacing w:after="0" w:line="21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To continue to grow our business, including through acquisitions and the funding of working capital, we may require a significant amount of cash. Our ability to generate or otherwise access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12 months. We expect our capital expenditures will range from $45 million to $55 million for the year ending on September 30,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27" w:name="page28"/>
    <w:bookmarkEnd w:id="27"/>
    <w:p>
      <w:pPr>
        <w:ind w:right="220"/>
        <w:spacing w:after="0" w:line="264" w:lineRule="auto"/>
        <w:rPr>
          <w:sz w:val="20"/>
          <w:szCs w:val="20"/>
          <w:color w:val="auto"/>
        </w:rPr>
      </w:pPr>
      <w:r>
        <w:rPr>
          <w:rFonts w:ascii="Times New Roman" w:cs="Times New Roman" w:eastAsia="Times New Roman" w:hAnsi="Times New Roman"/>
          <w:sz w:val="17"/>
          <w:szCs w:val="17"/>
          <w:color w:val="auto"/>
        </w:rPr>
        <w:t>While the COVID-19 pandemic's impact on markets, the supply chain and the labor force had significantly less of an impact on our business in fiscal 2024 compared with prior fiscal years, COVID-19 and any future pandemic or other public health emergency could impact our workforce, customers and suppliers in the future. An inability to procure materials in a timely manner, to complete work on schedule, and to reflect higher materials or labor costs in our pricing to customers has had, and could have in the future, a significant impact on our operating results.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as well as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color w:val="auto"/>
              </w:rPr>
              <w:t>Year Ended September 30,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2"/>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7"/>
                <w:szCs w:val="17"/>
                <w:color w:val="auto"/>
                <w:w w:val="99"/>
              </w:rPr>
              <w:t>2023</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740" w:type="dxa"/>
            <w:vAlign w:val="bottom"/>
            <w:tcBorders>
              <w:bottom w:val="single" w:sz="8" w:color="auto"/>
            </w:tcBorders>
          </w:tcPr>
          <w:p>
            <w:pPr>
              <w:spacing w:after="0"/>
              <w:rPr>
                <w:sz w:val="18"/>
                <w:szCs w:val="18"/>
                <w:color w:val="auto"/>
              </w:rPr>
            </w:pPr>
          </w:p>
        </w:tc>
      </w:tr>
      <w:tr>
        <w:trPr>
          <w:trHeight w:val="212"/>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9"/>
          </w:tcPr>
          <w:p>
            <w:pPr>
              <w:jc w:val="center"/>
              <w:ind w:left="375"/>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2,166,808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of services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2,187,768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1,932,688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1,847,878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85.3 %</w:t>
            </w:r>
          </w:p>
        </w:tc>
      </w:tr>
      <w:tr>
        <w:trPr>
          <w:trHeight w:val="21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696,590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w:t>
            </w:r>
          </w:p>
        </w:tc>
      </w:tr>
      <w:tr>
        <w:trPr>
          <w:trHeight w:val="219"/>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1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 on sale of assets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300,876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12"/>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1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72,165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232,501</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119,787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12"/>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Consolidated revenues for the year ended September 30, 2024, were $507.1 million higher than for the year ended September 30, 2023, an increase of 21.3%, with increases at all of our operating segments. See further discussion below of changes in revenues for our individual segments.</w:t>
      </w:r>
    </w:p>
    <w:p>
      <w:pPr>
        <w:spacing w:after="0" w:line="17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increased to 24.2% during the year September 30, 2024, as compared to 18.7% during the year ended September 30, 2023. Gross profit as a percentage of revenue increased at all four of our operating segments. See further discussion below of changes in gross margin for our individual segments.</w:t>
      </w:r>
    </w:p>
    <w:p>
      <w:pPr>
        <w:spacing w:after="0" w:line="19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business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year ended September 30, 2024, our selling, general and administrative expenses were $396.7 million, an increase of $98.1 million, or 32.8% over the year ended September 30, 2023, driven by increased personnel costs, primarily at our Residential operating segment, and higher incentive compensation across our business as a result of higher earnings. Selling, general and administrative expenses as a percentage of revenue increased to 13.8% for the year ended September 30, 2024 from 12.6% for the year ended September 30, 2023.</w:t>
      </w:r>
    </w:p>
    <w:p>
      <w:pPr>
        <w:spacing w:after="0" w:line="19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Our results for the year ended September 30, 2023 included a pretax gain of $13.0 million from the sale of STR Mechanical, LLC (“STR”), which previously operated as part of our Commercial &amp; Industrial segment, on October 7, 2022.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24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Consolidated revenues for the year ended September 30, 2023, were $210.4 million higher than for the year ended September 30, 2022, an increase of 9.7%, with increases at our Communications, Residential and Infrastructure Solutions operating segments,</w:t>
      </w:r>
    </w:p>
    <w:p>
      <w:pPr>
        <w:spacing w:after="0" w:line="1" w:lineRule="exact"/>
        <w:rPr>
          <w:sz w:val="20"/>
          <w:szCs w:val="20"/>
          <w:color w:val="auto"/>
        </w:rPr>
      </w:pPr>
    </w:p>
    <w:p>
      <w:pPr>
        <w:ind w:right="2220"/>
        <w:spacing w:after="0" w:line="266" w:lineRule="auto"/>
        <w:rPr>
          <w:sz w:val="20"/>
          <w:szCs w:val="20"/>
          <w:color w:val="auto"/>
        </w:rPr>
      </w:pPr>
      <w:r>
        <w:rPr>
          <w:rFonts w:ascii="Times New Roman" w:cs="Times New Roman" w:eastAsia="Times New Roman" w:hAnsi="Times New Roman"/>
          <w:sz w:val="17"/>
          <w:szCs w:val="17"/>
          <w:color w:val="auto"/>
        </w:rPr>
        <w:t>partially offset by a decrease at our Commercial &amp; Industrial segment. See further discussion below of changes in revenues for our individual segments.</w:t>
      </w:r>
    </w:p>
    <w:p>
      <w:pPr>
        <w:spacing w:after="0" w:line="194"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increased to 18.7% during the year ended September 30, 2023, as compared to 14.7% during the year ended September 30, 2022. Gross profit as a percentage of revenue increased at all four of our operating segments. See further discussion below of changes in gross margin for our individual segments.</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year ended September 30, 2023, our selling, general and administrative expenses were $298.6 million, an increase of $35.9 million, or 13.7% over the year ended September 30, 2022, driven by increased personnel costs, primarily at our Residential operating segment, in connection with its growth, including higher incentive compensation at the division level as a result of higher earnings. Additionally, our Residential segment recorded severance charges of $3.6 million in connection with a reorganization of its</w:t>
      </w:r>
    </w:p>
    <w:p>
      <w:pPr>
        <w:spacing w:after="0" w:line="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color w:val="auto"/>
        </w:rPr>
        <w:t>management structure. Selling, general and administrative expenses as a percentage of revenue increased to 12.6% for the year ended September 30, 2023 from 12.1% for the year ended September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7"/>
                <w:szCs w:val="17"/>
                <w:i w:val="1"/>
                <w:iCs w:val="1"/>
                <w:color w:val="auto"/>
              </w:rPr>
              <w:t>2024 Compared to 2023</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2024</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40" w:type="dxa"/>
            <w:vAlign w:val="bottom"/>
          </w:tcPr>
          <w:p>
            <w:pPr>
              <w:spacing w:after="0"/>
              <w:rPr>
                <w:sz w:val="19"/>
                <w:szCs w:val="19"/>
                <w:color w:val="auto"/>
              </w:rPr>
            </w:pPr>
          </w:p>
        </w:tc>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623,844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494,964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82.4 %</w:t>
            </w:r>
          </w:p>
        </w:tc>
      </w:tr>
      <w:tr>
        <w:trPr>
          <w:trHeight w:val="212"/>
        </w:trPr>
        <w:tc>
          <w:tcPr>
            <w:tcW w:w="40" w:type="dxa"/>
            <w:vAlign w:val="bottom"/>
          </w:tcPr>
          <w:p>
            <w:pPr>
              <w:spacing w:after="0"/>
              <w:rPr>
                <w:sz w:val="18"/>
                <w:szCs w:val="18"/>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r>
      <w:tr>
        <w:trPr>
          <w:trHeight w:val="219"/>
        </w:trPr>
        <w:tc>
          <w:tcPr>
            <w:tcW w:w="40" w:type="dxa"/>
            <w:vAlign w:val="bottom"/>
          </w:tcPr>
          <w:p>
            <w:pPr>
              <w:spacing w:after="0"/>
              <w:rPr>
                <w:sz w:val="19"/>
                <w:szCs w:val="19"/>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19"/>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4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51,456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8.6 %</w:t>
            </w:r>
          </w:p>
        </w:tc>
      </w:tr>
    </w:tbl>
    <w:p>
      <w:pPr>
        <w:spacing w:after="0" w:line="2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Communications segment’s revenues increased by $175.7 million, or 29.2%, during the year ended September 30, 2024,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2023. This increase primarily resulted from increased demand from our data center, high-tech manufacturing and e-commerce distribution center customers.</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year ended September 30, 2024, increased $46.8 million, or 44.2%,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Gross profit as a percentage of revenue increased from 17.6% for the year ended September 30, 2023 to 19.7% for the year ended September 30, 2024. The increase in gross profit and gross profit as a percentage of revenue primarily reflects increased volume, successful project execution, favorable contract pricing and the impact of a more disciplined bidding process.</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$11.4 million, or 21.0%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2024, as compared to the year ended September 30, 2023. The increase is a result of higher personnel costs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 in the Communications segment were 8.5% during the year ended September 30, 2024, compared to 9.0% for the year ended September 30, 2023.</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494,964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490,959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r>
    </w:tbl>
    <w:p>
      <w:pPr>
        <w:spacing w:after="0" w:line="298" w:lineRule="exact"/>
        <w:rPr>
          <w:sz w:val="20"/>
          <w:szCs w:val="20"/>
          <w:color w:val="auto"/>
        </w:rPr>
      </w:pPr>
    </w:p>
    <w:p>
      <w:pPr>
        <w:ind w:right="21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Communications segment’s revenues increased by $41.0 million, or 7.3%, during the year ended September 30,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year ended September 30, 2022. This increase primarily resulted from increased demand from our high-tech manufacturing and data center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year ended September 30, 2023, increased $37.0 million, or</w:t>
      </w:r>
    </w:p>
    <w:p>
      <w:pPr>
        <w:spacing w:after="0" w:line="32" w:lineRule="exact"/>
        <w:rPr>
          <w:sz w:val="20"/>
          <w:szCs w:val="20"/>
          <w:color w:val="auto"/>
        </w:rPr>
      </w:pPr>
    </w:p>
    <w:p>
      <w:pPr>
        <w:ind w:right="2000"/>
        <w:spacing w:after="0" w:line="255" w:lineRule="auto"/>
        <w:rPr>
          <w:sz w:val="20"/>
          <w:szCs w:val="20"/>
          <w:color w:val="auto"/>
        </w:rPr>
      </w:pPr>
      <w:r>
        <w:rPr>
          <w:rFonts w:ascii="Times New Roman" w:cs="Times New Roman" w:eastAsia="Times New Roman" w:hAnsi="Times New Roman"/>
          <w:sz w:val="17"/>
          <w:szCs w:val="17"/>
          <w:color w:val="auto"/>
        </w:rPr>
        <w:t>53.8%, as compared to the year ended September 30, 2022. Gross profit as a percentage of revenue increased from 12.3% for the year ended September 30, 2022 to 17.6% for the year ended September 30, 2023. The increase in gross profit and gross profit as a percentage of revenue partially reflects the impact of $19.9 million of project losses incurred in the year ended September 30, 2022 resulting from execution issues relating to an expansion into a new, adjacent service area. Although these projects continued to negatively impact our results throughout fiscal 2022, we have since completed all such projects, and are no longer working in this service area. Gross profit also increased as a result of an increase in revenues in the year ended September 30, 2023 compared to the year ended September 30, 2022 as discussed above.</w:t>
      </w:r>
    </w:p>
    <w:p>
      <w:pPr>
        <w:spacing w:after="0" w:line="201" w:lineRule="exact"/>
        <w:rPr>
          <w:sz w:val="20"/>
          <w:szCs w:val="20"/>
          <w:color w:val="auto"/>
        </w:rPr>
      </w:pPr>
    </w:p>
    <w:p>
      <w:pPr>
        <w:ind w:right="19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$7.6 million, or 16.3% during the year ended September 30, 2023, as compared to the year ended September 30, 2022. The increase is a result of higher personnel costs including higher incentive compensation as a result of higher earnings, investment in an organizational structure that will enhance the scalability of our business, and higher wages in a competitive labor market. Selling, general and administrative expenses as a percentage of revenue in the Communications segment were 9.0% during the year ended September 30, 2023, compared to 8.3% for the year ended September 30,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1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61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60" w:type="dxa"/>
            <w:vAlign w:val="bottom"/>
          </w:tcPr>
          <w:p>
            <w:pPr>
              <w:spacing w:after="0"/>
              <w:rPr>
                <w:sz w:val="18"/>
                <w:szCs w:val="18"/>
                <w:color w:val="auto"/>
              </w:rPr>
            </w:pPr>
          </w:p>
        </w:tc>
        <w:tc>
          <w:tcPr>
            <w:tcW w:w="15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7"/>
                <w:szCs w:val="17"/>
                <w:color w:val="auto"/>
              </w:rPr>
              <w:t>2024</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r>
      <w:tr>
        <w:trPr>
          <w:trHeight w:val="212"/>
        </w:trPr>
        <w:tc>
          <w:tcPr>
            <w:tcW w:w="6160" w:type="dxa"/>
            <w:vAlign w:val="bottom"/>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60" w:type="dxa"/>
            <w:vAlign w:val="bottom"/>
          </w:tcPr>
          <w:p>
            <w:pPr>
              <w:spacing w:after="0"/>
              <w:rPr>
                <w:sz w:val="17"/>
                <w:szCs w:val="17"/>
                <w:color w:val="auto"/>
              </w:rPr>
            </w:pPr>
          </w:p>
        </w:tc>
        <w:tc>
          <w:tcPr>
            <w:tcW w:w="4140" w:type="dxa"/>
            <w:vAlign w:val="bottom"/>
            <w:gridSpan w:val="9"/>
          </w:tcPr>
          <w:p>
            <w:pPr>
              <w:ind w:left="10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1,388,840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1,024,440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1,026,524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80.2 %</w:t>
            </w:r>
          </w:p>
        </w:tc>
      </w:tr>
      <w:tr>
        <w:trPr>
          <w:trHeight w:val="21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252,980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r>
      <w:tr>
        <w:trPr>
          <w:trHeight w:val="219"/>
        </w:trPr>
        <w:tc>
          <w:tcPr>
            <w:tcW w:w="6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r>
      <w:tr>
        <w:trPr>
          <w:trHeight w:val="219"/>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r>
    </w:tbl>
    <w:p>
      <w:pPr>
        <w:spacing w:after="0" w:line="28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Residential segment’s revenues increased by $109.3 million, or 8.5%, during the year ended September 30, 2024, as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2023. The increase was primarily driven by an $81.0 million increase in revenues from our plumbing and HVAC business as we expanded our offerings during the year ended September 30, 2024. Our single-family electrical business continued to have strong demand as revenues increased by $14.9 million, while multi-family and other revenue increased by $13.4 million resulting from continued strong demand and successful execution of existing backlog, partially offset by a reduction in activity in certain areas as we became more selective in our bidding process.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30" w:name="page31"/>
    <w:bookmarkEnd w:id="30"/>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year ended September 30, 2024, our Residential segment gross profit increased by $111.4 million, or 44.0%,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and gross margin as a percentage of revenue increased to 26.2% during the year ended September 30, 2024 from 19.8% for the year ended September 30, 2023. The increase in profitability was driven primarily by improved project execution in our multi-family business, as well as the benefit of improved procurement and other processes implemented as part of the reorganization of the segment in fiscal 2023.</w:t>
      </w:r>
    </w:p>
    <w:p>
      <w:pPr>
        <w:spacing w:after="0" w:line="19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$58.6 million, or 34.5%,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2024, compared to the year ended September 30, 2023. Selling, general and administrative expenses as a percentage of revenue in the Residential segment increased to 16.4% during the year ended September 30, 2024, from 13.3% during the year ended September 30, 2023. The increase was driven primarily by higher personnel costs in connection with a reorganization of the segment's management structure in fiscal 2023 and increased incentive profit sharing for division management resulting from higher earnings.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60" w:type="dxa"/>
            <w:vAlign w:val="bottom"/>
          </w:tcPr>
          <w:p>
            <w:pPr>
              <w:spacing w:after="0"/>
              <w:rPr>
                <w:sz w:val="18"/>
                <w:szCs w:val="18"/>
                <w:color w:val="auto"/>
              </w:rPr>
            </w:pPr>
          </w:p>
        </w:tc>
        <w:tc>
          <w:tcPr>
            <w:tcW w:w="15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6160" w:type="dxa"/>
            <w:vAlign w:val="bottom"/>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60" w:type="dxa"/>
            <w:vAlign w:val="bottom"/>
          </w:tcPr>
          <w:p>
            <w:pPr>
              <w:spacing w:after="0"/>
              <w:rPr>
                <w:sz w:val="17"/>
                <w:szCs w:val="17"/>
                <w:color w:val="auto"/>
              </w:rPr>
            </w:pPr>
          </w:p>
        </w:tc>
        <w:tc>
          <w:tcPr>
            <w:tcW w:w="4140" w:type="dxa"/>
            <w:vAlign w:val="bottom"/>
            <w:gridSpan w:val="9"/>
          </w:tcPr>
          <w:p>
            <w:pPr>
              <w:ind w:left="10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1,279,504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1,026,524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928,161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82.0 %</w:t>
            </w:r>
          </w:p>
        </w:tc>
      </w:tr>
      <w:tr>
        <w:trPr>
          <w:trHeight w:val="21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18.0 %</w:t>
            </w:r>
          </w:p>
        </w:tc>
      </w:tr>
      <w:tr>
        <w:trPr>
          <w:trHeight w:val="219"/>
        </w:trPr>
        <w:tc>
          <w:tcPr>
            <w:tcW w:w="6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r>
      <w:tr>
        <w:trPr>
          <w:trHeight w:val="219"/>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r>
    </w:tbl>
    <w:p>
      <w:pPr>
        <w:spacing w:after="0" w:line="302" w:lineRule="exact"/>
        <w:rPr>
          <w:sz w:val="20"/>
          <w:szCs w:val="20"/>
          <w:color w:val="auto"/>
        </w:rPr>
      </w:pPr>
    </w:p>
    <w:p>
      <w:pPr>
        <w:ind w:right="21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Residential segment’s revenues increased by $148.1 million, or 13.1%, during the year ended September 30, 2023,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year ended September 30, 2022. The increase was driven by the impact of price increases in connection with higher</w:t>
      </w:r>
    </w:p>
    <w:p>
      <w:pPr>
        <w:ind w:right="60"/>
        <w:spacing w:after="0" w:line="259" w:lineRule="auto"/>
        <w:rPr>
          <w:sz w:val="20"/>
          <w:szCs w:val="20"/>
          <w:color w:val="auto"/>
        </w:rPr>
      </w:pPr>
      <w:r>
        <w:rPr>
          <w:rFonts w:ascii="Times New Roman" w:cs="Times New Roman" w:eastAsia="Times New Roman" w:hAnsi="Times New Roman"/>
          <w:sz w:val="17"/>
          <w:szCs w:val="17"/>
          <w:color w:val="auto"/>
        </w:rPr>
        <w:t>materials costs and continued strong demand, particularly in the Florida single-family electrical, plumbing and HVAC market. Revenue in our single-family electrical business increased by $56.8 million for the year ended September 30, 2023, compared to the year ended September 30, 2022, and revenue in our single-family plumbing &amp; HVAC business increased by $79.0 million, while multifamily and other revenue increased by $12.3 million.</w:t>
      </w:r>
    </w:p>
    <w:p>
      <w:pPr>
        <w:spacing w:after="0" w:line="197" w:lineRule="exact"/>
        <w:rPr>
          <w:sz w:val="20"/>
          <w:szCs w:val="20"/>
          <w:color w:val="auto"/>
        </w:rPr>
      </w:pPr>
    </w:p>
    <w:p>
      <w:pPr>
        <w:ind w:right="19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year ended September 30, 2023, our Residential segment gross profit increased by $49.7 million, or 24.5%,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the year ended September 30, 2022. The increase in gross profit was driven primarily by increased activity, as well as the impact of price increases and an easing of supply chain challenges that impacted prior year efficiency. Gross margin as a percentage of revenue increased to 19.8% during the year ended September 30, 2023 from 18.0% for the year ended September 30, 2022, as prior year gross margins were negatively impacted by higher labor and material costs, but improved incrementally throughout fiscal year 2022 as pricing actions were implemented.</w:t>
      </w:r>
    </w:p>
    <w:p>
      <w:pPr>
        <w:spacing w:after="0" w:line="194" w:lineRule="exact"/>
        <w:rPr>
          <w:sz w:val="20"/>
          <w:szCs w:val="20"/>
          <w:color w:val="auto"/>
        </w:rPr>
      </w:pPr>
    </w:p>
    <w:p>
      <w:pPr>
        <w:ind w:right="196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$25.6 million, or 17.8%, during the year ended September 30, 2023, compared to the year ended September 30, 2022. The increase was driven primarily by higher personnel costs in connection with business growth, including incentive profit sharing for division management. Selling, general and administrative expenses for the year ended September 30, 2023 also included the $3.6 million of severance charges discussed above, as we reorganized the segment's management structure. We also incurred other discrete expenses in the year ended September 30, 2023 in connection with implementing this reorganization as we began combining multiple administrative facilities into a single location and consolidating several underperforming branches. Selling, general and administrative expenses as a percentage of revenues in the Residential segment increased to 13.3% during the year ended September 30, 2023, from 12.7% during the year ended September 30,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38"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7"/>
        </w:trPr>
        <w:tc>
          <w:tcPr>
            <w:tcW w:w="6220" w:type="dxa"/>
            <w:vAlign w:val="bottom"/>
            <w:gridSpan w:val="2"/>
          </w:tcPr>
          <w:p>
            <w:pPr>
              <w:jc w:val="center"/>
              <w:ind w:right="4354"/>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220" w:type="dxa"/>
            <w:vAlign w:val="bottom"/>
            <w:gridSpan w:val="2"/>
          </w:tcPr>
          <w:p>
            <w:pPr>
              <w:jc w:val="center"/>
              <w:ind w:right="4374"/>
              <w:spacing w:after="0"/>
              <w:rPr>
                <w:sz w:val="20"/>
                <w:szCs w:val="20"/>
                <w:color w:val="auto"/>
              </w:rPr>
            </w:pPr>
            <w:r>
              <w:rPr>
                <w:rFonts w:ascii="Times New Roman" w:cs="Times New Roman" w:eastAsia="Times New Roman" w:hAnsi="Times New Roman"/>
                <w:sz w:val="17"/>
                <w:szCs w:val="17"/>
                <w:i w:val="1"/>
                <w:iCs w:val="1"/>
                <w:color w:val="auto"/>
              </w:rPr>
              <w:t>2024 Compared to 2023</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2024</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40" w:type="dxa"/>
            <w:vAlign w:val="bottom"/>
          </w:tcPr>
          <w:p>
            <w:pPr>
              <w:spacing w:after="0"/>
              <w:rPr>
                <w:sz w:val="19"/>
                <w:szCs w:val="19"/>
                <w:color w:val="auto"/>
              </w:rPr>
            </w:pPr>
          </w:p>
        </w:tc>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74.9 %</w:t>
            </w:r>
          </w:p>
        </w:tc>
      </w:tr>
      <w:tr>
        <w:trPr>
          <w:trHeight w:val="212"/>
        </w:trPr>
        <w:tc>
          <w:tcPr>
            <w:tcW w:w="40" w:type="dxa"/>
            <w:vAlign w:val="bottom"/>
          </w:tcPr>
          <w:p>
            <w:pPr>
              <w:spacing w:after="0"/>
              <w:rPr>
                <w:sz w:val="18"/>
                <w:szCs w:val="18"/>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25.1 %</w:t>
            </w:r>
          </w:p>
        </w:tc>
      </w:tr>
      <w:tr>
        <w:trPr>
          <w:trHeight w:val="219"/>
        </w:trPr>
        <w:tc>
          <w:tcPr>
            <w:tcW w:w="40" w:type="dxa"/>
            <w:vAlign w:val="bottom"/>
          </w:tcPr>
          <w:p>
            <w:pPr>
              <w:spacing w:after="0"/>
              <w:rPr>
                <w:sz w:val="19"/>
                <w:szCs w:val="19"/>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19"/>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40" w:type="dxa"/>
            <w:vAlign w:val="bottom"/>
          </w:tcPr>
          <w:p>
            <w:pPr>
              <w:spacing w:after="0"/>
              <w:rPr>
                <w:sz w:val="19"/>
                <w:szCs w:val="19"/>
                <w:color w:val="auto"/>
              </w:rPr>
            </w:pPr>
          </w:p>
        </w:tc>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40" w:type="dxa"/>
            <w:vAlign w:val="bottom"/>
          </w:tcPr>
          <w:p>
            <w:pPr>
              <w:spacing w:after="0"/>
              <w:rPr>
                <w:sz w:val="18"/>
                <w:szCs w:val="18"/>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13.4 %</w:t>
            </w:r>
          </w:p>
        </w:tc>
      </w:tr>
    </w:tbl>
    <w:p>
      <w:pPr>
        <w:spacing w:after="0" w:line="3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Infrastructure Solutions segment increased by $133.7 million, or 61.5% during the year ended September 30, 2024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The increase in revenues was driven primarily by continued strong demand in our custom engineered solutions manufacturing businesses. We also acquired Greiner Industries, Inc. (“Greiner”) on April 1, 2024, which contributed $34.0 million in revenue in the year ended September 30, 2024.</w:t>
      </w:r>
    </w:p>
    <w:p>
      <w:pPr>
        <w:spacing w:after="0" w:line="1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for the year ended September 30, 2024 increased by $50.9 million, or 93.5%,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September 30, 2023, primarily resulting from higher volumes, improved pricing and operating efficiencies at our custom engineered solutions manufacturing facilities as well as the impact of investments to increase capacity we have made over the last several years. Gross profit as a percent of revenue increased to 30.0% for the year ended September 30, 2024 compared to 25.1% for the year ended September 30, 2023.</w:t>
      </w:r>
    </w:p>
    <w:p>
      <w:pPr>
        <w:spacing w:after="0" w:line="1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2024, increased $11.1 million, or 42.4%, compared to the year ended September 30, 2023, primarily as a result of increased employee compensation cost to support growth in the business, in part due to the acquisition of Greiner in April 2024, and increased incentive profit sharing resulting from higher earnings. Selling, general and administrative expenses as a percentage of revenue decreased from 12.1% for the year ended September 30, 2023, to 10.7% for the year ended September 30, 2024 as we benefited from the scale of our operations.</w:t>
      </w:r>
    </w:p>
    <w:p>
      <w:pPr>
        <w:spacing w:after="0" w:line="196"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Our results for the year ended September 30, 2023 included a $1.0 million gain from the sale of a portion of the property on which one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operating facilities is located. The sale of this excess land will have no impact on the operations of the facility.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r>
    </w:tbl>
    <w:p>
      <w:pPr>
        <w:spacing w:after="0" w:line="285" w:lineRule="exact"/>
        <w:rPr>
          <w:sz w:val="20"/>
          <w:szCs w:val="20"/>
          <w:color w:val="auto"/>
        </w:rPr>
      </w:pPr>
    </w:p>
    <w:p>
      <w:pPr>
        <w:ind w:right="200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Infrastructure Solutions segment increased by $50.2 million, or 30.1% during the year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compared to the year ended September 30, 2022. The increase in revenue was driven primarily by increased demand at our generator enclosure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for the year ended September 30, 2023, increased by $25.8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2" w:name="page33"/>
    <w:bookmarkEnd w:id="32"/>
    <w:p>
      <w:pPr>
        <w:ind w:right="1960"/>
        <w:spacing w:after="0" w:line="258" w:lineRule="auto"/>
        <w:rPr>
          <w:sz w:val="20"/>
          <w:szCs w:val="20"/>
          <w:color w:val="auto"/>
        </w:rPr>
      </w:pPr>
      <w:r>
        <w:rPr>
          <w:rFonts w:ascii="Times New Roman" w:cs="Times New Roman" w:eastAsia="Times New Roman" w:hAnsi="Times New Roman"/>
          <w:sz w:val="17"/>
          <w:szCs w:val="17"/>
          <w:color w:val="auto"/>
        </w:rPr>
        <w:t>or 89.9%, as compared to the year ended September 30, 2022. Gross profit for the year ended September 30, 2022 was negatively impacted by supply chain disruptions, COVID-19 related labor inefficiencies, and operating inefficiencies in connection with the relocation of our Tulsa, Oklahoma operation to a new, larger facility in order to accommodate increased demand for our generator enclosure products. Additionally, gross profit for the year ended September 30, 2023 was positively impacted by an increase in revenues from our generator enclosure business as discussed above, as well as improved operating margins in our custom engineered solutions business. Gross profit as a percent of revenue increased to 25.1% for the year ended September 30, 2023 compared to 17.2% for the year ended September 30, 2022.</w:t>
      </w:r>
    </w:p>
    <w:p>
      <w:pPr>
        <w:spacing w:after="0" w:line="201" w:lineRule="exact"/>
        <w:rPr>
          <w:sz w:val="20"/>
          <w:szCs w:val="20"/>
          <w:color w:val="auto"/>
        </w:rPr>
      </w:pPr>
    </w:p>
    <w:p>
      <w:pPr>
        <w:ind w:right="20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2023, increased $1.1 million, or 4.5%, compared to the year ended September 30, 2022. Selling, general and administrative expenses as a percentage of revenue decreased from 15.0% for the year ended September 30, 2022, to 12.1% for the year ended September 30, 2023 as we benefited from the scale of our operations.</w:t>
      </w:r>
    </w:p>
    <w:p>
      <w:pPr>
        <w:spacing w:after="0" w:line="190" w:lineRule="exact"/>
        <w:rPr>
          <w:sz w:val="20"/>
          <w:szCs w:val="20"/>
          <w:color w:val="auto"/>
        </w:rPr>
      </w:pPr>
    </w:p>
    <w:p>
      <w:pPr>
        <w:jc w:val="both"/>
        <w:ind w:right="21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Our results for the year ended September 30, 2023 included a $1.0 million gain from the sale of a portion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property on which one of our operating facilities is located. The sale of this excess land will have no impact on the operations of the facility.</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2024</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293,741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248,295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19,272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6.9 %</w:t>
            </w:r>
          </w:p>
        </w:tc>
      </w:tr>
    </w:tbl>
    <w:p>
      <w:pPr>
        <w:spacing w:after="0" w:line="298"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Commercial &amp; Industrial segment increased $88.4 million, or 31.6%, during the year ended September 30, 2024,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The increase primarily relates to a large data center project.</w:t>
      </w:r>
    </w:p>
    <w:p>
      <w:pPr>
        <w:spacing w:after="0" w:line="1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year ended September 30, 2024 increased by $42.9 million, or 137.1%,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year ended September 30, 2023, and gross profit as a percentage of revenue increased from 11.2% for the year ended September 30, 2023 to 20.2% for the year ended September 30, 2024. Segment results in the year ended September 30, 2024 benefited from favorable project execution and additions to the original scope of work at favorable margins on the large data center project, improved project execution across the business, improving bid margins in certain markets, and a more selective bidding strategy implemented in the prior year.</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2024 increased $7.7 million, or 30.5%, compared to the year ended September 30, 2023. The increase was driven primarily by increased employee compensation cost, including higher incentive compensation as a result of higher earnings. Selling, general and administrative expenses as a percentage of revenue was 9.0% and 8.9% in the years ended September 30, 2023 and 2024, respectively.</w:t>
      </w:r>
    </w:p>
    <w:p>
      <w:pPr>
        <w:spacing w:after="0" w:line="20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i w:val="1"/>
          <w:iCs w:val="1"/>
          <w:color w:val="auto"/>
        </w:rPr>
        <w:t>Gain on Sale of Assets</w:t>
      </w:r>
      <w:r>
        <w:rPr>
          <w:rFonts w:ascii="Times New Roman" w:cs="Times New Roman" w:eastAsia="Times New Roman" w:hAnsi="Times New Roman"/>
          <w:sz w:val="17"/>
          <w:szCs w:val="17"/>
          <w:color w:val="auto"/>
        </w:rPr>
        <w:t>. As discussed above, our results for the year ended September 30, 2023 include a pretax gain on sale of $13.0 million from the sale of STR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October 2022.</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33" w:name="page34"/>
    <w:bookmarkEnd w:id="33"/>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248,295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290,314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pacing w:after="0" w:line="298" w:lineRule="exact"/>
        <w:rPr>
          <w:sz w:val="20"/>
          <w:szCs w:val="20"/>
          <w:color w:val="auto"/>
        </w:rPr>
      </w:pPr>
    </w:p>
    <w:p>
      <w:pPr>
        <w:ind w:right="198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Commercial &amp; Industrial segment decreased $28.9 million, or 9.4%, during the year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compared to the year ended September 30, 2022. The decrease is primarily due to the sale of our STR business in October 2022, which contributed revenue of $18.3 million for the year ended September 30, 2022. The decrease in revenues was also the result of a planned reduction in activity at an underperforming branch where we incurred substantial losses in fiscal 2022.</w:t>
      </w:r>
    </w:p>
    <w:p>
      <w:pPr>
        <w:spacing w:after="0" w:line="197" w:lineRule="exact"/>
        <w:rPr>
          <w:sz w:val="20"/>
          <w:szCs w:val="20"/>
          <w:color w:val="auto"/>
        </w:rPr>
      </w:pPr>
    </w:p>
    <w:p>
      <w:pPr>
        <w:ind w:right="1960"/>
        <w:spacing w:after="0" w:line="261"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year ended September 30, 2023 increased by $13.1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72.1%, as compared to the year ended September 30, 2022. Gross profit for the year ended September 30, 2022 included project losses of $16.7 million due to execution issues on two projects at one underperforming branch. The benefit of improved project execution in 2023 was partially offset by the sale of STR in October 2022, which contributed gross profit of $4.9 million for the year ended September 30, 2022. Gross profit as a percentage of revenue increased from 5.9% for the year ended September 30, 2022, to 11.2% for the year ended September 30, 2023.</w:t>
      </w:r>
    </w:p>
    <w:p>
      <w:pPr>
        <w:spacing w:after="0" w:line="194" w:lineRule="exact"/>
        <w:rPr>
          <w:sz w:val="20"/>
          <w:szCs w:val="20"/>
          <w:color w:val="auto"/>
        </w:rPr>
      </w:pPr>
    </w:p>
    <w:p>
      <w:pPr>
        <w:ind w:right="202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2023 decreased $5.3 million, or 17.4%, compared to the year ended September 30, 2022. The decrease was driven primarily by the sale of STR in October 2022, which recorded branch-level selling, general and administrative expense of $4.2 million for the year ended September 30, 2022. Additionally, selling, general and administrative expenses for the year ended September 30, 2022 included $2.3 million of reserves in connection with legal matters related to certain contractual disputes. Selling, general and administrative expenses as a percentage of revenue decreased from 9.9% for the year ended September 30, 2022 to 9.0% for the year ended September 30, 2023.</w:t>
      </w:r>
    </w:p>
    <w:p>
      <w:pPr>
        <w:spacing w:after="0" w:line="198" w:lineRule="exact"/>
        <w:rPr>
          <w:sz w:val="20"/>
          <w:szCs w:val="20"/>
          <w:color w:val="auto"/>
        </w:rPr>
      </w:pPr>
    </w:p>
    <w:p>
      <w:pPr>
        <w:ind w:right="21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As discussed above, our results for the year ended September 30, 2023 include a pretax gain on sale of $13.0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from the sale of STR in October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80" w:type="dxa"/>
            <w:vAlign w:val="bottom"/>
          </w:tcPr>
          <w:p>
            <w:pPr>
              <w:spacing w:after="0"/>
              <w:rPr>
                <w:sz w:val="19"/>
                <w:szCs w:val="19"/>
                <w:color w:val="auto"/>
              </w:rPr>
            </w:pPr>
          </w:p>
        </w:tc>
        <w:tc>
          <w:tcPr>
            <w:tcW w:w="3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5"/>
        </w:trPr>
        <w:tc>
          <w:tcPr>
            <w:tcW w:w="35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7"/>
                <w:szCs w:val="17"/>
                <w:color w:val="auto"/>
              </w:rPr>
              <w:t>Year Ended September 30,</w:t>
            </w:r>
          </w:p>
        </w:tc>
        <w:tc>
          <w:tcPr>
            <w:tcW w:w="1060" w:type="dxa"/>
            <w:vAlign w:val="bottom"/>
            <w:tcBorders>
              <w:bottom w:val="single" w:sz="8" w:color="auto"/>
            </w:tcBorders>
          </w:tcPr>
          <w:p>
            <w:pPr>
              <w:spacing w:after="0"/>
              <w:rPr>
                <w:sz w:val="21"/>
                <w:szCs w:val="21"/>
                <w:color w:val="auto"/>
              </w:rPr>
            </w:pPr>
          </w:p>
        </w:tc>
      </w:tr>
      <w:tr>
        <w:trPr>
          <w:trHeight w:val="212"/>
        </w:trPr>
        <w:tc>
          <w:tcPr>
            <w:tcW w:w="3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w w:val="99"/>
              </w:rPr>
              <w:t>2023</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196"/>
        </w:trPr>
        <w:tc>
          <w:tcPr>
            <w:tcW w:w="3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r>
      <w:tr>
        <w:trPr>
          <w:trHeight w:val="21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3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r>
      <w:tr>
        <w:trPr>
          <w:trHeight w:val="245"/>
        </w:trPr>
        <w:tc>
          <w:tcPr>
            <w:tcW w:w="35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3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w:t>
            </w:r>
          </w:p>
        </w:tc>
      </w:tr>
      <w:tr>
        <w:trPr>
          <w:trHeight w:val="20"/>
        </w:trPr>
        <w:tc>
          <w:tcPr>
            <w:tcW w:w="3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During the year ended September 30, 2024, we incurred interest expense of $1.3 million primarily comprised of interest expense on our finance lease agreements and fees on an average letter of credit balance of $5.5 million under our revolving credit facility and an average unused line of credit balance of $144.5 million. The reduction in interest expense in the year ended September 30, 2024 compared to the year ended September 30, 2023 was a result of a decrease in average outstanding borrowings under our revolving credit facility, which had no outstanding balance during the year ended September 30, 2024. Total other income, net of $5.1 million in the year ended September 30, 2024 was primarily the result of interest income of $4.0 million and unrealized gains on investments in trading securities of $1.8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4" w:name="page35"/>
    <w:bookmarkEnd w:id="34"/>
    <w:p>
      <w:pPr>
        <w:ind w:right="1960"/>
        <w:spacing w:after="0" w:line="257" w:lineRule="auto"/>
        <w:rPr>
          <w:sz w:val="20"/>
          <w:szCs w:val="20"/>
          <w:color w:val="auto"/>
        </w:rPr>
      </w:pPr>
      <w:r>
        <w:rPr>
          <w:rFonts w:ascii="Times New Roman" w:cs="Times New Roman" w:eastAsia="Times New Roman" w:hAnsi="Times New Roman"/>
          <w:sz w:val="17"/>
          <w:szCs w:val="17"/>
          <w:color w:val="auto"/>
        </w:rPr>
        <w:t>During the year ended September 30, 2023, we incurred interest expense of $3.0 million primarily comprised of interest expense on an average outstanding balance of $26.9 million under our revolving credit facility and on our finance lease agreements, in addition to fees on an average letter of credit balance of $4.7 million under our revolving credit facility and an average unused line of credit balance of $117.8 million. Interest expense in the year ended September 30, 2023 remained relatively consistent compared to the year ended September 30, 2022 as a decrease in interest expense incurred on our revolving credit facility resulting from a lower average</w:t>
      </w:r>
    </w:p>
    <w:p>
      <w:pPr>
        <w:spacing w:after="0" w:line="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outstanding balance was offset by an increase in interest expense related to a higher volume of active finance leases. Total other income, net of $1.8 million in the year ended September 30, 2023 was primarily the result of gains on investments in equity securities of $1.0 million.</w:t>
      </w:r>
    </w:p>
    <w:p>
      <w:pPr>
        <w:spacing w:after="0" w:line="19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During the year ended September 30, 2022, we incurred interest expense of $3.0 million primarily comprised of interest expense on an average outstanding balance of $82.3 million under our revolving credit facility, in addition to fees on an average letter of credit balance of $4.5 million under our revolving credit facility and an average unused line of credit balance of $49.2 million.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For the year ended September 30, 2024, we recorded income tax expense of $72.2 million, which reflects a higher pretax income than in the year ended September 30, 2023, partially offset by $5.5 million of non-cash tax benefits from the recognition of previously unrecognized tax benefits in fiscal 2024.</w:t>
      </w:r>
    </w:p>
    <w:p>
      <w:pPr>
        <w:spacing w:after="0" w:line="177" w:lineRule="exact"/>
        <w:rPr>
          <w:sz w:val="20"/>
          <w:szCs w:val="20"/>
          <w:color w:val="auto"/>
        </w:rPr>
      </w:pPr>
    </w:p>
    <w:p>
      <w:pPr>
        <w:ind w:right="2020"/>
        <w:spacing w:after="0" w:line="287" w:lineRule="auto"/>
        <w:rPr>
          <w:sz w:val="20"/>
          <w:szCs w:val="20"/>
          <w:color w:val="auto"/>
        </w:rPr>
      </w:pPr>
      <w:r>
        <w:rPr>
          <w:rFonts w:ascii="Times New Roman" w:cs="Times New Roman" w:eastAsia="Times New Roman" w:hAnsi="Times New Roman"/>
          <w:sz w:val="17"/>
          <w:szCs w:val="17"/>
          <w:color w:val="auto"/>
        </w:rPr>
        <w:t>For the year ended September 30, 2023, we recorded income tax expense of $38.8 million, which reflects a higher pretax income than in the year ended September 30, 2022.</w:t>
      </w:r>
    </w:p>
    <w:p>
      <w:pPr>
        <w:spacing w:after="0" w:line="177" w:lineRule="exact"/>
        <w:rPr>
          <w:sz w:val="20"/>
          <w:szCs w:val="20"/>
          <w:color w:val="auto"/>
        </w:rPr>
      </w:pPr>
    </w:p>
    <w:p>
      <w:pPr>
        <w:ind w:right="1940"/>
        <w:spacing w:after="0" w:line="287" w:lineRule="auto"/>
        <w:rPr>
          <w:sz w:val="20"/>
          <w:szCs w:val="20"/>
          <w:color w:val="auto"/>
        </w:rPr>
      </w:pPr>
      <w:r>
        <w:rPr>
          <w:rFonts w:ascii="Times New Roman" w:cs="Times New Roman" w:eastAsia="Times New Roman" w:hAnsi="Times New Roman"/>
          <w:sz w:val="17"/>
          <w:szCs w:val="17"/>
          <w:color w:val="auto"/>
        </w:rPr>
        <w:t>For the year ended September 30, 2022, we recorded income tax expense of $12.8 million, which reflects a $0.8 million benefit related to the recognition of previously unrecognized tax benefits.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During the year ended September 30, 2024, working capital exclusive of cash increased by $53.4 million from September 30, 2023, reflecting a $175.4 million increase in current assets excluding cash partially offset by a $122.0 million increase in current liabilities during the period.</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During the year ended September 30, 2024, our current assets exclusive of cash increased to $770.9 million, as compared to $595.5 million as of September 30, 2023. An increase in activity and the timing of billings at our Communications and Infrastructure Solutions businesses, along with trade receivables acquired as part of the Greiner acquisition, drove a $106.0 million increase in trade accounts receivable and a $12.9 million increase in retainage. While the rate of collections may vary, our typically secured position, resulting from our ability in general to secure liens against our customers’ overdue receivables, offers some protection that collection will occur eventually to the extent that our security retains value. Additionally, marketable securities increased by $35.0 million as a portion of our excess cash during the year ended September 30, 2024 was invested in trading securities, and costs and estimated earnings in excess of contract billings increased by $11.5 million primarily from contract assets acquired as part of the Greiner acquisition.</w:t>
      </w: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2024, our total current liabilities increased by $122.0 million to $522.6 million, compared to $400.6 million as of September 30, 2023, driven by a $55.2 million increase in contract billings in excess of costs and estimated earnings, which varies based on the timing of contract billings on projects on which revenue is recognized using the percentage of completion method, and a $66.8 million increase in accounts payable and accrued expenses primarily as a result of increased activity and the timing of payments across all of our operating segments, and an increase in income tax payable based on the timing of tax payments.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2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5" w:name="page36"/>
    <w:bookmarkEnd w:id="35"/>
    <w:p>
      <w:pPr>
        <w:ind w:right="40"/>
        <w:spacing w:after="0" w:line="264" w:lineRule="auto"/>
        <w:rPr>
          <w:sz w:val="20"/>
          <w:szCs w:val="20"/>
          <w:color w:val="auto"/>
        </w:rPr>
      </w:pPr>
      <w:r>
        <w:rPr>
          <w:rFonts w:ascii="Times New Roman" w:cs="Times New Roman" w:eastAsia="Times New Roman" w:hAnsi="Times New Roman"/>
          <w:sz w:val="17"/>
          <w:szCs w:val="17"/>
          <w:color w:val="auto"/>
        </w:rPr>
        <w:t>issue bonds for our work. If our sureties decline to issue bonds for our work, our alternatives will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spacing w:after="0" w:line="197" w:lineRule="exact"/>
        <w:rPr>
          <w:sz w:val="20"/>
          <w:szCs w:val="20"/>
          <w:color w:val="auto"/>
        </w:rPr>
      </w:pPr>
    </w:p>
    <w:p>
      <w:pPr>
        <w:ind w:right="780"/>
        <w:spacing w:after="0" w:line="263" w:lineRule="auto"/>
        <w:rPr>
          <w:sz w:val="20"/>
          <w:szCs w:val="20"/>
          <w:color w:val="auto"/>
        </w:rPr>
      </w:pPr>
      <w:r>
        <w:rPr>
          <w:rFonts w:ascii="Times New Roman" w:cs="Times New Roman" w:eastAsia="Times New Roman" w:hAnsi="Times New Roman"/>
          <w:sz w:val="17"/>
          <w:szCs w:val="17"/>
          <w:color w:val="auto"/>
        </w:rPr>
        <w:t>We believe the bonding capacity currently provided by our sureties is adequate for our current operations and will be adequate for our operations for the foreseeable future. As of September 30, 2024, the estimated cost to complete our bonded projects was approximately $133.9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As of September 30, 2024, we had cash and cash equivalents of $100.8 million and $143.4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On April 28, 2022, we entered into a Third Amended and Restated Credit and Security Agreement (the "Amended Credit Agreement"), which increased our maximum borrowing amount from $125 million to $150 million. The Amended Credit Agreement also removed the aggregate cap on our investments in certain securities and the cap on our ability to make stock repurchases, in each case subject to the satisfaction of certain liquidity requirements. All other customary affirmative, negative and financial covenants and events of default were unchanged by the amendment.</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Level</w:t>
            </w:r>
          </w:p>
        </w:tc>
        <w:tc>
          <w:tcPr>
            <w:tcW w:w="8440" w:type="dxa"/>
            <w:vAlign w:val="bottom"/>
            <w:gridSpan w:val="2"/>
          </w:tcPr>
          <w:p>
            <w:pPr>
              <w:ind w:left="3860"/>
              <w:spacing w:after="0"/>
              <w:rPr>
                <w:sz w:val="20"/>
                <w:szCs w:val="20"/>
                <w:color w:val="auto"/>
              </w:rPr>
            </w:pPr>
            <w:r>
              <w:rPr>
                <w:rFonts w:ascii="Times New Roman" w:cs="Times New Roman" w:eastAsia="Times New Roman" w:hAnsi="Times New Roman"/>
                <w:sz w:val="14"/>
                <w:szCs w:val="14"/>
                <w:color w:val="auto"/>
              </w:rPr>
              <w:t>Thresholds</w:t>
            </w:r>
          </w:p>
        </w:tc>
        <w:tc>
          <w:tcPr>
            <w:tcW w:w="21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Interest Rate Margin</w:t>
            </w:r>
          </w:p>
        </w:tc>
      </w:tr>
      <w:tr>
        <w:trPr>
          <w:trHeight w:val="22"/>
        </w:trPr>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0"/>
        </w:trPr>
        <w:tc>
          <w:tcPr>
            <w:tcW w:w="5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4"/>
                <w:szCs w:val="14"/>
                <w:color w:val="auto"/>
              </w:rPr>
            </w:pPr>
          </w:p>
        </w:tc>
        <w:tc>
          <w:tcPr>
            <w:tcW w:w="832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 Agreement) at</w:t>
            </w:r>
          </w:p>
        </w:tc>
        <w:tc>
          <w:tcPr>
            <w:tcW w:w="120" w:type="dxa"/>
            <w:vAlign w:val="bottom"/>
          </w:tcPr>
          <w:p>
            <w:pPr>
              <w:spacing w:after="0"/>
              <w:rPr>
                <w:sz w:val="14"/>
                <w:szCs w:val="14"/>
                <w:color w:val="auto"/>
              </w:rPr>
            </w:pPr>
          </w:p>
        </w:tc>
        <w:tc>
          <w:tcPr>
            <w:tcW w:w="21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any time during the period</w:t>
            </w:r>
          </w:p>
        </w:tc>
        <w:tc>
          <w:tcPr>
            <w:tcW w:w="2140" w:type="dxa"/>
            <w:vAlign w:val="bottom"/>
          </w:tcPr>
          <w:p>
            <w:pPr>
              <w:spacing w:after="0"/>
              <w:rPr>
                <w:sz w:val="19"/>
                <w:szCs w:val="19"/>
                <w:color w:val="auto"/>
              </w:rPr>
            </w:pPr>
          </w:p>
        </w:tc>
      </w:tr>
      <w:tr>
        <w:trPr>
          <w:trHeight w:val="22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7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16" w:lineRule="exact"/>
        <w:rPr>
          <w:sz w:val="20"/>
          <w:szCs w:val="20"/>
          <w:color w:val="auto"/>
        </w:rPr>
      </w:pPr>
    </w:p>
    <w:p>
      <w:pPr>
        <w:ind w:right="20" w:firstLine="3"/>
        <w:spacing w:after="0" w:line="265"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we were in compliance with the financial covenants under the Amended Credit Agreement, requiring that we maintain:</w:t>
      </w:r>
    </w:p>
    <w:p>
      <w:pPr>
        <w:spacing w:after="0" w:line="243" w:lineRule="exact"/>
        <w:rPr>
          <w:sz w:val="20"/>
          <w:szCs w:val="20"/>
          <w:color w:val="auto"/>
        </w:rPr>
      </w:pPr>
    </w:p>
    <w:p>
      <w:pPr>
        <w:ind w:left="620" w:right="2800" w:firstLine="2"/>
        <w:spacing w:after="0" w:line="287" w:lineRule="auto"/>
        <w:tabs>
          <w:tab w:leader="none" w:pos="7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77" w:lineRule="exact"/>
        <w:rPr>
          <w:rFonts w:ascii="Times New Roman" w:cs="Times New Roman" w:eastAsia="Times New Roman" w:hAnsi="Times New Roman"/>
          <w:sz w:val="17"/>
          <w:szCs w:val="17"/>
          <w:color w:val="auto"/>
        </w:rPr>
      </w:pPr>
    </w:p>
    <w:p>
      <w:pPr>
        <w:ind w:left="620" w:right="560" w:firstLine="2"/>
        <w:spacing w:after="0" w:line="287" w:lineRule="auto"/>
        <w:tabs>
          <w:tab w:leader="none" w:pos="7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At September 30, 2024, our Liquidity was $244.2 million, our Excess Availability was $143.4 million (or greater than 50% of minimum Liquidity), and our Fixed Charge Coverage Ratio was 3.4:1.0.</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6" w:name="page37"/>
    <w:bookmarkEnd w:id="36"/>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we make an acquisition consented to by our lenders, the components of the Fixed Charge Coverage Ratio will be calculated for such fiscal period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to the acquisition assuming that such transaction has occurred on the first day of such period (including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adjustments arising out of events which are directly attributable to such acquisition, are factually supportable, and are expected to have a continuing impact, in each case to be reasonably agreed to by our lenders).</w:t>
      </w:r>
    </w:p>
    <w:p>
      <w:pPr>
        <w:spacing w:after="0" w:line="19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for such period, determined on a consolidated basis in accordance with GAAP.</w:t>
      </w:r>
    </w:p>
    <w:p>
      <w:pPr>
        <w:spacing w:after="0" w:line="19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September 30, 2024, we had $4.8 million in outstanding letters of credit and no outstanding borrowings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w:t>
      </w:r>
    </w:p>
    <w:p>
      <w:pPr>
        <w:spacing w:after="0" w:line="23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7"/>
          <w:szCs w:val="17"/>
          <w:color w:val="auto"/>
        </w:rPr>
        <w:t>From time to time, the Company invests in non-controlling positions in the debt or equity securities of other businesses. Our Board of Directors has approved an investment policy that, after taking into consideration the liquidity required to support and invest in the Company's operations, permits the Company to invest in marketable securities, including equities and fixed income securities that can be easily bought and sold on a public market, and non-marketable securities, including equity and fixed income investments in private companies as well as private investments in public companies, subject to size limits and required approvals for certain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21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Operating activities provided net cash of $234.4 million during the year ended September 30, 2024, as compared to $153.9 million of net cash provided in the year ended September 30, 2023. The increase in operating cash flow resulted primarily from increased earnings partially offset by an increase in cash used in working capital during the year ended September 30, 2024 compared to the year ended September 30, 2023</w:t>
      </w:r>
    </w:p>
    <w:p>
      <w:pPr>
        <w:spacing w:after="0" w:line="191" w:lineRule="exact"/>
        <w:rPr>
          <w:sz w:val="20"/>
          <w:szCs w:val="20"/>
          <w:color w:val="auto"/>
        </w:rPr>
      </w:pPr>
    </w:p>
    <w:p>
      <w:pPr>
        <w:ind w:right="2120"/>
        <w:spacing w:after="0" w:line="264" w:lineRule="auto"/>
        <w:rPr>
          <w:sz w:val="20"/>
          <w:szCs w:val="20"/>
          <w:color w:val="auto"/>
        </w:rPr>
      </w:pPr>
      <w:r>
        <w:rPr>
          <w:rFonts w:ascii="Times New Roman" w:cs="Times New Roman" w:eastAsia="Times New Roman" w:hAnsi="Times New Roman"/>
          <w:sz w:val="17"/>
          <w:szCs w:val="17"/>
          <w:color w:val="auto"/>
        </w:rPr>
        <w:t>Operating activities provided net cash of $153.9 million during the year ended September 30, 2023, as compared to $16.3 million of net cash provided in the year ended September 30, 2022. The increase in operating cash flow resulted primarily from increased earnings and a reduction in cash used in working capital during the year ended September 30, 2023 compared to the year ended September 30,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Net cash used in investing activities was $108.8 million for the year ended September 30, 2024, compared to $2.8 million of net cash provided by investing activities in the year ended September 30, 2023. During the year ended September 30, 2024, we completed the acquisition of Greiner for $67.0 million. We also had capital expenditures of $45.2 million as we acquired new facilities to increase the manufacturing capacity of our Infrastructure Solutions segment's operations, purchased new assets instead of entering into new lease agreements at our Residential and Communications segments, and made other capital expenditures to support the growth of our business. During the year ended September 30, 2023, the sale of assets, including the sale of STR, provided cash of $20.6 million, which was partially offset by capital expenditures of $17.7 million.</w:t>
      </w:r>
    </w:p>
    <w:p>
      <w:pPr>
        <w:spacing w:after="0" w:line="199" w:lineRule="exact"/>
        <w:rPr>
          <w:sz w:val="20"/>
          <w:szCs w:val="20"/>
          <w:color w:val="auto"/>
        </w:rPr>
      </w:pPr>
    </w:p>
    <w:p>
      <w:pPr>
        <w:ind w:right="2060"/>
        <w:spacing w:after="0" w:line="287" w:lineRule="auto"/>
        <w:rPr>
          <w:sz w:val="20"/>
          <w:szCs w:val="20"/>
          <w:color w:val="auto"/>
        </w:rPr>
      </w:pPr>
      <w:r>
        <w:rPr>
          <w:rFonts w:ascii="Times New Roman" w:cs="Times New Roman" w:eastAsia="Times New Roman" w:hAnsi="Times New Roman"/>
          <w:sz w:val="17"/>
          <w:szCs w:val="17"/>
          <w:color w:val="auto"/>
        </w:rPr>
        <w:t>Net cash provided by investing activities was $2.8 million for the year ended September 30, 2023, compared to $29.5 million of net cash used in investing activities in the year ended September 30, 2022. During the year ended September 30, 2023, the sale of assets,</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37" w:name="page38"/>
    <w:bookmarkEnd w:id="37"/>
    <w:p>
      <w:pPr>
        <w:ind w:right="300"/>
        <w:spacing w:after="0" w:line="263" w:lineRule="auto"/>
        <w:rPr>
          <w:sz w:val="20"/>
          <w:szCs w:val="20"/>
          <w:color w:val="auto"/>
        </w:rPr>
      </w:pPr>
      <w:r>
        <w:rPr>
          <w:rFonts w:ascii="Times New Roman" w:cs="Times New Roman" w:eastAsia="Times New Roman" w:hAnsi="Times New Roman"/>
          <w:sz w:val="17"/>
          <w:szCs w:val="17"/>
          <w:color w:val="auto"/>
        </w:rPr>
        <w:t>including the sale of STR, provided cash of $20.6 million, which was partially offset by $17.7 million used for capital expenditures. Investing activities for the year ended September 30, 2022 include $29.3 million of capital expenditures primarily related to the</w:t>
      </w:r>
    </w:p>
    <w:p>
      <w:pPr>
        <w:spacing w:after="0" w:line="1" w:lineRule="exact"/>
        <w:rPr>
          <w:sz w:val="20"/>
          <w:szCs w:val="20"/>
          <w:color w:val="auto"/>
        </w:rPr>
      </w:pPr>
    </w:p>
    <w:p>
      <w:pPr>
        <w:ind w:right="2640"/>
        <w:spacing w:after="0" w:line="266" w:lineRule="auto"/>
        <w:rPr>
          <w:sz w:val="20"/>
          <w:szCs w:val="20"/>
          <w:color w:val="auto"/>
        </w:rPr>
      </w:pPr>
      <w:r>
        <w:rPr>
          <w:rFonts w:ascii="Times New Roman" w:cs="Times New Roman" w:eastAsia="Times New Roman" w:hAnsi="Times New Roman"/>
          <w:sz w:val="17"/>
          <w:szCs w:val="17"/>
          <w:color w:val="auto"/>
        </w:rPr>
        <w:t>acquisition of a new operating facility for our Wedlake business, as well as an additional facility to support the growth of our Residential business in Florida.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Net cash used in financing activities was $100.5 million in the year ended September 30, 2024. Net cash used in financing activities for the year ended September 30, 2024 included $44.0 million used for the repurchase of our common stock, including repurchases to satisfy statutory withholding requirements upon the vesting of employee stock compensation, $32.0 million paid to acquire the 20 percent noncontrolling interest in Bayonet Plumbing, Heating &amp; Air-Conditioning, LLC, and distributions to noncontrolling interests of $16.2 million under operating agreements in connection with certain acquisitions.</w:t>
      </w:r>
    </w:p>
    <w:p>
      <w:pPr>
        <w:spacing w:after="0" w:line="197" w:lineRule="exact"/>
        <w:rPr>
          <w:sz w:val="20"/>
          <w:szCs w:val="20"/>
          <w:color w:val="auto"/>
        </w:rPr>
      </w:pPr>
    </w:p>
    <w:p>
      <w:pPr>
        <w:ind w:right="1980"/>
        <w:spacing w:after="0" w:line="261" w:lineRule="auto"/>
        <w:rPr>
          <w:sz w:val="20"/>
          <w:szCs w:val="20"/>
          <w:color w:val="auto"/>
        </w:rPr>
      </w:pPr>
      <w:r>
        <w:rPr>
          <w:rFonts w:ascii="Times New Roman" w:cs="Times New Roman" w:eastAsia="Times New Roman" w:hAnsi="Times New Roman"/>
          <w:sz w:val="17"/>
          <w:szCs w:val="17"/>
          <w:color w:val="auto"/>
        </w:rPr>
        <w:t>Net cash used in financing activities was $105.8 million in the year ended September 30, 2023. Net cash used in financing activities for the year ended September 30, 2023 included net repayments on our credit facility of $82.7 million, distributions to noncontrolling interests of $11.5 million under operating agreements in connection with certain acquisitions, and $8.3 million used for the repurchase of our common stock, including repurchases to satisfy statutory withholding requirements upon the vesting of employee stock compensation.</w:t>
      </w:r>
    </w:p>
    <w:p>
      <w:pPr>
        <w:spacing w:after="0" w:line="200" w:lineRule="exact"/>
        <w:rPr>
          <w:sz w:val="20"/>
          <w:szCs w:val="20"/>
          <w:color w:val="auto"/>
        </w:rPr>
      </w:pPr>
    </w:p>
    <w:p>
      <w:pPr>
        <w:ind w:right="2080"/>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$15.0 million in the year ended September 30, 2022. Net cash provided by financing activities for the year ended September 30, 2022 included net borrowing on our credit facility of $42.3 million, partly offset by $18.6 million used for the repurchase of our common stock, including repurchases to satisfy statutory withholding requirements upon the vesting of employee stock compensation. Additionally, we distributed $7.0 million to noncontrolling interests under operating agreements in connection with certain acquisitions.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CONTROLLING SHAREHOLDER</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55 percent of the Company’s outstanding common stock based on a Form 4 filed by Tontine with the SEC on September 16, 2024 and the Company's shares outstanding as of November 18, 2024. Accordingly, Tontine has the ability to exercise significant control over our affairs, including the election of directors and most actions requiring the approval of shareholders.</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 is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On August 1, 2024, the Company entered into an amendment of the sublease agreement to extend the term of the agreement through September 30, 2025, effective September 1, 2024. Payments by the Company are at a rate consistent with that paid by Tontine Associates to its landlord.</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directors.</w:t>
      </w:r>
    </w:p>
    <w:p>
      <w:pPr>
        <w:spacing w:after="0" w:line="20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OFF-BALANCE SHEET ARRANGEMENTS AND CONTRACTUAL OBLIGATIONS</w:t>
      </w:r>
    </w:p>
    <w:p>
      <w:pPr>
        <w:spacing w:after="0" w:line="24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As is common in our industry, we have entered into certain off-balance sheet arrangements that expose us to increased risk. Our significant off-balance sheet transactions include letter of credit obligations, firm commitments for materials and surety guarantees.</w:t>
      </w:r>
    </w:p>
    <w:p>
      <w:pPr>
        <w:spacing w:after="0" w:line="177"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may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2024, $4.8 million of our outstanding letters of credit were to collateralize our insurance programs.</w:t>
      </w:r>
    </w:p>
    <w:p>
      <w:pPr>
        <w:spacing w:after="0" w:line="19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wire and aluminum wire, which we expect to use in the ordinary course of business. These commitments are typically for terms of less than one year and require us to buy minimum quantities of materials at specified intervals at a fixed price over the term. As of September 30, 2024, we did not have any such firm commitments to purchase materials outstanding.</w:t>
      </w:r>
    </w:p>
    <w:p>
      <w:pPr>
        <w:spacing w:after="0" w:line="1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We enter into contracts principally on the basis of competitive bids. We frequently negotiate the final terms and prices of those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customer. Although the terms of our contracts vary considerably, approximately 90.0% of our revenues are based on either a fixed price or unit price basis in which we agree to do the work for a fixed amount for the entire project (fixed price) or for units of work performed (unit price). Approximately 10.0% of our revenues are earned from contracts where we are paid on a time and materials basis. Our most significant cost drivers are the cost of labor and materials.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spacing w:after="0" w:line="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55% of our total revenue for the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9" w:name="page40"/>
    <w:bookmarkEnd w:id="39"/>
    <w:p>
      <w:pPr>
        <w:ind w:right="20"/>
        <w:spacing w:after="0" w:line="260" w:lineRule="auto"/>
        <w:rPr>
          <w:sz w:val="20"/>
          <w:szCs w:val="20"/>
          <w:color w:val="auto"/>
        </w:rPr>
      </w:pPr>
      <w:r>
        <w:rPr>
          <w:rFonts w:ascii="Times New Roman" w:cs="Times New Roman" w:eastAsia="Times New Roman" w:hAnsi="Times New Roman"/>
          <w:sz w:val="17"/>
          <w:szCs w:val="17"/>
          <w:color w:val="auto"/>
        </w:rPr>
        <w:t>year ended September 30, 2024.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w:t>
      </w:r>
    </w:p>
    <w:p>
      <w:pPr>
        <w:spacing w:after="0" w:line="199" w:lineRule="exact"/>
        <w:rPr>
          <w:sz w:val="20"/>
          <w:szCs w:val="20"/>
          <w:color w:val="auto"/>
        </w:rPr>
      </w:pPr>
    </w:p>
    <w:p>
      <w:pPr>
        <w:ind w:right="360"/>
        <w:spacing w:after="0" w:line="228" w:lineRule="exact"/>
        <w:rPr>
          <w:sz w:val="20"/>
          <w:szCs w:val="20"/>
          <w:color w:val="auto"/>
        </w:rPr>
      </w:pPr>
      <w:r>
        <w:rPr>
          <w:rFonts w:ascii="Times New Roman" w:cs="Times New Roman" w:eastAsia="Times New Roman" w:hAnsi="Times New Roman"/>
          <w:sz w:val="17"/>
          <w:szCs w:val="17"/>
          <w:color w:val="auto"/>
        </w:rPr>
        <w:t>We generally do not incur significant costs related to obtaining contracts, or initial set-up or mobilization costs, prior to the start of a project. When significant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contract costs are incurred, they will be capitalized and amortized on a percentage of completion basis over the life of the contract.</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Variable consideration, including claims and unapproved change orders, is estimated at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do not recognize profits on construction costs incurred in connection with claims. Claims made by us involve negotiation and, in certain cases, litigation. Such litigation costs are expensed as incurred.</w:t>
      </w:r>
    </w:p>
    <w:p>
      <w:pPr>
        <w:spacing w:after="0" w:line="19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In accounting for business combinations, certain assumptions and estimates are employed in determining the fair value of assets acquired,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spacing w:after="0" w:line="19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Valuation Allowance for Deferred Tax Assets. </w:t>
      </w:r>
      <w:r>
        <w:rPr>
          <w:rFonts w:ascii="Times New Roman" w:cs="Times New Roman" w:eastAsia="Times New Roman" w:hAnsi="Times New Roman"/>
          <w:sz w:val="17"/>
          <w:szCs w:val="17"/>
          <w:color w:val="auto"/>
        </w:rPr>
        <w:t>We regularly evaluate valuation allowances established for deferred tax assets for which future realization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 We perform this evaluation quarterly. The estimation of required valuation allowances includes estimates of future taxable income. In assessing the realizability of deferred tax assets at September 30, 2024, we concluded, based upon the assessment of positive and negative evidence, that it is more likely than not that the Company will generate sufficient taxable income to realize its $22.5 million of deferred tax assets. We considered the scheduled reversal of deferred tax liabilities, projected future taxable income and tax planning strategies in making this assessment.</w:t>
      </w:r>
    </w:p>
    <w:p>
      <w:pPr>
        <w:spacing w:after="0" w:line="1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An inability to generate sufficient taxable income in future periods to realize our deferred tax assets may lead to a future need for a valuation allowance and a corresponding reduction in GAAP net income. In addition, any reduction in the federal statutory tax rate in the future could also cause a reduction in the economic benefit of the deferred tax assets available to us and a corresponding charge to reduce the book value of the deferred tax asset recorded on our Consolidated Balance Sheets.</w:t>
      </w:r>
    </w:p>
    <w:p>
      <w:pPr>
        <w:spacing w:after="0" w:line="1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GAAP specifies the methodology by which a company must identify, recognize, measure and disclose in its financial statements the effects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11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tax years ended September 30, 2021 and forward are subject to federal audit as are prior tax years, to the extent of unutilized net operating losses generated in those years.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We anticipate that approximately $10.8 million in liabilities for unrecognized tax benefits, including accrued interest, may be reversed in the next twelve months.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reversal is predominantly due to the expiration of the statutes of limitation for unrecognized tax benefits.</w:t>
      </w:r>
    </w:p>
    <w:p>
      <w:pPr>
        <w:spacing w:after="0" w:line="145"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New Accounting Pronouncements. </w:t>
      </w:r>
      <w:r>
        <w:rPr>
          <w:rFonts w:ascii="Times New Roman" w:cs="Times New Roman" w:eastAsia="Times New Roman" w:hAnsi="Times New Roman"/>
          <w:sz w:val="17"/>
          <w:szCs w:val="17"/>
          <w:color w:val="auto"/>
        </w:rPr>
        <w:t>Recent accounting pronouncements are described in Note 2, “Summary of Significant Accounting Policies —</w:t>
      </w:r>
      <w:r>
        <w:rPr>
          <w:rFonts w:ascii="Times New Roman" w:cs="Times New Roman" w:eastAsia="Times New Roman" w:hAnsi="Times New Roman"/>
          <w:sz w:val="17"/>
          <w:szCs w:val="17"/>
          <w:i w:val="1"/>
          <w:iCs w:val="1"/>
          <w:color w:val="auto"/>
        </w:rPr>
        <w:t xml:space="preserve"> New Accounting Pronouncements</w:t>
      </w:r>
      <w:r>
        <w:rPr>
          <w:rFonts w:ascii="Times New Roman" w:cs="Times New Roman" w:eastAsia="Times New Roman" w:hAnsi="Times New Roman"/>
          <w:sz w:val="17"/>
          <w:szCs w:val="17"/>
          <w:color w:val="auto"/>
        </w:rPr>
        <w:t>” in the notes to our Consolidated Financial Statements and at relevant sections in this discussion and analysis.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exposed to market price volatility as the fair value of our investments in marketable securities may fluctuate in response to changes in market value of such securities. We are also exposed to interest rate risk with respect to any debt obligations we may incur on our credit facility. For additional information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Item 1A of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including, but not limited to, copper, aluminum, steel, electrical components, fuel, and certain plastics.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Risk</w:t>
      </w:r>
    </w:p>
    <w:p>
      <w:pPr>
        <w:spacing w:after="0" w:line="23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7"/>
          <w:szCs w:val="17"/>
          <w:color w:val="auto"/>
        </w:rPr>
        <w:t>We are exposed to market price volatility for our investments in marketable securities which are carried at fair value measured using market prices, with gains and losses included in Other (income) expense, net on our Consolidated Statements of Comprehensive Income. Changes in the market value of these investments could create volatility in our reported earnings from period to period, and a decline in value of our investments could have an adverse impact on our reported earnings.</w:t>
      </w:r>
    </w:p>
    <w:p>
      <w:pPr>
        <w:spacing w:after="0" w:line="2"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7"/>
          <w:szCs w:val="17"/>
          <w:color w:val="auto"/>
        </w:rPr>
        <w:t>Changes in market value of investments measured at fair value resulted in an unrealized gain of $1.8 million in the year ended September 30, 2024. As of September 30, 2024, we had investments in marketable securities with a fair value of $35.0 million, and a 10% change in the market value of these investments would cause a $3.5 million impact to our pre-tax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9"/>
        </w:trPr>
        <w:tc>
          <w:tcPr>
            <w:tcW w:w="101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i w:val="1"/>
                <w:iCs w:val="1"/>
                <w:color w:val="auto"/>
              </w:rPr>
              <w:t>Item 8. Financial Statements and Supplementary Data</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67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0" w:type="dxa"/>
            <w:vAlign w:val="bottom"/>
            <w:gridSpan w:val="3"/>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3"/>
        </w:trPr>
        <w:tc>
          <w:tcPr>
            <w:tcW w:w="20" w:type="dxa"/>
            <w:vAlign w:val="bottom"/>
          </w:tcPr>
          <w:p>
            <w:pPr>
              <w:spacing w:after="0"/>
              <w:rPr>
                <w:sz w:val="15"/>
                <w:szCs w:val="15"/>
                <w:color w:val="auto"/>
              </w:rPr>
            </w:pPr>
          </w:p>
        </w:tc>
        <w:tc>
          <w:tcPr>
            <w:tcW w:w="10160" w:type="dxa"/>
            <w:vAlign w:val="bottom"/>
            <w:gridSpan w:val="7"/>
          </w:tcPr>
          <w:p>
            <w:pPr>
              <w:spacing w:after="0" w:line="173" w:lineRule="exact"/>
              <w:rPr>
                <w:sz w:val="20"/>
                <w:szCs w:val="20"/>
                <w:color w:val="auto"/>
              </w:rPr>
            </w:pPr>
            <w:r>
              <w:rPr>
                <w:rFonts w:ascii="Times New Roman" w:cs="Times New Roman" w:eastAsia="Times New Roman" w:hAnsi="Times New Roman"/>
                <w:sz w:val="17"/>
                <w:szCs w:val="17"/>
                <w:color w:val="0000FF"/>
              </w:rPr>
              <w:t xml:space="preserve">Reports of Independent Registered Public Accounting Firm </w:t>
            </w:r>
            <w:r>
              <w:rPr>
                <w:rFonts w:ascii="Times New Roman" w:cs="Times New Roman" w:eastAsia="Times New Roman" w:hAnsi="Times New Roman"/>
                <w:sz w:val="17"/>
                <w:szCs w:val="17"/>
                <w:color w:val="000000"/>
              </w:rPr>
              <w:t>(PCAOB ID 42)</w:t>
            </w:r>
          </w:p>
        </w:tc>
        <w:tc>
          <w:tcPr>
            <w:tcW w:w="1060" w:type="dxa"/>
            <w:vAlign w:val="bottom"/>
            <w:gridSpan w:val="3"/>
          </w:tcPr>
          <w:p>
            <w:pPr>
              <w:jc w:val="center"/>
              <w:spacing w:after="0" w:line="173" w:lineRule="exact"/>
              <w:rPr>
                <w:sz w:val="20"/>
                <w:szCs w:val="20"/>
                <w:color w:val="auto"/>
              </w:rPr>
            </w:pPr>
            <w:r>
              <w:rPr>
                <w:rFonts w:ascii="Times New Roman" w:cs="Times New Roman" w:eastAsia="Times New Roman" w:hAnsi="Times New Roman"/>
                <w:sz w:val="17"/>
                <w:szCs w:val="17"/>
                <w:color w:val="0000FF"/>
                <w:w w:val="93"/>
              </w:rPr>
              <w:t>41</w:t>
            </w: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8160" w:type="dxa"/>
            <w:vAlign w:val="bottom"/>
            <w:gridSpan w:val="6"/>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1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44</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6600" w:type="dxa"/>
            <w:vAlign w:val="bottom"/>
            <w:gridSpan w:val="2"/>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45</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620" w:type="dxa"/>
            <w:vAlign w:val="bottom"/>
            <w:gridSpan w:val="2"/>
          </w:tcPr>
          <w:p>
            <w:pPr>
              <w:spacing w:after="0"/>
              <w:rPr>
                <w:sz w:val="17"/>
                <w:szCs w:val="17"/>
                <w:color w:val="auto"/>
              </w:rPr>
            </w:pPr>
          </w:p>
        </w:tc>
        <w:tc>
          <w:tcPr>
            <w:tcW w:w="6800" w:type="dxa"/>
            <w:vAlign w:val="bottom"/>
            <w:gridSpan w:val="3"/>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46</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1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47</w:t>
            </w:r>
          </w:p>
        </w:tc>
      </w:tr>
      <w:tr>
        <w:trPr>
          <w:trHeight w:val="960"/>
        </w:trPr>
        <w:tc>
          <w:tcPr>
            <w:tcW w:w="20" w:type="dxa"/>
            <w:vAlign w:val="bottom"/>
          </w:tcPr>
          <w:p>
            <w:pPr>
              <w:spacing w:after="0"/>
              <w:rPr>
                <w:sz w:val="24"/>
                <w:szCs w:val="24"/>
                <w:color w:val="auto"/>
              </w:rPr>
            </w:pPr>
          </w:p>
        </w:tc>
        <w:tc>
          <w:tcPr>
            <w:tcW w:w="3000" w:type="dxa"/>
            <w:vAlign w:val="bottom"/>
            <w:tcBorders>
              <w:top w:val="single" w:sz="8" w:color="0000FF"/>
            </w:tcBorders>
            <w:gridSpan w:val="3"/>
          </w:tcPr>
          <w:p>
            <w:pPr>
              <w:spacing w:after="0"/>
              <w:rPr>
                <w:sz w:val="24"/>
                <w:szCs w:val="24"/>
                <w:color w:val="auto"/>
              </w:rPr>
            </w:pPr>
          </w:p>
        </w:tc>
        <w:tc>
          <w:tcPr>
            <w:tcW w:w="7160" w:type="dxa"/>
            <w:vAlign w:val="bottom"/>
            <w:gridSpan w:val="4"/>
          </w:tcPr>
          <w:p>
            <w:pPr>
              <w:jc w:val="right"/>
              <w:ind w:right="4480"/>
              <w:spacing w:after="0"/>
              <w:rPr>
                <w:sz w:val="20"/>
                <w:szCs w:val="20"/>
                <w:color w:val="auto"/>
              </w:rPr>
            </w:pPr>
            <w:r>
              <w:rPr>
                <w:rFonts w:ascii="Times New Roman" w:cs="Times New Roman" w:eastAsia="Times New Roman" w:hAnsi="Times New Roman"/>
                <w:sz w:val="17"/>
                <w:szCs w:val="17"/>
                <w:color w:val="auto"/>
              </w:rPr>
              <w:t>40</w:t>
            </w:r>
          </w:p>
        </w:tc>
        <w:tc>
          <w:tcPr>
            <w:tcW w:w="4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42" w:name="page43"/>
    <w:bookmarkEnd w:id="42"/>
    <w:p>
      <w:pPr>
        <w:ind w:left="368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IES Holdings,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IES Holdings, Inc. and subsidiaries (the Company) as of September 30, 2024 and 2023, the related consolidated statements of comprehensive income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stockholders' equity and cash flows for each of the three years in the period ended September 30, 2024, and the related notes (collectively referred to as the “consolidated financial statements”). In our opinion, the consolidated financial statements present fairly, in all material respects, the financial position of the Company at September 30, 2024 and 2023, and the results of its operations and its cash flows for each of the three years in the period ended September 30, 2024, in conformity with U.S. generally accepted accounting principles.</w:t>
      </w:r>
    </w:p>
    <w:p>
      <w:pPr>
        <w:spacing w:after="0" w:line="20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Company's internal control over financial reporting as of September 30, 2024, based on criteria established in Internal Control-Integrated Framework issued by the Committee of Sponsoring Organizations of the Treadway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Commission (2013 framework), and our report dated November 22, 2024 expressed an unqualified opinion thereon.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w:t>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 for certain fixed-price construction contracts</w:t>
      </w:r>
    </w:p>
    <w:p>
      <w:pPr>
        <w:sectPr>
          <w:pgSz w:w="11900" w:h="16838" w:orient="portrait"/>
          <w:cols w:equalWidth="0" w:num="1">
            <w:col w:w="11240"/>
          </w:cols>
          <w:pgMar w:left="320" w:top="807"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Description of the Matter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5"/>
          <w:szCs w:val="15"/>
          <w:color w:val="auto"/>
        </w:rPr>
        <w:t>As described in Notes 2 and 4 to the consolidated financial statements, the Company principally recognizes revenue on construction contracts over time using costs incurred as a percentage of estimated total costs at completion to determine the extent of progress toward satisfying performance obligations. The extent of progress is applied to the contract transaction price, which may include variable consideration associated with unapproved change orders, customer claims and incentives.</w:t>
      </w:r>
    </w:p>
    <w:p>
      <w:pPr>
        <w:spacing w:after="0" w:line="9" w:lineRule="exact"/>
        <w:rPr>
          <w:sz w:val="20"/>
          <w:szCs w:val="20"/>
          <w:color w:val="auto"/>
        </w:rPr>
      </w:pPr>
    </w:p>
    <w:p>
      <w:pPr>
        <w:sectPr>
          <w:pgSz w:w="11900" w:h="16838" w:orient="portrait"/>
          <w:cols w:equalWidth="0" w:num="2">
            <w:col w:w="1580" w:space="380"/>
            <w:col w:w="9280"/>
          </w:cols>
          <w:pgMar w:left="320" w:top="807" w:right="339" w:bottom="1440" w:gutter="0" w:footer="0" w:header="0"/>
          <w:type w:val="continuous"/>
        </w:sectPr>
      </w:pPr>
    </w:p>
    <w:p>
      <w:pPr>
        <w:ind w:left="1960" w:right="120"/>
        <w:spacing w:after="0" w:line="251" w:lineRule="auto"/>
        <w:rPr>
          <w:sz w:val="20"/>
          <w:szCs w:val="20"/>
          <w:color w:val="auto"/>
        </w:rPr>
      </w:pPr>
      <w:r>
        <w:rPr>
          <w:rFonts w:ascii="Times New Roman" w:cs="Times New Roman" w:eastAsia="Times New Roman" w:hAnsi="Times New Roman"/>
          <w:sz w:val="15"/>
          <w:szCs w:val="15"/>
          <w:color w:val="auto"/>
        </w:rPr>
        <w:t>Revenue recognition under this method is subject to judgment as the determination of progress towards completion requires management to prepare estimates of the transaction price and total project costs to complete.</w:t>
      </w:r>
    </w:p>
    <w:p>
      <w:pPr>
        <w:ind w:left="1960" w:right="100"/>
        <w:spacing w:after="0" w:line="236" w:lineRule="auto"/>
        <w:rPr>
          <w:sz w:val="20"/>
          <w:szCs w:val="20"/>
          <w:color w:val="auto"/>
        </w:rPr>
      </w:pPr>
      <w:r>
        <w:rPr>
          <w:rFonts w:ascii="Times New Roman" w:cs="Times New Roman" w:eastAsia="Times New Roman" w:hAnsi="Times New Roman"/>
          <w:sz w:val="15"/>
          <w:szCs w:val="15"/>
          <w:color w:val="auto"/>
        </w:rPr>
        <w:t>Auditing management’s estimates for certain projects structured under fixed-price arrangements, and which are larger in size and longer in duration, was complex and subjective, requiring considerable judgment to evaluate management’s determination of variable consideration, specifically as it related to the impact of reductions in scope and potential customer claims.</w:t>
      </w:r>
    </w:p>
    <w:p>
      <w:pPr>
        <w:sectPr>
          <w:pgSz w:w="11900" w:h="16838" w:orient="portrait"/>
          <w:cols w:equalWidth="0" w:num="1">
            <w:col w:w="11240"/>
          </w:cols>
          <w:pgMar w:left="320" w:top="807" w:right="339" w:bottom="1440" w:gutter="0" w:footer="0" w:header="0"/>
          <w:type w:val="continuous"/>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How We Addressed the Matter We obtained an understanding, evaluated the design and tested the operating effectiveness of controls over the Company’s estimating process,</w:t>
      </w:r>
    </w:p>
    <w:p>
      <w:pPr>
        <w:ind w:left="20"/>
        <w:spacing w:after="0"/>
        <w:tabs>
          <w:tab w:leader="none" w:pos="1940" w:val="left"/>
        </w:tabs>
        <w:rPr>
          <w:sz w:val="20"/>
          <w:szCs w:val="20"/>
          <w:color w:val="auto"/>
        </w:rPr>
      </w:pPr>
      <w:r>
        <w:rPr>
          <w:rFonts w:ascii="Times New Roman" w:cs="Times New Roman" w:eastAsia="Times New Roman" w:hAnsi="Times New Roman"/>
          <w:sz w:val="15"/>
          <w:szCs w:val="15"/>
          <w:color w:val="auto"/>
        </w:rPr>
        <w:t>in Our Audit</w:t>
      </w:r>
      <w:r>
        <w:rPr>
          <w:sz w:val="20"/>
          <w:szCs w:val="20"/>
          <w:color w:val="auto"/>
        </w:rPr>
        <w:tab/>
      </w:r>
      <w:r>
        <w:rPr>
          <w:rFonts w:ascii="Times New Roman" w:cs="Times New Roman" w:eastAsia="Times New Roman" w:hAnsi="Times New Roman"/>
          <w:sz w:val="15"/>
          <w:szCs w:val="15"/>
          <w:color w:val="auto"/>
        </w:rPr>
        <w:t>including controls over management’s review of significant inputs and judgments with respect to the measurement of variable consideration.</w:t>
      </w:r>
    </w:p>
    <w:p>
      <w:pPr>
        <w:spacing w:after="0" w:line="18" w:lineRule="exact"/>
        <w:rPr>
          <w:sz w:val="20"/>
          <w:szCs w:val="20"/>
          <w:color w:val="auto"/>
        </w:rPr>
      </w:pPr>
    </w:p>
    <w:p>
      <w:pPr>
        <w:ind w:left="1960" w:right="200"/>
        <w:spacing w:after="0" w:line="227" w:lineRule="auto"/>
        <w:rPr>
          <w:sz w:val="20"/>
          <w:szCs w:val="20"/>
          <w:color w:val="auto"/>
        </w:rPr>
      </w:pPr>
      <w:r>
        <w:rPr>
          <w:rFonts w:ascii="Times New Roman" w:cs="Times New Roman" w:eastAsia="Times New Roman" w:hAnsi="Times New Roman"/>
          <w:sz w:val="15"/>
          <w:szCs w:val="15"/>
          <w:color w:val="auto"/>
        </w:rPr>
        <w:t>Our audit procedures included, among others, evaluating appropriate application of the Company’s revenue recognition method; testing significant assumptions used to develop the estimated transaction price; and testing the completeness and accuracy of the underlying data. To assess the reasonableness of management’s estimated transaction price, we performed audit procedures that included, among others, agreeing the estimate to supporting documentation; conducting interviews with project personnel; attending select project review meetings; and performing retrospective review.</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November 22, 2024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type w:val="continuous"/>
        </w:sectPr>
      </w:pPr>
    </w:p>
    <w:bookmarkStart w:id="43" w:name="page44"/>
    <w:bookmarkEnd w:id="43"/>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IES Holdings,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audited IES Holdings, Inc. and subsidiaries’ internal control over financial reporting as of September 30, 2024,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2024, based on the COSO criteria.</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Greiner Industries, Inc., which is included in the 2024 consolidated financial statements of the Company and constituted 6% and 12% of total and net assets, respectively, as of September 30, 2024 and 1% of both revenues and net income for the year then ended. Our audit of internal control over financial reporting of the Company also did not include an evaluation of the internal control over financial reporting of Greiner Industries, Inc.</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September 30, 2024 and 2023, the related consolidated statements of comprehensive income, stockholders’ equity and cash flows for each of the three years in the period ended September 30, 2024, and the related notes and our report dated November 22, 2024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22,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860" w:type="dxa"/>
            <w:vAlign w:val="bottom"/>
            <w:tcBorders>
              <w:bottom w:val="single" w:sz="8" w:color="auto"/>
            </w:tcBorders>
          </w:tcPr>
          <w:p>
            <w:pPr>
              <w:spacing w:after="0"/>
              <w:rPr>
                <w:sz w:val="19"/>
                <w:szCs w:val="19"/>
                <w:color w:val="auto"/>
              </w:rPr>
            </w:pPr>
          </w:p>
        </w:tc>
      </w:tr>
      <w:tr>
        <w:trPr>
          <w:trHeight w:val="212"/>
        </w:trPr>
        <w:tc>
          <w:tcPr>
            <w:tcW w:w="8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83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75,770</w:t>
            </w: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Marketable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83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Trade, net of allowance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469,833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363,836</w:t>
            </w:r>
          </w:p>
        </w:tc>
      </w:tr>
      <w:tr>
        <w:trPr>
          <w:trHeight w:val="219"/>
        </w:trPr>
        <w:tc>
          <w:tcPr>
            <w:tcW w:w="8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Retainage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76,934</w:t>
            </w: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95,655</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48,620</w:t>
            </w:r>
          </w:p>
        </w:tc>
      </w:tr>
      <w:tr>
        <w:trPr>
          <w:trHeight w:val="219"/>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w:t>
            </w:r>
          </w:p>
        </w:tc>
      </w:tr>
      <w:tr>
        <w:trPr>
          <w:trHeight w:val="21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871,694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671,296</w:t>
            </w:r>
          </w:p>
        </w:tc>
      </w:tr>
      <w:tr>
        <w:trPr>
          <w:trHeight w:val="212"/>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134,197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63,410</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Goodwill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 assets,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56,208</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20,383</w:t>
            </w: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61,761</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16,147</w:t>
            </w:r>
          </w:p>
        </w:tc>
      </w:tr>
      <w:tr>
        <w:trPr>
          <w:trHeight w:val="212"/>
        </w:trPr>
        <w:tc>
          <w:tcPr>
            <w:tcW w:w="8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981,600</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5"/>
        </w:trPr>
        <w:tc>
          <w:tcPr>
            <w:tcW w:w="8360" w:type="dxa"/>
            <w:vAlign w:val="bottom"/>
            <w:shd w:val="clear" w:color="auto" w:fill="CCEEFF"/>
          </w:tcPr>
          <w:p>
            <w:pPr>
              <w:ind w:left="23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296,797</w:t>
            </w:r>
          </w:p>
        </w:tc>
      </w:tr>
      <w:tr>
        <w:trPr>
          <w:trHeight w:val="219"/>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103,771</w:t>
            </w:r>
          </w:p>
        </w:tc>
      </w:tr>
      <w:tr>
        <w:trPr>
          <w:trHeight w:val="21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522,554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400,568</w:t>
            </w:r>
          </w:p>
        </w:tc>
      </w:tr>
      <w:tr>
        <w:trPr>
          <w:trHeight w:val="212"/>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42,098</w:t>
            </w: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tax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22,047</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16,951</w:t>
            </w:r>
          </w:p>
        </w:tc>
      </w:tr>
      <w:tr>
        <w:trPr>
          <w:trHeight w:val="212"/>
        </w:trPr>
        <w:tc>
          <w:tcPr>
            <w:tcW w:w="8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591,917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481,664</w:t>
            </w:r>
          </w:p>
        </w:tc>
      </w:tr>
      <w:tr>
        <w:trPr>
          <w:trHeight w:val="212"/>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COMMITMENTS AND CONTINGENCIES (NOTE 18</w:t>
            </w: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and outstanding</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issued and 19,971,670 and 20,194,218 outstanding, respectively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19"/>
        </w:trPr>
        <w:tc>
          <w:tcPr>
            <w:tcW w:w="83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Treasury stock, at cost, 2,077,859 and 1,855,311 shares, respectively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(49,450)</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203,431</w:t>
            </w:r>
          </w:p>
        </w:tc>
      </w:tr>
      <w:tr>
        <w:trPr>
          <w:trHeight w:val="219"/>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Retained earnings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497,760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295,784</w:t>
            </w:r>
          </w:p>
        </w:tc>
      </w:tr>
      <w:tr>
        <w:trPr>
          <w:trHeight w:val="212"/>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611,113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449,985</w:t>
            </w:r>
          </w:p>
        </w:tc>
      </w:tr>
      <w:tr>
        <w:trPr>
          <w:trHeight w:val="212"/>
        </w:trPr>
        <w:tc>
          <w:tcPr>
            <w:tcW w:w="8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981,600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color w:val="auto"/>
              </w:rPr>
              <w:t>Year Ended September 30,</w:t>
            </w:r>
          </w:p>
        </w:tc>
        <w:tc>
          <w:tcPr>
            <w:tcW w:w="1100" w:type="dxa"/>
            <w:vAlign w:val="bottom"/>
            <w:tcBorders>
              <w:bottom w:val="single" w:sz="8" w:color="auto"/>
            </w:tcBorders>
          </w:tcPr>
          <w:p>
            <w:pPr>
              <w:spacing w:after="0"/>
              <w:rPr>
                <w:sz w:val="19"/>
                <w:szCs w:val="19"/>
                <w:color w:val="auto"/>
              </w:rPr>
            </w:pPr>
          </w:p>
        </w:tc>
      </w:tr>
      <w:tr>
        <w:trPr>
          <w:trHeight w:val="212"/>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2,884,358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2,187,768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1,932,688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1,847,878</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696,590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318,930</w:t>
            </w:r>
          </w:p>
        </w:tc>
      </w:tr>
      <w:tr>
        <w:trPr>
          <w:trHeight w:val="219"/>
        </w:trPr>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262,714</w:t>
            </w: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w:t>
            </w:r>
          </w:p>
        </w:tc>
      </w:tr>
      <w:tr>
        <w:trPr>
          <w:trHeight w:val="199"/>
        </w:trPr>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53,001</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12,815</w:t>
            </w:r>
          </w:p>
        </w:tc>
      </w:tr>
      <w:tr>
        <w:trPr>
          <w:trHeight w:val="212"/>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40,186</w:t>
            </w:r>
          </w:p>
        </w:tc>
      </w:tr>
      <w:tr>
        <w:trPr>
          <w:trHeight w:val="212"/>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(5,424)</w:t>
            </w:r>
          </w:p>
        </w:tc>
      </w:tr>
      <w:tr>
        <w:trPr>
          <w:trHeight w:val="237"/>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06"/>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20,160,143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20,196,850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20,667,745</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20,414,932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20,413,032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20,894,625</w:t>
            </w:r>
          </w:p>
        </w:tc>
      </w:tr>
    </w:tbl>
    <w:p>
      <w:pPr>
        <w:spacing w:after="0" w:line="200" w:lineRule="exact"/>
        <w:rPr>
          <w:sz w:val="20"/>
          <w:szCs w:val="20"/>
          <w:color w:val="auto"/>
        </w:rPr>
      </w:pPr>
    </w:p>
    <w:p>
      <w:pPr>
        <w:spacing w:after="0" w:line="3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color w:val="auto"/>
              </w:rPr>
              <w:t>Common Stock</w:t>
            </w:r>
          </w:p>
        </w:tc>
        <w:tc>
          <w:tcPr>
            <w:tcW w:w="22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Treasury Stock</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44"/>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128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9"/>
              </w:rPr>
              <w:t>Additional Paid-In</w:t>
            </w:r>
          </w:p>
        </w:tc>
        <w:tc>
          <w:tcPr>
            <w:tcW w:w="200" w:type="dxa"/>
            <w:vAlign w:val="bottom"/>
          </w:tcPr>
          <w:p>
            <w:pPr>
              <w:spacing w:after="0"/>
              <w:rPr>
                <w:sz w:val="9"/>
                <w:szCs w:val="9"/>
                <w:color w:val="auto"/>
              </w:rPr>
            </w:pPr>
          </w:p>
        </w:tc>
        <w:tc>
          <w:tcPr>
            <w:tcW w:w="98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9"/>
                <w:szCs w:val="9"/>
                <w:color w:val="auto"/>
              </w:rPr>
            </w:pPr>
          </w:p>
        </w:tc>
        <w:tc>
          <w:tcPr>
            <w:tcW w:w="920" w:type="dxa"/>
            <w:vAlign w:val="bottom"/>
            <w:vMerge w:val="restart"/>
          </w:tcPr>
          <w:p>
            <w:pPr>
              <w:jc w:val="center"/>
              <w:ind w:right="64"/>
              <w:spacing w:after="0" w:line="122" w:lineRule="exact"/>
              <w:rPr>
                <w:sz w:val="20"/>
                <w:szCs w:val="20"/>
                <w:color w:val="auto"/>
              </w:rPr>
            </w:pPr>
            <w:r>
              <w:rPr>
                <w:rFonts w:ascii="Times New Roman" w:cs="Times New Roman" w:eastAsia="Times New Roman" w:hAnsi="Times New Roman"/>
                <w:sz w:val="14"/>
                <w:szCs w:val="14"/>
                <w:color w:val="auto"/>
                <w:w w:val="97"/>
              </w:rPr>
              <w:t>Stockholders'</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5"/>
                <w:szCs w:val="15"/>
                <w:color w:val="auto"/>
              </w:rPr>
            </w:pPr>
          </w:p>
        </w:tc>
        <w:tc>
          <w:tcPr>
            <w:tcW w:w="920" w:type="dxa"/>
            <w:vAlign w:val="bottom"/>
          </w:tcPr>
          <w:p>
            <w:pPr>
              <w:jc w:val="center"/>
              <w:ind w:right="44"/>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206"/>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BALANCE, September 30,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22,049,529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(1,316,998)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(29,300)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201,899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173,134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345,953</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share-based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(556,798)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(18,556)</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Options exercised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3,775</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Increase in noncontrolling interest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attributable to IES Holdings, Inc.</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34,762</w:t>
            </w:r>
          </w:p>
        </w:tc>
        <w:tc>
          <w:tcPr>
            <w:tcW w:w="0" w:type="dxa"/>
            <w:vAlign w:val="bottom"/>
          </w:tcPr>
          <w:p>
            <w:pPr>
              <w:spacing w:after="0"/>
              <w:rPr>
                <w:sz w:val="1"/>
                <w:szCs w:val="1"/>
                <w:color w:val="auto"/>
              </w:rPr>
            </w:pPr>
          </w:p>
        </w:tc>
      </w:tr>
      <w:tr>
        <w:trPr>
          <w:trHeight w:val="196"/>
        </w:trPr>
        <w:tc>
          <w:tcPr>
            <w:tcW w:w="3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BALANCE, September 30,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22,049,529</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(1,707,629)</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(44,000)</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201,871</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203,197</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361,288</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share-based compensation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(256,437)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(8,284)</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Options exercised</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Increase in noncontrolling interest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(15,701)</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 attributable to IES Holdings, Inc.</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108,288</w:t>
            </w:r>
          </w:p>
        </w:tc>
        <w:tc>
          <w:tcPr>
            <w:tcW w:w="0" w:type="dxa"/>
            <w:vAlign w:val="bottom"/>
          </w:tcPr>
          <w:p>
            <w:pPr>
              <w:spacing w:after="0"/>
              <w:rPr>
                <w:sz w:val="1"/>
                <w:szCs w:val="1"/>
                <w:color w:val="auto"/>
              </w:rPr>
            </w:pPr>
          </w:p>
        </w:tc>
      </w:tr>
      <w:tr>
        <w:trPr>
          <w:trHeight w:val="202"/>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BALANCE, September 30,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22,049,529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(1,855,311)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(49,450)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203,431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449,985</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share-based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(329,648)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(44,028)</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Options exercised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0" w:type="dxa"/>
            <w:vAlign w:val="bottom"/>
          </w:tcPr>
          <w:p>
            <w:pPr>
              <w:spacing w:after="0"/>
              <w:rPr>
                <w:sz w:val="1"/>
                <w:szCs w:val="1"/>
                <w:color w:val="auto"/>
              </w:rPr>
            </w:pPr>
          </w:p>
        </w:tc>
      </w:tr>
      <w:tr>
        <w:trPr>
          <w:trHeight w:val="156"/>
        </w:trPr>
        <w:tc>
          <w:tcPr>
            <w:tcW w:w="36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Change in IES Holdings, Inc.'s ownership interest in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consolidated subsidiaries</w:t>
            </w: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Increase in noncontrolling interest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(17,140)</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 attributable to IES Holdings, Inc.</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219,116</w:t>
            </w:r>
          </w:p>
        </w:tc>
        <w:tc>
          <w:tcPr>
            <w:tcW w:w="0" w:type="dxa"/>
            <w:vAlign w:val="bottom"/>
          </w:tcPr>
          <w:p>
            <w:pPr>
              <w:spacing w:after="0"/>
              <w:rPr>
                <w:sz w:val="1"/>
                <w:szCs w:val="1"/>
                <w:color w:val="auto"/>
              </w:rPr>
            </w:pPr>
          </w:p>
        </w:tc>
      </w:tr>
      <w:tr>
        <w:trPr>
          <w:trHeight w:val="227"/>
        </w:trPr>
        <w:tc>
          <w:tcPr>
            <w:tcW w:w="36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BALANCE,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22,049,529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(2,077,859)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203,458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497,760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611,113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5"/>
                <w:szCs w:val="15"/>
                <w:color w:val="auto"/>
              </w:rPr>
              <w:t>Year Ended September 30,</w:t>
            </w:r>
          </w:p>
        </w:tc>
        <w:tc>
          <w:tcPr>
            <w:tcW w:w="860" w:type="dxa"/>
            <w:vAlign w:val="bottom"/>
            <w:tcBorders>
              <w:bottom w:val="single" w:sz="8" w:color="auto"/>
            </w:tcBorders>
          </w:tcPr>
          <w:p>
            <w:pPr>
              <w:spacing w:after="0"/>
              <w:rPr>
                <w:sz w:val="17"/>
                <w:szCs w:val="17"/>
                <w:color w:val="auto"/>
              </w:rPr>
            </w:pPr>
          </w:p>
        </w:tc>
      </w:tr>
      <w:tr>
        <w:trPr>
          <w:trHeight w:val="199"/>
        </w:trPr>
        <w:tc>
          <w:tcPr>
            <w:tcW w:w="7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2022</w:t>
            </w:r>
          </w:p>
        </w:tc>
      </w:tr>
      <w:tr>
        <w:trPr>
          <w:trHeight w:val="18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232,501</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119,787</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40,186</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Bad debt expense (benefit)</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3,141</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Deferred financing cost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199</w:t>
            </w: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37,103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29,407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25,468</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Gain on sale of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Non-cash compensation expense</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3,775</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Deferred income tax expense (benefit) and other non-cash tax adjustments,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Unrealized gain on trading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Marketable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(87,160)</w:t>
            </w: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(27,760)</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Costs and estimated earnings in excess of billings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(8,688)</w:t>
            </w: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(18,609)</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Other non-current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(3,006)</w:t>
            </w:r>
          </w:p>
        </w:tc>
      </w:tr>
      <w:tr>
        <w:trPr>
          <w:trHeight w:val="203"/>
        </w:trPr>
        <w:tc>
          <w:tcPr>
            <w:tcW w:w="75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57,894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67,128</w:t>
            </w:r>
          </w:p>
        </w:tc>
      </w:tr>
      <w:tr>
        <w:trPr>
          <w:trHeight w:val="209"/>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Billings in excess of costs and estimated earnings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54,550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19,051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22,450</w:t>
            </w:r>
          </w:p>
        </w:tc>
      </w:tr>
      <w:tr>
        <w:trPr>
          <w:trHeight w:val="203"/>
        </w:trPr>
        <w:tc>
          <w:tcPr>
            <w:tcW w:w="7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w:t>
            </w:r>
          </w:p>
        </w:tc>
      </w:tr>
      <w:tr>
        <w:trPr>
          <w:trHeight w:val="20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234,404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153,902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16,262</w:t>
            </w:r>
          </w:p>
        </w:tc>
      </w:tr>
      <w:tr>
        <w:trPr>
          <w:trHeight w:val="183"/>
        </w:trPr>
        <w:tc>
          <w:tcPr>
            <w:tcW w:w="7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(29,255)</w:t>
            </w: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sales of assets</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20,602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219</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in conjunction with equity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in conjunction with business combinations or dispositions, net of cash acquired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(108,847)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2,770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(29,536)</w:t>
            </w:r>
          </w:p>
        </w:tc>
      </w:tr>
      <w:tr>
        <w:trPr>
          <w:trHeight w:val="183"/>
        </w:trPr>
        <w:tc>
          <w:tcPr>
            <w:tcW w:w="7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Borrowings of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2,896,346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2,381,562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1,924,469</w:t>
            </w: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of debt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(2,896,346)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(2,464,221)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(1,882,148)</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finance leases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w:t>
            </w: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 of noncontrolling interest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Settlement of contingent consideration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Distribution to noncontrolling interest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(18,556)</w:t>
            </w:r>
          </w:p>
        </w:tc>
      </w:tr>
      <w:tr>
        <w:trPr>
          <w:trHeight w:val="20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Options exercised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53</w:t>
            </w:r>
          </w:p>
        </w:tc>
      </w:tr>
      <w:tr>
        <w:trPr>
          <w:trHeight w:val="20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(100,495)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(105,750)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15,017</w:t>
            </w:r>
          </w:p>
        </w:tc>
      </w:tr>
      <w:tr>
        <w:trPr>
          <w:trHeight w:val="196"/>
        </w:trPr>
        <w:tc>
          <w:tcPr>
            <w:tcW w:w="7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25,062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50,922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1,743</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75,770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24,848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23,105</w:t>
            </w: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end of period</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100,832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75,770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24,848</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2"/>
        </w:trPr>
        <w:tc>
          <w:tcPr>
            <w:tcW w:w="7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3"/>
        </w:trPr>
        <w:tc>
          <w:tcPr>
            <w:tcW w:w="7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interest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3,068</w:t>
            </w:r>
          </w:p>
        </w:tc>
      </w:tr>
      <w:tr>
        <w:trPr>
          <w:trHeight w:val="203"/>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for income taxes, net</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61,614</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12,056</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3,953</w:t>
            </w:r>
          </w:p>
        </w:tc>
      </w:tr>
      <w:tr>
        <w:trPr>
          <w:trHeight w:val="209"/>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7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AND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and equipment acquired in exchange for liabilities</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7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Contingent consideration liability assumed in conjunction with business combinations</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2,790</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bl>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931" w:right="37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00" w:hanging="307"/>
        <w:spacing w:after="0" w:line="26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0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6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20" w:hanging="307"/>
        <w:spacing w:after="0" w:line="26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Principles of Consolidation</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IES Holdings, Inc. and its consolidated subsidiaries. All significant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purchased with an original maturity of three months or less to be cash equivalents.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Marketable Securities</w:t>
      </w:r>
    </w:p>
    <w:p>
      <w:pPr>
        <w:spacing w:after="0" w:line="24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Marketable securities consist of highly liquid equity securities and debt securities with original maturities over three months. All of our marketable debt securities are classified as trading securities and mature after one year and before five years at September 30, 2024. Our marketable securities with readily determinable fair values are carried at fair value, with gains and losses included in Other (income) expense, net on our Consolidated Statements of Comprehensive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Inventories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Inventories consist of raw materials, work in process, finished goods, and parts and supplies held for use in the ordinary course of business. Inventory is valued at the lower of cost or net realizable value generally using the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color w:val="auto"/>
        </w:rPr>
        <w:t>Property and Equipment</w:t>
      </w:r>
    </w:p>
    <w:p>
      <w:pPr>
        <w:spacing w:after="0" w:line="11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Costs associated with software developed or obtained for internal use, including third party development fees incurred during the application development stage and software licenses, are capitalized and amortized on a straight-line basis over the estimated useful life of the software.</w:t>
      </w:r>
    </w:p>
    <w:p>
      <w:pPr>
        <w:spacing w:after="0" w:line="19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1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spacing w:after="0" w:line="19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with definite lives are amortized over their estimated useful lives based on expected economic benefit with no residual value.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Issuance Costs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Debt issuance costs are included as a reduction of our debt outstanding, or alternately classified within other non-current assets if we have no borrowings drawn on our credit facility at the balance sheet date, and are amortized to interest expense over the scheduled maturity of the debt. Amortization expense of debt issuance costs was $287, $268 and $199, respectively, for the years ended September 30, 2024, 2023 and 2022. Remaining unamortized capitalized debt issuance costs were $598 and $836 at September 30, 2024, and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11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Revenue is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recognize revenue on project contracts over time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We recognize revenue from change orders or claims when recovery of such amounts is probable. The amount of revenue associated with unapproved change orders and claims was immaterial for the years ended September 30, 2024, 2023 and 2022. Provisions for total estimated losses on uncompleted contracts are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50" w:name="page51"/>
    <w:bookmarkEnd w:id="50"/>
    <w:p>
      <w:pPr>
        <w:ind w:right="200"/>
        <w:spacing w:after="0" w:line="270" w:lineRule="auto"/>
        <w:rPr>
          <w:sz w:val="20"/>
          <w:szCs w:val="20"/>
          <w:color w:val="auto"/>
        </w:rPr>
      </w:pPr>
      <w:r>
        <w:rPr>
          <w:rFonts w:ascii="Times New Roman" w:cs="Times New Roman" w:eastAsia="Times New Roman" w:hAnsi="Times New Roman"/>
          <w:sz w:val="17"/>
          <w:szCs w:val="17"/>
          <w:color w:val="auto"/>
        </w:rPr>
        <w:t>made in the period in which such losses are determined. The balances billed but not paid by customers pursuant to retainage provisions in project contracts are typically due upon completion of the contracts and acceptance by the customer. Based on our experience, the retention balance at each balance sheet date will be collected within the subsequent fiscal year.</w:t>
      </w:r>
    </w:p>
    <w:p>
      <w:pPr>
        <w:spacing w:after="0" w:line="19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Certain divisions in our operating segments recognize revenue at the completion of the contract ("completed contract") under the right to invoice practical expedient because the duration of their contracts is short in nature. We recognize revenue on completed contracts when the project is complete and billable to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11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record accounts receivable for all amounts billed and not collected and amounts for which we have an unconditional right to bill our customers. Additionally, we provide an allowance for credit losses based on historical company-specific uncollectable accounts, as well as current and expected market conditions. From time to time, we establish additional allowance for credit losses for financial asset balances with specific customers where collectability has been determined to be improbable based on specific facts and circumstances. Such allowances are established as deemed necessary in the period such determination is made. As is common in our industry, some of these receivables are in litigation or require us to exercise our contractual lien rights in order to collect. Our allowance for credit losses at September 30, 2024 and 2023 was $1,818 and $1,649, respectively.</w:t>
      </w:r>
    </w:p>
    <w:p>
      <w:pPr>
        <w:spacing w:after="0" w:line="19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In calculating our expected credit losses, we consider trade receivables, retainage, and costs and estimated earnings in excess of billings, all of which constitute a homogenous portfolio, and therefore, to measure the expected credit loss, they are grouped together.</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income (loss) includes all changes in equity during a period except those resulting from investments by and distributions to stockholders.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1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We follow the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evaluate valuation allowances established for deferred tax assets for which future realization is uncertain on a quarterly basis. In assessing the realizability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assets, we must consider whether it is more likely than not some portion, or all, of the deferred tax assets will not be realized. We consider all available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evidence, both positive and negative, in determining whether a valuation allowance is required. At September 30, 2024, we concluded, based upon the assessment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positive and negative evidence, that it is more likely than not that the Company will generate sufficient taxable income to realize net deferred tax assets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$22,458. We considered the scheduled reversal of deferred tax liabilities, projected future taxable income and tax planning strategies in making this assessment. If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actual future taxable income is different from these estimates, our results could be affected.</w:t>
      </w:r>
    </w:p>
    <w:p>
      <w:pPr>
        <w:spacing w:after="0" w:line="2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record reserves for income taxes related to certain tax positions when management considers it more likely than not that additional taxes may be due in excess of amounts reflected on income tax returns filed. When recording these reserves, we assume that taxing authorities have full knowledge of the position and all relevant facts. We continually review exposure to additional tax obligations, and as further information is known or events occur, changes in tax reserves may be recorded. To the extent interest and penalties may be assessed by taxing authorities on any underpayment of income tax, such amounts have been accrued and included in the provision for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marketable securities, accounts receivable, accounts payable, and a loan agreement. We believe that the carrying value of financial instruments approximates their fair value due to their short-term nature. The carrying value of our debt approximates fair value, as debt incurs interest at a variable rate.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(“Edmonson”) and Bayonet Plumbing, Heating &amp; Air-Conditioning, LLC (“Bayonet”) in fiscal 2021, and NEXT Electric, LLC (“NEXT”) in fiscal 2017, we acquired an 80 percent interest in each of the entities, with the remaining 20 percent interest in each such entity being retained by the respective third party sellers. The interests retained by those third party sellers are identified on our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w:t>
      </w:r>
    </w:p>
    <w:p>
      <w:pPr>
        <w:spacing w:after="0" w:line="7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On June 28, 2024, we purchased the remaining 20 percent noncontrolling interest in Bayonet for $32,000. As we retained our controlling interest in Bayonet, the change in ownership interest was accounted for as an equity transaction. The difference between the balance of the noncontrolling interest at the date of redemption of the remaining interests and the consideration paid was recognized in Additional Paid-In Capital in the accompanying Consolidated Balance Sheets and was not reflected in earnings.</w:t>
      </w:r>
    </w:p>
    <w:p>
      <w:pPr>
        <w:spacing w:after="0" w:line="68"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If all of the noncontrolling interests remaining outstanding at September 30, 2024 had been redeemable at that date, the redemption amount would have been $40,996.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activity in redeemable noncontrolling interest is summarized in the table below.</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7"/>
        </w:trPr>
        <w:tc>
          <w:tcPr>
            <w:tcW w:w="1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7"/>
                <w:szCs w:val="17"/>
                <w:color w:val="auto"/>
              </w:rPr>
              <w:t>Year Ended September 30,</w:t>
            </w:r>
          </w:p>
        </w:tc>
        <w:tc>
          <w:tcPr>
            <w:tcW w:w="980" w:type="dxa"/>
            <w:vAlign w:val="bottom"/>
            <w:tcBorders>
              <w:bottom w:val="single" w:sz="8" w:color="auto"/>
            </w:tcBorders>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6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24,594</w:t>
            </w:r>
          </w:p>
        </w:tc>
      </w:tr>
      <w:tr>
        <w:trPr>
          <w:trHeight w:val="219"/>
        </w:trPr>
        <w:tc>
          <w:tcPr>
            <w:tcW w:w="10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5,424</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219"/>
        </w:trPr>
        <w:tc>
          <w:tcPr>
            <w:tcW w:w="10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Adjustments to record noncontrolling interests at redemption value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6,175</w:t>
            </w:r>
          </w:p>
        </w:tc>
      </w:tr>
      <w:tr>
        <w:trPr>
          <w:trHeight w:val="168"/>
        </w:trPr>
        <w:tc>
          <w:tcPr>
            <w:tcW w:w="100" w:type="dxa"/>
            <w:vAlign w:val="bottom"/>
          </w:tcPr>
          <w:p>
            <w:pPr>
              <w:spacing w:after="0"/>
              <w:rPr>
                <w:sz w:val="14"/>
                <w:szCs w:val="14"/>
                <w:color w:val="auto"/>
              </w:rPr>
            </w:pPr>
          </w:p>
        </w:tc>
        <w:tc>
          <w:tcPr>
            <w:tcW w:w="6960" w:type="dxa"/>
            <w:vAlign w:val="bottom"/>
            <w:shd w:val="clear" w:color="auto" w:fill="CCEEFF"/>
          </w:tcPr>
          <w:p>
            <w:pPr>
              <w:ind w:left="260"/>
              <w:spacing w:after="0" w:line="167" w:lineRule="exact"/>
              <w:rPr>
                <w:sz w:val="20"/>
                <w:szCs w:val="20"/>
                <w:color w:val="auto"/>
              </w:rPr>
            </w:pPr>
            <w:r>
              <w:rPr>
                <w:rFonts w:ascii="Times New Roman" w:cs="Times New Roman" w:eastAsia="Times New Roman" w:hAnsi="Times New Roman"/>
                <w:sz w:val="17"/>
                <w:szCs w:val="17"/>
                <w:color w:val="auto"/>
              </w:rPr>
              <w:t>Adjustment to record noncontrolling interests at value of consideration paid to acquire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2"/>
        </w:trPr>
        <w:tc>
          <w:tcPr>
            <w:tcW w:w="100" w:type="dxa"/>
            <w:vAlign w:val="bottom"/>
          </w:tcPr>
          <w:p>
            <w:pPr>
              <w:spacing w:after="0"/>
              <w:rPr>
                <w:sz w:val="20"/>
                <w:szCs w:val="20"/>
                <w:color w:val="auto"/>
              </w:rPr>
            </w:pPr>
          </w:p>
        </w:tc>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ownership interest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0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ownership interest from noncontrolling interests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100" w:type="dxa"/>
            <w:vAlign w:val="bottom"/>
          </w:tcPr>
          <w:p>
            <w:pPr>
              <w:spacing w:after="0"/>
              <w:rPr>
                <w:sz w:val="20"/>
                <w:szCs w:val="20"/>
                <w:color w:val="auto"/>
              </w:rPr>
            </w:pPr>
          </w:p>
        </w:tc>
        <w:tc>
          <w:tcPr>
            <w:tcW w:w="69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40,996</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29,193</w:t>
            </w:r>
          </w:p>
        </w:tc>
      </w:tr>
      <w:tr>
        <w:trPr>
          <w:trHeight w:val="20"/>
        </w:trPr>
        <w:tc>
          <w:tcPr>
            <w:tcW w:w="10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20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Upon commencement of the lease, we recognize a lease liability and corresponding right-of-use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ROU assets are recognized on a straight-line basis over the term of the lease. Our lease assets are tested for impairment in the same manner as long-lived assets used in operations.</w:t>
      </w:r>
    </w:p>
    <w:p>
      <w:pPr>
        <w:spacing w:after="0" w:line="2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 Update No. 2021-08, Business Combinations (Topic 805):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for Contract Assets and Contract Liabilities from Contracts with Customers (“ASU 2021-08”).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2" w:name="page53"/>
    <w:bookmarkEnd w:id="52"/>
    <w:p>
      <w:pPr>
        <w:jc w:val="both"/>
        <w:spacing w:after="0" w:line="260" w:lineRule="auto"/>
        <w:rPr>
          <w:sz w:val="20"/>
          <w:szCs w:val="20"/>
          <w:color w:val="auto"/>
        </w:rPr>
      </w:pPr>
      <w:r>
        <w:rPr>
          <w:rFonts w:ascii="Times New Roman" w:cs="Times New Roman" w:eastAsia="Times New Roman" w:hAnsi="Times New Roman"/>
          <w:sz w:val="17"/>
          <w:szCs w:val="17"/>
          <w:color w:val="auto"/>
        </w:rPr>
        <w:t>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impacts how we account for business combinations completed after its adoption.</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2019, the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on October 1, 2021 with immaterial impact on our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 and Disclosure Rules Not Yet Adopted</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 financial condition, results of operations, or cash flows.</w:t>
      </w:r>
    </w:p>
    <w:p>
      <w:pPr>
        <w:spacing w:after="0" w:line="1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Accounting Standard Update No. 2023-07, Segment Reporting (Topic 280): Improvements to Reportable Segment Disclosures (“ASU 2023-07”). This standard requires disclosure of significant segment expenses, other segment items, and additional information about the chief operating decision maker (“CODM”). This update is effective for fiscal years beginning after December 15, 2023, and interim periods within fiscal years beginning after December 15, 2024. Early adoption is permitted, and retrospective application is required. We are evaluating the impact this update will have on our annual disclosures; however, it will not impact our financial condition, results of operations, or cash flows.</w:t>
      </w:r>
    </w:p>
    <w:p>
      <w:pPr>
        <w:spacing w:after="0" w:line="20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Accounting Standard Update No. 2024-03, Income Statement—Reporting Comprehensive Income—Expense Disaggregation Disclosures (Subtopic 220-40): Disaggregation of Income Statement Expenses (“ASU 2024-03”). This standard requires additional disclosures over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annual disclosures; however, it will not impact our financial condition, results of operations, or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CONTROLLING SHAREHOLDER</w:t>
      </w:r>
    </w:p>
    <w:p>
      <w:pPr>
        <w:spacing w:after="0" w:line="24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55 percent of the Company’s outstanding common stock based on a Form 4 filed by Tontine with the SEC on September 16, 2024 and the Company's shares outstanding as of November 18, 2024. Accordingly, Tontine has the ability to exercise significant control over our affairs, including the election of directors and most actions requiring the approval of shareholders.</w:t>
      </w:r>
    </w:p>
    <w:p>
      <w:pPr>
        <w:spacing w:after="0" w:line="1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resale shelf registration statement to register for resale a majority of the shares of IES common stock owned by Tontine. As long as the resale shelf registration statement remains effective and the Company remains eligible to use it, Tontine has the ability to resell any or all of its registered shares from time to time in one or more offerings, as described in the resale shelf registration statement and in any prospectus supplement filed in connection with an offering pursuant to the resale shelf registration statement.</w:t>
      </w:r>
    </w:p>
    <w:p>
      <w:pPr>
        <w:spacing w:after="0" w:line="20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Should Tontine, or its underlying individual owners, sell or otherwise dispose of all or a significant portion of its position in IES, a change in ownership of IES could occur. A change of control would trigger the change of control provisions in a number of our material agreements, including our credit agreement, bonding agreements with our sureties and our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3" w:name="page54"/>
    <w:bookmarkEnd w:id="53"/>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is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On August 1, 2024, the Company entered into an amendment of the sublease agreement to extend the term of the agreement through September 30, 2025, effective September 1, 2024. Payments by the Company are at a rate consistent with that paid by Tontine Associates to its landlord.</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11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our Residential Single-family business and our Infrastructure Solutions Industrial Services business, our contracts are generally in the form of purchase orders issued to us by the customer. We recognize revenue upon completion of the services specified in the purchase order.</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20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For arrangements where we recognize revenue over time, we generally use the percentage of completion method of accounting under which revenue recognized is measured principally by the costs incurred and accrued to date for each contract as a percentage of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4" w:name="page55"/>
    <w:bookmarkEnd w:id="54"/>
    <w:p>
      <w:pPr>
        <w:spacing w:after="0" w:line="260" w:lineRule="auto"/>
        <w:rPr>
          <w:sz w:val="20"/>
          <w:szCs w:val="20"/>
          <w:color w:val="auto"/>
        </w:rPr>
      </w:pPr>
      <w:r>
        <w:rPr>
          <w:rFonts w:ascii="Times New Roman" w:cs="Times New Roman" w:eastAsia="Times New Roman" w:hAnsi="Times New Roman"/>
          <w:sz w:val="17"/>
          <w:szCs w:val="17"/>
          <w:color w:val="auto"/>
        </w:rPr>
        <w:t>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 Revenue for arrangements whose durations are short in nature is recognized when the project is complete and billable to the customer under the right to invoice practical expedient.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During the year ended September 30, 2024, we began to disaggregate the revenue from our Residential operating segment's single-family electrical and single-family plumbing &amp; HVAC businesses, which was aggregated under our Residential single-family business in prior periods, to provide more detail about the major product lines significant to our Residential business. Our consolidated revenue for the years ended September 30, 2024, 2023 and 2022 was derived from the following activities. Prior period amounts have been reclassified to conform with the current period presentation, where applicable. See details in the following tables: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color w:val="auto"/>
              </w:rPr>
              <w:t>Year Ended September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4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2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0" w:type="dxa"/>
            <w:vAlign w:val="bottom"/>
          </w:tcPr>
          <w:p>
            <w:pPr>
              <w:spacing w:after="0"/>
              <w:rPr>
                <w:sz w:val="1"/>
                <w:szCs w:val="1"/>
                <w:color w:val="auto"/>
              </w:rPr>
            </w:pPr>
          </w:p>
        </w:tc>
      </w:tr>
      <w:tr>
        <w:trPr>
          <w:trHeight w:val="219"/>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Single-family Electrical</w:t>
            </w:r>
          </w:p>
        </w:tc>
        <w:tc>
          <w:tcPr>
            <w:tcW w:w="2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660,602</w:t>
            </w:r>
          </w:p>
        </w:tc>
        <w:tc>
          <w:tcPr>
            <w:tcW w:w="0" w:type="dxa"/>
            <w:vAlign w:val="bottom"/>
          </w:tcPr>
          <w:p>
            <w:pPr>
              <w:spacing w:after="0"/>
              <w:rPr>
                <w:sz w:val="1"/>
                <w:szCs w:val="1"/>
                <w:color w:val="auto"/>
              </w:rPr>
            </w:pPr>
          </w:p>
        </w:tc>
      </w:tr>
      <w:tr>
        <w:trPr>
          <w:trHeight w:val="219"/>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Single-family Plumbing &amp; HVAC</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324,911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164,903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Multi-family and Other</w:t>
            </w:r>
          </w:p>
        </w:tc>
        <w:tc>
          <w:tcPr>
            <w:tcW w:w="2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305,909</w:t>
            </w:r>
          </w:p>
        </w:tc>
        <w:tc>
          <w:tcPr>
            <w:tcW w:w="0" w:type="dxa"/>
            <w:vAlign w:val="bottom"/>
          </w:tcPr>
          <w:p>
            <w:pPr>
              <w:spacing w:after="0"/>
              <w:rPr>
                <w:sz w:val="1"/>
                <w:szCs w:val="1"/>
                <w:color w:val="auto"/>
              </w:rPr>
            </w:pPr>
          </w:p>
        </w:tc>
      </w:tr>
      <w:tr>
        <w:trPr>
          <w:trHeight w:val="212"/>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1,388,840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2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Industrial Services</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65,686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Custom Engineered Solutions</w:t>
            </w:r>
          </w:p>
        </w:tc>
        <w:tc>
          <w:tcPr>
            <w:tcW w:w="2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101,427</w:t>
            </w:r>
          </w:p>
        </w:tc>
        <w:tc>
          <w:tcPr>
            <w:tcW w:w="0" w:type="dxa"/>
            <w:vAlign w:val="bottom"/>
          </w:tcPr>
          <w:p>
            <w:pPr>
              <w:spacing w:after="0"/>
              <w:rPr>
                <w:sz w:val="1"/>
                <w:szCs w:val="1"/>
                <w:color w:val="auto"/>
              </w:rPr>
            </w:pPr>
          </w:p>
        </w:tc>
      </w:tr>
      <w:tr>
        <w:trPr>
          <w:trHeight w:val="212"/>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0" w:type="dxa"/>
            <w:vAlign w:val="bottom"/>
          </w:tcPr>
          <w:p>
            <w:pPr>
              <w:spacing w:after="0"/>
              <w:rPr>
                <w:sz w:val="1"/>
                <w:szCs w:val="1"/>
                <w:color w:val="auto"/>
              </w:rPr>
            </w:pPr>
          </w:p>
        </w:tc>
      </w:tr>
      <w:tr>
        <w:trPr>
          <w:trHeight w:val="212"/>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7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2,884,358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00" w:type="dxa"/>
            <w:vAlign w:val="bottom"/>
            <w:vMerge w:val="restart"/>
          </w:tcPr>
          <w:p>
            <w:pPr>
              <w:jc w:val="right"/>
              <w:ind w:right="954"/>
              <w:spacing w:after="0"/>
              <w:rPr>
                <w:sz w:val="20"/>
                <w:szCs w:val="20"/>
                <w:color w:val="auto"/>
              </w:rPr>
            </w:pPr>
            <w:r>
              <w:rPr>
                <w:rFonts w:ascii="Times New Roman" w:cs="Times New Roman" w:eastAsia="Times New Roman" w:hAnsi="Times New Roman"/>
                <w:sz w:val="17"/>
                <w:szCs w:val="17"/>
                <w:color w:val="auto"/>
              </w:rPr>
              <w:t>53</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40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3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7"/>
                <w:szCs w:val="17"/>
                <w:color w:val="auto"/>
              </w:rPr>
              <w:t>Year Ended September 30, 2024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6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32"/>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tcPr>
          <w:p>
            <w:pPr>
              <w:spacing w:after="0"/>
              <w:rPr>
                <w:sz w:val="20"/>
                <w:szCs w:val="20"/>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554,160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1,388,840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336,786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316,365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2,596,151</w:t>
            </w: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288,207</w:t>
            </w:r>
          </w:p>
        </w:tc>
      </w:tr>
      <w:tr>
        <w:trPr>
          <w:trHeight w:val="211"/>
        </w:trPr>
        <w:tc>
          <w:tcPr>
            <w:tcW w:w="3720" w:type="dxa"/>
            <w:vAlign w:val="bottom"/>
            <w:tcBorders>
              <w:top w:val="single" w:sz="8" w:color="CCEEFF"/>
              <w:bottom w:val="single" w:sz="8" w:color="CCEEFF"/>
            </w:tcBorders>
            <w:gridSpan w:val="2"/>
            <w:shd w:val="clear" w:color="auto" w:fill="CCEEFF"/>
          </w:tcPr>
          <w:p>
            <w:pPr>
              <w:ind w:left="60"/>
              <w:spacing w:after="0" w:line="186" w:lineRule="exact"/>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776,474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1,388,840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351,096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367,948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2,884,358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7"/>
                <w:szCs w:val="17"/>
                <w:color w:val="auto"/>
              </w:rPr>
              <w:t>Year Ended September 30, 2023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32"/>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tcPr>
          <w:p>
            <w:pPr>
              <w:spacing w:after="0"/>
              <w:rPr>
                <w:sz w:val="20"/>
                <w:szCs w:val="20"/>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241,159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2,135,894</w:t>
            </w: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241,333</w:t>
            </w:r>
          </w:p>
        </w:tc>
      </w:tr>
      <w:tr>
        <w:trPr>
          <w:trHeight w:val="237"/>
        </w:trPr>
        <w:tc>
          <w:tcPr>
            <w:tcW w:w="372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7"/>
                <w:szCs w:val="17"/>
                <w:color w:val="auto"/>
              </w:rPr>
              <w:t>Year Ended September 30, 2022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32"/>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tcPr>
          <w:p>
            <w:pPr>
              <w:spacing w:after="0"/>
              <w:rPr>
                <w:sz w:val="20"/>
                <w:szCs w:val="20"/>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159,994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282,522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1,941,443</w:t>
            </w: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225,365</w:t>
            </w:r>
          </w:p>
        </w:tc>
      </w:tr>
      <w:tr>
        <w:trPr>
          <w:trHeight w:val="237"/>
        </w:trPr>
        <w:tc>
          <w:tcPr>
            <w:tcW w:w="372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24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which we have billed or have an unconditional right to bill our customers. As of September 30, 2024, accounts receivable included $13,660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Consolidated Balance Sheets under the caption “Billings in excess of costs and estimated earnings”.</w:t>
      </w:r>
    </w:p>
    <w:p>
      <w:pPr>
        <w:spacing w:after="0" w:line="20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During the years ended September 30, 2024 and 2023, we recognized revenue of $98,564 and $82,520 related to our contract liabilities at October 1, 2023 and 2022, respectively.</w:t>
      </w:r>
    </w:p>
    <w:p>
      <w:pPr>
        <w:spacing w:after="0" w:line="151" w:lineRule="exact"/>
        <w:rPr>
          <w:sz w:val="20"/>
          <w:szCs w:val="20"/>
          <w:color w:val="auto"/>
        </w:rPr>
      </w:pPr>
    </w:p>
    <w:p>
      <w:pPr>
        <w:ind w:right="1260"/>
        <w:spacing w:after="0" w:line="287" w:lineRule="auto"/>
        <w:rPr>
          <w:sz w:val="20"/>
          <w:szCs w:val="20"/>
          <w:color w:val="auto"/>
        </w:rPr>
      </w:pPr>
      <w:r>
        <w:rPr>
          <w:rFonts w:ascii="Times New Roman" w:cs="Times New Roman" w:eastAsia="Times New Roman" w:hAnsi="Times New Roman"/>
          <w:sz w:val="17"/>
          <w:szCs w:val="17"/>
          <w:color w:val="auto"/>
        </w:rPr>
        <w:t xml:space="preserve">We did not have any impairment losses recognized on our receivables or contract assets for the years ended September 30, 2024, 2023 and 2022. </w:t>
      </w:r>
      <w:r>
        <w:rPr>
          <w:rFonts w:ascii="Times New Roman" w:cs="Times New Roman" w:eastAsia="Times New Roman" w:hAnsi="Times New Roman"/>
          <w:sz w:val="17"/>
          <w:szCs w:val="17"/>
          <w:i w:val="1"/>
          <w:iCs w:val="1"/>
          <w:color w:val="auto"/>
        </w:rPr>
        <w:t>Remaining Performance Obligations</w:t>
      </w:r>
    </w:p>
    <w:p>
      <w:pPr>
        <w:spacing w:after="0" w:line="17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2024, we had remaining performance obligations of $1,175,695. The Company expects to recognize revenue on approximately $1,011,974 of the remaining performance obligations over the next 12 months, with the remaining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September 30, 2024, net revenue recognized from our performance obligations satisfied in previous periods was not material.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81"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75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Estimated</w:t>
            </w:r>
          </w:p>
        </w:tc>
        <w:tc>
          <w:tcPr>
            <w:tcW w:w="220" w:type="dxa"/>
            <w:vAlign w:val="bottom"/>
          </w:tcPr>
          <w:p>
            <w:pPr>
              <w:spacing w:after="0"/>
              <w:rPr>
                <w:sz w:val="24"/>
                <w:szCs w:val="24"/>
                <w:color w:val="auto"/>
              </w:rPr>
            </w:pPr>
          </w:p>
        </w:tc>
        <w:tc>
          <w:tcPr>
            <w:tcW w:w="22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7"/>
                <w:szCs w:val="17"/>
                <w:color w:val="auto"/>
              </w:rPr>
              <w:t>Year Ended September 30,</w:t>
            </w: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7"/>
                <w:szCs w:val="17"/>
                <w:color w:val="auto"/>
              </w:rPr>
              <w:t>Useful Lives in</w:t>
            </w:r>
          </w:p>
        </w:tc>
        <w:tc>
          <w:tcPr>
            <w:tcW w:w="2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7"/>
                <w:szCs w:val="17"/>
                <w:color w:val="auto"/>
              </w:rPr>
              <w:t>Years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Land</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219"/>
        </w:trPr>
        <w:tc>
          <w:tcPr>
            <w:tcW w:w="7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5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3"/>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- 20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33,753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Machinery and equipment</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65,787</w:t>
            </w:r>
          </w:p>
        </w:tc>
        <w:tc>
          <w:tcPr>
            <w:tcW w:w="0" w:type="dxa"/>
            <w:vAlign w:val="bottom"/>
          </w:tcPr>
          <w:p>
            <w:pPr>
              <w:spacing w:after="0"/>
              <w:rPr>
                <w:sz w:val="1"/>
                <w:szCs w:val="1"/>
                <w:color w:val="auto"/>
              </w:rPr>
            </w:pPr>
          </w:p>
        </w:tc>
      </w:tr>
      <w:tr>
        <w:trPr>
          <w:trHeight w:val="219"/>
        </w:trPr>
        <w:tc>
          <w:tcPr>
            <w:tcW w:w="7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Information systems</w:t>
            </w:r>
          </w:p>
        </w:tc>
        <w:tc>
          <w:tcPr>
            <w:tcW w:w="5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3"/>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Furniture and fixtures</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5</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Construction in progress</w:t>
            </w:r>
          </w:p>
        </w:tc>
        <w:tc>
          <w:tcPr>
            <w:tcW w:w="5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122,103</w:t>
            </w:r>
          </w:p>
        </w:tc>
        <w:tc>
          <w:tcPr>
            <w:tcW w:w="0" w:type="dxa"/>
            <w:vAlign w:val="bottom"/>
          </w:tcPr>
          <w:p>
            <w:pPr>
              <w:spacing w:after="0"/>
              <w:rPr>
                <w:sz w:val="1"/>
                <w:szCs w:val="1"/>
                <w:color w:val="auto"/>
              </w:rPr>
            </w:pPr>
          </w:p>
        </w:tc>
      </w:tr>
      <w:tr>
        <w:trPr>
          <w:trHeight w:val="219"/>
        </w:trPr>
        <w:tc>
          <w:tcPr>
            <w:tcW w:w="7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Less-Accumulated depreciation</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(58,693)</w:t>
            </w: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134,197</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expense, including amortization of internal-use software, was $19,533, $12,121 and $10,073, respectively, for the years ended September 30, 2024, 2023 and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PER SHARE INFORMATION</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components of the basic and diluted earnings per share for the years ended September 30, 2024, 2023 and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199"/>
        </w:trPr>
        <w:tc>
          <w:tcPr>
            <w:tcW w:w="7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0" w:type="dxa"/>
            <w:vAlign w:val="bottom"/>
          </w:tcPr>
          <w:p>
            <w:pPr>
              <w:spacing w:after="0"/>
              <w:rPr>
                <w:sz w:val="1"/>
                <w:szCs w:val="1"/>
                <w:color w:val="auto"/>
              </w:rPr>
            </w:pPr>
          </w:p>
        </w:tc>
      </w:tr>
      <w:tr>
        <w:trPr>
          <w:trHeight w:val="219"/>
        </w:trPr>
        <w:tc>
          <w:tcPr>
            <w:tcW w:w="7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income attributable to restricted shareholders of IES Holdings, Inc.</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2"/>
        </w:trPr>
        <w:tc>
          <w:tcPr>
            <w:tcW w:w="7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 attributable to common shareholders of IES Holdings, Inc.</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201,976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92,576</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30,046</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20,160,143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20,196,850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20,667,745</w:t>
            </w:r>
          </w:p>
        </w:tc>
        <w:tc>
          <w:tcPr>
            <w:tcW w:w="0" w:type="dxa"/>
            <w:vAlign w:val="bottom"/>
          </w:tcPr>
          <w:p>
            <w:pPr>
              <w:spacing w:after="0"/>
              <w:rPr>
                <w:sz w:val="1"/>
                <w:szCs w:val="1"/>
                <w:color w:val="auto"/>
              </w:rPr>
            </w:pPr>
          </w:p>
        </w:tc>
      </w:tr>
      <w:tr>
        <w:trPr>
          <w:trHeight w:val="219"/>
        </w:trPr>
        <w:tc>
          <w:tcPr>
            <w:tcW w:w="7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254,789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216,182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226,880</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20,414,932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20,413,032</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20,894,625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Earnings per share attributable to common shareholders of IES Holdings, Inc.: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For the years ended September 30, 2024, 2023 and 2022, the average price of our common stock exceeded the exercise price of outstanding stock options; therefore, all of our outstanding stock options were included in the computation of diluted earnings per share. For the years ended September 30, 2024, 2023 and 2022, there were no other unvested performance awards excluded from the calculation of diluted earnings per share because the inclusion of such instruments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7"/>
        </w:trPr>
        <w:tc>
          <w:tcPr>
            <w:tcW w:w="8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DETAIL OF CERTAIN BALANCE SHEET ACCOUNTS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8"/>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 consist of the following:</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5"/>
        </w:trPr>
        <w:tc>
          <w:tcPr>
            <w:tcW w:w="8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00" w:type="dxa"/>
            <w:vAlign w:val="bottom"/>
            <w:tcBorders>
              <w:bottom w:val="single" w:sz="8" w:color="auto"/>
            </w:tcBorders>
          </w:tcPr>
          <w:p>
            <w:pPr>
              <w:spacing w:after="0"/>
              <w:rPr>
                <w:sz w:val="21"/>
                <w:szCs w:val="21"/>
                <w:color w:val="auto"/>
              </w:rPr>
            </w:pPr>
          </w:p>
        </w:tc>
      </w:tr>
      <w:tr>
        <w:trPr>
          <w:trHeight w:val="212"/>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trade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138,591</w:t>
            </w: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116,465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90,667</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insurance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w:t>
            </w: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19,496</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10,414</w:t>
            </w:r>
          </w:p>
        </w:tc>
      </w:tr>
      <w:tr>
        <w:trPr>
          <w:trHeight w:val="21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41,819</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29,903</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363,582</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296,797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DEBT</w:t>
      </w:r>
    </w:p>
    <w:p>
      <w:pPr>
        <w:spacing w:after="0" w:line="247"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7"/>
          <w:szCs w:val="17"/>
          <w:color w:val="auto"/>
        </w:rPr>
        <w:t>We had no outstanding borrowings as of September 30, 2024 or 2023. At September 30, 2024, we had $4,756 in outstanding letters of credit and $143,381 of availability under our revolving credit facility. Any amounts outstanding under our revolving credit facility are due and payable in September 2026, upon expiration of our revolving credit facility, and all amounts described as available are available without triggering our financial covenants under the Amended Credit Agreement (as defined below).</w:t>
      </w:r>
    </w:p>
    <w:p>
      <w:pPr>
        <w:spacing w:after="0" w:line="19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The interest rate under our revolving credit facility was 6.33% at September 30, 2024. For the years ended September 30, 2024, 2023 and 2022, we incurred interest expense of $1,338, $3,022 and $2,970,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April 28, 2022 we entered into the Third Amended and Restated Credit and Security Agreement (the "Amended Credit Agreement"), which, among other things, increased the maximum borrowing amount under our revolving credit facility from $125,000 to $150,000. The Amended Credit Agreement also removed the aggregate cap on Company investments in certain securities and the cap on the Company’s ability to make stock repurchases, in each case subject to the satisfaction of certain liquidity requirements. The Amended Credit Agreement, which matures on September 30, 2026, contains customary affirmative, negative and financial covenants. As of September 30, 2024, the Company was in compliance with the financial covenants under the Amended Credit Agreement, requiring that we maintain:</w:t>
      </w:r>
    </w:p>
    <w:p>
      <w:pPr>
        <w:spacing w:after="0" w:line="199" w:lineRule="exact"/>
        <w:rPr>
          <w:sz w:val="20"/>
          <w:szCs w:val="20"/>
          <w:color w:val="auto"/>
        </w:rPr>
      </w:pPr>
    </w:p>
    <w:p>
      <w:pPr>
        <w:ind w:left="620" w:right="280" w:firstLine="2"/>
        <w:spacing w:after="0" w:line="287" w:lineRule="auto"/>
        <w:tabs>
          <w:tab w:leader="none" w:pos="7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77" w:lineRule="exact"/>
        <w:rPr>
          <w:rFonts w:ascii="Times New Roman" w:cs="Times New Roman" w:eastAsia="Times New Roman" w:hAnsi="Times New Roman"/>
          <w:sz w:val="17"/>
          <w:szCs w:val="17"/>
          <w:color w:val="auto"/>
        </w:rPr>
      </w:pPr>
    </w:p>
    <w:p>
      <w:pPr>
        <w:ind w:left="620" w:right="480" w:firstLine="2"/>
        <w:spacing w:after="0" w:line="287" w:lineRule="auto"/>
        <w:tabs>
          <w:tab w:leader="none" w:pos="7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ten percent (10%) of the Maximum Revolver Amount, or $15,000; with, for purposes of this covenant, at least fifty percent (50%) of our Liquidity comprised of Excess Availability (as defined in the Amended Credit Agreement).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At September 30, 2024, our Liquidity was $244,213, our Excess Availability was $143,381 (or greater than 50% of minimum Liquidity), and our Fixed Charge Coverage Ratio was 3.4:1.0.</w:t>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If in the future our Liquidity falls below the amount required by the Amended Credit Agreement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LEASES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Current operating lease liabilities were $21,981 and $19,496, respectively, as of September 30, 2024 and 2023, and current finance lease liabilities were $4,563 and $4,301, respectively, as of September 30, 2024 and 2023. Current operating and finance lease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8" w:name="page59"/>
    <w:bookmarkEnd w:id="58"/>
    <w:p>
      <w:pPr>
        <w:ind w:right="60"/>
        <w:spacing w:after="0" w:line="270" w:lineRule="auto"/>
        <w:rPr>
          <w:sz w:val="20"/>
          <w:szCs w:val="20"/>
          <w:color w:val="auto"/>
        </w:rPr>
      </w:pPr>
      <w:r>
        <w:rPr>
          <w:rFonts w:ascii="Times New Roman" w:cs="Times New Roman" w:eastAsia="Times New Roman" w:hAnsi="Times New Roman"/>
          <w:sz w:val="17"/>
          <w:szCs w:val="17"/>
          <w:color w:val="auto"/>
        </w:rPr>
        <w:t>liabilities were included in "Accounts payable and accrued expenses" in the Consolidated Balance Sheets as of September 30, 2024 and 2023. Non-current finance lease liabilities and finance lease right-of-use assets were included in the "Other non-current liabilities" and "Other non-current assets", respectively, in the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September 30, 2024, are as follows: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99"/>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Finance Leases</w:t>
            </w:r>
          </w:p>
        </w:tc>
        <w:tc>
          <w:tcPr>
            <w:tcW w:w="340" w:type="dxa"/>
            <w:vAlign w:val="bottom"/>
          </w:tcPr>
          <w:p>
            <w:pPr>
              <w:spacing w:after="0"/>
              <w:rPr>
                <w:sz w:val="24"/>
                <w:szCs w:val="24"/>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4,701</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27,188</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22,428</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15,674</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8,227</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3,467</w:t>
            </w:r>
          </w:p>
        </w:tc>
      </w:tr>
      <w:tr>
        <w:trPr>
          <w:trHeight w:val="212"/>
        </w:trPr>
        <w:tc>
          <w:tcPr>
            <w:tcW w:w="6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80,621</w:t>
            </w:r>
          </w:p>
        </w:tc>
      </w:tr>
      <w:tr>
        <w:trPr>
          <w:trHeight w:val="212"/>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7,901</w:t>
            </w:r>
          </w:p>
        </w:tc>
      </w:tr>
      <w:tr>
        <w:trPr>
          <w:trHeight w:val="237"/>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62,426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10,294</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72,720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September 30, 2024, is $8,542.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cost recognized in our Consolidated Statements of Comprehensive Income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9"/>
          </w:tcPr>
          <w:p>
            <w:pPr>
              <w:jc w:val="center"/>
              <w:ind w:right="460"/>
              <w:spacing w:after="0"/>
              <w:rPr>
                <w:sz w:val="20"/>
                <w:szCs w:val="20"/>
                <w:color w:val="auto"/>
              </w:rPr>
            </w:pPr>
            <w:r>
              <w:rPr>
                <w:rFonts w:ascii="Times New Roman" w:cs="Times New Roman" w:eastAsia="Times New Roman" w:hAnsi="Times New Roman"/>
                <w:sz w:val="17"/>
                <w:szCs w:val="17"/>
                <w:color w:val="auto"/>
                <w:w w:val="99"/>
              </w:rPr>
              <w:t>Year Ended September 30,</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0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514"/>
              <w:spacing w:after="0"/>
              <w:rPr>
                <w:sz w:val="20"/>
                <w:szCs w:val="20"/>
                <w:color w:val="auto"/>
              </w:rPr>
            </w:pPr>
            <w:r>
              <w:rPr>
                <w:rFonts w:ascii="Times New Roman" w:cs="Times New Roman" w:eastAsia="Times New Roman" w:hAnsi="Times New Roman"/>
                <w:sz w:val="17"/>
                <w:szCs w:val="17"/>
                <w:color w:val="auto"/>
                <w:w w:val="99"/>
              </w:rPr>
              <w:t>2023</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8"/>
                <w:szCs w:val="18"/>
                <w:color w:val="auto"/>
              </w:rPr>
            </w:pPr>
          </w:p>
        </w:tc>
      </w:tr>
      <w:tr>
        <w:trPr>
          <w:trHeight w:val="212"/>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21,933</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18,501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80" w:type="dxa"/>
            <w:vAlign w:val="bottom"/>
            <w:tcBorders>
              <w:left w:val="single" w:sz="8" w:color="CCEEFF"/>
            </w:tcBorders>
          </w:tcPr>
          <w:p>
            <w:pPr>
              <w:spacing w:after="0"/>
              <w:rPr>
                <w:sz w:val="18"/>
                <w:szCs w:val="18"/>
                <w:color w:val="auto"/>
              </w:rPr>
            </w:pPr>
          </w:p>
        </w:tc>
      </w:tr>
      <w:tr>
        <w:trPr>
          <w:trHeight w:val="219"/>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4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3,603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80" w:type="dxa"/>
            <w:vAlign w:val="bottom"/>
            <w:tcBorders>
              <w:left w:val="single" w:sz="8" w:color="CCEEFF"/>
            </w:tcBorders>
          </w:tcPr>
          <w:p>
            <w:pPr>
              <w:spacing w:after="0"/>
              <w:rPr>
                <w:sz w:val="19"/>
                <w:szCs w:val="19"/>
                <w:color w:val="auto"/>
              </w:rPr>
            </w:pPr>
          </w:p>
        </w:tc>
      </w:tr>
      <w:tr>
        <w:trPr>
          <w:trHeight w:val="219"/>
        </w:trPr>
        <w:tc>
          <w:tcPr>
            <w:tcW w:w="10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553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9"/>
                <w:szCs w:val="19"/>
                <w:color w:val="auto"/>
              </w:rPr>
            </w:pPr>
          </w:p>
        </w:tc>
      </w:tr>
      <w:tr>
        <w:trPr>
          <w:trHeight w:val="212"/>
        </w:trPr>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Finance lease cost</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left w:val="single" w:sz="8" w:color="CCEEFF"/>
            </w:tcBorders>
          </w:tcPr>
          <w:p>
            <w:pPr>
              <w:spacing w:after="0"/>
              <w:rPr>
                <w:sz w:val="18"/>
                <w:szCs w:val="18"/>
                <w:color w:val="auto"/>
              </w:rPr>
            </w:pPr>
          </w:p>
        </w:tc>
      </w:tr>
      <w:tr>
        <w:trPr>
          <w:trHeight w:val="219"/>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44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1,558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1,883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80" w:type="dxa"/>
            <w:vAlign w:val="bottom"/>
          </w:tcPr>
          <w:p>
            <w:pPr>
              <w:spacing w:after="0"/>
              <w:rPr>
                <w:sz w:val="19"/>
                <w:szCs w:val="19"/>
                <w:color w:val="auto"/>
              </w:rPr>
            </w:pPr>
          </w:p>
        </w:tc>
      </w:tr>
      <w:tr>
        <w:trPr>
          <w:trHeight w:val="219"/>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2,805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tcBorders>
              <w:left w:val="single" w:sz="8" w:color="CCEEFF"/>
            </w:tcBorders>
          </w:tcPr>
          <w:p>
            <w:pPr>
              <w:spacing w:after="0"/>
              <w:rPr>
                <w:sz w:val="19"/>
                <w:szCs w:val="19"/>
                <w:color w:val="auto"/>
              </w:rPr>
            </w:pPr>
          </w:p>
        </w:tc>
      </w:tr>
      <w:tr>
        <w:trPr>
          <w:trHeight w:val="212"/>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32,932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27,538</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22,324</w:t>
            </w:r>
          </w:p>
        </w:tc>
        <w:tc>
          <w:tcPr>
            <w:tcW w:w="8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2"/>
        </w:trPr>
        <w:tc>
          <w:tcPr>
            <w:tcW w:w="834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Consolidated Financial Statements is summarized as follows: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94"/>
              <w:spacing w:after="0"/>
              <w:rPr>
                <w:sz w:val="20"/>
                <w:szCs w:val="20"/>
                <w:color w:val="auto"/>
              </w:rPr>
            </w:pPr>
            <w:r>
              <w:rPr>
                <w:rFonts w:ascii="Times New Roman" w:cs="Times New Roman" w:eastAsia="Times New Roman" w:hAnsi="Times New Roman"/>
                <w:sz w:val="17"/>
                <w:szCs w:val="17"/>
                <w:color w:val="auto"/>
              </w:rPr>
              <w:t>Year Ended September 30,</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2024</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8"/>
                <w:szCs w:val="18"/>
                <w:color w:val="auto"/>
              </w:rPr>
            </w:pPr>
          </w:p>
        </w:tc>
      </w:tr>
      <w:tr>
        <w:trPr>
          <w:trHeight w:val="212"/>
        </w:trPr>
        <w:tc>
          <w:tcPr>
            <w:tcW w:w="100" w:type="dxa"/>
            <w:vAlign w:val="bottom"/>
          </w:tcPr>
          <w:p>
            <w:pPr>
              <w:spacing w:after="0"/>
              <w:rPr>
                <w:sz w:val="18"/>
                <w:szCs w:val="18"/>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24,381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20,799</w:t>
            </w:r>
          </w:p>
        </w:tc>
        <w:tc>
          <w:tcPr>
            <w:tcW w:w="8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21,795</w:t>
            </w:r>
          </w:p>
        </w:tc>
        <w:tc>
          <w:tcPr>
            <w:tcW w:w="28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31,422</w:t>
            </w:r>
          </w:p>
        </w:tc>
        <w:tc>
          <w:tcPr>
            <w:tcW w:w="8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5,973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7,950</w:t>
            </w:r>
          </w:p>
        </w:tc>
        <w:tc>
          <w:tcPr>
            <w:tcW w:w="80" w:type="dxa"/>
            <w:vAlign w:val="bottom"/>
          </w:tcPr>
          <w:p>
            <w:pPr>
              <w:spacing w:after="0"/>
              <w:rPr>
                <w:sz w:val="19"/>
                <w:szCs w:val="19"/>
                <w:color w:val="auto"/>
              </w:rPr>
            </w:pPr>
          </w:p>
        </w:tc>
      </w:tr>
      <w:tr>
        <w:trPr>
          <w:trHeight w:val="486"/>
        </w:trPr>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12"/>
        </w:trPr>
        <w:tc>
          <w:tcPr>
            <w:tcW w:w="10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2023</w:t>
            </w:r>
          </w:p>
        </w:tc>
        <w:tc>
          <w:tcPr>
            <w:tcW w:w="80" w:type="dxa"/>
            <w:vAlign w:val="bottom"/>
            <w:tcBorders>
              <w:bottom w:val="single" w:sz="8" w:color="auto"/>
            </w:tcBorders>
          </w:tcPr>
          <w:p>
            <w:pPr>
              <w:spacing w:after="0"/>
              <w:rPr>
                <w:sz w:val="18"/>
                <w:szCs w:val="18"/>
                <w:color w:val="auto"/>
              </w:rPr>
            </w:pPr>
          </w:p>
        </w:tc>
      </w:tr>
      <w:tr>
        <w:trPr>
          <w:trHeight w:val="21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years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 years</w:t>
            </w:r>
          </w:p>
        </w:tc>
      </w:tr>
      <w:tr>
        <w:trPr>
          <w:trHeight w:val="21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 years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 years</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5.1 %</w:t>
            </w:r>
          </w:p>
        </w:tc>
      </w:tr>
      <w:tr>
        <w:trPr>
          <w:trHeight w:val="22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leases with certain related parties which are included above, see Note 13, “Related-Party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 expense was $23,491, $20,384 and $18,426 for the years ended September 30, 2024, 2023 and 2022,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INCOME TAXES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38"/>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Federal and state income tax provisions are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9"/>
        </w:trPr>
        <w:tc>
          <w:tcPr>
            <w:tcW w:w="7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800" w:type="dxa"/>
            <w:vAlign w:val="bottom"/>
            <w:tcBorders>
              <w:bottom w:val="single" w:sz="8" w:color="auto"/>
            </w:tcBorders>
          </w:tcPr>
          <w:p>
            <w:pPr>
              <w:spacing w:after="0"/>
              <w:rPr>
                <w:sz w:val="24"/>
                <w:szCs w:val="24"/>
                <w:color w:val="auto"/>
              </w:rPr>
            </w:pPr>
          </w:p>
        </w:tc>
      </w:tr>
      <w:tr>
        <w:trPr>
          <w:trHeight w:val="212"/>
        </w:trPr>
        <w:tc>
          <w:tcPr>
            <w:tcW w:w="7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53,318</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27,205</w:t>
            </w:r>
          </w:p>
        </w:tc>
        <w:tc>
          <w:tcPr>
            <w:tcW w:w="14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9,401</w:t>
            </w: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w:t>
            </w:r>
          </w:p>
        </w:tc>
      </w:tr>
      <w:tr>
        <w:trPr>
          <w:trHeight w:val="21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7"/>
        </w:trPr>
        <w:tc>
          <w:tcPr>
            <w:tcW w:w="7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Actual income tax expense differs from income tax expense computed by applying the U.S. federal statutory corporate rate to income (loss) before income taxes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7"/>
                <w:szCs w:val="17"/>
                <w:color w:val="auto"/>
              </w:rPr>
              <w:t>Year Ended September 30,</w:t>
            </w:r>
          </w:p>
        </w:tc>
        <w:tc>
          <w:tcPr>
            <w:tcW w:w="940" w:type="dxa"/>
            <w:vAlign w:val="bottom"/>
            <w:tcBorders>
              <w:bottom w:val="single" w:sz="8" w:color="auto"/>
            </w:tcBorders>
          </w:tcPr>
          <w:p>
            <w:pPr>
              <w:spacing w:after="0"/>
              <w:rPr>
                <w:sz w:val="19"/>
                <w:szCs w:val="19"/>
                <w:color w:val="auto"/>
              </w:rPr>
            </w:pPr>
          </w:p>
        </w:tc>
      </w:tr>
      <w:tr>
        <w:trPr>
          <w:trHeight w:val="212"/>
        </w:trPr>
        <w:tc>
          <w:tcPr>
            <w:tcW w:w="7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at the federal statutory rate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11,130</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resulting from: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income taxes, net of federal deduction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tax liabilities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resulting from: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Noncontrolling interest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Contingent tax liabilities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Component 2 goodwill utilization</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60" w:name="page61"/>
    <w:bookmarkEnd w:id="60"/>
    <w:p>
      <w:pPr>
        <w:ind w:right="220"/>
        <w:spacing w:after="0" w:line="287" w:lineRule="auto"/>
        <w:rPr>
          <w:sz w:val="20"/>
          <w:szCs w:val="20"/>
          <w:color w:val="auto"/>
        </w:rPr>
      </w:pPr>
      <w:r>
        <w:rPr>
          <w:rFonts w:ascii="Times New Roman" w:cs="Times New Roman" w:eastAsia="Times New Roman" w:hAnsi="Times New Roman"/>
          <w:sz w:val="17"/>
          <w:szCs w:val="17"/>
          <w:color w:val="auto"/>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00" w:type="dxa"/>
            <w:vAlign w:val="bottom"/>
            <w:tcBorders>
              <w:bottom w:val="single" w:sz="8" w:color="auto"/>
            </w:tcBorders>
          </w:tcPr>
          <w:p>
            <w:pPr>
              <w:spacing w:after="0"/>
              <w:rPr>
                <w:sz w:val="19"/>
                <w:szCs w:val="19"/>
                <w:color w:val="auto"/>
              </w:rPr>
            </w:pPr>
          </w:p>
        </w:tc>
      </w:tr>
      <w:tr>
        <w:trPr>
          <w:trHeight w:val="212"/>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4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18,167</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Various reserves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Partnerships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7,539</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asset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14,207</w:t>
            </w:r>
          </w:p>
        </w:tc>
      </w:tr>
      <w:tr>
        <w:trPr>
          <w:trHeight w:val="219"/>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48,559</w:t>
            </w:r>
          </w:p>
        </w:tc>
      </w:tr>
      <w:tr>
        <w:trPr>
          <w:trHeight w:val="21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49,251</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47,736</w:t>
            </w:r>
          </w:p>
        </w:tc>
      </w:tr>
      <w:tr>
        <w:trPr>
          <w:trHeight w:val="19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9,984</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14,102</w:t>
            </w:r>
          </w:p>
        </w:tc>
      </w:tr>
      <w:tr>
        <w:trPr>
          <w:trHeight w:val="219"/>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26,793</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27,353</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22,458</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fiscal 2024 and 2023, the valuation allowance on our deferred tax assets increased by $138 and decreased by $52, respectively, which is included in “Provision for income taxes” in our Consolidated Statements of Comprehensive Income.</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of September 30, 2024, we had available approximately $4,493 of federal net tax operating loss carry forward for federal income tax purposes. This carry forward, which may provide future tax benefits, is subject to an annual limitation of $709 under Section 382 of the Internal Revenue Code and will begin to expire in 2029. As of September 30, 2024, we had available approximately $40,085 state net tax operating loss carry forwards, including $1,665 from net operating losses on which no tax benefit has been recognized and has not been recorded as a deferred tax asset. The significant majority of these carry forwards, which may provide future tax benefits, will not begin to expire until 2026. We have provided valuation allowances on all net operating losses where it is determined it is more likely than not that they will expire without being utilized.</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assessing the realizability of deferred tax assets at September 30, 2024,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As a result, we have recorded a net deferred tax asset of $22,458 on our Consolidated Balance Sheets. We will continue to evaluate the appropriateness of our remaining deferred tax assets and need for valuation allowances on a quarterly basis.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A reconciliation of the beginning and ending balances of unrecognized tax benefit is as follows: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5"/>
        </w:trPr>
        <w:tc>
          <w:tcPr>
            <w:tcW w:w="8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color w:val="auto"/>
              </w:rPr>
              <w:t>Year Ended September 30,</w:t>
            </w:r>
          </w:p>
        </w:tc>
      </w:tr>
      <w:tr>
        <w:trPr>
          <w:trHeight w:val="212"/>
        </w:trPr>
        <w:tc>
          <w:tcPr>
            <w:tcW w:w="8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21,746</w:t>
            </w: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for positions of prior years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 resulting from the lapse of the applicable statutes of limitations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16,881</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22,347</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As of September 30, 2024 and 2023, $16,881 and $22,347, respectively, of unrecognized tax benefits would result in a decrease in the provision for income tax expense. We anticipate that approximately $10,792 in liabilities for unrecognized tax benefits, including accrued interest, primarily from net operating losses on which no tax benefit has been recognized, may be reversed in the next twelve months. The reversal is predominantly due to the expiration of the statutes of limitation for unrecognized tax benefits.</w:t>
      </w:r>
    </w:p>
    <w:p>
      <w:pPr>
        <w:spacing w:after="0" w:line="1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We had approximately $1,452 and $697 accrued for the payment of interest and penalties at September 30, 2024 and 2023, respectively. We recognize interest and penalties related to unrecognized tax benefits as part of the provision for income taxes.</w:t>
      </w:r>
    </w:p>
    <w:p>
      <w:pPr>
        <w:spacing w:after="0" w:line="1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tax years ended September 30, 2021, and forward are subject to federal audit as are tax years prior to September 30, 2021, to the extent of unutilized net operating losses generated in those years. The tax years ended September 30, 2020, and forward are subject to state audits as are tax years prior to September 30, 2020, to the extent of unutilized net operating losses generated in those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640" w:firstLine="3"/>
        <w:spacing w:after="0" w:line="266" w:lineRule="auto"/>
        <w:tabs>
          <w:tab w:leader="none" w:pos="17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CODM reviews operating results for the purposes of allocating resources and assessing performance. The Company’s CODM is its Chief Executive Officer.</w:t>
      </w:r>
    </w:p>
    <w:p>
      <w:pPr>
        <w:spacing w:after="0" w:line="194"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office provides general and administrative services, as well as support services, to our four operating segments. Management allocates certain shared costs among segments for selling, general and administrative expenses and depreciation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years ended September 30, 2024, 2023 and 2022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7"/>
                <w:szCs w:val="17"/>
                <w:color w:val="auto"/>
              </w:rPr>
              <w:t>Year Ended September 30, 2024</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Communications</w:t>
            </w:r>
          </w:p>
        </w:tc>
        <w:tc>
          <w:tcPr>
            <w:tcW w:w="160" w:type="dxa"/>
            <w:vAlign w:val="bottom"/>
          </w:tcPr>
          <w:p>
            <w:pPr>
              <w:spacing w:after="0"/>
              <w:rPr>
                <w:sz w:val="12"/>
                <w:szCs w:val="12"/>
                <w:color w:val="auto"/>
              </w:rPr>
            </w:pPr>
          </w:p>
        </w:tc>
        <w:tc>
          <w:tcPr>
            <w:tcW w:w="960" w:type="dxa"/>
            <w:vAlign w:val="bottom"/>
            <w:vMerge w:val="restart"/>
          </w:tcPr>
          <w:p>
            <w:pPr>
              <w:jc w:val="right"/>
              <w:ind w:right="135"/>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color w:val="auto"/>
              </w:rPr>
              <w:t>Commercial &amp;</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Corporate</w:t>
            </w:r>
          </w:p>
        </w:tc>
        <w:tc>
          <w:tcPr>
            <w:tcW w:w="24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Industrial</w:t>
            </w: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1,388,840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2,884,358</w:t>
            </w: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Cost of services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1,024,440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2,187,768</w:t>
            </w: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696,590</w:t>
            </w: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396,684</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Gain on sale of assets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(1,354)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137,347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300,876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37,103</w:t>
            </w:r>
          </w:p>
        </w:tc>
        <w:tc>
          <w:tcPr>
            <w:tcW w:w="0" w:type="dxa"/>
            <w:vAlign w:val="bottom"/>
          </w:tcPr>
          <w:p>
            <w:pPr>
              <w:spacing w:after="0"/>
              <w:rPr>
                <w:sz w:val="1"/>
                <w:szCs w:val="1"/>
                <w:color w:val="auto"/>
              </w:rPr>
            </w:pPr>
          </w:p>
        </w:tc>
      </w:tr>
      <w:tr>
        <w:trPr>
          <w:trHeight w:val="219"/>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45,159</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288,765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0" w:type="dxa"/>
            <w:vAlign w:val="bottom"/>
          </w:tcPr>
          <w:p>
            <w:pPr>
              <w:spacing w:after="0"/>
              <w:rPr>
                <w:sz w:val="1"/>
                <w:szCs w:val="1"/>
                <w:color w:val="auto"/>
              </w:rPr>
            </w:pPr>
          </w:p>
        </w:tc>
      </w:tr>
      <w:tr>
        <w:trPr>
          <w:trHeight w:val="697"/>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3"/>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7"/>
                <w:szCs w:val="17"/>
                <w:color w:val="auto"/>
              </w:rPr>
              <w:t>Year Ended September 30, 2023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Communications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Residential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Infrastructure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5"/>
                <w:szCs w:val="15"/>
                <w:color w:val="auto"/>
              </w:rPr>
              <w:t>Commercial &amp;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Corporate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Solutions</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Industrial</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Revenues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Cost of services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494,964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1,026,524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162,905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248,295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Gross profit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(1,029)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(13,198)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19,272</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(23,066)</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40" w:type="dxa"/>
            <w:vAlign w:val="bottom"/>
          </w:tcPr>
          <w:p>
            <w:pPr>
              <w:spacing w:after="0"/>
              <w:rPr>
                <w:sz w:val="19"/>
                <w:szCs w:val="19"/>
                <w:color w:val="auto"/>
              </w:rPr>
            </w:pPr>
          </w:p>
        </w:tc>
        <w:tc>
          <w:tcPr>
            <w:tcW w:w="36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205,924</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386,829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180,871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120,299</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3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420"/>
              <w:spacing w:after="0"/>
              <w:rPr>
                <w:sz w:val="20"/>
                <w:szCs w:val="20"/>
                <w:color w:val="auto"/>
              </w:rPr>
            </w:pPr>
            <w:r>
              <w:rPr>
                <w:rFonts w:ascii="Times New Roman" w:cs="Times New Roman" w:eastAsia="Times New Roman" w:hAnsi="Times New Roman"/>
                <w:sz w:val="17"/>
                <w:szCs w:val="17"/>
                <w:color w:val="auto"/>
              </w:rPr>
              <w:t>Year Ended September 30, 2022</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Communications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Residential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Infrastructure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5"/>
                <w:szCs w:val="15"/>
                <w:color w:val="auto"/>
              </w:rPr>
              <w:t>Commercial &amp;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w w:val="99"/>
              </w:rPr>
              <w:t>Corporate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Solutions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Industrial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Revenues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Cost of services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490,959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290,314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203,253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318,930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10,054</w:t>
            </w:r>
          </w:p>
        </w:tc>
        <w:tc>
          <w:tcPr>
            <w:tcW w:w="40" w:type="dxa"/>
            <w:vAlign w:val="bottom"/>
          </w:tcPr>
          <w:p>
            <w:pPr>
              <w:spacing w:after="0"/>
              <w:rPr>
                <w:sz w:val="19"/>
                <w:szCs w:val="19"/>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14,729</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40" w:type="dxa"/>
            <w:vAlign w:val="bottom"/>
          </w:tcPr>
          <w:p>
            <w:pPr>
              <w:spacing w:after="0"/>
              <w:rPr>
                <w:sz w:val="19"/>
                <w:szCs w:val="19"/>
                <w:color w:val="auto"/>
              </w:rPr>
            </w:pP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210,875</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394,757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161,828</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52,720</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934,709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581,169 shares were available for issuance at September 30, 2024.</w:t>
      </w:r>
    </w:p>
    <w:p>
      <w:pPr>
        <w:spacing w:after="0" w:line="1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in 2019, our Board authorized the repurchase from time to time of an additional 1.0 million shares of the Company's common stock under the stock repurchase program. In December 2022, our Board of Directors terminated our previous stock repurchase program and authorized a new $40,000 stock repurchase program. On July 31, 2024, the Board authorized a new $200,000 stock repurchase program after the $40,000 stock repurchase program was fully utilized. Share purchases are made for cash</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63" w:name="page64"/>
    <w:bookmarkEnd w:id="63"/>
    <w:p>
      <w:pPr>
        <w:spacing w:after="0" w:line="261" w:lineRule="auto"/>
        <w:rPr>
          <w:sz w:val="20"/>
          <w:szCs w:val="20"/>
          <w:color w:val="auto"/>
        </w:rPr>
      </w:pPr>
      <w:r>
        <w:rPr>
          <w:rFonts w:ascii="Times New Roman" w:cs="Times New Roman" w:eastAsia="Times New Roman" w:hAnsi="Times New Roman"/>
          <w:sz w:val="17"/>
          <w:szCs w:val="17"/>
          <w:color w:val="auto"/>
        </w:rPr>
        <w:t>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w:t>
      </w:r>
    </w:p>
    <w:p>
      <w:pPr>
        <w:spacing w:after="0" w:line="20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We repurchased 289,284 and 224,013 shares of our common stock in open market transactions at an average price of $136.34 and $31.06 per share during the years ended September 30,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2024, we issued 104,600 shares of treasury stock to employees and repurchased 40,308 shares of common stock from our employees to satisfy statutory tax withholding requirements upon the vesting of certain performance phantom stock units under the Equity Incentive Plan. We also repurchased 289,284 shares of common stock on the open market pursuant to our stock repurchase program. During the year ended September 30, 2024, we issued 2,500 shares of treasury stock to satisfy the exercise of outstanding options, of which 56 shares were repurchased to pay the exercise price of options. We had no outstanding unexercised stock options remaining as of September 30, 2024.</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2023, we issued 105,755 shares of treasury stock to employees and repurchased 32,158 shares of common stock from our employees to satisfy statutory tax withholding requirements upon the vesting of certain performance phantom stock units under the Equity Incentive Plan. We also repurchased 224,013 shares of common stock on the open market pursuant to our stock repurchase program, and 266 shares of restricted stock awards were forfeited by former employees and returned to treasury stock. During the year ended September 30, 2023, we issued 3,000 unrestricted shares to satisfy the exercise of outstanding options.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24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We did not have any unvested restricted stock awards outstanding or related activity during the year ended September 30, 2024. A summary of restricted stock awards for the years ended September 30, 2023 and 2022 is provided in the table below:</w:t>
      </w:r>
    </w:p>
    <w:p>
      <w:pPr>
        <w:spacing w:after="0" w:line="216" w:lineRule="exact"/>
        <w:rPr>
          <w:sz w:val="20"/>
          <w:szCs w:val="20"/>
          <w:color w:val="auto"/>
        </w:rPr>
      </w:pPr>
    </w:p>
    <w:tbl>
      <w:tblPr>
        <w:tblLayout w:type="fixed"/>
        <w:tblInd w:w="960" w:type="dxa"/>
        <w:tblCellMar>
          <w:top w:w="0" w:type="dxa"/>
          <w:left w:w="0" w:type="dxa"/>
          <w:bottom w:w="0" w:type="dxa"/>
          <w:right w:w="0" w:type="dxa"/>
        </w:tblCellMar>
      </w:tblPr>
      <w:tr>
        <w:trPr>
          <w:trHeight w:val="223"/>
        </w:trPr>
        <w:tc>
          <w:tcPr>
            <w:tcW w:w="6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7"/>
                <w:szCs w:val="17"/>
                <w:color w:val="auto"/>
              </w:rPr>
              <w:t>Year Ended September 30,</w:t>
            </w:r>
          </w:p>
        </w:tc>
      </w:tr>
      <w:tr>
        <w:trPr>
          <w:trHeight w:val="212"/>
        </w:trPr>
        <w:tc>
          <w:tcPr>
            <w:tcW w:w="6040" w:type="dxa"/>
            <w:vAlign w:val="bottom"/>
          </w:tcPr>
          <w:p>
            <w:pPr>
              <w:spacing w:after="0"/>
              <w:rPr>
                <w:sz w:val="18"/>
                <w:szCs w:val="18"/>
                <w:color w:val="auto"/>
              </w:rPr>
            </w:pPr>
          </w:p>
        </w:tc>
        <w:tc>
          <w:tcPr>
            <w:tcW w:w="1640" w:type="dxa"/>
            <w:vAlign w:val="bottom"/>
            <w:gridSpan w:val="2"/>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Unvested at beginning of year</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16,757</w:t>
            </w:r>
          </w:p>
        </w:tc>
      </w:tr>
      <w:tr>
        <w:trPr>
          <w:trHeight w:val="219"/>
        </w:trPr>
        <w:tc>
          <w:tcPr>
            <w:tcW w:w="6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w:t>
            </w:r>
          </w:p>
        </w:tc>
      </w:tr>
      <w:tr>
        <w:trPr>
          <w:trHeight w:val="219"/>
        </w:trPr>
        <w:tc>
          <w:tcPr>
            <w:tcW w:w="6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Unvested at end of year</w:t>
            </w:r>
          </w:p>
        </w:tc>
        <w:tc>
          <w:tcPr>
            <w:tcW w:w="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 of shares vesting during the years ended September 30, 2023 and 2022 was $461 and $150, respectively. Fair value was calculated as the number of shares vested times the market price of shares on the date of vesting.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the restricted shares granted under the Equity Incentive Plan (vested or unvested) participate in dividends issued to common shareholders, if 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We record compensation expense for the full value of the grant on the date of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4" w:name="page65"/>
    <w:bookmarkEnd w:id="64"/>
    <w:p>
      <w:pPr>
        <w:ind w:right="160"/>
        <w:spacing w:after="0" w:line="264" w:lineRule="auto"/>
        <w:rPr>
          <w:sz w:val="20"/>
          <w:szCs w:val="20"/>
          <w:color w:val="auto"/>
        </w:rPr>
      </w:pPr>
      <w:r>
        <w:rPr>
          <w:rFonts w:ascii="Times New Roman" w:cs="Times New Roman" w:eastAsia="Times New Roman" w:hAnsi="Times New Roman"/>
          <w:sz w:val="17"/>
          <w:szCs w:val="17"/>
          <w:color w:val="auto"/>
        </w:rPr>
        <w:t>The vesting of these awards is subject to either the achievement of specified levels of cumulative net income before taxes (a performance condition) or specified stock price levels (a market condition) and continued performance of services, or based on continued performance of services through the vesting date alone. For stock awards where vesting depends on achievement of a performance condition, we record expense when we conclude it is probable that the performance condition will be met. At September 30, 2024, it is deemed probable that the portion of the awards that vest based on performance conditions will vest.</w:t>
      </w:r>
    </w:p>
    <w:p>
      <w:pPr>
        <w:spacing w:after="0" w:line="19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A summary of Employee PSU activity for the year ended September 30, 2024, which are subject to the achievement of certain performance metrics, is provided in the table below:</w:t>
      </w: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219"/>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at September 30,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325,813</w:t>
            </w:r>
          </w:p>
        </w:tc>
      </w:tr>
      <w:tr>
        <w:trPr>
          <w:trHeight w:val="219"/>
        </w:trPr>
        <w:tc>
          <w:tcPr>
            <w:tcW w:w="6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86,563</w:t>
            </w:r>
          </w:p>
        </w:tc>
      </w:tr>
      <w:tr>
        <w:trPr>
          <w:trHeight w:val="21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(99,579)</w:t>
            </w:r>
          </w:p>
        </w:tc>
      </w:tr>
      <w:tr>
        <w:trPr>
          <w:trHeight w:val="219"/>
        </w:trPr>
        <w:tc>
          <w:tcPr>
            <w:tcW w:w="6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(12,496)</w:t>
            </w:r>
          </w:p>
        </w:tc>
      </w:tr>
      <w:tr>
        <w:trPr>
          <w:trHeight w:val="237"/>
        </w:trPr>
        <w:tc>
          <w:tcPr>
            <w:tcW w:w="6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at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300,301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years ended September 30, 2024, 2023 and 2022 is provided in the table below:</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color w:val="auto"/>
                <w:w w:val="99"/>
              </w:rPr>
              <w:t>Year Ended September 30,</w:t>
            </w:r>
          </w:p>
        </w:tc>
        <w:tc>
          <w:tcPr>
            <w:tcW w:w="1200" w:type="dxa"/>
            <w:vAlign w:val="bottom"/>
            <w:tcBorders>
              <w:bottom w:val="single" w:sz="8" w:color="auto"/>
            </w:tcBorders>
          </w:tcPr>
          <w:p>
            <w:pPr>
              <w:spacing w:after="0"/>
              <w:rPr>
                <w:sz w:val="19"/>
                <w:szCs w:val="19"/>
                <w:color w:val="auto"/>
              </w:rPr>
            </w:pPr>
          </w:p>
        </w:tc>
      </w:tr>
      <w:tr>
        <w:trPr>
          <w:trHeight w:val="212"/>
        </w:trPr>
        <w:tc>
          <w:tcPr>
            <w:tcW w:w="5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Restricted stock awards</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9"/>
        </w:trPr>
        <w:tc>
          <w:tcPr>
            <w:tcW w:w="5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Director PSUs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5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19"/>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Employee PSUs</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w:t>
            </w:r>
          </w:p>
        </w:tc>
        <w:tc>
          <w:tcPr>
            <w:tcW w:w="50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RELATED-PARTY TRANSACTIONS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is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On August 1, 2024, the Company entered into an amendment of the sublease agreement to extend the term of the agreement through September 30, 2025, effective September 1, 2024. Payments by the Company are at a rate consistent with that paid by Tontine Associates to its landlord. See Note 3, “Controlling Shareholder” for additional information regarding Tontine.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$6,163, $5,309, and $4,494 in matching expenses in fiscal years 2024, 2023 and 2022,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Savings Plan</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2024, 2023 and 2022 was deferred under this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Multiemployer Pension Plan</w:t>
      </w:r>
    </w:p>
    <w:p>
      <w:pPr>
        <w:spacing w:after="0" w:line="24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The Infrastructure Solutions segment participates in a multiemployer direct benefit pension plan for employees covered under one of our collective bargaining agreements. We do not administer the plan. We do not significantly participate in this plan. As of December 31, 2023, this plan was funded at 92.57%.</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FAIR VALUE MEASUREMENTS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94"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7"/>
          <w:szCs w:val="17"/>
          <w:color w:val="auto"/>
        </w:rPr>
        <w:t>At September 30, 2024, financial assets and liabilities measured at fair value on a recurring basis were limited to investments in equity securities and debt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spacing w:after="0" w:line="20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Financial assets (liabilities) measured at fair value on a recurring basis as of September 30, 2024 and 2023,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2024</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rPr>
              <w:t>Quoted Prices</w:t>
            </w:r>
          </w:p>
        </w:tc>
        <w:tc>
          <w:tcPr>
            <w:tcW w:w="160" w:type="dxa"/>
            <w:vAlign w:val="bottom"/>
          </w:tcPr>
          <w:p>
            <w:pPr>
              <w:spacing w:after="0"/>
              <w:rPr>
                <w:sz w:val="14"/>
                <w:szCs w:val="14"/>
                <w:color w:val="auto"/>
              </w:rPr>
            </w:pPr>
          </w:p>
        </w:tc>
        <w:tc>
          <w:tcPr>
            <w:tcW w:w="122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w w:val="99"/>
              </w:rPr>
              <w:t>Unobservable</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(Level 1)</w:t>
            </w:r>
          </w:p>
        </w:tc>
        <w:tc>
          <w:tcPr>
            <w:tcW w:w="160" w:type="dxa"/>
            <w:vAlign w:val="bottom"/>
          </w:tcPr>
          <w:p>
            <w:pPr>
              <w:spacing w:after="0"/>
              <w:rPr>
                <w:sz w:val="19"/>
                <w:szCs w:val="19"/>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 classified as trading securities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(3,468)</w:t>
            </w:r>
          </w:p>
        </w:tc>
        <w:tc>
          <w:tcPr>
            <w:tcW w:w="0" w:type="dxa"/>
            <w:vAlign w:val="bottom"/>
          </w:tcPr>
          <w:p>
            <w:pPr>
              <w:spacing w:after="0"/>
              <w:rPr>
                <w:sz w:val="1"/>
                <w:szCs w:val="1"/>
                <w:color w:val="auto"/>
              </w:rPr>
            </w:pPr>
          </w:p>
        </w:tc>
      </w:tr>
      <w:tr>
        <w:trPr>
          <w:trHeight w:val="212"/>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31,669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35,137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(3,468)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2023</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rPr>
              <w:t>Quoted Prices</w:t>
            </w:r>
          </w:p>
        </w:tc>
        <w:tc>
          <w:tcPr>
            <w:tcW w:w="160" w:type="dxa"/>
            <w:vAlign w:val="bottom"/>
          </w:tcPr>
          <w:p>
            <w:pPr>
              <w:spacing w:after="0"/>
              <w:rPr>
                <w:sz w:val="13"/>
                <w:szCs w:val="13"/>
                <w:color w:val="auto"/>
              </w:rPr>
            </w:pPr>
          </w:p>
        </w:tc>
        <w:tc>
          <w:tcPr>
            <w:tcW w:w="12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9"/>
              </w:rPr>
              <w:t>Unobservable</w:t>
            </w:r>
          </w:p>
        </w:tc>
        <w:tc>
          <w:tcPr>
            <w:tcW w:w="0" w:type="dxa"/>
            <w:vAlign w:val="bottom"/>
          </w:tcPr>
          <w:p>
            <w:pPr>
              <w:spacing w:after="0"/>
              <w:rPr>
                <w:sz w:val="1"/>
                <w:szCs w:val="1"/>
                <w:color w:val="auto"/>
              </w:rPr>
            </w:pPr>
          </w:p>
        </w:tc>
      </w:tr>
      <w:tr>
        <w:trPr>
          <w:trHeight w:val="232"/>
        </w:trPr>
        <w:tc>
          <w:tcPr>
            <w:tcW w:w="6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(Level 1)</w:t>
            </w:r>
          </w:p>
        </w:tc>
        <w:tc>
          <w:tcPr>
            <w:tcW w:w="160" w:type="dxa"/>
            <w:vAlign w:val="bottom"/>
          </w:tcPr>
          <w:p>
            <w:pPr>
              <w:spacing w:after="0"/>
              <w:rPr>
                <w:sz w:val="20"/>
                <w:szCs w:val="20"/>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12"/>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Investments in equity securities and debt securities, all of which are classified as trading securities and mature after one year and before five years at September 30, 2024, were included in “Marketable securities” in our Consolidated Balance Sheets. Gains and losses to measure our investments in equity and debt securities at fair value were included in Other (income) expense, net in our Consolidated Statements of Comprehensive Income. Our unrealized net gains (losses), which are calculated as total net gains (losses) recognized during the period less net gains (losses) recognized on securities sold during the period,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right="194"/>
              <w:spacing w:after="0"/>
              <w:rPr>
                <w:sz w:val="20"/>
                <w:szCs w:val="20"/>
                <w:color w:val="auto"/>
              </w:rPr>
            </w:pPr>
            <w:r>
              <w:rPr>
                <w:rFonts w:ascii="Times New Roman" w:cs="Times New Roman" w:eastAsia="Times New Roman" w:hAnsi="Times New Roman"/>
                <w:sz w:val="17"/>
                <w:szCs w:val="17"/>
                <w:color w:val="auto"/>
                <w:w w:val="99"/>
              </w:rPr>
              <w:t>Year Ended September 30,</w:t>
            </w:r>
          </w:p>
        </w:tc>
        <w:tc>
          <w:tcPr>
            <w:tcW w:w="118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r>
      <w:tr>
        <w:trPr>
          <w:trHeight w:val="212"/>
        </w:trPr>
        <w:tc>
          <w:tcPr>
            <w:tcW w:w="86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Pr>
          <w:p>
            <w:pPr>
              <w:spacing w:after="0"/>
              <w:rPr>
                <w:sz w:val="18"/>
                <w:szCs w:val="18"/>
                <w:color w:val="auto"/>
              </w:rPr>
            </w:pPr>
          </w:p>
        </w:tc>
      </w:tr>
      <w:tr>
        <w:trPr>
          <w:trHeight w:val="212"/>
        </w:trPr>
        <w:tc>
          <w:tcPr>
            <w:tcW w:w="860" w:type="dxa"/>
            <w:vAlign w:val="bottom"/>
          </w:tcPr>
          <w:p>
            <w:pPr>
              <w:spacing w:after="0"/>
              <w:rPr>
                <w:sz w:val="18"/>
                <w:szCs w:val="18"/>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Unrealized gain on equity securities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r>
      <w:tr>
        <w:trPr>
          <w:trHeight w:val="219"/>
        </w:trPr>
        <w:tc>
          <w:tcPr>
            <w:tcW w:w="860" w:type="dxa"/>
            <w:vAlign w:val="bottom"/>
          </w:tcPr>
          <w:p>
            <w:pPr>
              <w:spacing w:after="0"/>
              <w:rPr>
                <w:sz w:val="19"/>
                <w:szCs w:val="19"/>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Unrealized gain on debt securities</w:t>
            </w: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r>
      <w:tr>
        <w:trPr>
          <w:trHeight w:val="237"/>
        </w:trPr>
        <w:tc>
          <w:tcPr>
            <w:tcW w:w="860" w:type="dxa"/>
            <w:vAlign w:val="bottom"/>
          </w:tcPr>
          <w:p>
            <w:pPr>
              <w:spacing w:after="0"/>
              <w:rPr>
                <w:sz w:val="20"/>
                <w:szCs w:val="20"/>
                <w:color w:val="auto"/>
              </w:rPr>
            </w:pPr>
          </w:p>
        </w:tc>
        <w:tc>
          <w:tcPr>
            <w:tcW w:w="3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unrealized gain on trading securities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68"/>
        </w:trPr>
        <w:tc>
          <w:tcPr>
            <w:tcW w:w="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20" w:type="dxa"/>
            <w:vAlign w:val="bottom"/>
            <w:gridSpan w:val="2"/>
          </w:tcPr>
          <w:p>
            <w:pPr>
              <w:jc w:val="right"/>
              <w:ind w:right="854"/>
              <w:spacing w:after="0"/>
              <w:rPr>
                <w:sz w:val="20"/>
                <w:szCs w:val="20"/>
                <w:color w:val="auto"/>
              </w:rPr>
            </w:pPr>
            <w:r>
              <w:rPr>
                <w:rFonts w:ascii="Times New Roman" w:cs="Times New Roman" w:eastAsia="Times New Roman" w:hAnsi="Times New Roman"/>
                <w:sz w:val="17"/>
                <w:szCs w:val="17"/>
                <w:color w:val="auto"/>
              </w:rPr>
              <w:t>64</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8"/>
        </w:trPr>
        <w:tc>
          <w:tcPr>
            <w:tcW w:w="8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66" w:name="page67"/>
    <w:bookmarkEnd w:id="66"/>
    <w:p>
      <w:pPr>
        <w:ind w:right="60"/>
        <w:spacing w:after="0" w:line="261" w:lineRule="auto"/>
        <w:rPr>
          <w:sz w:val="20"/>
          <w:szCs w:val="20"/>
          <w:color w:val="auto"/>
        </w:rPr>
      </w:pPr>
      <w:r>
        <w:rPr>
          <w:rFonts w:ascii="Times New Roman" w:cs="Times New Roman" w:eastAsia="Times New Roman" w:hAnsi="Times New Roman"/>
          <w:sz w:val="17"/>
          <w:szCs w:val="17"/>
          <w:color w:val="auto"/>
        </w:rPr>
        <w:t>On April 1, 2024, we entered into a contingent consideration arrangement valued at $2,790 in connection with the acquisition of Greiner Industries, Inc. For more information, refer to Note 19, “Business Combinations and Divestitures.” The contingent consideration obligation related to Bayonet, which was acquired in fiscal year 2021, was settled in cash for $4,500 in December 2023. Net adjustments to fair value of such liabilities were included in Contingent consideration in our Consolidated Statements of Comprehensive Income. The table below presents the fair value of this obligation, which used significant unobservable inputs (Level 3).</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Fair value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-121285</wp:posOffset>
            </wp:positionV>
            <wp:extent cx="4747895" cy="139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47895" cy="139065"/>
                    </a:xfrm>
                    <a:prstGeom prst="rect">
                      <a:avLst/>
                    </a:prstGeom>
                    <a:noFill/>
                  </pic:spPr>
                </pic:pic>
              </a:graphicData>
            </a:graphic>
          </wp:anchor>
        </w:drawing>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Net adjustments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14605</wp:posOffset>
            </wp:positionV>
            <wp:extent cx="4747895" cy="147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7895" cy="147320"/>
                    </a:xfrm>
                    <a:prstGeom prst="rect">
                      <a:avLst/>
                    </a:prstGeom>
                    <a:noFill/>
                  </pic:spPr>
                </pic:pic>
              </a:graphicData>
            </a:graphic>
          </wp:anchor>
        </w:drawing>
      </w:r>
    </w:p>
    <w:p>
      <w:pPr>
        <w:spacing w:after="0" w:line="1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Fair value at September 30, 2023</w:t>
      </w:r>
    </w:p>
    <w:p>
      <w:pPr>
        <w:spacing w:after="0" w:line="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14605</wp:posOffset>
            </wp:positionV>
            <wp:extent cx="4747895" cy="139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7895" cy="139065"/>
                    </a:xfrm>
                    <a:prstGeom prst="rect">
                      <a:avLst/>
                    </a:prstGeom>
                    <a:noFill/>
                  </pic:spPr>
                </pic:pic>
              </a:graphicData>
            </a:graphic>
          </wp:anchor>
        </w:drawing>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Net adjustments to fair value</w:t>
      </w:r>
    </w:p>
    <w:p>
      <w:pPr>
        <w:spacing w:after="0" w:line="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14605</wp:posOffset>
            </wp:positionV>
            <wp:extent cx="4747895" cy="163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47895" cy="163830"/>
                    </a:xfrm>
                    <a:prstGeom prst="rect">
                      <a:avLst/>
                    </a:prstGeom>
                    <a:noFill/>
                  </pic:spPr>
                </pic:pic>
              </a:graphicData>
            </a:graphic>
          </wp:anchor>
        </w:drawing>
      </w:r>
    </w:p>
    <w:p>
      <w:pPr>
        <w:spacing w:after="0" w:line="3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Fair value at September 30, 2024</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description of the inputs used to value the assets summarized in the preceding tables: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Level 1</w:t>
      </w:r>
      <w:r>
        <w:rPr>
          <w:rFonts w:ascii="Times New Roman" w:cs="Times New Roman" w:eastAsia="Times New Roman" w:hAnsi="Times New Roman"/>
          <w:sz w:val="17"/>
          <w:szCs w:val="17"/>
          <w:color w:val="auto"/>
        </w:rPr>
        <w:t xml:space="preserve"> — Inputs represent unadjusted quoted prices for identical assets exchanged in active markets.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Contingent Consideration</w:t>
      </w:r>
    </w:p>
    <w:p>
      <w:pPr>
        <w:jc w:val="center"/>
        <w:ind w:right="1880"/>
        <w:spacing w:after="0"/>
        <w:rPr>
          <w:sz w:val="20"/>
          <w:szCs w:val="20"/>
          <w:color w:val="auto"/>
        </w:rPr>
      </w:pPr>
      <w:r>
        <w:rPr>
          <w:rFonts w:ascii="Times New Roman" w:cs="Times New Roman" w:eastAsia="Times New Roman" w:hAnsi="Times New Roman"/>
          <w:sz w:val="17"/>
          <w:szCs w:val="17"/>
          <w:color w:val="auto"/>
        </w:rPr>
        <w:t>Agreement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r>
      <w:tr>
        <w:trPr>
          <w:trHeight w:val="223"/>
        </w:trPr>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9"/>
        </w:trPr>
        <w:tc>
          <w:tcPr>
            <w:tcW w:w="7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(4,465)</w:t>
            </w:r>
          </w:p>
        </w:tc>
      </w:tr>
      <w:tr>
        <w:trPr>
          <w:trHeight w:val="219"/>
        </w:trPr>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r>
      <w:tr>
        <w:trPr>
          <w:trHeight w:val="219"/>
        </w:trPr>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3"/>
        </w:trPr>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r>
      <w:tr>
        <w:trPr>
          <w:trHeight w:val="212"/>
        </w:trPr>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39" w:lineRule="exact"/>
        <w:rPr>
          <w:sz w:val="20"/>
          <w:szCs w:val="20"/>
          <w:color w:val="auto"/>
        </w:rPr>
      </w:pPr>
    </w:p>
    <w:p>
      <w:pPr>
        <w:sectPr>
          <w:pgSz w:w="11900" w:h="16838" w:orient="portrait"/>
          <w:cols w:equalWidth="0" w:num="2">
            <w:col w:w="7000" w:space="400"/>
            <w:col w:w="3840"/>
          </w:cols>
          <w:pgMar w:left="320" w:top="1129" w:right="339" w:bottom="1440" w:gutter="0" w:footer="0" w:header="0"/>
          <w:type w:val="continuous"/>
        </w:sectPr>
      </w:pPr>
    </w:p>
    <w:p>
      <w:pPr>
        <w:spacing w:after="0" w:line="4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17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u w:val="single" w:color="auto"/>
          <w:color w:val="auto"/>
        </w:rPr>
        <w:t>Level 3</w:t>
      </w:r>
      <w:r>
        <w:rPr>
          <w:rFonts w:ascii="Times New Roman" w:cs="Times New Roman" w:eastAsia="Times New Roman" w:hAnsi="Times New Roman"/>
          <w:sz w:val="17"/>
          <w:szCs w:val="17"/>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INVENTORY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5"/>
        </w:trPr>
        <w:tc>
          <w:tcPr>
            <w:tcW w:w="226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20" w:type="dxa"/>
            <w:vAlign w:val="bottom"/>
            <w:tcBorders>
              <w:bottom w:val="single" w:sz="8" w:color="auto"/>
            </w:tcBorders>
          </w:tcPr>
          <w:p>
            <w:pPr>
              <w:spacing w:after="0"/>
              <w:rPr>
                <w:sz w:val="21"/>
                <w:szCs w:val="21"/>
                <w:color w:val="auto"/>
              </w:rPr>
            </w:pPr>
          </w:p>
        </w:tc>
      </w:tr>
      <w:tr>
        <w:trPr>
          <w:trHeight w:val="212"/>
        </w:trPr>
        <w:tc>
          <w:tcPr>
            <w:tcW w:w="226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22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r>
      <w:tr>
        <w:trPr>
          <w:trHeight w:val="219"/>
        </w:trPr>
        <w:tc>
          <w:tcPr>
            <w:tcW w:w="22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12,939</w:t>
            </w:r>
          </w:p>
        </w:tc>
      </w:tr>
      <w:tr>
        <w:trPr>
          <w:trHeight w:val="219"/>
        </w:trPr>
        <w:tc>
          <w:tcPr>
            <w:tcW w:w="226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r>
      <w:tr>
        <w:trPr>
          <w:trHeight w:val="219"/>
        </w:trPr>
        <w:tc>
          <w:tcPr>
            <w:tcW w:w="226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Parts and supplies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70,767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64,983</w:t>
            </w:r>
          </w:p>
        </w:tc>
      </w:tr>
      <w:tr>
        <w:trPr>
          <w:trHeight w:val="237"/>
        </w:trPr>
        <w:tc>
          <w:tcPr>
            <w:tcW w:w="22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inventories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101,728</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95,655</w:t>
            </w:r>
          </w:p>
        </w:tc>
      </w:tr>
      <w:tr>
        <w:trPr>
          <w:trHeight w:val="20"/>
        </w:trPr>
        <w:tc>
          <w:tcPr>
            <w:tcW w:w="226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GOODWILL AND INTANGIBLE ASSETS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summarizes changes in the carrying value of goodwill by segment during the year ended September 30, 2024. The carrying value of goodwill was unchanged during the year ended September 30,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Infrastructure</w:t>
            </w:r>
          </w:p>
        </w:tc>
        <w:tc>
          <w:tcPr>
            <w:tcW w:w="140" w:type="dxa"/>
            <w:vAlign w:val="bottom"/>
          </w:tcPr>
          <w:p>
            <w:pPr>
              <w:spacing w:after="0"/>
              <w:rPr>
                <w:sz w:val="16"/>
                <w:szCs w:val="16"/>
                <w:color w:val="auto"/>
              </w:rPr>
            </w:pPr>
          </w:p>
        </w:tc>
        <w:tc>
          <w:tcPr>
            <w:tcW w:w="1620" w:type="dxa"/>
            <w:vAlign w:val="bottom"/>
            <w:gridSpan w:val="3"/>
          </w:tcPr>
          <w:p>
            <w:pPr>
              <w:jc w:val="center"/>
              <w:ind w:right="474"/>
              <w:spacing w:after="0"/>
              <w:rPr>
                <w:sz w:val="20"/>
                <w:szCs w:val="20"/>
                <w:color w:val="auto"/>
              </w:rPr>
            </w:pPr>
            <w:r>
              <w:rPr>
                <w:rFonts w:ascii="Times New Roman" w:cs="Times New Roman" w:eastAsia="Times New Roman" w:hAnsi="Times New Roman"/>
                <w:sz w:val="17"/>
                <w:szCs w:val="17"/>
                <w:color w:val="auto"/>
              </w:rPr>
              <w:t>Commercial &amp;</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2"/>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140" w:type="dxa"/>
            <w:vAlign w:val="bottom"/>
          </w:tcPr>
          <w:p>
            <w:pPr>
              <w:spacing w:after="0"/>
              <w:rPr>
                <w:sz w:val="20"/>
                <w:szCs w:val="20"/>
                <w:color w:val="auto"/>
              </w:rPr>
            </w:pPr>
          </w:p>
        </w:tc>
        <w:tc>
          <w:tcPr>
            <w:tcW w:w="1620" w:type="dxa"/>
            <w:vAlign w:val="bottom"/>
            <w:gridSpan w:val="3"/>
          </w:tcPr>
          <w:p>
            <w:pPr>
              <w:jc w:val="center"/>
              <w:ind w:right="474"/>
              <w:spacing w:after="0"/>
              <w:rPr>
                <w:sz w:val="20"/>
                <w:szCs w:val="20"/>
                <w:color w:val="auto"/>
              </w:rPr>
            </w:pPr>
            <w:r>
              <w:rPr>
                <w:rFonts w:ascii="Times New Roman" w:cs="Times New Roman" w:eastAsia="Times New Roman" w:hAnsi="Times New Roman"/>
                <w:sz w:val="17"/>
                <w:szCs w:val="17"/>
                <w:color w:val="auto"/>
              </w:rPr>
              <w:t>Industrial</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tcPr>
          <w:p>
            <w:pPr>
              <w:spacing w:after="0"/>
              <w:rPr>
                <w:sz w:val="18"/>
                <w:szCs w:val="18"/>
                <w:color w:val="auto"/>
              </w:rPr>
            </w:pP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 (Note 19)</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20" w:type="dxa"/>
            <w:vAlign w:val="bottom"/>
          </w:tcPr>
          <w:p>
            <w:pPr>
              <w:spacing w:after="0"/>
              <w:rPr>
                <w:sz w:val="19"/>
                <w:szCs w:val="19"/>
                <w:color w:val="auto"/>
              </w:rPr>
            </w:pP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93,960</w:t>
            </w:r>
          </w:p>
        </w:tc>
        <w:tc>
          <w:tcPr>
            <w:tcW w:w="120" w:type="dxa"/>
            <w:vAlign w:val="bottom"/>
          </w:tcPr>
          <w:p>
            <w:pPr>
              <w:spacing w:after="0"/>
              <w:rPr>
                <w:sz w:val="20"/>
                <w:szCs w:val="20"/>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3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67" w:name="page68"/>
    <w:bookmarkEnd w:id="67"/>
    <w:p>
      <w:pPr>
        <w:ind w:right="100"/>
        <w:spacing w:after="0" w:line="287" w:lineRule="auto"/>
        <w:rPr>
          <w:sz w:val="20"/>
          <w:szCs w:val="20"/>
          <w:color w:val="auto"/>
        </w:rPr>
      </w:pPr>
      <w:r>
        <w:rPr>
          <w:rFonts w:ascii="Times New Roman" w:cs="Times New Roman" w:eastAsia="Times New Roman" w:hAnsi="Times New Roman"/>
          <w:sz w:val="17"/>
          <w:szCs w:val="17"/>
          <w:color w:val="auto"/>
        </w:rPr>
        <w:t>Based on the results of our annual goodwill impairment assessment at September 30, 2024, we concluded the fair value of each of our reporting units exceeded its book value, and therefore we recorded no impairment charges for the year ended September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and 2023, we had accumulated impairment losses of $6,976 related to our Commercial &amp; Industrial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5"/>
        </w:trPr>
        <w:tc>
          <w:tcPr>
            <w:tcW w:w="4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September 30, 2024</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160"/>
        </w:trPr>
        <w:tc>
          <w:tcPr>
            <w:tcW w:w="4780" w:type="dxa"/>
            <w:vAlign w:val="bottom"/>
          </w:tcPr>
          <w:p>
            <w:pPr>
              <w:spacing w:after="0"/>
              <w:rPr>
                <w:sz w:val="13"/>
                <w:szCs w:val="13"/>
                <w:color w:val="auto"/>
              </w:rPr>
            </w:pPr>
          </w:p>
        </w:tc>
        <w:tc>
          <w:tcPr>
            <w:tcW w:w="1500" w:type="dxa"/>
            <w:vAlign w:val="bottom"/>
            <w:gridSpan w:val="4"/>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180" w:type="dxa"/>
            <w:vAlign w:val="bottom"/>
          </w:tcPr>
          <w:p>
            <w:pPr>
              <w:spacing w:after="0"/>
              <w:rPr>
                <w:sz w:val="13"/>
                <w:szCs w:val="13"/>
                <w:color w:val="auto"/>
              </w:rPr>
            </w:pPr>
          </w:p>
        </w:tc>
        <w:tc>
          <w:tcPr>
            <w:tcW w:w="15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w w:val="99"/>
              </w:rPr>
              <w:t>Gross Carrying</w:t>
            </w:r>
          </w:p>
        </w:tc>
        <w:tc>
          <w:tcPr>
            <w:tcW w:w="100" w:type="dxa"/>
            <w:vAlign w:val="bottom"/>
          </w:tcPr>
          <w:p>
            <w:pPr>
              <w:spacing w:after="0"/>
              <w:rPr>
                <w:sz w:val="13"/>
                <w:szCs w:val="13"/>
                <w:color w:val="auto"/>
              </w:rPr>
            </w:pPr>
          </w:p>
        </w:tc>
        <w:tc>
          <w:tcPr>
            <w:tcW w:w="16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2"/>
        </w:trPr>
        <w:tc>
          <w:tcPr>
            <w:tcW w:w="4780" w:type="dxa"/>
            <w:vAlign w:val="bottom"/>
          </w:tcPr>
          <w:p>
            <w:pPr>
              <w:spacing w:after="0"/>
              <w:rPr>
                <w:sz w:val="20"/>
                <w:szCs w:val="20"/>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Pr>
          <w:p>
            <w:pPr>
              <w:spacing w:after="0"/>
              <w:rPr>
                <w:sz w:val="20"/>
                <w:szCs w:val="20"/>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92,796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38,318</w:t>
            </w:r>
          </w:p>
        </w:tc>
      </w:tr>
      <w:tr>
        <w:trPr>
          <w:trHeight w:val="219"/>
        </w:trPr>
        <w:tc>
          <w:tcPr>
            <w:tcW w:w="4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37"/>
        </w:trPr>
        <w:tc>
          <w:tcPr>
            <w:tcW w:w="4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(61,877)</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September 30, 2023</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0"/>
        </w:trPr>
        <w:tc>
          <w:tcPr>
            <w:tcW w:w="4780" w:type="dxa"/>
            <w:vAlign w:val="bottom"/>
          </w:tcPr>
          <w:p>
            <w:pPr>
              <w:spacing w:after="0"/>
              <w:rPr>
                <w:sz w:val="13"/>
                <w:szCs w:val="13"/>
                <w:color w:val="auto"/>
              </w:rPr>
            </w:pPr>
          </w:p>
        </w:tc>
        <w:tc>
          <w:tcPr>
            <w:tcW w:w="1500" w:type="dxa"/>
            <w:vAlign w:val="bottom"/>
            <w:gridSpan w:val="4"/>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180" w:type="dxa"/>
            <w:vAlign w:val="bottom"/>
          </w:tcPr>
          <w:p>
            <w:pPr>
              <w:spacing w:after="0"/>
              <w:rPr>
                <w:sz w:val="13"/>
                <w:szCs w:val="13"/>
                <w:color w:val="auto"/>
              </w:rPr>
            </w:pPr>
          </w:p>
        </w:tc>
        <w:tc>
          <w:tcPr>
            <w:tcW w:w="15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w w:val="99"/>
              </w:rPr>
              <w:t>Gross Carrying</w:t>
            </w:r>
          </w:p>
        </w:tc>
        <w:tc>
          <w:tcPr>
            <w:tcW w:w="100" w:type="dxa"/>
            <w:vAlign w:val="bottom"/>
          </w:tcPr>
          <w:p>
            <w:pPr>
              <w:spacing w:after="0"/>
              <w:rPr>
                <w:sz w:val="13"/>
                <w:szCs w:val="13"/>
                <w:color w:val="auto"/>
              </w:rPr>
            </w:pPr>
          </w:p>
        </w:tc>
        <w:tc>
          <w:tcPr>
            <w:tcW w:w="16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2"/>
        </w:trPr>
        <w:tc>
          <w:tcPr>
            <w:tcW w:w="4780" w:type="dxa"/>
            <w:vAlign w:val="bottom"/>
          </w:tcPr>
          <w:p>
            <w:pPr>
              <w:spacing w:after="0"/>
              <w:rPr>
                <w:sz w:val="20"/>
                <w:szCs w:val="20"/>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Pr>
          <w:p>
            <w:pPr>
              <w:spacing w:after="0"/>
              <w:rPr>
                <w:sz w:val="20"/>
                <w:szCs w:val="20"/>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5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48,361</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(55,237)</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56,208</w:t>
            </w:r>
          </w:p>
        </w:tc>
      </w:tr>
      <w:tr>
        <w:trPr>
          <w:trHeight w:val="20"/>
        </w:trPr>
        <w:tc>
          <w:tcPr>
            <w:tcW w:w="4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years ended September 30, 2024, 2023 and 2022, amortization expense of intangible assets was $13,200, $13,684 and $13,666, respectively. Our estimated future amortization expense for years ending September 30 is as follows:</w:t>
      </w:r>
    </w:p>
    <w:p>
      <w:pPr>
        <w:spacing w:after="0" w:line="216" w:lineRule="exact"/>
        <w:rPr>
          <w:sz w:val="20"/>
          <w:szCs w:val="20"/>
          <w:color w:val="auto"/>
        </w:rPr>
      </w:pPr>
    </w:p>
    <w:tbl>
      <w:tblPr>
        <w:tblLayout w:type="fixed"/>
        <w:tblInd w:w="3700" w:type="dxa"/>
        <w:tblCellMar>
          <w:top w:w="0" w:type="dxa"/>
          <w:left w:w="0" w:type="dxa"/>
          <w:bottom w:w="0" w:type="dxa"/>
          <w:right w:w="0" w:type="dxa"/>
        </w:tblCellMar>
      </w:tblPr>
      <w:tr>
        <w:trPr>
          <w:trHeight w:val="223"/>
        </w:trPr>
        <w:tc>
          <w:tcPr>
            <w:tcW w:w="8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Year Ending September 30,</w:t>
            </w:r>
          </w:p>
        </w:tc>
        <w:tc>
          <w:tcPr>
            <w:tcW w:w="780" w:type="dxa"/>
            <w:vAlign w:val="bottom"/>
            <w:tcBorders>
              <w:bottom w:val="single" w:sz="8" w:color="auto"/>
            </w:tcBorders>
          </w:tcPr>
          <w:p>
            <w:pPr>
              <w:spacing w:after="0"/>
              <w:rPr>
                <w:sz w:val="19"/>
                <w:szCs w:val="19"/>
                <w:color w:val="auto"/>
              </w:rPr>
            </w:pPr>
          </w:p>
        </w:tc>
      </w:tr>
      <w:tr>
        <w:trPr>
          <w:trHeight w:val="212"/>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2025</w:t>
            </w:r>
          </w:p>
        </w:tc>
        <w:tc>
          <w:tcPr>
            <w:tcW w:w="22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13,284</w:t>
            </w:r>
          </w:p>
        </w:tc>
      </w:tr>
      <w:tr>
        <w:trPr>
          <w:trHeight w:val="219"/>
        </w:trPr>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2026</w:t>
            </w: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11,942</w:t>
            </w:r>
          </w:p>
        </w:tc>
      </w:tr>
      <w:tr>
        <w:trPr>
          <w:trHeight w:val="219"/>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2027</w:t>
            </w: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8,466</w:t>
            </w:r>
          </w:p>
        </w:tc>
      </w:tr>
      <w:tr>
        <w:trPr>
          <w:trHeight w:val="219"/>
        </w:trPr>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2028</w:t>
            </w: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w:t>
            </w:r>
          </w:p>
        </w:tc>
      </w:tr>
      <w:tr>
        <w:trPr>
          <w:trHeight w:val="219"/>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2029</w:t>
            </w: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w:t>
            </w:r>
          </w:p>
        </w:tc>
      </w:tr>
      <w:tr>
        <w:trPr>
          <w:trHeight w:val="219"/>
        </w:trPr>
        <w:tc>
          <w:tcPr>
            <w:tcW w:w="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Thereafter</w:t>
            </w:r>
          </w:p>
        </w:tc>
        <w:tc>
          <w:tcPr>
            <w:tcW w:w="1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3,884</w:t>
            </w:r>
          </w:p>
        </w:tc>
      </w:tr>
      <w:tr>
        <w:trPr>
          <w:trHeight w:val="212"/>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spacing w:after="0" w:line="20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8" w:name="page69"/>
    <w:bookmarkEnd w:id="68"/>
    <w:p>
      <w:pPr>
        <w:ind w:right="260"/>
        <w:spacing w:after="0" w:line="270" w:lineRule="auto"/>
        <w:rPr>
          <w:sz w:val="20"/>
          <w:szCs w:val="20"/>
          <w:color w:val="auto"/>
        </w:rPr>
      </w:pPr>
      <w:r>
        <w:rPr>
          <w:rFonts w:ascii="Times New Roman" w:cs="Times New Roman" w:eastAsia="Times New Roman" w:hAnsi="Times New Roman"/>
          <w:sz w:val="17"/>
          <w:szCs w:val="17"/>
          <w:color w:val="auto"/>
        </w:rPr>
        <w:t>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2024 and 2023, we had $11,158 and $7,726, respectively, accrued for self-insurance liabilities. We are also subject to construction defect liabilities, primarily within our Residential segment. Because these accruals are based on judgment and estimates, and involve variables that are inherently uncertain, such as the outcome of litigation and an assessment of insurance coverage, there can be no assurance that the ultimate liability will not be higher or lower than such estimates.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2024 and 2023, we utilized $4,756 and $4,166, respectively, of our outstanding letters of credit to collateralize our insurance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of September 30, 2024, the estimated cost to complete our bonded projects was approximately $133,863.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2024, we did not have any such firm commitments to purchase materials.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BUSINESS COMBINATIONS AND DIVESTITURES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1, 2024, the Company acquired 100% of the equity interests of Greiner Industries, Inc. ("Greiner"), a Mount Joy, Pennsylvania-based structural steel fabrication and services company for an aggregate total purchase price of $70,334. Greiner is part of our Infrastructure Solutions segment and continues to operate under the Greiner name. The acquisition of Greiner expands our geographic footprint, adds custom structural steel fabrication to our product offerings, and provides additional capacity for our existing custom engineered product offerings. In addition to cash consideration, net of cash acquired, of $67,544, the aggregate purchase price also includes contingent consideration of up to $5,000 upon achievement of certain future earnings targets, which was valued at $2,790 as of the date of the acquisition. The fair value of the total consideration for this transaction remains subject to post-closing adjustments as of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9" w:name="page70"/>
    <w:bookmarkEnd w:id="69"/>
    <w:p>
      <w:pPr>
        <w:jc w:val="both"/>
        <w:ind w:right="80"/>
        <w:spacing w:after="0" w:line="254" w:lineRule="auto"/>
        <w:rPr>
          <w:sz w:val="20"/>
          <w:szCs w:val="20"/>
          <w:color w:val="auto"/>
        </w:rPr>
      </w:pPr>
      <w:r>
        <w:rPr>
          <w:rFonts w:ascii="Times New Roman" w:cs="Times New Roman" w:eastAsia="Times New Roman" w:hAnsi="Times New Roman"/>
          <w:sz w:val="17"/>
          <w:szCs w:val="17"/>
          <w:color w:val="auto"/>
        </w:rPr>
        <w:t>The Company accounted for the transaction under the acquisition method of accounting, which requires recording assets and liabilities at fair value (Level 3). The total purchase price, and the allocation thereof to the assets acquired and liabilities assumed, is preliminary and subject to change pending the finalization of post-closing working capital adjustments. The preliminary valuation of the assets acquired and liabilities assumed is as follows:</w:t>
      </w:r>
    </w:p>
    <w:p>
      <w:pPr>
        <w:spacing w:after="0" w:line="247" w:lineRule="exact"/>
        <w:rPr>
          <w:sz w:val="20"/>
          <w:szCs w:val="20"/>
          <w:color w:val="auto"/>
        </w:rPr>
      </w:pPr>
    </w:p>
    <w:tbl>
      <w:tblPr>
        <w:tblLayout w:type="fixed"/>
        <w:tblInd w:w="1800" w:type="dxa"/>
        <w:tblCellMar>
          <w:top w:w="0" w:type="dxa"/>
          <w:left w:w="0" w:type="dxa"/>
          <w:bottom w:w="0" w:type="dxa"/>
          <w:right w:w="0" w:type="dxa"/>
        </w:tblCellMar>
      </w:tblP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13,971</w:t>
            </w:r>
          </w:p>
        </w:tc>
      </w:tr>
      <w:tr>
        <w:trPr>
          <w:trHeight w:val="21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10,115</w:t>
            </w:r>
          </w:p>
        </w:tc>
      </w:t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48,209</w:t>
            </w:r>
          </w:p>
        </w:tc>
      </w:tr>
      <w:tr>
        <w:trPr>
          <w:trHeight w:val="21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w:t>
            </w:r>
          </w:p>
        </w:tc>
      </w:t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r>
      <w:tr>
        <w:trPr>
          <w:trHeight w:val="219"/>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(6,426)</w:t>
            </w:r>
          </w:p>
        </w:tc>
      </w:tr>
      <w:tr>
        <w:trPr>
          <w:trHeight w:val="237"/>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acquired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70,334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In connection with this acquisition, we acquired goodwill of $1,565, all of which is tax deductible, attributable to an assembled workforce and other intangibles that do not qualify for separate recognition. The intangible assets acquired primarily consisted of customer relationships, backlog and trade name with a total weighted-average amortization period of 3.5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Greiner contributed $34,038 in revenue and $2,489 in operating income during the year ended September 30,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completed no acquisitions in fiscal years 2023 and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Divestitures</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Consolidated Statements of Comprehensive Income for the year ended September 30, 2023. The disposition of STR, which had operated as part of our Commercial &amp; Industrial segment, will not have a material impact on our ongoing results of operations or financial position.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SUBSEQUENT EVENTS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October 4, 2024, we entered into a funding commitment to join a consortium led by Mason Capital Management LLC to acquire the CB&amp;I storage solutions business, a designer and builder of storage facilities, tanks and terminals for energy and industrial markets, from McDermott International, Ltd. Upon close of the transaction, which we expect to occur by the end of calendar year 2024, we expect to make a cash payment of approximately $45 million, subject to customary closing adjustments.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Exchange Act) during the fiscal quarter ended September 30, 2024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2024,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2024.</w:t>
      </w:r>
    </w:p>
    <w:p>
      <w:pPr>
        <w:spacing w:after="0" w:line="19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conducting management’s evaluation of the effectiveness of the Company’s internal controls over financial reporting, we have excluded Greiner Industries, Inc. because it was acquired during the year ended September 30, 2024. Greiner's operations accounted for 6% and 12% of our total and net assets, respectively, at September 30, 2024, and 1% of both our consolidated revenues and our net income for the year then ended.</w:t>
      </w:r>
    </w:p>
    <w:p>
      <w:pPr>
        <w:spacing w:after="0" w:line="1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Ernst &amp; Young LLP (PCAOB No. 42), an independent registered public accounting firm that has audited the Company’s financial statements as of and for the three-year period ended September 30, 2024, has issued a report on their audit of management’s internal control over financial reporting, which is included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September 30, 2024, none of the Company’s directors or officers adopted or terminated a “Rule 10b5-1 trading arrangement” or a “non-Rule 10b5-1 trading arrangement,” as each term is defined in Item 408 of Regulation S-K.</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4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information required to be included in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2025 Annual Meeting of Stockholders (the “Proxy Statement”) to be filed with the SEC no later than January 28,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49"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7"/>
          <w:szCs w:val="17"/>
          <w:color w:val="auto"/>
        </w:rPr>
        <w:t>The information required to be included in Item 11 of Part III of this Annual Report on Form 10-K is incorporated by reference from the section entitled “Executive Compensation” in the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Stockholders Matters</w:t>
      </w:r>
    </w:p>
    <w:p>
      <w:pPr>
        <w:spacing w:after="0" w:line="249"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7"/>
          <w:szCs w:val="17"/>
          <w:color w:val="auto"/>
        </w:rPr>
        <w:t>Certain information required to be included in Item 12 of Part III of this Annual Report on Form 10-K is incorporated by reference from the section entitled “Security Ownership of Certain Beneficial Owners and Management” in the Proxy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Authorized for Issuance Under Equity Plans</w:t>
      </w:r>
    </w:p>
    <w:p>
      <w:pPr>
        <w:spacing w:after="0" w:line="22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as of September 30, 2024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gridSpan w:val="4"/>
          </w:tcPr>
          <w:p>
            <w:pPr>
              <w:ind w:left="4280"/>
              <w:spacing w:after="0"/>
              <w:rPr>
                <w:sz w:val="20"/>
                <w:szCs w:val="20"/>
                <w:color w:val="auto"/>
              </w:rPr>
            </w:pPr>
            <w:r>
              <w:rPr>
                <w:rFonts w:ascii="Times New Roman" w:cs="Times New Roman" w:eastAsia="Times New Roman" w:hAnsi="Times New Roman"/>
                <w:sz w:val="17"/>
                <w:szCs w:val="17"/>
                <w:color w:val="auto"/>
              </w:rPr>
              <w:t>Equity Compensation Plan Information</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(a) Number of</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7"/>
                <w:szCs w:val="17"/>
                <w:color w:val="auto"/>
              </w:rPr>
              <w:t>(c) Number of Securities</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rPr>
              <w:t>Remaining Available for</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rPr>
              <w:t>Securities to be Issued</w:t>
            </w:r>
          </w:p>
        </w:tc>
        <w:tc>
          <w:tcPr>
            <w:tcW w:w="120" w:type="dxa"/>
            <w:vAlign w:val="bottom"/>
          </w:tcPr>
          <w:p>
            <w:pPr>
              <w:spacing w:after="0"/>
              <w:rPr>
                <w:sz w:val="15"/>
                <w:szCs w:val="15"/>
                <w:color w:val="auto"/>
              </w:rPr>
            </w:pPr>
          </w:p>
        </w:tc>
        <w:tc>
          <w:tcPr>
            <w:tcW w:w="178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rPr>
              <w:t>(b) Weighted-Average</w:t>
            </w:r>
          </w:p>
        </w:tc>
        <w:tc>
          <w:tcPr>
            <w:tcW w:w="2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rPr>
              <w:t>Future Issuance Under</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Upon Exercise of</w:t>
            </w:r>
          </w:p>
        </w:tc>
        <w:tc>
          <w:tcPr>
            <w:tcW w:w="120" w:type="dxa"/>
            <w:vAlign w:val="bottom"/>
          </w:tcPr>
          <w:p>
            <w:pPr>
              <w:spacing w:after="0"/>
              <w:rPr>
                <w:sz w:val="14"/>
                <w:szCs w:val="14"/>
                <w:color w:val="auto"/>
              </w:rPr>
            </w:pPr>
          </w:p>
        </w:tc>
        <w:tc>
          <w:tcPr>
            <w:tcW w:w="178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rPr>
              <w:t>Exercise Price of</w:t>
            </w:r>
          </w:p>
        </w:tc>
        <w:tc>
          <w:tcPr>
            <w:tcW w:w="224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rPr>
              <w:t>Equity Compensation Plans</w:t>
            </w:r>
          </w:p>
        </w:tc>
        <w:tc>
          <w:tcPr>
            <w:tcW w:w="0" w:type="dxa"/>
            <w:vAlign w:val="bottom"/>
          </w:tcPr>
          <w:p>
            <w:pPr>
              <w:spacing w:after="0"/>
              <w:rPr>
                <w:sz w:val="1"/>
                <w:szCs w:val="1"/>
                <w:color w:val="auto"/>
              </w:rPr>
            </w:pPr>
          </w:p>
        </w:tc>
      </w:tr>
      <w:tr>
        <w:trPr>
          <w:trHeight w:val="180"/>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Plan Category</w:t>
            </w:r>
          </w:p>
        </w:tc>
        <w:tc>
          <w:tcPr>
            <w:tcW w:w="17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auto"/>
              </w:rPr>
              <w:t>Outstanding Options,</w:t>
            </w:r>
          </w:p>
        </w:tc>
        <w:tc>
          <w:tcPr>
            <w:tcW w:w="120" w:type="dxa"/>
            <w:vAlign w:val="bottom"/>
          </w:tcPr>
          <w:p>
            <w:pPr>
              <w:spacing w:after="0"/>
              <w:rPr>
                <w:sz w:val="15"/>
                <w:szCs w:val="15"/>
                <w:color w:val="auto"/>
              </w:rPr>
            </w:pPr>
          </w:p>
        </w:tc>
        <w:tc>
          <w:tcPr>
            <w:tcW w:w="178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rPr>
              <w:t>Outstanding Options,</w:t>
            </w:r>
          </w:p>
        </w:tc>
        <w:tc>
          <w:tcPr>
            <w:tcW w:w="224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7"/>
                <w:szCs w:val="17"/>
                <w:color w:val="auto"/>
              </w:rPr>
              <w:t>(Excluding Securities</w:t>
            </w:r>
          </w:p>
        </w:tc>
        <w:tc>
          <w:tcPr>
            <w:tcW w:w="0" w:type="dxa"/>
            <w:vAlign w:val="bottom"/>
          </w:tcPr>
          <w:p>
            <w:pPr>
              <w:spacing w:after="0"/>
              <w:rPr>
                <w:sz w:val="1"/>
                <w:szCs w:val="1"/>
                <w:color w:val="auto"/>
              </w:rPr>
            </w:pPr>
          </w:p>
        </w:tc>
      </w:tr>
      <w:tr>
        <w:trPr>
          <w:trHeight w:val="219"/>
        </w:trPr>
        <w:tc>
          <w:tcPr>
            <w:tcW w:w="5360" w:type="dxa"/>
            <w:vAlign w:val="bottom"/>
            <w:gridSpan w:val="2"/>
            <w:vMerge w:val="continue"/>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Warrants and Rights</w:t>
            </w:r>
          </w:p>
        </w:tc>
        <w:tc>
          <w:tcPr>
            <w:tcW w:w="120" w:type="dxa"/>
            <w:vAlign w:val="bottom"/>
          </w:tcPr>
          <w:p>
            <w:pPr>
              <w:spacing w:after="0"/>
              <w:rPr>
                <w:sz w:val="19"/>
                <w:szCs w:val="19"/>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Warrants and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Reflected in Column (a))</w:t>
            </w:r>
          </w:p>
        </w:tc>
        <w:tc>
          <w:tcPr>
            <w:tcW w:w="0" w:type="dxa"/>
            <w:vAlign w:val="bottom"/>
          </w:tcPr>
          <w:p>
            <w:pPr>
              <w:spacing w:after="0"/>
              <w:rPr>
                <w:sz w:val="1"/>
                <w:szCs w:val="1"/>
                <w:color w:val="auto"/>
              </w:rPr>
            </w:pPr>
          </w:p>
        </w:tc>
      </w:tr>
      <w:tr>
        <w:trPr>
          <w:trHeight w:val="212"/>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581,169</w:t>
            </w:r>
          </w:p>
        </w:tc>
        <w:tc>
          <w:tcPr>
            <w:tcW w:w="260" w:type="dxa"/>
            <w:vAlign w:val="bottom"/>
            <w:tcBorders>
              <w:top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95"/>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2"/>
                <w:szCs w:val="22"/>
                <w:color w:val="auto"/>
                <w:vertAlign w:val="superscript"/>
              </w:rPr>
              <w:t>(2)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jc w:val="both"/>
        <w:ind w:right="80" w:firstLine="3"/>
        <w:spacing w:after="0" w:line="269" w:lineRule="auto"/>
        <w:tabs>
          <w:tab w:leader="none" w:pos="2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includes 300,301 shares that may be issued pursuant to outstanding performance based phantom stock units ("PPSUs") based on achievement of performance metrics, where applicable, and otherwise assuming the target award is met.</w:t>
      </w:r>
    </w:p>
    <w:p>
      <w:pPr>
        <w:spacing w:after="0" w:line="13" w:lineRule="exact"/>
        <w:rPr>
          <w:rFonts w:ascii="Times New Roman" w:cs="Times New Roman" w:eastAsia="Times New Roman" w:hAnsi="Times New Roman"/>
          <w:sz w:val="15"/>
          <w:szCs w:val="15"/>
          <w:color w:val="auto"/>
        </w:rPr>
      </w:pPr>
    </w:p>
    <w:p>
      <w:pPr>
        <w:ind w:right="140" w:firstLine="3"/>
        <w:spacing w:after="0" w:line="325" w:lineRule="auto"/>
        <w:tabs>
          <w:tab w:leader="none" w:pos="2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shares issuable upon exercise of outstanding options granted under the Company’s 2006 Equity Incentive Plan (as amended and restated as of October 2007), which was in place prior to the Amended Plan. As of September 30, 2024, there were no outstanding options remaining to be exercised.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information required to be included in Item 13 of Part III of this Annual Report on Form 10-K is incorporated by reference from the section entitled “Certain Relationships and Related Person Transactions” in the Proxy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2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information required to be included in Item 14 of Part III of this Form 10-K is incorporated by reference from the section entitled “Audit Fees” in the Proxy Statement.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Financial Statement Schedules</w:t>
      </w:r>
    </w:p>
    <w:p>
      <w:pPr>
        <w:spacing w:after="0" w:line="249" w:lineRule="exact"/>
        <w:rPr>
          <w:sz w:val="20"/>
          <w:szCs w:val="20"/>
          <w:color w:val="auto"/>
        </w:rPr>
      </w:pPr>
    </w:p>
    <w:p>
      <w:pPr>
        <w:ind w:left="520" w:hanging="36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and Supplementary Data, Financial Statement Schedules and Exhibits</w:t>
      </w:r>
    </w:p>
    <w:p>
      <w:pPr>
        <w:spacing w:after="0" w:line="238"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See Index to Financial Statements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Form 10-K.</w:t>
      </w:r>
    </w:p>
    <w:p>
      <w:pPr>
        <w:spacing w:after="0" w:line="31" w:lineRule="exact"/>
        <w:rPr>
          <w:rFonts w:ascii="Times New Roman" w:cs="Times New Roman" w:eastAsia="Times New Roman" w:hAnsi="Times New Roman"/>
          <w:sz w:val="17"/>
          <w:szCs w:val="17"/>
          <w:color w:val="auto"/>
        </w:rPr>
      </w:pPr>
    </w:p>
    <w:p>
      <w:pPr>
        <w:ind w:left="780" w:right="920" w:hanging="313"/>
        <w:spacing w:after="0" w:line="266" w:lineRule="auto"/>
        <w:tabs>
          <w:tab w:leader="none" w:pos="7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Schedules: Schedules are omitted because they are not required, not significant, not applicable or the information is shown in the Consolidated Financial Statements.</w:t>
      </w:r>
    </w:p>
    <w:p>
      <w:pPr>
        <w:spacing w:after="0" w:line="194" w:lineRule="exact"/>
        <w:rPr>
          <w:rFonts w:ascii="Times New Roman" w:cs="Times New Roman" w:eastAsia="Times New Roman" w:hAnsi="Times New Roman"/>
          <w:sz w:val="17"/>
          <w:szCs w:val="17"/>
          <w:color w:val="auto"/>
        </w:rPr>
      </w:pPr>
    </w:p>
    <w:p>
      <w:pPr>
        <w:ind w:left="540" w:hanging="382"/>
        <w:spacing w:after="0"/>
        <w:tabs>
          <w:tab w:leader="none" w:pos="5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4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420" w:type="dxa"/>
            <w:vAlign w:val="bottom"/>
            <w:gridSpan w:val="3"/>
          </w:tcPr>
          <w:p>
            <w:pPr>
              <w:jc w:val="center"/>
              <w:ind w:left="103"/>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580" w:type="dxa"/>
            <w:vAlign w:val="bottom"/>
            <w:gridSpan w:val="31"/>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44"/>
        </w:trPr>
        <w:tc>
          <w:tcPr>
            <w:tcW w:w="680" w:type="dxa"/>
            <w:vAlign w:val="bottom"/>
          </w:tcPr>
          <w:p>
            <w:pPr>
              <w:spacing w:after="0"/>
              <w:rPr>
                <w:sz w:val="12"/>
                <w:szCs w:val="12"/>
                <w:color w:val="auto"/>
              </w:rPr>
            </w:pPr>
          </w:p>
        </w:tc>
        <w:tc>
          <w:tcPr>
            <w:tcW w:w="24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No.</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w:t>
            </w:r>
          </w:p>
        </w:tc>
        <w:tc>
          <w:tcPr>
            <w:tcW w:w="10100" w:type="dxa"/>
            <w:vAlign w:val="bottom"/>
            <w:gridSpan w:val="40"/>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8">
              <w:r>
                <w:rPr>
                  <w:rFonts w:ascii="Times New Roman" w:cs="Times New Roman" w:eastAsia="Times New Roman" w:hAnsi="Times New Roman"/>
                  <w:sz w:val="17"/>
                  <w:szCs w:val="17"/>
                  <w:color w:val="0000FF"/>
                </w:rPr>
                <w:t>Second Amended and Restated Certificate of Incorporation of IES Holdings, Inc., as amended by the Certificate of Amendment thereto,</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420" w:type="dxa"/>
            <w:vAlign w:val="bottom"/>
            <w:tcBorders>
              <w:top w:val="single" w:sz="8" w:color="0000FF"/>
              <w:bottom w:val="single" w:sz="8" w:color="0000FF"/>
            </w:tcBorders>
            <w:gridSpan w:val="15"/>
            <w:shd w:val="clear" w:color="auto" w:fill="CCEEFF"/>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effective May 24, 2016 (composite). (Incorporated by reference to Exhibit 3.1 to the Company’s Quarterly Report on Form 10-Q filed</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9"/>
        </w:trPr>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0000FF"/>
            </w:tcBorders>
            <w:gridSpan w:val="3"/>
            <w:shd w:val="clear" w:color="auto" w:fill="CCEEFF"/>
          </w:tcPr>
          <w:p>
            <w:pPr>
              <w:spacing w:after="0" w:line="161" w:lineRule="exact"/>
              <w:rPr>
                <w:rFonts w:ascii="Times New Roman" w:cs="Times New Roman" w:eastAsia="Times New Roman" w:hAnsi="Times New Roman"/>
                <w:sz w:val="17"/>
                <w:szCs w:val="17"/>
                <w:color w:val="0000FF"/>
                <w:w w:val="99"/>
              </w:rPr>
            </w:pPr>
            <w:hyperlink r:id="rId98">
              <w:r>
                <w:rPr>
                  <w:rFonts w:ascii="Times New Roman" w:cs="Times New Roman" w:eastAsia="Times New Roman" w:hAnsi="Times New Roman"/>
                  <w:sz w:val="17"/>
                  <w:szCs w:val="17"/>
                  <w:color w:val="0000FF"/>
                  <w:w w:val="99"/>
                </w:rPr>
                <w:t>August 8, 2016)</w:t>
              </w:r>
            </w:hyperlink>
          </w:p>
        </w:tc>
        <w:tc>
          <w:tcPr>
            <w:tcW w:w="8580" w:type="dxa"/>
            <w:vAlign w:val="bottom"/>
            <w:tcBorders>
              <w:bottom w:val="single" w:sz="8" w:color="CCEEFF"/>
            </w:tcBorders>
            <w:gridSpan w:val="26"/>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3.2</w:t>
            </w:r>
          </w:p>
        </w:tc>
        <w:tc>
          <w:tcPr>
            <w:tcW w:w="10100" w:type="dxa"/>
            <w:vAlign w:val="bottom"/>
            <w:gridSpan w:val="40"/>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9">
              <w:r>
                <w:rPr>
                  <w:rFonts w:ascii="Times New Roman" w:cs="Times New Roman" w:eastAsia="Times New Roman" w:hAnsi="Times New Roman"/>
                  <w:sz w:val="17"/>
                  <w:szCs w:val="17"/>
                  <w:color w:val="0000FF"/>
                </w:rPr>
                <w:t>Certificate of Designations of Series A Junior Participating Preferred Stock (Incorporated by reference to Exhibit 3.1 to the Company’s</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8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Current Report on Form 8-K filed January 28,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w:t>
            </w:r>
          </w:p>
        </w:tc>
        <w:tc>
          <w:tcPr>
            <w:tcW w:w="10100" w:type="dxa"/>
            <w:vAlign w:val="bottom"/>
            <w:gridSpan w:val="40"/>
            <w:shd w:val="clear" w:color="auto" w:fill="CCEEFF"/>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0">
              <w:r>
                <w:rPr>
                  <w:rFonts w:ascii="Times New Roman" w:cs="Times New Roman" w:eastAsia="Times New Roman" w:hAnsi="Times New Roman"/>
                  <w:sz w:val="17"/>
                  <w:szCs w:val="17"/>
                  <w:color w:val="0000FF"/>
                </w:rPr>
                <w:t>Certificate of Elimination of Series A Junior Participating Preferred Stock of IES Holdings, Inc., as filed with the Secretary of State of</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520" w:type="dxa"/>
            <w:vAlign w:val="bottom"/>
            <w:tcBorders>
              <w:top w:val="single" w:sz="8" w:color="0000FF"/>
              <w:bottom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the State of Delaware on May 24, 2021 (Incorporated by reference to Exhibit 3.1 to the Company's Current Report on Form 8-K filed on</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0"/>
        </w:trPr>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60" w:type="dxa"/>
            <w:vAlign w:val="bottom"/>
            <w:gridSpan w:val="37"/>
            <w:shd w:val="clear" w:color="auto" w:fill="CCEEFF"/>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May 24, 2021)</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39"/>
        </w:trPr>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3.4</w:t>
            </w:r>
          </w:p>
        </w:tc>
        <w:tc>
          <w:tcPr>
            <w:tcW w:w="10100" w:type="dxa"/>
            <w:vAlign w:val="bottom"/>
            <w:gridSpan w:val="40"/>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1">
              <w:r>
                <w:rPr>
                  <w:rFonts w:ascii="Times New Roman" w:cs="Times New Roman" w:eastAsia="Times New Roman" w:hAnsi="Times New Roman"/>
                  <w:sz w:val="17"/>
                  <w:szCs w:val="17"/>
                  <w:color w:val="0000FF"/>
                </w:rPr>
                <w:t>Amended and Restated Bylaws of IES Holdings, Inc., effective April 28, 2021 (Incorporated by reference to Exhibit 3.3 to the</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Company's Current Report on Form 8-K filed on April 30,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w:t>
            </w:r>
          </w:p>
        </w:tc>
        <w:tc>
          <w:tcPr>
            <w:tcW w:w="10100" w:type="dxa"/>
            <w:vAlign w:val="bottom"/>
            <w:gridSpan w:val="40"/>
            <w:shd w:val="clear" w:color="auto" w:fill="CCEEFF"/>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2">
              <w:r>
                <w:rPr>
                  <w:rFonts w:ascii="Times New Roman" w:cs="Times New Roman" w:eastAsia="Times New Roman" w:hAnsi="Times New Roman"/>
                  <w:sz w:val="17"/>
                  <w:szCs w:val="17"/>
                  <w:color w:val="0000FF"/>
                </w:rPr>
                <w:t>Specimen common stock certificate. (Incorporated by reference to Exhibit 4.1 to the Company's Annual Report on Form 10-K filed</w:t>
              </w:r>
            </w:hyperlink>
          </w:p>
        </w:tc>
      </w:tr>
      <w:tr>
        <w:trPr>
          <w:trHeight w:val="148"/>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35"/>
            <w:shd w:val="clear" w:color="auto" w:fill="CCEEFF"/>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December 9, 2016)</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6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4.2</w:t>
            </w:r>
          </w:p>
        </w:tc>
        <w:tc>
          <w:tcPr>
            <w:tcW w:w="10100" w:type="dxa"/>
            <w:vAlign w:val="bottom"/>
            <w:gridSpan w:val="40"/>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3">
              <w:r>
                <w:rPr>
                  <w:rFonts w:ascii="Times New Roman" w:cs="Times New Roman" w:eastAsia="Times New Roman" w:hAnsi="Times New Roman"/>
                  <w:sz w:val="17"/>
                  <w:szCs w:val="17"/>
                  <w:color w:val="0000FF"/>
                </w:rPr>
                <w:t>Registration Rights Agreement, dated May 12, 2006, by and among Integrated Electrical Services, Inc. (n/k/a IES Holdings, Inc.),</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80" w:type="dxa"/>
            <w:vAlign w:val="bottom"/>
            <w:tcBorders>
              <w:top w:val="single" w:sz="8" w:color="0000FF"/>
            </w:tcBorders>
            <w:gridSpan w:val="38"/>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Tontine Capital Partners, L.P. and certain of its affiliates and Southpoint Master Fund, L.P. (Incorporated by reference to Exhibit 10.5 to</w:t>
              </w:r>
            </w:hyperlink>
          </w:p>
        </w:tc>
        <w:tc>
          <w:tcPr>
            <w:tcW w:w="20" w:type="dxa"/>
            <w:vAlign w:val="bottom"/>
          </w:tcPr>
          <w:p>
            <w:pPr>
              <w:spacing w:after="0"/>
              <w:rPr>
                <w:sz w:val="12"/>
                <w:szCs w:val="12"/>
                <w:color w:val="auto"/>
              </w:rPr>
            </w:pPr>
          </w:p>
        </w:tc>
      </w:tr>
      <w:tr>
        <w:trPr>
          <w:trHeight w:val="170"/>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the Company’s Current Report on Form 8-K filed May 17, 2006)</w:t>
              </w:r>
            </w:hyperlink>
          </w:p>
        </w:tc>
        <w:tc>
          <w:tcPr>
            <w:tcW w:w="526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w:t>
            </w:r>
          </w:p>
        </w:tc>
        <w:tc>
          <w:tcPr>
            <w:tcW w:w="10100" w:type="dxa"/>
            <w:vAlign w:val="bottom"/>
            <w:gridSpan w:val="40"/>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4">
              <w:r>
                <w:rPr>
                  <w:rFonts w:ascii="Times New Roman" w:cs="Times New Roman" w:eastAsia="Times New Roman" w:hAnsi="Times New Roman"/>
                  <w:sz w:val="17"/>
                  <w:szCs w:val="17"/>
                  <w:color w:val="0000FF"/>
                </w:rPr>
                <w:t>First Amendment to Registration Rights Agreement, dated September 11, 2007, by and among Integrated Electrical Services, Inc. (n/k/a</w:t>
              </w:r>
            </w:hyperlink>
          </w:p>
        </w:tc>
      </w:tr>
      <w:tr>
        <w:trPr>
          <w:trHeight w:val="148"/>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26"/>
            <w:shd w:val="clear" w:color="auto" w:fill="CCEEFF"/>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IES Holdings, Inc.), Tontine Capital Partners, L.P. and certain of its affiliates (Incorporated by reference to Exhibit 10.24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60"/>
        </w:trPr>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600" w:type="dxa"/>
            <w:vAlign w:val="bottom"/>
            <w:tcBorders>
              <w:top w:val="single" w:sz="8" w:color="0000FF"/>
            </w:tcBorders>
            <w:gridSpan w:val="24"/>
            <w:shd w:val="clear" w:color="auto" w:fill="CCEEFF"/>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Company’s Annual Report on Form 10-K filed December 14,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39"/>
        </w:trPr>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9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4.4</w:t>
            </w:r>
          </w:p>
        </w:tc>
        <w:tc>
          <w:tcPr>
            <w:tcW w:w="10100" w:type="dxa"/>
            <w:vAlign w:val="bottom"/>
            <w:gridSpan w:val="40"/>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5">
              <w:r>
                <w:rPr>
                  <w:rFonts w:ascii="Times New Roman" w:cs="Times New Roman" w:eastAsia="Times New Roman" w:hAnsi="Times New Roman"/>
                  <w:sz w:val="17"/>
                  <w:szCs w:val="17"/>
                  <w:color w:val="0000FF"/>
                </w:rPr>
                <w:t>Description of Registrant's Securities (Incorporated by reference to Exhibit 4.4 to the Company's Current Report on Form 10-K filed on</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34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December 7, 2023).</w:t>
              </w:r>
            </w:hyperlink>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2"/>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10.1</w:t>
            </w:r>
          </w:p>
        </w:tc>
        <w:tc>
          <w:tcPr>
            <w:tcW w:w="10100" w:type="dxa"/>
            <w:vAlign w:val="bottom"/>
            <w:gridSpan w:val="40"/>
            <w:shd w:val="clear" w:color="auto" w:fill="CCEEFF"/>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6">
              <w:r>
                <w:rPr>
                  <w:rFonts w:ascii="Times New Roman" w:cs="Times New Roman" w:eastAsia="Times New Roman" w:hAnsi="Times New Roman"/>
                  <w:sz w:val="17"/>
                  <w:szCs w:val="17"/>
                  <w:color w:val="0000FF"/>
                </w:rPr>
                <w:t>Agreement of Indemnity, dated May 7, 2010, by Integrated Electrical Services, Inc. (n/k/a IES Holdings, Inc.) and certain of its present</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480" w:type="dxa"/>
            <w:vAlign w:val="bottom"/>
            <w:tcBorders>
              <w:top w:val="single" w:sz="8" w:color="0000FF"/>
              <w:bottom w:val="single" w:sz="8" w:color="0000FF"/>
            </w:tcBorders>
            <w:gridSpan w:val="18"/>
            <w:shd w:val="clear" w:color="auto" w:fill="CCEEFF"/>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and future subsidiaries and affiliates and Chartis Property Casualty Company, Chartis Insurance Company of Canada, American Home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60"/>
        </w:trPr>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0" w:type="dxa"/>
            <w:vAlign w:val="bottom"/>
            <w:gridSpan w:val="34"/>
            <w:shd w:val="clear" w:color="auto" w:fill="CCEEFF"/>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Assurance Company, Commerce and Industry Insurance Company, Granite State Insurance Company, Lexington Insurance Company,</w:t>
              </w:r>
            </w:hyperlink>
          </w:p>
        </w:tc>
        <w:tc>
          <w:tcPr>
            <w:tcW w:w="40" w:type="dxa"/>
            <w:vAlign w:val="bottom"/>
            <w:gridSpan w:val="2"/>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780" w:type="dxa"/>
            <w:vAlign w:val="bottom"/>
            <w:tcBorders>
              <w:top w:val="single" w:sz="8" w:color="0000FF"/>
              <w:bottom w:val="single" w:sz="8" w:color="0000FF"/>
            </w:tcBorders>
            <w:gridSpan w:val="33"/>
            <w:shd w:val="clear" w:color="auto" w:fill="CCEEFF"/>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National Union Fire Insurance Company of Pittsburgh, Pa., New Hampshire Insurance Company and The Insurance Company of the</w:t>
              </w:r>
            </w:hyperlink>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8"/>
        </w:trPr>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4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State of Pennsylvania and any and all of their affiliates, subsidiaries, successors and assigns. (Incorporated by reference to Exhibit 10.1</w:t>
              </w:r>
            </w:hyperlink>
          </w:p>
        </w:tc>
        <w:tc>
          <w:tcPr>
            <w:tcW w:w="60" w:type="dxa"/>
            <w:vAlign w:val="bottom"/>
            <w:gridSpan w:val="3"/>
            <w:shd w:val="clear" w:color="auto" w:fill="CCEEFF"/>
          </w:tcPr>
          <w:p>
            <w:pPr>
              <w:spacing w:after="0"/>
              <w:rPr>
                <w:sz w:val="12"/>
                <w:szCs w:val="12"/>
                <w:color w:val="auto"/>
              </w:rPr>
            </w:pPr>
          </w:p>
        </w:tc>
      </w:tr>
      <w:tr>
        <w:trPr>
          <w:trHeight w:val="179"/>
        </w:trPr>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680" w:type="dxa"/>
            <w:vAlign w:val="bottom"/>
            <w:tcBorders>
              <w:top w:val="single" w:sz="8" w:color="0000FF"/>
              <w:bottom w:val="single" w:sz="8" w:color="0000FF"/>
              <w:right w:val="single" w:sz="8" w:color="CCEEFF"/>
            </w:tcBorders>
            <w:gridSpan w:val="10"/>
            <w:shd w:val="clear" w:color="auto" w:fill="CCEEFF"/>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to the Company’s Current Report on Form 8-K filed May 13, 2010)</w:t>
              </w:r>
            </w:hyperlink>
          </w:p>
        </w:tc>
        <w:tc>
          <w:tcPr>
            <w:tcW w:w="47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10.2</w:t>
            </w:r>
          </w:p>
        </w:tc>
        <w:tc>
          <w:tcPr>
            <w:tcW w:w="10100" w:type="dxa"/>
            <w:vAlign w:val="bottom"/>
            <w:gridSpan w:val="40"/>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7">
              <w:r>
                <w:rPr>
                  <w:rFonts w:ascii="Times New Roman" w:cs="Times New Roman" w:eastAsia="Times New Roman" w:hAnsi="Times New Roman"/>
                  <w:sz w:val="17"/>
                  <w:szCs w:val="17"/>
                  <w:color w:val="0000FF"/>
                </w:rPr>
                <w:t>Amendment No. 1 to Agreement of Indemnity, dated August 16, 2012, between Integrated Electrical Services, Inc. (n/k/a IES Holdings,</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Inc.) and certain of its present and future subsidiaries and affiliates and Chartis Property Casualty Company, Chartis Insurance Company</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80" w:type="dxa"/>
            <w:vAlign w:val="bottom"/>
            <w:tcBorders>
              <w:bottom w:val="single" w:sz="8" w:color="0000FF"/>
            </w:tcBorders>
            <w:gridSpan w:val="28"/>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of Canada, American Home Assurance Company, Commerce and Industry Insurance Company, Granite State Insurance Company,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20" w:type="dxa"/>
            <w:vAlign w:val="bottom"/>
            <w:gridSpan w:val="30"/>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Lexington Insurance Company, National Union Fire Insurance Company of Pittsburgh, Pa., New Hampshire Insurance Company and</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2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The Insurance Company of the State of Pennsylvania, and any and all of their affiliates, subsidiaries, successors and assigns</w:t>
              </w:r>
            </w:hyperlink>
          </w:p>
        </w:tc>
        <w:tc>
          <w:tcPr>
            <w:tcW w:w="140" w:type="dxa"/>
            <w:vAlign w:val="bottom"/>
            <w:gridSpan w:val="7"/>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70"/>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(Incorporated by reference to Exhibit 10.1 to the Company’s Current Report on Form 8-K filed August 17, 2012)</w:t>
              </w:r>
            </w:hyperlink>
          </w:p>
        </w:tc>
        <w:tc>
          <w:tcPr>
            <w:tcW w:w="168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10.3</w:t>
            </w:r>
          </w:p>
        </w:tc>
        <w:tc>
          <w:tcPr>
            <w:tcW w:w="10100" w:type="dxa"/>
            <w:vAlign w:val="bottom"/>
            <w:gridSpan w:val="40"/>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8">
              <w:r>
                <w:rPr>
                  <w:rFonts w:ascii="Times New Roman" w:cs="Times New Roman" w:eastAsia="Times New Roman" w:hAnsi="Times New Roman"/>
                  <w:sz w:val="17"/>
                  <w:szCs w:val="17"/>
                  <w:color w:val="0000FF"/>
                </w:rPr>
                <w:t>Agreement of Indemnity, September 9, 2016, by IES Holdings, Inc. and certain of its present and future subsidiaries and affiliates and</w:t>
              </w:r>
            </w:hyperlink>
          </w:p>
        </w:tc>
      </w:tr>
      <w:tr>
        <w:trPr>
          <w:trHeight w:val="148"/>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Everest Reinsurance Company and Everest National Insurance Company, and their affiliated, associated and subsidiary companies,</w:t>
              </w:r>
            </w:hyperlink>
          </w:p>
        </w:tc>
        <w:tc>
          <w:tcPr>
            <w:tcW w:w="200" w:type="dxa"/>
            <w:vAlign w:val="bottom"/>
            <w:tcBorders>
              <w:top w:val="single" w:sz="8" w:color="CCEEFF"/>
            </w:tcBorders>
            <w:gridSpan w:val="10"/>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r>
      <w:tr>
        <w:trPr>
          <w:trHeight w:val="160"/>
        </w:trPr>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500" w:type="dxa"/>
            <w:vAlign w:val="bottom"/>
            <w:tcBorders>
              <w:top w:val="single" w:sz="8" w:color="0000FF"/>
            </w:tcBorders>
            <w:gridSpan w:val="19"/>
            <w:shd w:val="clear" w:color="auto" w:fill="CCEEFF"/>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successors and assigns. (Incorporated by reference to Exhibit 10.1 to the Company’s Current Report on Form 8-K filed September 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11"/>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66"/>
        </w:trPr>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0000FF"/>
            </w:tcBorders>
            <w:shd w:val="clear" w:color="auto" w:fill="CCEEFF"/>
          </w:tcPr>
          <w:p>
            <w:pPr>
              <w:spacing w:after="0" w:line="148" w:lineRule="exact"/>
              <w:rPr>
                <w:rFonts w:ascii="Times New Roman" w:cs="Times New Roman" w:eastAsia="Times New Roman" w:hAnsi="Times New Roman"/>
                <w:sz w:val="17"/>
                <w:szCs w:val="17"/>
                <w:color w:val="0000FF"/>
                <w:w w:val="95"/>
              </w:rPr>
            </w:pPr>
            <w:hyperlink r:id="rId108">
              <w:r>
                <w:rPr>
                  <w:rFonts w:ascii="Times New Roman" w:cs="Times New Roman" w:eastAsia="Times New Roman" w:hAnsi="Times New Roman"/>
                  <w:sz w:val="17"/>
                  <w:szCs w:val="17"/>
                  <w:color w:val="0000FF"/>
                  <w:w w:val="95"/>
                </w:rPr>
                <w:t>2016)</w:t>
              </w:r>
            </w:hyperlink>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196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2700" w:type="dxa"/>
            <w:vAlign w:val="bottom"/>
            <w:tcBorders>
              <w:top w:val="single" w:sz="8" w:color="0000FF"/>
              <w:bottom w:val="single" w:sz="8" w:color="CCEEFF"/>
            </w:tcBorders>
            <w:shd w:val="clear" w:color="auto" w:fill="CCEEFF"/>
          </w:tcPr>
          <w:p>
            <w:pPr>
              <w:spacing w:after="0"/>
              <w:rPr>
                <w:sz w:val="14"/>
                <w:szCs w:val="14"/>
                <w:color w:val="auto"/>
              </w:rPr>
            </w:pPr>
          </w:p>
        </w:tc>
        <w:tc>
          <w:tcPr>
            <w:tcW w:w="15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10.4</w:t>
            </w:r>
          </w:p>
        </w:tc>
        <w:tc>
          <w:tcPr>
            <w:tcW w:w="10100" w:type="dxa"/>
            <w:vAlign w:val="bottom"/>
            <w:gridSpan w:val="40"/>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9">
              <w:r>
                <w:rPr>
                  <w:rFonts w:ascii="Times New Roman" w:cs="Times New Roman" w:eastAsia="Times New Roman" w:hAnsi="Times New Roman"/>
                  <w:sz w:val="17"/>
                  <w:szCs w:val="17"/>
                  <w:color w:val="0000FF"/>
                </w:rPr>
                <w:t>General Agreement of Indemnity, July 14, 2017, by IES Holdings, Inc. and certain of its present and future subsidiaries and affiliates</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and Travelers Casualty and Surety Company of America, St. Paul Fire and Marine Insurance Company, and their affiliated, associated</w:t>
              </w:r>
            </w:hyperlink>
          </w:p>
        </w:tc>
        <w:tc>
          <w:tcPr>
            <w:tcW w:w="100" w:type="dxa"/>
            <w:vAlign w:val="bottom"/>
            <w:tcBorders>
              <w:bottom w:val="single" w:sz="8" w:color="0000FF"/>
            </w:tcBorders>
            <w:gridSpan w:val="5"/>
          </w:tcPr>
          <w:p>
            <w:pPr>
              <w:spacing w:after="0"/>
              <w:rPr>
                <w:sz w:val="12"/>
                <w:szCs w:val="12"/>
                <w:color w:val="auto"/>
              </w:rPr>
            </w:pPr>
          </w:p>
        </w:tc>
        <w:tc>
          <w:tcPr>
            <w:tcW w:w="220" w:type="dxa"/>
            <w:vAlign w:val="bottom"/>
            <w:tcBorders>
              <w:bottom w:val="single" w:sz="8" w:color="0000FF"/>
            </w:tcBorders>
            <w:gridSpan w:val="11"/>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32"/>
          </w:tcPr>
          <w:p>
            <w:pPr>
              <w:spacing w:after="0" w:line="161"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and subsidiary companies, successors and assigns. (Incorporated by reference to Exhibit 10.1 to the Company’s Current Report on Form</w:t>
              </w:r>
            </w:hyperlink>
          </w:p>
        </w:tc>
        <w:tc>
          <w:tcPr>
            <w:tcW w:w="140" w:type="dxa"/>
            <w:vAlign w:val="bottom"/>
            <w:gridSpan w:val="7"/>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4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8-K filed July 14, 2017)</w:t>
              </w:r>
            </w:hyperlink>
          </w:p>
        </w:tc>
        <w:tc>
          <w:tcPr>
            <w:tcW w:w="360" w:type="dxa"/>
            <w:vAlign w:val="bottom"/>
            <w:gridSpan w:val="18"/>
          </w:tcPr>
          <w:p>
            <w:pPr>
              <w:spacing w:after="0"/>
              <w:rPr>
                <w:sz w:val="12"/>
                <w:szCs w:val="12"/>
                <w:color w:val="auto"/>
              </w:rPr>
            </w:pPr>
          </w:p>
        </w:tc>
      </w:tr>
      <w:tr>
        <w:trPr>
          <w:trHeight w:val="20"/>
        </w:trPr>
        <w:tc>
          <w:tcPr>
            <w:tcW w:w="1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8240" w:type="dxa"/>
            <w:vAlign w:val="bottom"/>
            <w:gridSpan w:val="33"/>
          </w:tcPr>
          <w:p>
            <w:pPr>
              <w:spacing w:after="0" w:line="20" w:lineRule="exact"/>
              <w:rPr>
                <w:sz w:val="1"/>
                <w:szCs w:val="1"/>
                <w:color w:val="auto"/>
              </w:rPr>
            </w:pPr>
          </w:p>
        </w:tc>
      </w:tr>
      <w:tr>
        <w:trPr>
          <w:trHeight w:val="201"/>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10.5</w:t>
            </w:r>
          </w:p>
        </w:tc>
        <w:tc>
          <w:tcPr>
            <w:tcW w:w="10100" w:type="dxa"/>
            <w:vAlign w:val="bottom"/>
            <w:gridSpan w:val="40"/>
          </w:tcPr>
          <w:p>
            <w:pPr>
              <w:ind w:left="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10">
              <w:r>
                <w:rPr>
                  <w:rFonts w:ascii="Times New Roman" w:cs="Times New Roman" w:eastAsia="Times New Roman" w:hAnsi="Times New Roman"/>
                  <w:sz w:val="17"/>
                  <w:szCs w:val="17"/>
                  <w:u w:val="single" w:color="auto"/>
                  <w:color w:val="0000FF"/>
                </w:rPr>
                <w:t>Agreement of Indemnity, dated August 17, 2020, by IES Holdings, Inc. and certain of its current and future subsidiaries and affiliates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-114935</wp:posOffset>
            </wp:positionV>
            <wp:extent cx="7015480" cy="3600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015480" cy="360045"/>
                    </a:xfrm>
                    <a:prstGeom prst="rect">
                      <a:avLst/>
                    </a:prstGeom>
                    <a:noFill/>
                  </pic:spPr>
                </pic:pic>
              </a:graphicData>
            </a:graphic>
          </wp:anchor>
        </w:drawing>
      </w:r>
    </w:p>
    <w:p>
      <w:pPr>
        <w:ind w:left="1800" w:right="100"/>
        <w:spacing w:after="0" w:line="236" w:lineRule="auto"/>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and United States Fire Insurance Company and its affiliated, associated and subsidiary companies, successors and assigns (Incorporated</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by reference to Exhibit 10.1 to the Company’s Current Report on Form 8-K filed August 20, 2020)</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3" w:name="page74"/>
    <w:bookmarkEnd w:id="73"/>
    <w:p>
      <w:pPr>
        <w:jc w:val="right"/>
        <w:ind w:left="18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10.6 — </w:t>
      </w:r>
      <w:hyperlink r:id="rId113">
        <w:r>
          <w:rPr>
            <w:rFonts w:ascii="Times New Roman" w:cs="Times New Roman" w:eastAsia="Times New Roman" w:hAnsi="Times New Roman"/>
            <w:sz w:val="17"/>
            <w:szCs w:val="17"/>
            <w:u w:val="single" w:color="auto"/>
            <w:color w:val="0000FF"/>
          </w:rPr>
          <w:t>Third Amended and Restated Credit and Security Agreement, dated April 28, 2022 by and among IES Holdings, Inc., each of the other</w:t>
        </w:r>
      </w:hyperlink>
      <w:r>
        <w:rPr>
          <w:rFonts w:ascii="Times New Roman" w:cs="Times New Roman" w:eastAsia="Times New Roman" w:hAnsi="Times New Roman"/>
          <w:sz w:val="15"/>
          <w:szCs w:val="15"/>
          <w:color w:val="auto"/>
        </w:rPr>
        <w:t xml:space="preserve"> </w:t>
      </w:r>
      <w:hyperlink r:id="rId113">
        <w:r>
          <w:rPr>
            <w:rFonts w:ascii="Times New Roman" w:cs="Times New Roman" w:eastAsia="Times New Roman" w:hAnsi="Times New Roman"/>
            <w:sz w:val="17"/>
            <w:szCs w:val="17"/>
            <w:u w:val="single" w:color="auto"/>
            <w:color w:val="0000FF"/>
          </w:rPr>
          <w:t>Borrowers and Guarantors named therein and Wells Fargo Bank, National Association, as Administrative Agent. (Incorporated by</w:t>
        </w:r>
      </w:hyperlink>
    </w:p>
    <w:p>
      <w:pPr>
        <w:spacing w:after="0" w:line="1" w:lineRule="exact"/>
        <w:rPr>
          <w:sz w:val="20"/>
          <w:szCs w:val="20"/>
          <w:color w:val="auto"/>
        </w:rPr>
      </w:pPr>
    </w:p>
    <w:p>
      <w:pPr>
        <w:ind w:left="680"/>
        <w:spacing w:after="0"/>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reference to Exhibit 10.1 to the Company's Quarterly Report on Form 10-Q filed 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5715</wp:posOffset>
            </wp:positionV>
            <wp:extent cx="7015480" cy="466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015480" cy="466725"/>
                    </a:xfrm>
                    <a:prstGeom prst="rect">
                      <a:avLst/>
                    </a:prstGeom>
                    <a:noFill/>
                  </pic:spPr>
                </pic:pic>
              </a:graphicData>
            </a:graphic>
          </wp:anchor>
        </w:drawing>
      </w:r>
    </w:p>
    <w:p>
      <w:pPr>
        <w:jc w:val="right"/>
        <w:ind w:left="220"/>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10.7— </w:t>
      </w:r>
      <w:hyperlink r:id="rId115">
        <w:r>
          <w:rPr>
            <w:rFonts w:ascii="Times New Roman" w:cs="Times New Roman" w:eastAsia="Times New Roman" w:hAnsi="Times New Roman"/>
            <w:sz w:val="17"/>
            <w:szCs w:val="17"/>
            <w:u w:val="single" w:color="auto"/>
            <w:color w:val="0000FF"/>
          </w:rPr>
          <w:t>Amendment No. 1 to Third Amended Restated Credit and Security Agreement, dated April 28, 2022 by and among IES Holdings, Inc.,</w:t>
        </w:r>
      </w:hyperlink>
      <w:r>
        <w:rPr>
          <w:rFonts w:ascii="Times New Roman" w:cs="Times New Roman" w:eastAsia="Times New Roman" w:hAnsi="Times New Roman"/>
          <w:sz w:val="15"/>
          <w:szCs w:val="15"/>
          <w:color w:val="auto"/>
        </w:rPr>
        <w:t xml:space="preserve"> </w:t>
      </w:r>
      <w:hyperlink r:id="rId115">
        <w:r>
          <w:rPr>
            <w:rFonts w:ascii="Times New Roman" w:cs="Times New Roman" w:eastAsia="Times New Roman" w:hAnsi="Times New Roman"/>
            <w:sz w:val="17"/>
            <w:szCs w:val="17"/>
            <w:u w:val="single" w:color="auto"/>
            <w:color w:val="0000FF"/>
          </w:rPr>
          <w:t>each of the other Borrowers and Guarantors named therein, Wells Fargo Bank, National Association, as Administrative Agent, and Fifth</w:t>
        </w:r>
      </w:hyperlink>
    </w:p>
    <w:p>
      <w:pPr>
        <w:ind w:left="680"/>
        <w:spacing w:after="0" w:line="228"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Third Bank, National Association (Incorporated by reference to Exhibit 10.7 to the Company's Annual Report on Form 10-K filed</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December 6, 2022)</w:t>
        </w:r>
      </w:hyperlink>
    </w:p>
    <w:p>
      <w:pPr>
        <w:spacing w:after="0" w:line="1" w:lineRule="exact"/>
        <w:rPr>
          <w:sz w:val="20"/>
          <w:szCs w:val="20"/>
          <w:color w:val="auto"/>
        </w:rPr>
      </w:pPr>
    </w:p>
    <w:p>
      <w:pPr>
        <w:ind w:left="680" w:right="600" w:hanging="497"/>
        <w:spacing w:after="0" w:line="23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10.8 — </w:t>
      </w:r>
      <w:hyperlink r:id="rId116">
        <w:r>
          <w:rPr>
            <w:rFonts w:ascii="Times New Roman" w:cs="Times New Roman" w:eastAsia="Times New Roman" w:hAnsi="Times New Roman"/>
            <w:sz w:val="17"/>
            <w:szCs w:val="17"/>
            <w:u w:val="single" w:color="auto"/>
            <w:color w:val="0000FF"/>
          </w:rPr>
          <w:t>Sublease Agreement between Tontine Associates, L.L.C. and IES Shared Services, Inc., dated March 29, 2012 (Incorporated by</w:t>
        </w:r>
      </w:hyperlink>
      <w:r>
        <w:rPr>
          <w:rFonts w:ascii="Times New Roman" w:cs="Times New Roman" w:eastAsia="Times New Roman" w:hAnsi="Times New Roman"/>
          <w:sz w:val="15"/>
          <w:szCs w:val="15"/>
          <w:color w:val="auto"/>
        </w:rPr>
        <w:t xml:space="preserve"> </w:t>
      </w:r>
      <w:hyperlink r:id="rId116">
        <w:r>
          <w:rPr>
            <w:rFonts w:ascii="Times New Roman" w:cs="Times New Roman" w:eastAsia="Times New Roman" w:hAnsi="Times New Roman"/>
            <w:sz w:val="17"/>
            <w:szCs w:val="17"/>
            <w:u w:val="single" w:color="auto"/>
            <w:color w:val="0000FF"/>
          </w:rPr>
          <w:t>reference to Exhibit 10.1 to the Company’s Quarterly Report on Form 10-Q filed May 15, 2012)</w:t>
        </w:r>
      </w:hyperlink>
    </w:p>
    <w:p>
      <w:pPr>
        <w:ind w:left="1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10.9 — </w:t>
      </w:r>
      <w:hyperlink r:id="rId117">
        <w:r>
          <w:rPr>
            <w:rFonts w:ascii="Times New Roman" w:cs="Times New Roman" w:eastAsia="Times New Roman" w:hAnsi="Times New Roman"/>
            <w:sz w:val="17"/>
            <w:szCs w:val="17"/>
            <w:u w:val="single" w:color="auto"/>
            <w:color w:val="0000FF"/>
          </w:rPr>
          <w:t>First Amendment between Tontine Associates, L.L.C., IES Shared Services, Inc. and IES Management ROO, LP, dated as of March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-114935</wp:posOffset>
            </wp:positionV>
            <wp:extent cx="7015480" cy="360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015480" cy="360045"/>
                    </a:xfrm>
                    <a:prstGeom prst="rect">
                      <a:avLst/>
                    </a:prstGeom>
                    <a:noFill/>
                  </pic:spPr>
                </pic:pic>
              </a:graphicData>
            </a:graphic>
          </wp:anchor>
        </w:drawing>
      </w:r>
    </w:p>
    <w:p>
      <w:pPr>
        <w:ind w:left="680"/>
        <w:spacing w:after="0" w:line="221" w:lineRule="auto"/>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2016, to Sublease Agreement between Tontine Associates, L.L.C., and IES Shared Services, Inc., dated March 29, 2012. (Incorporated</w:t>
        </w:r>
      </w:hyperlink>
    </w:p>
    <w:p>
      <w:pPr>
        <w:ind w:left="680"/>
        <w:spacing w:after="0"/>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by reference to Exhibit 10.5 to the Company’s Quarterly Report on Form 10-Q filed May 9, 2016)</w:t>
        </w:r>
      </w:hyperlink>
    </w:p>
    <w:p>
      <w:pPr>
        <w:spacing w:after="0" w:line="10" w:lineRule="exact"/>
        <w:rPr>
          <w:sz w:val="20"/>
          <w:szCs w:val="20"/>
          <w:color w:val="auto"/>
        </w:rPr>
      </w:pPr>
    </w:p>
    <w:p>
      <w:pPr>
        <w:ind w:left="680" w:right="80" w:hanging="692"/>
        <w:spacing w:after="0" w:line="218"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10.10 — </w:t>
      </w:r>
      <w:r>
        <w:rPr>
          <w:rFonts w:ascii="Times New Roman" w:cs="Times New Roman" w:eastAsia="Times New Roman" w:hAnsi="Times New Roman"/>
          <w:sz w:val="17"/>
          <w:szCs w:val="17"/>
          <w:u w:val="single" w:color="auto"/>
          <w:color w:val="0000FF"/>
        </w:rPr>
        <w:t>Fifth Amendment, dated as of August 1, 2024, to Sublease Agreement, dated as of March 29, 2012 and amended as of March 31, 2016,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0000FF"/>
        </w:rPr>
        <w:t>May 1, 2019, November 5, 2019 and December 15, 2022, between Tontine Associates, L.L.C. and IES Management ROO, LP.</w:t>
      </w:r>
    </w:p>
    <w:p>
      <w:pPr>
        <w:spacing w:after="0" w:line="9" w:lineRule="exact"/>
        <w:rPr>
          <w:sz w:val="20"/>
          <w:szCs w:val="20"/>
          <w:color w:val="auto"/>
        </w:rPr>
      </w:pPr>
    </w:p>
    <w:p>
      <w:pPr>
        <w:ind w:left="680" w:right="180" w:hanging="569"/>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10.11 — </w:t>
      </w:r>
      <w:hyperlink r:id="rId119">
        <w:r>
          <w:rPr>
            <w:rFonts w:ascii="Times New Roman" w:cs="Times New Roman" w:eastAsia="Times New Roman" w:hAnsi="Times New Roman"/>
            <w:sz w:val="17"/>
            <w:szCs w:val="17"/>
            <w:u w:val="single" w:color="auto"/>
            <w:color w:val="0000FF"/>
          </w:rPr>
          <w:t>Board Observer Letter Agreement between Tontine Associates, L.L.C. and IES Holdings, Inc., dated December 6, 2018 (Incorporated</w:t>
        </w:r>
      </w:hyperlink>
      <w:r>
        <w:rPr>
          <w:rFonts w:ascii="Times New Roman" w:cs="Times New Roman" w:eastAsia="Times New Roman" w:hAnsi="Times New Roman"/>
          <w:sz w:val="15"/>
          <w:szCs w:val="15"/>
          <w:color w:val="auto"/>
        </w:rPr>
        <w:t xml:space="preserve"> </w:t>
      </w:r>
      <w:hyperlink r:id="rId119">
        <w:r>
          <w:rPr>
            <w:rFonts w:ascii="Times New Roman" w:cs="Times New Roman" w:eastAsia="Times New Roman" w:hAnsi="Times New Roman"/>
            <w:sz w:val="17"/>
            <w:szCs w:val="17"/>
            <w:u w:val="single" w:color="auto"/>
            <w:color w:val="0000FF"/>
          </w:rPr>
          <w:t>by reference to Exhibit 10.17 to the Company's Annual Report on Form 10-K filed December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*10.12 — </w:t>
      </w:r>
      <w:hyperlink r:id="rId121">
        <w:r>
          <w:rPr>
            <w:rFonts w:ascii="Times New Roman" w:cs="Times New Roman" w:eastAsia="Times New Roman" w:hAnsi="Times New Roman"/>
            <w:sz w:val="17"/>
            <w:szCs w:val="17"/>
            <w:u w:val="single" w:color="auto"/>
            <w:color w:val="0000FF"/>
          </w:rPr>
          <w:t>Term Life Insurance Plan (Incorporated by reference to Exhibit 10.3 to the Company’s Current Report on Form 8-K filed October 17,</w:t>
        </w:r>
      </w:hyperlink>
    </w:p>
    <w:p>
      <w:pPr>
        <w:ind w:left="680"/>
        <w:spacing w:after="0"/>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2007)</w:t>
        </w:r>
      </w:hyperlink>
    </w:p>
    <w:p>
      <w:pPr>
        <w:spacing w:after="0" w:line="19"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*10.13 — </w:t>
      </w:r>
      <w:hyperlink r:id="rId122">
        <w:r>
          <w:rPr>
            <w:rFonts w:ascii="Times New Roman" w:cs="Times New Roman" w:eastAsia="Times New Roman" w:hAnsi="Times New Roman"/>
            <w:sz w:val="17"/>
            <w:szCs w:val="17"/>
            <w:u w:val="single" w:color="auto"/>
            <w:color w:val="0000FF"/>
          </w:rPr>
          <w:t>Integrated Electrical Services, Inc. (n/k/a IES Holdings, Inc.) 2006 Equity Incentive Plan, as amended and restated through 2007</w:t>
        </w:r>
      </w:hyperlink>
      <w:r>
        <w:rPr>
          <w:rFonts w:ascii="Times New Roman" w:cs="Times New Roman" w:eastAsia="Times New Roman" w:hAnsi="Times New Roman"/>
          <w:sz w:val="15"/>
          <w:szCs w:val="15"/>
          <w:color w:val="auto"/>
        </w:rPr>
        <w:t xml:space="preserve"> </w:t>
      </w:r>
      <w:hyperlink r:id="rId122">
        <w:r>
          <w:rPr>
            <w:rFonts w:ascii="Times New Roman" w:cs="Times New Roman" w:eastAsia="Times New Roman" w:hAnsi="Times New Roman"/>
            <w:sz w:val="17"/>
            <w:szCs w:val="17"/>
            <w:u w:val="single" w:color="auto"/>
            <w:color w:val="0000FF"/>
          </w:rPr>
          <w:t>(Incorporated by reference to Exhibit 10.1 to the Company's Current Report on Form 8-K filed October 17,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jc w:val="right"/>
        <w:ind w:left="4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*10.14 — </w:t>
      </w:r>
      <w:hyperlink r:id="rId124">
        <w:r>
          <w:rPr>
            <w:rFonts w:ascii="Times New Roman" w:cs="Times New Roman" w:eastAsia="Times New Roman" w:hAnsi="Times New Roman"/>
            <w:sz w:val="17"/>
            <w:szCs w:val="17"/>
            <w:u w:val="single" w:color="auto"/>
            <w:color w:val="0000FF"/>
          </w:rPr>
          <w:t>Form of Performance-Based Phantom Stock Unit Award Agreement under the Company’s 2006 Equity Incentive Plan, as amended and</w:t>
        </w:r>
      </w:hyperlink>
      <w:r>
        <w:rPr>
          <w:rFonts w:ascii="Times New Roman" w:cs="Times New Roman" w:eastAsia="Times New Roman" w:hAnsi="Times New Roman"/>
          <w:sz w:val="15"/>
          <w:szCs w:val="15"/>
          <w:color w:val="auto"/>
        </w:rPr>
        <w:t xml:space="preserve"> </w:t>
      </w:r>
      <w:hyperlink r:id="rId124">
        <w:r>
          <w:rPr>
            <w:rFonts w:ascii="Times New Roman" w:cs="Times New Roman" w:eastAsia="Times New Roman" w:hAnsi="Times New Roman"/>
            <w:sz w:val="17"/>
            <w:szCs w:val="17"/>
            <w:u w:val="single" w:color="auto"/>
            <w:color w:val="0000FF"/>
          </w:rPr>
          <w:t>restated through 2007 (Incorporated by reference to Exhibit 10.1 to the Company's Quarterly Report on Form 10-Q filed February 8,</w:t>
        </w:r>
      </w:hyperlink>
    </w:p>
    <w:p>
      <w:pPr>
        <w:spacing w:after="0" w:line="1" w:lineRule="exact"/>
        <w:rPr>
          <w:sz w:val="20"/>
          <w:szCs w:val="20"/>
          <w:color w:val="auto"/>
        </w:rPr>
      </w:pPr>
    </w:p>
    <w:p>
      <w:pPr>
        <w:ind w:left="680"/>
        <w:spacing w:after="0"/>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5715</wp:posOffset>
            </wp:positionV>
            <wp:extent cx="7015480" cy="254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40"/>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*10.15 — </w:t>
      </w:r>
      <w:hyperlink r:id="rId126">
        <w:r>
          <w:rPr>
            <w:rFonts w:ascii="Times New Roman" w:cs="Times New Roman" w:eastAsia="Times New Roman" w:hAnsi="Times New Roman"/>
            <w:sz w:val="17"/>
            <w:szCs w:val="17"/>
            <w:u w:val="single" w:color="auto"/>
            <w:color w:val="0000FF"/>
          </w:rPr>
          <w:t>Integrated Electrical Services, Inc. (n/k/a IES Holdings, Inc.) Amended and Restated 2006 Equity Incentive Plan (as of February 9,</w:t>
        </w:r>
      </w:hyperlink>
    </w:p>
    <w:p>
      <w:pPr>
        <w:spacing w:after="0" w:line="1" w:lineRule="exact"/>
        <w:rPr>
          <w:sz w:val="20"/>
          <w:szCs w:val="20"/>
          <w:color w:val="auto"/>
        </w:rPr>
      </w:pPr>
    </w:p>
    <w:p>
      <w:pPr>
        <w:ind w:left="680"/>
        <w:spacing w:after="0"/>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2016) (Incorporated by reference to Exhibit A to the Company’s Definitive Proxy Statement filed December 28, 2015)</w:t>
        </w:r>
      </w:hyperlink>
    </w:p>
    <w:p>
      <w:pPr>
        <w:spacing w:after="0" w:line="9" w:lineRule="exact"/>
        <w:rPr>
          <w:sz w:val="20"/>
          <w:szCs w:val="20"/>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*10.16 — </w:t>
      </w:r>
      <w:hyperlink r:id="rId127">
        <w:r>
          <w:rPr>
            <w:rFonts w:ascii="Times New Roman" w:cs="Times New Roman" w:eastAsia="Times New Roman" w:hAnsi="Times New Roman"/>
            <w:sz w:val="17"/>
            <w:szCs w:val="17"/>
            <w:u w:val="single" w:color="auto"/>
            <w:color w:val="0000FF"/>
          </w:rPr>
          <w:t>Form of Phantom Stock Unit Award under the Company’s Amended and Restated 2006 Equity Incentive Plan (as of February 9, 2016)</w:t>
        </w:r>
      </w:hyperlink>
    </w:p>
    <w:p>
      <w:pPr>
        <w:ind w:left="680"/>
        <w:spacing w:after="0"/>
        <w:rPr>
          <w:rFonts w:ascii="Times New Roman" w:cs="Times New Roman" w:eastAsia="Times New Roman" w:hAnsi="Times New Roman"/>
          <w:sz w:val="17"/>
          <w:szCs w:val="17"/>
          <w:u w:val="single" w:color="auto"/>
          <w:color w:val="0000FF"/>
        </w:rPr>
      </w:pPr>
      <w:hyperlink r:id="rId127">
        <w:r>
          <w:rPr>
            <w:rFonts w:ascii="Times New Roman" w:cs="Times New Roman" w:eastAsia="Times New Roman" w:hAnsi="Times New Roman"/>
            <w:sz w:val="17"/>
            <w:szCs w:val="17"/>
            <w:u w:val="single" w:color="auto"/>
            <w:color w:val="0000FF"/>
          </w:rPr>
          <w:t>(Incorporated by reference to Exhibit 10.4 to the Company’s Quarterly Report on Form 10-Q filed May 9, 2016)</w:t>
        </w:r>
      </w:hyperlink>
    </w:p>
    <w:p>
      <w:pPr>
        <w:spacing w:after="0" w:line="9" w:lineRule="exact"/>
        <w:rPr>
          <w:sz w:val="20"/>
          <w:szCs w:val="20"/>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*10.17 — </w:t>
      </w:r>
      <w:hyperlink r:id="rId128">
        <w:r>
          <w:rPr>
            <w:rFonts w:ascii="Times New Roman" w:cs="Times New Roman" w:eastAsia="Times New Roman" w:hAnsi="Times New Roman"/>
            <w:sz w:val="17"/>
            <w:szCs w:val="17"/>
            <w:u w:val="single" w:color="auto"/>
            <w:color w:val="0000FF"/>
          </w:rPr>
          <w:t>Form of Stock Option Award Agreement under the Company’s Amended and Restated 2006 Equity Incentive Plan (as of February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-114935</wp:posOffset>
            </wp:positionV>
            <wp:extent cx="7015480" cy="254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spacing w:after="0"/>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2016) (Incorporated by reference to Exhibit 10.3 to the Company’s Quarterly Report on Form 10-Q filed May 9, 2016)</w:t>
        </w:r>
      </w:hyperlink>
    </w:p>
    <w:p>
      <w:pPr>
        <w:spacing w:after="0" w:line="9" w:lineRule="exact"/>
        <w:rPr>
          <w:sz w:val="20"/>
          <w:szCs w:val="20"/>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*10.18 — </w:t>
      </w:r>
      <w:hyperlink r:id="rId130">
        <w:r>
          <w:rPr>
            <w:rFonts w:ascii="Times New Roman" w:cs="Times New Roman" w:eastAsia="Times New Roman" w:hAnsi="Times New Roman"/>
            <w:sz w:val="17"/>
            <w:szCs w:val="17"/>
            <w:u w:val="single" w:color="auto"/>
            <w:color w:val="0000FF"/>
          </w:rPr>
          <w:t>Form of Restricted Stock Award Agreement under the Company’s Amended and Restated 2006 Equity Incentive Plan (as of February 9,</w:t>
        </w:r>
      </w:hyperlink>
    </w:p>
    <w:p>
      <w:pPr>
        <w:ind w:left="680"/>
        <w:spacing w:after="0"/>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2016) (Incorporated by reference to Exhibit 10.2 to the Company’s Quarterly Report on Form 10-Q filed May 9, 2016)</w:t>
        </w:r>
      </w:hyperlink>
    </w:p>
    <w:p>
      <w:pPr>
        <w:spacing w:after="0" w:line="19"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*10.19 — </w:t>
      </w:r>
      <w:hyperlink r:id="rId131">
        <w:r>
          <w:rPr>
            <w:rFonts w:ascii="Times New Roman" w:cs="Times New Roman" w:eastAsia="Times New Roman" w:hAnsi="Times New Roman"/>
            <w:sz w:val="17"/>
            <w:szCs w:val="17"/>
            <w:u w:val="single" w:color="auto"/>
            <w:color w:val="0000FF"/>
          </w:rPr>
          <w:t>Amended and Restated 2009 Deferred Compensation Plan (Incorporated by reference to Exhibit 10.33 to the Company’s Annual Report</w:t>
        </w:r>
      </w:hyperlink>
      <w:r>
        <w:rPr>
          <w:rFonts w:ascii="Times New Roman" w:cs="Times New Roman" w:eastAsia="Times New Roman" w:hAnsi="Times New Roman"/>
          <w:sz w:val="15"/>
          <w:szCs w:val="15"/>
          <w:color w:val="auto"/>
        </w:rPr>
        <w:t xml:space="preserve"> </w:t>
      </w:r>
      <w:hyperlink r:id="rId131">
        <w:r>
          <w:rPr>
            <w:rFonts w:ascii="Times New Roman" w:cs="Times New Roman" w:eastAsia="Times New Roman" w:hAnsi="Times New Roman"/>
            <w:sz w:val="17"/>
            <w:szCs w:val="17"/>
            <w:u w:val="single" w:color="auto"/>
            <w:color w:val="0000FF"/>
          </w:rPr>
          <w:t>on Form 10-K filed December 15,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*10.20 — </w:t>
      </w:r>
      <w:hyperlink r:id="rId133">
        <w:r>
          <w:rPr>
            <w:rFonts w:ascii="Times New Roman" w:cs="Times New Roman" w:eastAsia="Times New Roman" w:hAnsi="Times New Roman"/>
            <w:sz w:val="17"/>
            <w:szCs w:val="17"/>
            <w:u w:val="single" w:color="auto"/>
            <w:color w:val="0000FF"/>
          </w:rPr>
          <w:t>Integrated Electrical Services, Inc. (n/k/a IES Holdings, Inc.) Long Term Incentive Plan, as amended and restated. (Incorporated by</w:t>
        </w:r>
      </w:hyperlink>
      <w:r>
        <w:rPr>
          <w:rFonts w:ascii="Times New Roman" w:cs="Times New Roman" w:eastAsia="Times New Roman" w:hAnsi="Times New Roman"/>
          <w:sz w:val="15"/>
          <w:szCs w:val="15"/>
          <w:color w:val="auto"/>
        </w:rPr>
        <w:t xml:space="preserve"> </w:t>
      </w:r>
      <w:hyperlink r:id="rId133">
        <w:r>
          <w:rPr>
            <w:rFonts w:ascii="Times New Roman" w:cs="Times New Roman" w:eastAsia="Times New Roman" w:hAnsi="Times New Roman"/>
            <w:sz w:val="17"/>
            <w:szCs w:val="17"/>
            <w:u w:val="single" w:color="auto"/>
            <w:color w:val="0000FF"/>
          </w:rPr>
          <w:t>reference to Exhibit 10.2 to the Company’s Current Report on Form 8-K filed September 23, 2009)</w:t>
        </w:r>
      </w:hyperlink>
    </w:p>
    <w:p>
      <w:pPr>
        <w:spacing w:after="0" w:line="10"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*10.21 — </w:t>
      </w:r>
      <w:hyperlink r:id="rId134">
        <w:r>
          <w:rPr>
            <w:rFonts w:ascii="Times New Roman" w:cs="Times New Roman" w:eastAsia="Times New Roman" w:hAnsi="Times New Roman"/>
            <w:sz w:val="17"/>
            <w:szCs w:val="17"/>
            <w:u w:val="single" w:color="auto"/>
            <w:color w:val="0000FF"/>
          </w:rPr>
          <w:t>IES Holdings, Inc. Second Amended and Restated Executive Officer Severance Benefit Plan, effective April 29, 2021 (Incorporated by</w:t>
        </w:r>
      </w:hyperlink>
      <w:r>
        <w:rPr>
          <w:rFonts w:ascii="Times New Roman" w:cs="Times New Roman" w:eastAsia="Times New Roman" w:hAnsi="Times New Roman"/>
          <w:sz w:val="15"/>
          <w:szCs w:val="15"/>
          <w:color w:val="auto"/>
        </w:rPr>
        <w:t xml:space="preserve"> </w:t>
      </w:r>
      <w:hyperlink r:id="rId134">
        <w:r>
          <w:rPr>
            <w:rFonts w:ascii="Times New Roman" w:cs="Times New Roman" w:eastAsia="Times New Roman" w:hAnsi="Times New Roman"/>
            <w:sz w:val="17"/>
            <w:szCs w:val="17"/>
            <w:u w:val="single" w:color="auto"/>
            <w:color w:val="0000FF"/>
          </w:rPr>
          <w:t>reference to Exhibit 10.3 to the Company's Quarterly Report on Form 10-Q filed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jc w:val="right"/>
        <w:ind w:left="40"/>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*10.22 — </w:t>
      </w:r>
      <w:hyperlink r:id="rId136">
        <w:r>
          <w:rPr>
            <w:rFonts w:ascii="Times New Roman" w:cs="Times New Roman" w:eastAsia="Times New Roman" w:hAnsi="Times New Roman"/>
            <w:sz w:val="17"/>
            <w:szCs w:val="17"/>
            <w:u w:val="single" w:color="auto"/>
            <w:color w:val="0000FF"/>
          </w:rPr>
          <w:t>Form of Phantom Stock Unit Award under the Company’s Amended and Restated 2006 Equity Incentive Plan (as of February 9, 2016),</w:t>
        </w:r>
      </w:hyperlink>
      <w:r>
        <w:rPr>
          <w:rFonts w:ascii="Times New Roman" w:cs="Times New Roman" w:eastAsia="Times New Roman" w:hAnsi="Times New Roman"/>
          <w:sz w:val="15"/>
          <w:szCs w:val="15"/>
          <w:color w:val="auto"/>
        </w:rPr>
        <w:t xml:space="preserve"> </w:t>
      </w:r>
      <w:hyperlink r:id="rId136">
        <w:r>
          <w:rPr>
            <w:rFonts w:ascii="Times New Roman" w:cs="Times New Roman" w:eastAsia="Times New Roman" w:hAnsi="Times New Roman"/>
            <w:sz w:val="17"/>
            <w:szCs w:val="17"/>
            <w:u w:val="single" w:color="auto"/>
            <w:color w:val="0000FF"/>
          </w:rPr>
          <w:t>dated February 6, 2019 (Incorporated by reference to Exhibit 10.2 to the Company’s Quarterly Report on Form 10-Q filed May 6, 2019)</w:t>
        </w:r>
      </w:hyperlink>
    </w:p>
    <w:p>
      <w:pPr>
        <w:spacing w:after="0" w:line="10"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*10.23 — </w:t>
      </w:r>
      <w:hyperlink r:id="rId137">
        <w:r>
          <w:rPr>
            <w:rFonts w:ascii="Times New Roman" w:cs="Times New Roman" w:eastAsia="Times New Roman" w:hAnsi="Times New Roman"/>
            <w:sz w:val="17"/>
            <w:szCs w:val="17"/>
            <w:u w:val="single" w:color="auto"/>
            <w:color w:val="0000FF"/>
          </w:rPr>
          <w:t>IES Holdings, Inc. Short-Term Incentive Plan (Incorporated by reference to Exhibit 10.1 to the Company’s Current Report on Form 8-K</w:t>
        </w:r>
      </w:hyperlink>
      <w:r>
        <w:rPr>
          <w:rFonts w:ascii="Times New Roman" w:cs="Times New Roman" w:eastAsia="Times New Roman" w:hAnsi="Times New Roman"/>
          <w:sz w:val="15"/>
          <w:szCs w:val="15"/>
          <w:color w:val="auto"/>
        </w:rPr>
        <w:t xml:space="preserve"> </w:t>
      </w:r>
      <w:hyperlink r:id="rId137">
        <w:r>
          <w:rPr>
            <w:rFonts w:ascii="Times New Roman" w:cs="Times New Roman" w:eastAsia="Times New Roman" w:hAnsi="Times New Roman"/>
            <w:sz w:val="17"/>
            <w:szCs w:val="17"/>
            <w:u w:val="single" w:color="auto"/>
            <w:color w:val="0000FF"/>
          </w:rPr>
          <w:t>filed March,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*10.24 — </w:t>
      </w:r>
      <w:hyperlink r:id="rId139">
        <w:r>
          <w:rPr>
            <w:rFonts w:ascii="Times New Roman" w:cs="Times New Roman" w:eastAsia="Times New Roman" w:hAnsi="Times New Roman"/>
            <w:sz w:val="17"/>
            <w:szCs w:val="17"/>
            <w:u w:val="single" w:color="auto"/>
            <w:color w:val="0000FF"/>
          </w:rPr>
          <w:t>IES Holdings, Inc. Long-Term Incentive Plan Annual Grant Program (Incorporated by reference to Exhibit 10.2 to the Company’s</w:t>
        </w:r>
      </w:hyperlink>
      <w:r>
        <w:rPr>
          <w:rFonts w:ascii="Times New Roman" w:cs="Times New Roman" w:eastAsia="Times New Roman" w:hAnsi="Times New Roman"/>
          <w:sz w:val="15"/>
          <w:szCs w:val="15"/>
          <w:color w:val="auto"/>
        </w:rPr>
        <w:t xml:space="preserve"> </w:t>
      </w:r>
      <w:hyperlink r:id="rId139">
        <w:r>
          <w:rPr>
            <w:rFonts w:ascii="Times New Roman" w:cs="Times New Roman" w:eastAsia="Times New Roman" w:hAnsi="Times New Roman"/>
            <w:sz w:val="17"/>
            <w:szCs w:val="17"/>
            <w:u w:val="single" w:color="auto"/>
            <w:color w:val="0000FF"/>
          </w:rPr>
          <w:t>Current Report on Form 8-K filed March, 5, 2019)</w:t>
        </w:r>
      </w:hyperlink>
    </w:p>
    <w:p>
      <w:pPr>
        <w:spacing w:after="0" w:line="10"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*10.25 — </w:t>
      </w:r>
      <w:hyperlink r:id="rId140">
        <w:r>
          <w:rPr>
            <w:rFonts w:ascii="Times New Roman" w:cs="Times New Roman" w:eastAsia="Times New Roman" w:hAnsi="Times New Roman"/>
            <w:sz w:val="17"/>
            <w:szCs w:val="17"/>
            <w:u w:val="single" w:color="auto"/>
            <w:color w:val="0000FF"/>
          </w:rPr>
          <w:t>Form of IES Holdings, Inc. Amended and Restated 2006 Equity Incentive Plan Restricted Stock Award Agreement (Incorporated by</w:t>
        </w:r>
      </w:hyperlink>
      <w:r>
        <w:rPr>
          <w:rFonts w:ascii="Times New Roman" w:cs="Times New Roman" w:eastAsia="Times New Roman" w:hAnsi="Times New Roman"/>
          <w:sz w:val="15"/>
          <w:szCs w:val="15"/>
          <w:color w:val="auto"/>
        </w:rPr>
        <w:t xml:space="preserve"> </w:t>
      </w:r>
      <w:hyperlink r:id="rId140">
        <w:r>
          <w:rPr>
            <w:rFonts w:ascii="Times New Roman" w:cs="Times New Roman" w:eastAsia="Times New Roman" w:hAnsi="Times New Roman"/>
            <w:sz w:val="17"/>
            <w:szCs w:val="17"/>
            <w:u w:val="single" w:color="auto"/>
            <w:color w:val="0000FF"/>
          </w:rPr>
          <w:t>reference to Exhibit 10.2 to the Company’s Quarterly Report on Form 10-Q filed February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*10.26 — </w:t>
      </w:r>
      <w:hyperlink r:id="rId142">
        <w:r>
          <w:rPr>
            <w:rFonts w:ascii="Times New Roman" w:cs="Times New Roman" w:eastAsia="Times New Roman" w:hAnsi="Times New Roman"/>
            <w:sz w:val="17"/>
            <w:szCs w:val="17"/>
            <w:u w:val="single" w:color="auto"/>
            <w:color w:val="0000FF"/>
          </w:rPr>
          <w:t>Form of IES Holdings, Inc. Amended and Restated 2006 Equity Incentive Plan Phantom Stock Unit Award Agreement (Incorporated by</w:t>
        </w:r>
      </w:hyperlink>
      <w:r>
        <w:rPr>
          <w:rFonts w:ascii="Times New Roman" w:cs="Times New Roman" w:eastAsia="Times New Roman" w:hAnsi="Times New Roman"/>
          <w:sz w:val="15"/>
          <w:szCs w:val="15"/>
          <w:color w:val="auto"/>
        </w:rPr>
        <w:t xml:space="preserve"> </w:t>
      </w:r>
      <w:hyperlink r:id="rId142">
        <w:r>
          <w:rPr>
            <w:rFonts w:ascii="Times New Roman" w:cs="Times New Roman" w:eastAsia="Times New Roman" w:hAnsi="Times New Roman"/>
            <w:sz w:val="17"/>
            <w:szCs w:val="17"/>
            <w:u w:val="single" w:color="auto"/>
            <w:color w:val="0000FF"/>
          </w:rPr>
          <w:t>reference to Exhibit 10.3 to the Company’s Quarterly Report on Form 10-Q filed February 4, 2020)</w:t>
        </w:r>
      </w:hyperlink>
    </w:p>
    <w:p>
      <w:pPr>
        <w:spacing w:after="0" w:line="200" w:lineRule="exact"/>
        <w:rPr>
          <w:sz w:val="20"/>
          <w:szCs w:val="20"/>
          <w:color w:val="auto"/>
        </w:rPr>
      </w:pPr>
    </w:p>
    <w:p>
      <w:pPr>
        <w:spacing w:after="0" w:line="3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080"/>
          </w:cols>
          <w:pgMar w:left="1440" w:top="781" w:right="379" w:bottom="1440" w:gutter="0" w:footer="0" w:header="0"/>
        </w:sectPr>
      </w:pPr>
    </w:p>
    <w:bookmarkStart w:id="74" w:name="page75"/>
    <w:bookmarkEnd w:id="74"/>
    <w:p>
      <w:pPr>
        <w:jc w:val="right"/>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*10.27 — </w:t>
      </w:r>
      <w:hyperlink r:id="rId144">
        <w:r>
          <w:rPr>
            <w:rFonts w:ascii="Times New Roman" w:cs="Times New Roman" w:eastAsia="Times New Roman" w:hAnsi="Times New Roman"/>
            <w:sz w:val="17"/>
            <w:szCs w:val="17"/>
            <w:u w:val="single" w:color="auto"/>
            <w:color w:val="0000FF"/>
          </w:rPr>
          <w:t>Form of Cumulative Income Restricted Stock Award Agreement under the Company’s 2006 Equity Incentive Plan (as of February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-114935</wp:posOffset>
            </wp:positionV>
            <wp:extent cx="7015480"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015480" cy="360045"/>
                    </a:xfrm>
                    <a:prstGeom prst="rect">
                      <a:avLst/>
                    </a:prstGeom>
                    <a:noFill/>
                  </pic:spPr>
                </pic:pic>
              </a:graphicData>
            </a:graphic>
          </wp:anchor>
        </w:drawing>
      </w:r>
    </w:p>
    <w:p>
      <w:pPr>
        <w:jc w:val="right"/>
        <w:spacing w:after="0" w:line="221" w:lineRule="auto"/>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2016), dated March 4, 2019 (Incorporated by reference to Exhibit 10.5 to the Company’s Quarterly Report on Form 10-Q filed May 6,</w:t>
        </w:r>
      </w:hyperlink>
    </w:p>
    <w:p>
      <w:pPr>
        <w:ind w:left="980"/>
        <w:spacing w:after="0"/>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2019)</w:t>
        </w:r>
      </w:hyperlink>
    </w:p>
    <w:p>
      <w:pPr>
        <w:ind w:left="340"/>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*10.28 — </w:t>
      </w:r>
      <w:hyperlink r:id="rId146">
        <w:r>
          <w:rPr>
            <w:rFonts w:ascii="Times New Roman" w:cs="Times New Roman" w:eastAsia="Times New Roman" w:hAnsi="Times New Roman"/>
            <w:sz w:val="17"/>
            <w:szCs w:val="17"/>
            <w:u w:val="single" w:color="auto"/>
            <w:color w:val="0000FF"/>
          </w:rPr>
          <w:t>Long-Term Incentive Plan Annual Grant Program (Incorporated by reference to Exhibit 10.1 to the Company's Current Report on Form</w:t>
        </w:r>
      </w:hyperlink>
    </w:p>
    <w:p>
      <w:pPr>
        <w:spacing w:after="0" w:line="1" w:lineRule="exact"/>
        <w:rPr>
          <w:sz w:val="20"/>
          <w:szCs w:val="20"/>
          <w:color w:val="auto"/>
        </w:rPr>
      </w:pPr>
    </w:p>
    <w:p>
      <w:pPr>
        <w:ind w:left="980"/>
        <w:spacing w:after="0"/>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8-K filed December 6, 2019)</w:t>
        </w:r>
      </w:hyperlink>
    </w:p>
    <w:p>
      <w:pPr>
        <w:spacing w:after="0" w:line="19" w:lineRule="exact"/>
        <w:rPr>
          <w:sz w:val="20"/>
          <w:szCs w:val="20"/>
          <w:color w:val="auto"/>
        </w:rPr>
      </w:pPr>
    </w:p>
    <w:p>
      <w:pPr>
        <w:ind w:left="980" w:right="22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*10.29 — </w:t>
      </w:r>
      <w:hyperlink r:id="rId147">
        <w:r>
          <w:rPr>
            <w:rFonts w:ascii="Times New Roman" w:cs="Times New Roman" w:eastAsia="Times New Roman" w:hAnsi="Times New Roman"/>
            <w:sz w:val="17"/>
            <w:szCs w:val="17"/>
            <w:u w:val="single" w:color="auto"/>
            <w:color w:val="0000FF"/>
          </w:rPr>
          <w:t>Compensation Letter between IES Holdings, Inc. and Mr. Jeffrey L. Gendell as Chief Executive Officer (Incorporated by reference to</w:t>
        </w:r>
      </w:hyperlink>
      <w:r>
        <w:rPr>
          <w:rFonts w:ascii="Times New Roman" w:cs="Times New Roman" w:eastAsia="Times New Roman" w:hAnsi="Times New Roman"/>
          <w:sz w:val="15"/>
          <w:szCs w:val="15"/>
          <w:color w:val="auto"/>
        </w:rPr>
        <w:t xml:space="preserve"> </w:t>
      </w:r>
      <w:hyperlink r:id="rId147">
        <w:r>
          <w:rPr>
            <w:rFonts w:ascii="Times New Roman" w:cs="Times New Roman" w:eastAsia="Times New Roman" w:hAnsi="Times New Roman"/>
            <w:sz w:val="17"/>
            <w:szCs w:val="17"/>
            <w:u w:val="single" w:color="auto"/>
            <w:color w:val="0000FF"/>
          </w:rPr>
          <w:t>Exhibit 10.1 to the Company's Current Report on Form 8-K filed October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-244475</wp:posOffset>
            </wp:positionV>
            <wp:extent cx="7015480" cy="254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9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*10.30 — </w:t>
      </w:r>
      <w:hyperlink r:id="rId149">
        <w:r>
          <w:rPr>
            <w:rFonts w:ascii="Times New Roman" w:cs="Times New Roman" w:eastAsia="Times New Roman" w:hAnsi="Times New Roman"/>
            <w:sz w:val="17"/>
            <w:szCs w:val="17"/>
            <w:u w:val="single" w:color="auto"/>
            <w:color w:val="0000FF"/>
          </w:rPr>
          <w:t>Phantom Stock Unit Award Agreement dated as of December 3, 2021, by and between the Company and Matthew Simmes</w:t>
        </w:r>
      </w:hyperlink>
      <w:r>
        <w:rPr>
          <w:rFonts w:ascii="Times New Roman" w:cs="Times New Roman" w:eastAsia="Times New Roman" w:hAnsi="Times New Roman"/>
          <w:sz w:val="15"/>
          <w:szCs w:val="15"/>
          <w:color w:val="auto"/>
        </w:rPr>
        <w:t xml:space="preserve"> </w:t>
      </w:r>
      <w:hyperlink r:id="rId149">
        <w:r>
          <w:rPr>
            <w:rFonts w:ascii="Times New Roman" w:cs="Times New Roman" w:eastAsia="Times New Roman" w:hAnsi="Times New Roman"/>
            <w:sz w:val="17"/>
            <w:szCs w:val="17"/>
            <w:u w:val="single" w:color="auto"/>
            <w:color w:val="0000FF"/>
          </w:rPr>
          <w:t>(Incorporated by reference to Exhibit 10.2 to the Company’s Current Report on Form 8-K filed on December 3, 2021).</w:t>
        </w:r>
      </w:hyperlink>
    </w:p>
    <w:p>
      <w:pPr>
        <w:spacing w:after="0" w:line="10" w:lineRule="exact"/>
        <w:rPr>
          <w:sz w:val="20"/>
          <w:szCs w:val="20"/>
          <w:color w:val="auto"/>
        </w:rPr>
      </w:pPr>
    </w:p>
    <w:p>
      <w:pPr>
        <w:ind w:left="9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*10.31 — </w:t>
      </w:r>
      <w:hyperlink r:id="rId150">
        <w:r>
          <w:rPr>
            <w:rFonts w:ascii="Times New Roman" w:cs="Times New Roman" w:eastAsia="Times New Roman" w:hAnsi="Times New Roman"/>
            <w:sz w:val="17"/>
            <w:szCs w:val="17"/>
            <w:u w:val="single" w:color="auto"/>
            <w:color w:val="0000FF"/>
          </w:rPr>
          <w:t>Phantom Stock Unit Award Agreement dated as of December 1, 2021, by and between the Company and Jeffrey Gendell (Incorporated</w:t>
        </w:r>
      </w:hyperlink>
      <w:r>
        <w:rPr>
          <w:rFonts w:ascii="Times New Roman" w:cs="Times New Roman" w:eastAsia="Times New Roman" w:hAnsi="Times New Roman"/>
          <w:sz w:val="15"/>
          <w:szCs w:val="15"/>
          <w:color w:val="auto"/>
        </w:rPr>
        <w:t xml:space="preserve"> </w:t>
      </w:r>
      <w:hyperlink r:id="rId150">
        <w:r>
          <w:rPr>
            <w:rFonts w:ascii="Times New Roman" w:cs="Times New Roman" w:eastAsia="Times New Roman" w:hAnsi="Times New Roman"/>
            <w:sz w:val="17"/>
            <w:szCs w:val="17"/>
            <w:u w:val="single" w:color="auto"/>
            <w:color w:val="0000FF"/>
          </w:rPr>
          <w:t>by reference to Exhibit 10.3 to the Company’s Current Report on Form 8-K filed on December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-244475</wp:posOffset>
            </wp:positionV>
            <wp:extent cx="7015480" cy="254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jc w:val="right"/>
        <w:ind w:left="34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*10.32 — </w:t>
      </w:r>
      <w:hyperlink r:id="rId152">
        <w:r>
          <w:rPr>
            <w:rFonts w:ascii="Times New Roman" w:cs="Times New Roman" w:eastAsia="Times New Roman" w:hAnsi="Times New Roman"/>
            <w:sz w:val="17"/>
            <w:szCs w:val="17"/>
            <w:u w:val="single" w:color="auto"/>
            <w:color w:val="0000FF"/>
          </w:rPr>
          <w:t>Form of Time-Based Phantom Stock Unit under the Company's Amended and Restated 2006 Equity Incentive Plan, as amended and</w:t>
        </w:r>
      </w:hyperlink>
      <w:r>
        <w:rPr>
          <w:rFonts w:ascii="Times New Roman" w:cs="Times New Roman" w:eastAsia="Times New Roman" w:hAnsi="Times New Roman"/>
          <w:sz w:val="15"/>
          <w:szCs w:val="15"/>
          <w:color w:val="auto"/>
        </w:rPr>
        <w:t xml:space="preserve"> </w:t>
      </w:r>
      <w:hyperlink r:id="rId152">
        <w:r>
          <w:rPr>
            <w:rFonts w:ascii="Times New Roman" w:cs="Times New Roman" w:eastAsia="Times New Roman" w:hAnsi="Times New Roman"/>
            <w:sz w:val="17"/>
            <w:szCs w:val="17"/>
            <w:u w:val="single" w:color="auto"/>
            <w:color w:val="0000FF"/>
          </w:rPr>
          <w:t>restated effective February 9, 2016 (Incorporated by reference to Exhibit 10.1 to the Company's Current Report on Form 8-K filed on</w:t>
        </w:r>
      </w:hyperlink>
    </w:p>
    <w:p>
      <w:pPr>
        <w:spacing w:after="0" w:line="1" w:lineRule="exact"/>
        <w:rPr>
          <w:sz w:val="20"/>
          <w:szCs w:val="20"/>
          <w:color w:val="auto"/>
        </w:rPr>
      </w:pPr>
    </w:p>
    <w:p>
      <w:pPr>
        <w:ind w:left="980"/>
        <w:spacing w:after="0"/>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December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5715</wp:posOffset>
            </wp:positionV>
            <wp:extent cx="7015480" cy="139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19.1 — </w:t>
      </w:r>
      <w:r>
        <w:rPr>
          <w:rFonts w:ascii="Times New Roman" w:cs="Times New Roman" w:eastAsia="Times New Roman" w:hAnsi="Times New Roman"/>
          <w:sz w:val="17"/>
          <w:szCs w:val="17"/>
          <w:u w:val="single" w:color="auto"/>
          <w:color w:val="0000FF"/>
        </w:rPr>
        <w:t>Insider Trading Policy</w:t>
      </w:r>
    </w:p>
    <w:p>
      <w:pPr>
        <w:ind w:left="380"/>
        <w:spacing w:after="0" w:line="231"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21.1 — </w:t>
      </w:r>
      <w:r>
        <w:rPr>
          <w:rFonts w:ascii="Times New Roman" w:cs="Times New Roman" w:eastAsia="Times New Roman" w:hAnsi="Times New Roman"/>
          <w:sz w:val="17"/>
          <w:szCs w:val="17"/>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-7620</wp:posOffset>
            </wp:positionV>
            <wp:extent cx="7015480" cy="139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line="228"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23.1 — </w:t>
      </w:r>
      <w:r>
        <w:rPr>
          <w:rFonts w:ascii="Times New Roman" w:cs="Times New Roman" w:eastAsia="Times New Roman" w:hAnsi="Times New Roman"/>
          <w:sz w:val="17"/>
          <w:szCs w:val="17"/>
          <w:u w:val="single" w:color="auto"/>
          <w:color w:val="0000FF"/>
        </w:rPr>
        <w:t>Consent of Ernst &amp; Young LLP</w:t>
      </w:r>
    </w:p>
    <w:p>
      <w:pPr>
        <w:ind w:left="380"/>
        <w:spacing w:after="0" w:line="229"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-7620</wp:posOffset>
            </wp:positionV>
            <wp:extent cx="7015480" cy="139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line="229"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Chief Financial Officer</w:t>
      </w:r>
    </w:p>
    <w:p>
      <w:pPr>
        <w:ind w:left="380"/>
        <w:spacing w:after="0" w:line="228"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-7620</wp:posOffset>
            </wp:positionV>
            <wp:extent cx="7015480" cy="139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line="229"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Chief Financial Officer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97.1 — </w:t>
      </w:r>
      <w:r>
        <w:rPr>
          <w:rFonts w:ascii="Times New Roman" w:cs="Times New Roman" w:eastAsia="Times New Roman" w:hAnsi="Times New Roman"/>
          <w:sz w:val="17"/>
          <w:szCs w:val="17"/>
          <w:u w:val="single" w:color="auto"/>
          <w:color w:val="0000FF"/>
        </w:rPr>
        <w:t>IES Holdings, Inc. Incentive Award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8890</wp:posOffset>
            </wp:positionV>
            <wp:extent cx="7015480" cy="254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980" w:hanging="741"/>
        <w:spacing w:after="0" w:line="205"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101.INS Inline XBRL Instance Document - the instance document does not appear in the Interactive Data File because its XBRL tags are embedded within the Inline XBRL document</w:t>
      </w:r>
    </w:p>
    <w:p>
      <w:pPr>
        <w:ind w:left="180"/>
        <w:spacing w:after="0" w:line="223"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101.SCH Inline XBRL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-1270</wp:posOffset>
            </wp:positionV>
            <wp:extent cx="7015480" cy="139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18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101.LAB Inline XBRL Label Linkbase Document</w:t>
      </w:r>
    </w:p>
    <w:p>
      <w:pPr>
        <w:ind w:left="20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101.PRE Inline 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-1270</wp:posOffset>
            </wp:positionV>
            <wp:extent cx="7015480" cy="139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20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101.DEF Inline XBRL Definition Linkbase Document</w:t>
      </w:r>
    </w:p>
    <w:p>
      <w:pPr>
        <w:ind w:left="180"/>
        <w:spacing w:after="0" w:line="21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101.CAL Inline XBRL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wp:posOffset>
            </wp:positionV>
            <wp:extent cx="7015480" cy="254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980" w:hanging="506"/>
        <w:spacing w:after="0" w:line="228" w:lineRule="auto"/>
        <w:rPr>
          <w:sz w:val="20"/>
          <w:szCs w:val="20"/>
          <w:color w:val="auto"/>
        </w:rPr>
      </w:pPr>
      <w:r>
        <w:rPr>
          <w:rFonts w:ascii="Times New Roman" w:cs="Times New Roman" w:eastAsia="Times New Roman" w:hAnsi="Times New Roman"/>
          <w:sz w:val="17"/>
          <w:szCs w:val="17"/>
          <w:color w:val="auto"/>
        </w:rPr>
        <w:t>104 — Cover Page Interactive Data File - the cover page interactive data file does not appear in the Interactive Data File because its XBRL tags are embedded within the Inline XBRL document</w:t>
      </w:r>
    </w:p>
    <w:p>
      <w:pPr>
        <w:spacing w:after="0" w:line="358" w:lineRule="exact"/>
        <w:rPr>
          <w:sz w:val="20"/>
          <w:szCs w:val="20"/>
          <w:color w:val="auto"/>
        </w:rPr>
      </w:pPr>
    </w:p>
    <w:p>
      <w:pPr>
        <w:ind w:left="420" w:hanging="358"/>
        <w:spacing w:after="0"/>
        <w:tabs>
          <w:tab w:leader="none" w:pos="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compensatory plans or arrangement.</w:t>
      </w:r>
    </w:p>
    <w:p>
      <w:pPr>
        <w:spacing w:after="0" w:line="28" w:lineRule="exact"/>
        <w:rPr>
          <w:sz w:val="20"/>
          <w:szCs w:val="20"/>
          <w:color w:val="auto"/>
        </w:rPr>
      </w:pPr>
    </w:p>
    <w:p>
      <w:pPr>
        <w:ind w:left="420" w:hanging="415"/>
        <w:spacing w:after="0"/>
        <w:tabs>
          <w:tab w:leader="none" w:pos="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3" w:lineRule="exact"/>
        <w:rPr>
          <w:rFonts w:ascii="Times New Roman" w:cs="Times New Roman" w:eastAsia="Times New Roman" w:hAnsi="Times New Roman"/>
          <w:sz w:val="17"/>
          <w:szCs w:val="17"/>
          <w:color w:val="auto"/>
        </w:rPr>
      </w:pPr>
    </w:p>
    <w:p>
      <w:pPr>
        <w:ind w:left="420" w:hanging="415"/>
        <w:spacing w:after="0"/>
        <w:tabs>
          <w:tab w:leader="none" w:pos="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9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80"/>
          </w:cols>
          <w:pgMar w:left="1140" w:top="771" w:right="37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November 22, 2024.</w:t>
      </w:r>
    </w:p>
    <w:p>
      <w:pPr>
        <w:spacing w:after="0" w:line="17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98" w:lineRule="exact"/>
        <w:rPr>
          <w:sz w:val="20"/>
          <w:szCs w:val="20"/>
          <w:color w:val="auto"/>
        </w:rPr>
      </w:pPr>
    </w:p>
    <w:p>
      <w:pPr>
        <w:ind w:left="5020"/>
        <w:spacing w:after="0"/>
        <w:tabs>
          <w:tab w:leader="none" w:pos="5400" w:val="left"/>
        </w:tabs>
        <w:rPr>
          <w:sz w:val="20"/>
          <w:szCs w:val="20"/>
          <w:color w:val="auto"/>
        </w:rPr>
      </w:pPr>
      <w:r>
        <w:rPr>
          <w:rFonts w:ascii="Times New Roman" w:cs="Times New Roman" w:eastAsia="Times New Roman" w:hAnsi="Times New Roman"/>
          <w:sz w:val="17"/>
          <w:szCs w:val="17"/>
          <w:color w:val="auto"/>
        </w:rPr>
        <w:t>By:</w:t>
        <w:tab/>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17145</wp:posOffset>
            </wp:positionV>
            <wp:extent cx="25050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0" w:lineRule="exact"/>
        <w:rPr>
          <w:sz w:val="20"/>
          <w:szCs w:val="20"/>
          <w:color w:val="auto"/>
        </w:rPr>
      </w:pP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KNOW ALL MEN BY THESE PRESENTS, that each of the undersigned officers and directors of IES HOLDINGS, INC. hereby constitutes and appoints Jeffrey L. Gendell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attorneys-in-fact and agents, or either of them, or their or his substitutes or substitute, may lawfully do or cause to be done by virtue hereof.</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10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000" w:type="dxa"/>
            <w:vAlign w:val="bottom"/>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373"/>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Jeffrey L. Gendell</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Jeffrey L. Gendell</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320" w:type="dxa"/>
            <w:vAlign w:val="bottom"/>
          </w:tcPr>
          <w:p>
            <w:pPr>
              <w:spacing w:after="0"/>
              <w:rPr>
                <w:sz w:val="24"/>
                <w:szCs w:val="24"/>
                <w:color w:val="auto"/>
              </w:rPr>
            </w:pP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Senior Vice President, Chief Financial Officer</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23"/>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Tracy A. McLauchlin</w:t>
            </w:r>
          </w:p>
        </w:tc>
        <w:tc>
          <w:tcPr>
            <w:tcW w:w="510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and Treasurer</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320" w:type="dxa"/>
            <w:vAlign w:val="bottom"/>
            <w:tcBorders>
              <w:bottom w:val="single" w:sz="8" w:color="auto"/>
            </w:tcBorders>
            <w:vMerge w:val="continue"/>
          </w:tcPr>
          <w:p>
            <w:pPr>
              <w:spacing w:after="0"/>
              <w:rPr>
                <w:sz w:val="5"/>
                <w:szCs w:val="5"/>
                <w:color w:val="auto"/>
              </w:rPr>
            </w:pPr>
          </w:p>
        </w:tc>
        <w:tc>
          <w:tcPr>
            <w:tcW w:w="510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2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Tracy A. McLauchlin</w:t>
            </w:r>
          </w:p>
        </w:tc>
        <w:tc>
          <w:tcPr>
            <w:tcW w:w="510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Todd M. Cleveland</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8"/>
              </w:rPr>
              <w:t>Director</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Todd M. Cleveland</w:t>
            </w:r>
          </w:p>
        </w:tc>
        <w:tc>
          <w:tcPr>
            <w:tcW w:w="5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David B. Gendell</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8"/>
              </w:rPr>
              <w:t>Director</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B. Gendell</w:t>
            </w:r>
          </w:p>
        </w:tc>
        <w:tc>
          <w:tcPr>
            <w:tcW w:w="5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Joe D. Koshkin</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8"/>
              </w:rPr>
              <w:t>Director</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Joe D. Koshkin</w:t>
            </w:r>
          </w:p>
        </w:tc>
        <w:tc>
          <w:tcPr>
            <w:tcW w:w="5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Jennifer A. Baldock</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8"/>
              </w:rPr>
              <w:t>Director</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Jennifer A. Baldock</w:t>
            </w:r>
          </w:p>
        </w:tc>
        <w:tc>
          <w:tcPr>
            <w:tcW w:w="5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John L. Fouts</w:t>
            </w:r>
          </w:p>
        </w:tc>
        <w:tc>
          <w:tcPr>
            <w:tcW w:w="51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8"/>
              </w:rPr>
              <w:t>Director</w:t>
            </w:r>
          </w:p>
        </w:tc>
        <w:tc>
          <w:tcPr>
            <w:tcW w:w="20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November 22, 2024</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L. Fouts</w:t>
            </w:r>
          </w:p>
        </w:tc>
        <w:tc>
          <w:tcPr>
            <w:tcW w:w="5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8"/>
        </w:trPr>
        <w:tc>
          <w:tcPr>
            <w:tcW w:w="3320" w:type="dxa"/>
            <w:vAlign w:val="bottom"/>
          </w:tcPr>
          <w:p>
            <w:pPr>
              <w:spacing w:after="0"/>
              <w:rPr>
                <w:sz w:val="24"/>
                <w:szCs w:val="24"/>
                <w:color w:val="auto"/>
              </w:rPr>
            </w:pPr>
          </w:p>
        </w:tc>
        <w:tc>
          <w:tcPr>
            <w:tcW w:w="5100" w:type="dxa"/>
            <w:vAlign w:val="bottom"/>
          </w:tcPr>
          <w:p>
            <w:pPr>
              <w:jc w:val="right"/>
              <w:ind w:right="2794"/>
              <w:spacing w:after="0"/>
              <w:rPr>
                <w:sz w:val="20"/>
                <w:szCs w:val="20"/>
                <w:color w:val="auto"/>
              </w:rPr>
            </w:pPr>
            <w:r>
              <w:rPr>
                <w:rFonts w:ascii="Times New Roman" w:cs="Times New Roman" w:eastAsia="Times New Roman" w:hAnsi="Times New Roman"/>
                <w:sz w:val="17"/>
                <w:szCs w:val="17"/>
                <w:color w:val="auto"/>
              </w:rPr>
              <w:t>74</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1"/>
          <w:szCs w:val="21"/>
          <w:b w:val="1"/>
          <w:bCs w:val="1"/>
          <w:color w:val="auto"/>
        </w:rPr>
        <w:t>FIFTH AMENDMENT TO SUBLEASE AGREEMENT</w:t>
      </w:r>
    </w:p>
    <w:p>
      <w:pPr>
        <w:spacing w:after="0" w:line="240" w:lineRule="exact"/>
        <w:rPr>
          <w:sz w:val="20"/>
          <w:szCs w:val="20"/>
          <w:color w:val="auto"/>
        </w:rPr>
      </w:pPr>
    </w:p>
    <w:p>
      <w:pPr>
        <w:jc w:val="both"/>
        <w:ind w:firstLine="421"/>
        <w:spacing w:after="0" w:line="252" w:lineRule="auto"/>
        <w:rPr>
          <w:sz w:val="20"/>
          <w:szCs w:val="20"/>
          <w:color w:val="auto"/>
        </w:rPr>
      </w:pPr>
      <w:r>
        <w:rPr>
          <w:rFonts w:ascii="Times New Roman" w:cs="Times New Roman" w:eastAsia="Times New Roman" w:hAnsi="Times New Roman"/>
          <w:sz w:val="21"/>
          <w:szCs w:val="21"/>
          <w:color w:val="auto"/>
        </w:rPr>
        <w:t>This Fifth Amendment to Sublease Agreement is entered into as of August 1, 2024 (the “</w:t>
      </w:r>
      <w:r>
        <w:rPr>
          <w:rFonts w:ascii="Times New Roman" w:cs="Times New Roman" w:eastAsia="Times New Roman" w:hAnsi="Times New Roman"/>
          <w:sz w:val="21"/>
          <w:szCs w:val="21"/>
          <w:u w:val="single" w:color="auto"/>
          <w:color w:val="auto"/>
        </w:rPr>
        <w:t>Sublease Amendment</w:t>
      </w:r>
      <w:r>
        <w:rPr>
          <w:rFonts w:ascii="Times New Roman" w:cs="Times New Roman" w:eastAsia="Times New Roman" w:hAnsi="Times New Roman"/>
          <w:sz w:val="21"/>
          <w:szCs w:val="21"/>
          <w:color w:val="auto"/>
          <w:highlight w:val="white"/>
        </w:rPr>
        <w:t>”), by and</w:t>
      </w:r>
      <w:r>
        <w:rPr>
          <w:rFonts w:ascii="Times New Roman" w:cs="Times New Roman" w:eastAsia="Times New Roman" w:hAnsi="Times New Roman"/>
          <w:sz w:val="21"/>
          <w:szCs w:val="21"/>
          <w:color w:val="auto"/>
        </w:rPr>
        <w:t xml:space="preserve"> between </w:t>
      </w:r>
      <w:r>
        <w:rPr>
          <w:rFonts w:ascii="Times New Roman" w:cs="Times New Roman" w:eastAsia="Times New Roman" w:hAnsi="Times New Roman"/>
          <w:sz w:val="21"/>
          <w:szCs w:val="21"/>
          <w:b w:val="1"/>
          <w:bCs w:val="1"/>
          <w:color w:val="auto"/>
        </w:rPr>
        <w:t>TONTINE ASSOCIATES, LLC</w:t>
      </w:r>
      <w:r>
        <w:rPr>
          <w:rFonts w:ascii="Times New Roman" w:cs="Times New Roman" w:eastAsia="Times New Roman" w:hAnsi="Times New Roman"/>
          <w:sz w:val="21"/>
          <w:szCs w:val="21"/>
          <w:color w:val="auto"/>
        </w:rPr>
        <w:t>, having an office at One Sound Shore Drive, Suite 304, Greenwich, Connecticut 06830 (the “</w:t>
      </w:r>
      <w:r>
        <w:rPr>
          <w:rFonts w:ascii="Times New Roman" w:cs="Times New Roman" w:eastAsia="Times New Roman" w:hAnsi="Times New Roman"/>
          <w:sz w:val="21"/>
          <w:szCs w:val="21"/>
          <w:u w:val="single" w:color="auto"/>
          <w:color w:val="auto"/>
        </w:rPr>
        <w:t>Sublessor</w:t>
      </w:r>
      <w:r>
        <w:rPr>
          <w:rFonts w:ascii="Times New Roman" w:cs="Times New Roman" w:eastAsia="Times New Roman" w:hAnsi="Times New Roman"/>
          <w:sz w:val="21"/>
          <w:szCs w:val="21"/>
          <w:color w:val="auto"/>
          <w:highlight w:val="white"/>
        </w:rPr>
        <w: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highlight w:val="white"/>
        </w:rPr>
        <w:t>IES MANAGEMENT ROO, LP</w:t>
      </w:r>
      <w:r>
        <w:rPr>
          <w:rFonts w:ascii="Times New Roman" w:cs="Times New Roman" w:eastAsia="Times New Roman" w:hAnsi="Times New Roman"/>
          <w:sz w:val="21"/>
          <w:szCs w:val="21"/>
          <w:color w:val="auto"/>
          <w:highlight w:val="white"/>
        </w:rPr>
        <w:t>, sharing office space with Sublessor (the “</w:t>
      </w:r>
      <w:r>
        <w:rPr>
          <w:rFonts w:ascii="Times New Roman" w:cs="Times New Roman" w:eastAsia="Times New Roman" w:hAnsi="Times New Roman"/>
          <w:sz w:val="21"/>
          <w:szCs w:val="21"/>
          <w:u w:val="single" w:color="auto"/>
          <w:color w:val="auto"/>
          <w:highlight w:val="white"/>
        </w:rPr>
        <w:t>Sublessee</w:t>
      </w:r>
      <w:r>
        <w:rPr>
          <w:rFonts w:ascii="Times New Roman" w:cs="Times New Roman" w:eastAsia="Times New Roman" w:hAnsi="Times New Roman"/>
          <w:sz w:val="21"/>
          <w:szCs w:val="21"/>
          <w:color w:val="auto"/>
          <w:highlight w:val="white"/>
        </w:rPr>
        <w:t>” and, together with the</w:t>
      </w:r>
      <w:r>
        <w:rPr>
          <w:rFonts w:ascii="Times New Roman" w:cs="Times New Roman" w:eastAsia="Times New Roman" w:hAnsi="Times New Roman"/>
          <w:sz w:val="21"/>
          <w:szCs w:val="21"/>
          <w:color w:val="auto"/>
        </w:rPr>
        <w:t xml:space="preserve"> Sublessor,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10" w:lineRule="exact"/>
        <w:rPr>
          <w:sz w:val="20"/>
          <w:szCs w:val="20"/>
          <w:color w:val="auto"/>
        </w:rPr>
      </w:pPr>
    </w:p>
    <w:p>
      <w:pPr>
        <w:jc w:val="both"/>
        <w:ind w:firstLine="421"/>
        <w:spacing w:after="0" w:line="25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Sublessor and</w:t>
      </w:r>
      <w:r>
        <w:rPr>
          <w:rFonts w:ascii="Times New Roman" w:cs="Times New Roman" w:eastAsia="Times New Roman" w:hAnsi="Times New Roman"/>
          <w:sz w:val="21"/>
          <w:szCs w:val="21"/>
          <w:b w:val="1"/>
          <w:bCs w:val="1"/>
          <w:color w:val="auto"/>
        </w:rPr>
        <w:t xml:space="preserve"> IES SHARED SERVICES, INC.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Original Sublessee</w:t>
      </w:r>
      <w:r>
        <w:rPr>
          <w:rFonts w:ascii="Times New Roman" w:cs="Times New Roman" w:eastAsia="Times New Roman" w:hAnsi="Times New Roman"/>
          <w:sz w:val="21"/>
          <w:szCs w:val="21"/>
          <w:color w:val="auto"/>
        </w:rPr>
        <w:t>”), are parties to a Sublease dated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March 29, 2012 (“</w:t>
      </w:r>
      <w:r>
        <w:rPr>
          <w:rFonts w:ascii="Times New Roman" w:cs="Times New Roman" w:eastAsia="Times New Roman" w:hAnsi="Times New Roman"/>
          <w:sz w:val="21"/>
          <w:szCs w:val="21"/>
          <w:u w:val="single" w:color="auto"/>
          <w:color w:val="auto"/>
        </w:rPr>
        <w:t>Original Sublease</w:t>
      </w:r>
      <w:r>
        <w:rPr>
          <w:rFonts w:ascii="Times New Roman" w:cs="Times New Roman" w:eastAsia="Times New Roman" w:hAnsi="Times New Roman"/>
          <w:sz w:val="21"/>
          <w:szCs w:val="21"/>
          <w:color w:val="auto"/>
          <w:highlight w:val="white"/>
        </w:rPr>
        <w:t>”), for a portion of the premises (the “Subleased Premises”) located at One Sound Shore Drive,</w:t>
      </w:r>
      <w:r>
        <w:rPr>
          <w:rFonts w:ascii="Times New Roman" w:cs="Times New Roman" w:eastAsia="Times New Roman" w:hAnsi="Times New Roman"/>
          <w:sz w:val="21"/>
          <w:szCs w:val="21"/>
          <w:color w:val="auto"/>
        </w:rPr>
        <w:t xml:space="preserve"> Suite 304, Greenwich, Connecticut 06830 (the “</w:t>
      </w:r>
      <w:r>
        <w:rPr>
          <w:rFonts w:ascii="Times New Roman" w:cs="Times New Roman" w:eastAsia="Times New Roman" w:hAnsi="Times New Roman"/>
          <w:sz w:val="21"/>
          <w:szCs w:val="21"/>
          <w:u w:val="single" w:color="auto"/>
          <w:color w:val="auto"/>
        </w:rPr>
        <w:t>Lease Premises</w:t>
      </w:r>
      <w:r>
        <w:rPr>
          <w:rFonts w:ascii="Times New Roman" w:cs="Times New Roman" w:eastAsia="Times New Roman" w:hAnsi="Times New Roman"/>
          <w:sz w:val="21"/>
          <w:szCs w:val="21"/>
          <w:color w:val="auto"/>
          <w:highlight w:val="white"/>
        </w:rPr>
        <w:t>”), which is leased by Sublessor from Sound Shore Partners LLC</w:t>
      </w:r>
      <w:r>
        <w:rPr>
          <w:rFonts w:ascii="Times New Roman" w:cs="Times New Roman" w:eastAsia="Times New Roman" w:hAnsi="Times New Roman"/>
          <w:sz w:val="21"/>
          <w:szCs w:val="21"/>
          <w:color w:val="auto"/>
        </w:rPr>
        <w:t xml:space="preserve"> pursuant to a Lease Agreement (the “</w:t>
      </w:r>
      <w:r>
        <w:rPr>
          <w:rFonts w:ascii="Times New Roman" w:cs="Times New Roman" w:eastAsia="Times New Roman" w:hAnsi="Times New Roman"/>
          <w:sz w:val="21"/>
          <w:szCs w:val="21"/>
          <w:u w:val="single" w:color="auto"/>
          <w:color w:val="auto"/>
        </w:rPr>
        <w:t>Lease Agreement</w:t>
      </w:r>
      <w:r>
        <w:rPr>
          <w:rFonts w:ascii="Times New Roman" w:cs="Times New Roman" w:eastAsia="Times New Roman" w:hAnsi="Times New Roman"/>
          <w:sz w:val="21"/>
          <w:szCs w:val="2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-359410</wp:posOffset>
            </wp:positionV>
            <wp:extent cx="10439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170" w:lineRule="exact"/>
        <w:rPr>
          <w:sz w:val="20"/>
          <w:szCs w:val="20"/>
          <w:color w:val="auto"/>
        </w:rPr>
      </w:pPr>
    </w:p>
    <w:p>
      <w:pPr>
        <w:jc w:val="both"/>
        <w:ind w:firstLine="421"/>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Original Sublease expired on March 31, 2016 and (i) was amended by that certain First Amendment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Original Sublease dated April 1, 2016 between the Sublessor, Original Sublessee and Sublessee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pursuant to which the Original Sublease was novated with respect to the Original Sublessee, and the Sublessee was substituted in place of the Original Sublessee under the Sublease, and the lease term was extended to June 30, 2019, and (ii) was further amended by that certain Second Amendment to the Original Sublease dated May 1, 2019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pursuant to which the lease term was further extended to December 31, 2019, and (iii) was further amended by that certain Third Amendment to the Original Sublease dated November 5, 2019 (the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highlight w:val="white"/>
        </w:rPr>
        <w:t>”) pursuant to which the lease term was further extended to February 28, 2023 and (iv) was</w:t>
      </w:r>
      <w:r>
        <w:rPr>
          <w:rFonts w:ascii="Times New Roman" w:cs="Times New Roman" w:eastAsia="Times New Roman" w:hAnsi="Times New Roman"/>
          <w:sz w:val="21"/>
          <w:szCs w:val="21"/>
          <w:color w:val="auto"/>
        </w:rPr>
        <w:t xml:space="preserve"> further amended by that certain Fourth Amendment to the Original Sublease dated December 16, 2022 (the “</w:t>
      </w:r>
      <w:r>
        <w:rPr>
          <w:rFonts w:ascii="Times New Roman" w:cs="Times New Roman" w:eastAsia="Times New Roman" w:hAnsi="Times New Roman"/>
          <w:sz w:val="21"/>
          <w:szCs w:val="21"/>
          <w:u w:val="single" w:color="auto"/>
          <w:color w:val="auto"/>
        </w:rPr>
        <w:t>Fourth Amendment</w:t>
      </w:r>
      <w:r>
        <w:rPr>
          <w:rFonts w:ascii="Times New Roman" w:cs="Times New Roman" w:eastAsia="Times New Roman" w:hAnsi="Times New Roman"/>
          <w:sz w:val="21"/>
          <w:szCs w:val="21"/>
          <w:color w:val="auto"/>
        </w:rPr>
        <w:t>” and, together with the Third Amendment, the Second Amendment, the First Amendment and the Original Sublease, the “</w:t>
      </w:r>
      <w:r>
        <w:rPr>
          <w:rFonts w:ascii="Times New Roman" w:cs="Times New Roman" w:eastAsia="Times New Roman" w:hAnsi="Times New Roman"/>
          <w:sz w:val="21"/>
          <w:szCs w:val="21"/>
          <w:u w:val="single" w:color="auto"/>
          <w:color w:val="auto"/>
        </w:rPr>
        <w:t>Sublease</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21"/>
          <w:szCs w:val="21"/>
          <w:color w:val="auto"/>
        </w:rPr>
        <w:t xml:space="preserve"> pursuant to which the lease term was further extended to August 31, 2024;</w:t>
      </w:r>
    </w:p>
    <w:p>
      <w:pPr>
        <w:spacing w:after="0" w:line="202" w:lineRule="exact"/>
        <w:rPr>
          <w:sz w:val="20"/>
          <w:szCs w:val="20"/>
          <w:color w:val="auto"/>
        </w:rPr>
      </w:pPr>
    </w:p>
    <w:p>
      <w:pPr>
        <w:jc w:val="both"/>
        <w:ind w:firstLine="421"/>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Sublessor has renewed its Lease Agreement for the Lease Premises effective March 11, 2024 for a term expiring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December 31, 2026, and</w:t>
      </w:r>
    </w:p>
    <w:p>
      <w:pPr>
        <w:spacing w:after="0" w:line="173" w:lineRule="exact"/>
        <w:rPr>
          <w:sz w:val="20"/>
          <w:szCs w:val="20"/>
          <w:color w:val="auto"/>
        </w:rPr>
      </w:pPr>
    </w:p>
    <w:p>
      <w:pPr>
        <w:jc w:val="both"/>
        <w:ind w:firstLine="421"/>
        <w:spacing w:after="0" w:line="26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amend the Sublease, effective as of September 1, 2024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as set forth below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extend the term of the Sublease for a period of thirteen (13) months and to reflect the new lease rates therein of the Subleased Premises.</w:t>
      </w:r>
    </w:p>
    <w:p>
      <w:pPr>
        <w:spacing w:after="0" w:line="183" w:lineRule="exact"/>
        <w:rPr>
          <w:sz w:val="20"/>
          <w:szCs w:val="20"/>
          <w:color w:val="auto"/>
        </w:rPr>
      </w:pPr>
    </w:p>
    <w:p>
      <w:pPr>
        <w:jc w:val="both"/>
        <w:ind w:firstLine="421"/>
        <w:spacing w:after="0" w:line="299"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for the mutual and reciprocal promises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hereby acknowledged, the Parties hereby agree to amend the Sublease as follows: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All capitalized terms not otherwise defined herein shall have the meanings ascribed thereto in the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77" w:name="page78"/>
    <w:bookmarkEnd w:id="77"/>
    <w:p>
      <w:pPr>
        <w:ind w:firstLine="3"/>
        <w:spacing w:after="0" w:line="269" w:lineRule="auto"/>
        <w:tabs>
          <w:tab w:leader="none" w:pos="61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the Sublease shall be extended for thirteen (13) months so that the Sublease Expiration Date shall be September 30, 2025.</w:t>
      </w:r>
    </w:p>
    <w:p>
      <w:pPr>
        <w:spacing w:after="0" w:line="180" w:lineRule="exact"/>
        <w:rPr>
          <w:rFonts w:ascii="Times New Roman" w:cs="Times New Roman" w:eastAsia="Times New Roman" w:hAnsi="Times New Roman"/>
          <w:sz w:val="21"/>
          <w:szCs w:val="21"/>
          <w:color w:val="auto"/>
        </w:rPr>
      </w:pPr>
    </w:p>
    <w:p>
      <w:pPr>
        <w:ind w:firstLine="3"/>
        <w:spacing w:after="0" w:line="282" w:lineRule="auto"/>
        <w:tabs>
          <w:tab w:leader="none" w:pos="61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As of the Effective Date, the first paragraph of Section 2.1 of the Sublease is hereby deleted and the following is inserted in its place:</w:t>
      </w:r>
    </w:p>
    <w:p>
      <w:pPr>
        <w:spacing w:after="0" w:line="167" w:lineRule="exact"/>
        <w:rPr>
          <w:rFonts w:ascii="Times New Roman" w:cs="Times New Roman" w:eastAsia="Times New Roman" w:hAnsi="Times New Roman"/>
          <w:sz w:val="21"/>
          <w:szCs w:val="21"/>
          <w:color w:val="auto"/>
        </w:rPr>
      </w:pPr>
    </w:p>
    <w:p>
      <w:pPr>
        <w:jc w:val="both"/>
        <w:ind w:firstLine="622"/>
        <w:spacing w:after="0" w:line="252" w:lineRule="auto"/>
        <w:tabs>
          <w:tab w:leader="none" w:pos="899"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As of the Effective Date and continuing thereafter on the first day of each and every calendar month during the term of this Sublease, Sublessee shall pay to Sublessor, as base rent for the Subleased Premises, monthly rent (exclusive of any Additional Rent pursuant to and in accordance with Article 2.2 of the Original Sublease) (the “</w:t>
      </w: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for each calendar month or portion thereof during the Term of this Sublease as follows:</w:t>
      </w:r>
    </w:p>
    <w:p>
      <w:pPr>
        <w:spacing w:after="0" w:line="229" w:lineRule="exact"/>
        <w:rPr>
          <w:sz w:val="20"/>
          <w:szCs w:val="20"/>
          <w:color w:val="auto"/>
        </w:rPr>
      </w:pPr>
    </w:p>
    <w:tbl>
      <w:tblPr>
        <w:tblLayout w:type="fixed"/>
        <w:tblInd w:w="110" w:type="dxa"/>
        <w:tblCellMar>
          <w:top w:w="0" w:type="dxa"/>
          <w:left w:w="0" w:type="dxa"/>
          <w:bottom w:w="0" w:type="dxa"/>
          <w:right w:w="0" w:type="dxa"/>
        </w:tblCellMar>
      </w:tblPr>
      <w:tr>
        <w:trPr>
          <w:trHeight w:val="245"/>
        </w:trPr>
        <w:tc>
          <w:tcPr>
            <w:tcW w:w="2120" w:type="dxa"/>
            <w:vAlign w:val="bottom"/>
            <w:tcBorders>
              <w:top w:val="single" w:sz="8" w:color="auto"/>
              <w:left w:val="single" w:sz="8" w:color="auto"/>
            </w:tcBorders>
          </w:tcPr>
          <w:p>
            <w:pPr>
              <w:spacing w:after="0"/>
              <w:rPr>
                <w:sz w:val="21"/>
                <w:szCs w:val="21"/>
                <w:color w:val="auto"/>
              </w:rPr>
            </w:pPr>
          </w:p>
        </w:tc>
        <w:tc>
          <w:tcPr>
            <w:tcW w:w="27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Period</w:t>
            </w:r>
          </w:p>
        </w:tc>
        <w:tc>
          <w:tcPr>
            <w:tcW w:w="320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w w:val="98"/>
              </w:rPr>
              <w:t>Annual Base Rent*</w:t>
            </w:r>
          </w:p>
        </w:tc>
        <w:tc>
          <w:tcPr>
            <w:tcW w:w="580" w:type="dxa"/>
            <w:vAlign w:val="bottom"/>
            <w:tcBorders>
              <w:top w:val="single" w:sz="8" w:color="auto"/>
            </w:tcBorders>
          </w:tcPr>
          <w:p>
            <w:pPr>
              <w:spacing w:after="0"/>
              <w:rPr>
                <w:sz w:val="21"/>
                <w:szCs w:val="21"/>
                <w:color w:val="auto"/>
              </w:rPr>
            </w:pPr>
          </w:p>
        </w:tc>
        <w:tc>
          <w:tcPr>
            <w:tcW w:w="2540" w:type="dxa"/>
            <w:vAlign w:val="bottom"/>
            <w:tcBorders>
              <w:top w:val="single" w:sz="8" w:color="auto"/>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21"/>
                <w:szCs w:val="21"/>
                <w:b w:val="1"/>
                <w:bCs w:val="1"/>
                <w:color w:val="auto"/>
                <w:w w:val="98"/>
              </w:rPr>
              <w:t>Monthly Installment*</w:t>
            </w:r>
          </w:p>
        </w:tc>
      </w:tr>
      <w:tr>
        <w:trPr>
          <w:trHeight w:val="44"/>
        </w:trPr>
        <w:tc>
          <w:tcPr>
            <w:tcW w:w="2120" w:type="dxa"/>
            <w:vAlign w:val="bottom"/>
            <w:tcBorders>
              <w:left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r>
      <w:tr>
        <w:trPr>
          <w:trHeight w:val="251"/>
        </w:trPr>
        <w:tc>
          <w:tcPr>
            <w:tcW w:w="4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from September 1, 2024 through and including the</w:t>
            </w:r>
          </w:p>
        </w:tc>
        <w:tc>
          <w:tcPr>
            <w:tcW w:w="2340" w:type="dxa"/>
            <w:vAlign w:val="bottom"/>
            <w:gridSpan w:val="2"/>
          </w:tcPr>
          <w:p>
            <w:pPr>
              <w:jc w:val="right"/>
              <w:ind w:right="240"/>
              <w:spacing w:after="0"/>
              <w:rPr>
                <w:sz w:val="20"/>
                <w:szCs w:val="20"/>
                <w:color w:val="auto"/>
              </w:rPr>
            </w:pPr>
            <w:r>
              <w:rPr>
                <w:rFonts w:ascii="Times New Roman" w:cs="Times New Roman" w:eastAsia="Times New Roman" w:hAnsi="Times New Roman"/>
                <w:sz w:val="21"/>
                <w:szCs w:val="21"/>
                <w:color w:val="auto"/>
              </w:rPr>
              <w:t>$103,504.50</w:t>
            </w:r>
          </w:p>
        </w:tc>
        <w:tc>
          <w:tcPr>
            <w:tcW w:w="860" w:type="dxa"/>
            <w:vAlign w:val="bottom"/>
            <w:tcBorders>
              <w:right w:val="single" w:sz="8" w:color="auto"/>
            </w:tcBorders>
          </w:tcPr>
          <w:p>
            <w:pPr>
              <w:spacing w:after="0"/>
              <w:rPr>
                <w:sz w:val="21"/>
                <w:szCs w:val="21"/>
                <w:color w:val="auto"/>
              </w:rPr>
            </w:pPr>
          </w:p>
        </w:tc>
        <w:tc>
          <w:tcPr>
            <w:tcW w:w="2400" w:type="dxa"/>
            <w:vAlign w:val="bottom"/>
            <w:gridSpan w:val="2"/>
          </w:tcPr>
          <w:p>
            <w:pPr>
              <w:jc w:val="right"/>
              <w:ind w:right="337"/>
              <w:spacing w:after="0"/>
              <w:rPr>
                <w:sz w:val="20"/>
                <w:szCs w:val="20"/>
                <w:color w:val="auto"/>
              </w:rPr>
            </w:pPr>
            <w:r>
              <w:rPr>
                <w:rFonts w:ascii="Times New Roman" w:cs="Times New Roman" w:eastAsia="Times New Roman" w:hAnsi="Times New Roman"/>
                <w:sz w:val="21"/>
                <w:szCs w:val="21"/>
                <w:color w:val="auto"/>
              </w:rPr>
              <w:t>$8,625.37</w:t>
            </w:r>
          </w:p>
        </w:tc>
        <w:tc>
          <w:tcPr>
            <w:tcW w:w="720" w:type="dxa"/>
            <w:vAlign w:val="bottom"/>
            <w:tcBorders>
              <w:right w:val="single" w:sz="8" w:color="auto"/>
            </w:tcBorders>
          </w:tcPr>
          <w:p>
            <w:pPr>
              <w:spacing w:after="0"/>
              <w:rPr>
                <w:sz w:val="21"/>
                <w:szCs w:val="21"/>
                <w:color w:val="auto"/>
              </w:rPr>
            </w:pPr>
          </w:p>
        </w:tc>
      </w:tr>
      <w:tr>
        <w:trPr>
          <w:trHeight w:val="276"/>
        </w:trPr>
        <w:tc>
          <w:tcPr>
            <w:tcW w:w="48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Sublease Expiration Date.</w:t>
            </w: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57" w:lineRule="exact"/>
        <w:rPr>
          <w:sz w:val="20"/>
          <w:szCs w:val="20"/>
          <w:color w:val="auto"/>
        </w:rPr>
      </w:pPr>
    </w:p>
    <w:p>
      <w:pPr>
        <w:ind w:left="140" w:hanging="137"/>
        <w:spacing w:after="0"/>
        <w:tabs>
          <w:tab w:leader="none" w:pos="1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for a reconciliation of these amounts to amounts payable by Sublessor under renewed Lease Agreement.</w:t>
      </w:r>
    </w:p>
    <w:p>
      <w:pPr>
        <w:spacing w:after="0" w:line="254" w:lineRule="exact"/>
        <w:rPr>
          <w:rFonts w:ascii="Times New Roman" w:cs="Times New Roman" w:eastAsia="Times New Roman" w:hAnsi="Times New Roman"/>
          <w:sz w:val="19"/>
          <w:szCs w:val="19"/>
          <w:color w:val="auto"/>
        </w:rPr>
      </w:pPr>
    </w:p>
    <w:p>
      <w:pPr>
        <w:ind w:firstLine="622"/>
        <w:spacing w:after="0" w:line="269" w:lineRule="auto"/>
        <w:tabs>
          <w:tab w:leader="none" w:pos="911"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Rent</w:t>
      </w:r>
      <w:r>
        <w:rPr>
          <w:rFonts w:ascii="Times New Roman" w:cs="Times New Roman" w:eastAsia="Times New Roman" w:hAnsi="Times New Roman"/>
          <w:sz w:val="21"/>
          <w:szCs w:val="21"/>
          <w:color w:val="auto"/>
        </w:rPr>
        <w:t>. Sublessee shall continue to pay the Additional Rent due and owing under the Sublease pursuant to and in accordance with Article 2.2 of the Original Sublease.</w:t>
      </w:r>
    </w:p>
    <w:p>
      <w:pPr>
        <w:spacing w:after="0" w:line="200" w:lineRule="exact"/>
        <w:rPr>
          <w:sz w:val="20"/>
          <w:szCs w:val="20"/>
          <w:color w:val="auto"/>
        </w:rPr>
      </w:pPr>
    </w:p>
    <w:p>
      <w:pPr>
        <w:spacing w:after="0" w:line="213" w:lineRule="exact"/>
        <w:rPr>
          <w:sz w:val="20"/>
          <w:szCs w:val="20"/>
          <w:color w:val="auto"/>
        </w:rPr>
      </w:pPr>
    </w:p>
    <w:p>
      <w:pPr>
        <w:ind w:left="620" w:hanging="617"/>
        <w:spacing w:after="0"/>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Sublessor Representations and Warranties.</w:t>
      </w:r>
    </w:p>
    <w:p>
      <w:pPr>
        <w:spacing w:after="0" w:line="235"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Sublessor hereby represents and warrants to Sublessee the following:</w:t>
      </w:r>
    </w:p>
    <w:p>
      <w:pPr>
        <w:spacing w:after="0" w:line="248"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attached hereto, marked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is a true, complete, and correct copy of the Prime Lease;</w:t>
      </w:r>
    </w:p>
    <w:p>
      <w:pPr>
        <w:spacing w:after="0" w:line="23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Prime Lease is in full force and effect and has not been amended or modified except as expressly set</w:t>
      </w:r>
    </w:p>
    <w:p>
      <w:pPr>
        <w:spacing w:after="0" w:line="2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3" w:lineRule="exact"/>
        <w:rPr>
          <w:rFonts w:ascii="Times New Roman" w:cs="Times New Roman" w:eastAsia="Times New Roman" w:hAnsi="Times New Roman"/>
          <w:sz w:val="21"/>
          <w:szCs w:val="21"/>
          <w:color w:val="auto"/>
        </w:rPr>
      </w:pPr>
    </w:p>
    <w:p>
      <w:pPr>
        <w:ind w:firstLine="3"/>
        <w:spacing w:after="0" w:line="247" w:lineRule="auto"/>
        <w:tabs>
          <w:tab w:leader="none" w:pos="61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Sublease Amendment may be executed in one or more counterparts, each of which shall be deemed an original, but all of which together shall constitute one and the same instrument.</w:t>
      </w:r>
    </w:p>
    <w:p>
      <w:pPr>
        <w:spacing w:after="0" w:line="202"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terms and conditions of the Sublease shall remain the same and in full force and effect.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11240"/>
          </w:cols>
          <w:pgMar w:left="320" w:top="1365" w:right="339" w:bottom="1440" w:gutter="0" w:footer="0" w:header="0"/>
        </w:sectPr>
      </w:pPr>
    </w:p>
    <w:bookmarkStart w:id="78" w:name="page79"/>
    <w:bookmarkEnd w:id="78"/>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Sublessor and Sublessee have duly executed this Sublease Amendment as of the day and year first above written.</w:t>
      </w: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SUBLESSOR:</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TONTINE ASSOCIATES, L.L.C., a Delaware limited liability company</w:t>
      </w:r>
    </w:p>
    <w:p>
      <w:pPr>
        <w:spacing w:after="0" w:line="238"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JEFFREY L. GENDELL</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Jeffrey L. Gendell</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SUBLESSEE:</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IES MANAGEMENT ROO, L.P., a Texas limited partnership</w:t>
      </w:r>
    </w:p>
    <w:p>
      <w:pPr>
        <w:spacing w:after="0" w:line="2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IES OPERATIONS GROUP, INC., its General Partner</w:t>
      </w:r>
    </w:p>
    <w:p>
      <w:pPr>
        <w:spacing w:after="0" w:line="248"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TRACY A. MCLAUCHLIN</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Tracy McLauchlin</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President &amp; Treasurer</w:t>
      </w:r>
    </w:p>
    <w:p>
      <w:pPr>
        <w:sectPr>
          <w:pgSz w:w="11900" w:h="16838" w:orient="portrait"/>
          <w:cols w:equalWidth="0" w:num="1">
            <w:col w:w="11020"/>
          </w:cols>
          <w:pgMar w:left="320" w:top="1365" w:right="5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Tontine 2024 Prime Lease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9019"/>
          </w:cols>
          <w:pgMar w:left="1440" w:top="1120" w:right="1440"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21"/>
          <w:szCs w:val="21"/>
          <w:u w:val="single" w:color="auto"/>
          <w:color w:val="auto"/>
        </w:rPr>
        <w:t>Exhibit B</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(to IES Fifth Amendment to Sublease Agreement)</w:t>
      </w:r>
    </w:p>
    <w:p>
      <w:pPr>
        <w:spacing w:after="0" w:line="210" w:lineRule="exact"/>
        <w:rPr>
          <w:sz w:val="20"/>
          <w:szCs w:val="20"/>
          <w:color w:val="auto"/>
        </w:rPr>
      </w:pPr>
    </w:p>
    <w:p>
      <w:pPr>
        <w:jc w:val="center"/>
        <w:ind w:left="380" w:right="300"/>
        <w:spacing w:after="0" w:line="273" w:lineRule="auto"/>
        <w:rPr>
          <w:sz w:val="20"/>
          <w:szCs w:val="20"/>
          <w:color w:val="auto"/>
        </w:rPr>
      </w:pPr>
      <w:r>
        <w:rPr>
          <w:rFonts w:ascii="Times New Roman" w:cs="Times New Roman" w:eastAsia="Times New Roman" w:hAnsi="Times New Roman"/>
          <w:sz w:val="21"/>
          <w:szCs w:val="21"/>
          <w:b w:val="1"/>
          <w:bCs w:val="1"/>
          <w:color w:val="auto"/>
        </w:rPr>
        <w:t>Reconciliation of Amounts Payable by Sublessor Under Lease Renewal and Amounts Payable by Sublessee Under Fifth Amendment to Sublease Agreement</w:t>
      </w:r>
    </w:p>
    <w:p>
      <w:pPr>
        <w:sectPr>
          <w:pgSz w:w="11900" w:h="16838" w:orient="portrait"/>
          <w:cols w:equalWidth="0" w:num="1">
            <w:col w:w="11160"/>
          </w:cols>
          <w:pgMar w:left="320" w:top="1120" w:right="41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Aggregate Square Footage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 Share of Square Footage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 Square Footage</w:t>
      </w: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Annual Fixed Rent Payable by Sublessor before Rent Inclusion Factor</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Annual Rent Inclusion Factor</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Annual Fixed Rent Payable by Sublessor including Rent Inclusion Factor</w:t>
      </w:r>
    </w:p>
    <w:p>
      <w:pPr>
        <w:spacing w:after="0" w:line="294" w:lineRule="exact"/>
        <w:rPr>
          <w:sz w:val="20"/>
          <w:szCs w:val="20"/>
          <w:color w:val="auto"/>
        </w:rPr>
      </w:pPr>
    </w:p>
    <w:p>
      <w:pPr>
        <w:ind w:left="60" w:right="220"/>
        <w:spacing w:after="0" w:line="239" w:lineRule="auto"/>
        <w:rPr>
          <w:sz w:val="20"/>
          <w:szCs w:val="20"/>
          <w:color w:val="auto"/>
        </w:rPr>
      </w:pPr>
      <w:r>
        <w:rPr>
          <w:rFonts w:ascii="Times New Roman" w:cs="Times New Roman" w:eastAsia="Times New Roman" w:hAnsi="Times New Roman"/>
          <w:sz w:val="17"/>
          <w:szCs w:val="17"/>
          <w:color w:val="auto"/>
        </w:rPr>
        <w:t>Annual Fixed Rent per Square Foot Payable by Sublessor including Rent Inclusion Factor</w:t>
      </w:r>
    </w:p>
    <w:p>
      <w:pPr>
        <w:spacing w:after="0" w:line="358" w:lineRule="exact"/>
        <w:rPr>
          <w:sz w:val="20"/>
          <w:szCs w:val="20"/>
          <w:color w:val="auto"/>
        </w:rPr>
      </w:pPr>
    </w:p>
    <w:p>
      <w:pPr>
        <w:ind w:left="60" w:right="80"/>
        <w:spacing w:after="0" w:line="239" w:lineRule="auto"/>
        <w:rPr>
          <w:sz w:val="20"/>
          <w:szCs w:val="20"/>
          <w:color w:val="auto"/>
        </w:rPr>
      </w:pPr>
      <w:r>
        <w:rPr>
          <w:rFonts w:ascii="Times New Roman" w:cs="Times New Roman" w:eastAsia="Times New Roman" w:hAnsi="Times New Roman"/>
          <w:sz w:val="17"/>
          <w:szCs w:val="17"/>
          <w:color w:val="auto"/>
        </w:rPr>
        <w:t>Sublessee’s % Share of Annual Fixed Rent Payable by Sublessor including Rent Inclusion Factor</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Annual Base Rent Payable under Sublease</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Annual Base Rent per Square Foot Payable under Sublease</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Monthly Fixed Rent Payable by Sublessor before Rent Inclusion Factor</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Monthly Rent Inclusion Factor</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Monthly Fixed Rent Payable by Sublessor including Rent Inclusion Factor</w:t>
      </w:r>
    </w:p>
    <w:p>
      <w:pPr>
        <w:spacing w:after="0" w:line="294" w:lineRule="exact"/>
        <w:rPr>
          <w:sz w:val="20"/>
          <w:szCs w:val="20"/>
          <w:color w:val="auto"/>
        </w:rPr>
      </w:pPr>
    </w:p>
    <w:p>
      <w:pPr>
        <w:ind w:left="60" w:right="120"/>
        <w:spacing w:after="0" w:line="239" w:lineRule="auto"/>
        <w:rPr>
          <w:sz w:val="20"/>
          <w:szCs w:val="20"/>
          <w:color w:val="auto"/>
        </w:rPr>
      </w:pPr>
      <w:r>
        <w:rPr>
          <w:rFonts w:ascii="Times New Roman" w:cs="Times New Roman" w:eastAsia="Times New Roman" w:hAnsi="Times New Roman"/>
          <w:sz w:val="17"/>
          <w:szCs w:val="17"/>
          <w:color w:val="auto"/>
        </w:rPr>
        <w:t>Monthly Fixed Rent per Square Foot Payable by Sublessor including Rent Inclusion Factor</w:t>
      </w:r>
    </w:p>
    <w:p>
      <w:pPr>
        <w:spacing w:after="0" w:line="358" w:lineRule="exact"/>
        <w:rPr>
          <w:sz w:val="20"/>
          <w:szCs w:val="20"/>
          <w:color w:val="auto"/>
        </w:rPr>
      </w:pPr>
    </w:p>
    <w:p>
      <w:pPr>
        <w:ind w:left="60"/>
        <w:spacing w:after="0" w:line="239" w:lineRule="auto"/>
        <w:rPr>
          <w:sz w:val="20"/>
          <w:szCs w:val="20"/>
          <w:color w:val="auto"/>
        </w:rPr>
      </w:pPr>
      <w:r>
        <w:rPr>
          <w:rFonts w:ascii="Times New Roman" w:cs="Times New Roman" w:eastAsia="Times New Roman" w:hAnsi="Times New Roman"/>
          <w:sz w:val="17"/>
          <w:szCs w:val="17"/>
          <w:color w:val="auto"/>
        </w:rPr>
        <w:t>Sublessee’s % Share of Monthly Fixed Rent Payable by Sublessor including Rent Inclusion Factor</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Monthly Base Rent Payable under Sublease</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Monthly Base Rent per Square Foot Payable under Sublease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17"/>
          <w:szCs w:val="17"/>
          <w:b w:val="1"/>
          <w:bCs w:val="1"/>
          <w:u w:val="single" w:color="auto"/>
          <w:color w:val="auto"/>
        </w:rPr>
        <w:t>9/1/24-9/30/25</w:t>
      </w:r>
    </w:p>
    <w:p>
      <w:pPr>
        <w:spacing w:after="0" w:line="53"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7"/>
          <w:szCs w:val="17"/>
          <w:color w:val="auto"/>
        </w:rPr>
        <w:t>3,690</w:t>
      </w:r>
    </w:p>
    <w:p>
      <w:pPr>
        <w:spacing w:after="0" w:line="28"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7"/>
          <w:szCs w:val="17"/>
          <w:color w:val="auto"/>
        </w:rPr>
        <w:t>60%</w:t>
      </w:r>
    </w:p>
    <w:p>
      <w:pPr>
        <w:spacing w:after="0" w:line="24"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7"/>
          <w:szCs w:val="17"/>
          <w:color w:val="auto"/>
        </w:rPr>
        <w:t>2,214</w:t>
      </w:r>
    </w:p>
    <w:p>
      <w:pPr>
        <w:spacing w:after="0" w:line="200" w:lineRule="exact"/>
        <w:rPr>
          <w:sz w:val="20"/>
          <w:szCs w:val="20"/>
          <w:color w:val="auto"/>
        </w:rPr>
      </w:pPr>
    </w:p>
    <w:p>
      <w:pPr>
        <w:spacing w:after="0" w:line="323" w:lineRule="exact"/>
        <w:rPr>
          <w:sz w:val="20"/>
          <w:szCs w:val="20"/>
          <w:color w:val="auto"/>
        </w:rPr>
      </w:pPr>
    </w:p>
    <w:p>
      <w:pPr>
        <w:ind w:left="124" w:hanging="124"/>
        <w:spacing w:after="0"/>
        <w:tabs>
          <w:tab w:leader="none" w:pos="12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162,360.00</w:t>
      </w:r>
    </w:p>
    <w:p>
      <w:pPr>
        <w:spacing w:after="0" w:line="62" w:lineRule="exact"/>
        <w:rPr>
          <w:rFonts w:ascii="Times New Roman" w:cs="Times New Roman" w:eastAsia="Times New Roman" w:hAnsi="Times New Roman"/>
          <w:sz w:val="17"/>
          <w:szCs w:val="17"/>
          <w:color w:val="auto"/>
        </w:rPr>
      </w:pPr>
    </w:p>
    <w:p>
      <w:pPr>
        <w:ind w:left="2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10,147.50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-6350</wp:posOffset>
            </wp:positionV>
            <wp:extent cx="5727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$ 172,507.50</w:t>
      </w:r>
    </w:p>
    <w:p>
      <w:pPr>
        <w:spacing w:after="0" w:line="29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color w:val="auto"/>
        </w:rPr>
        <w:t>$46.75</w:t>
      </w:r>
    </w:p>
    <w:p>
      <w:pPr>
        <w:spacing w:after="0" w:line="200" w:lineRule="exact"/>
        <w:rPr>
          <w:sz w:val="20"/>
          <w:szCs w:val="20"/>
          <w:color w:val="auto"/>
        </w:rPr>
      </w:pPr>
    </w:p>
    <w:p>
      <w:pPr>
        <w:spacing w:after="0" w:line="352"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7"/>
          <w:szCs w:val="17"/>
          <w:color w:val="auto"/>
        </w:rPr>
        <w:t>60%</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$ 103,504.50</w:t>
      </w:r>
    </w:p>
    <w:p>
      <w:pPr>
        <w:spacing w:after="0" w:line="29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color w:val="auto"/>
        </w:rPr>
        <w:t>$46.75</w:t>
      </w:r>
    </w:p>
    <w:p>
      <w:pPr>
        <w:spacing w:after="0" w:line="200" w:lineRule="exact"/>
        <w:rPr>
          <w:sz w:val="20"/>
          <w:szCs w:val="20"/>
          <w:color w:val="auto"/>
        </w:rPr>
      </w:pPr>
    </w:p>
    <w:p>
      <w:pPr>
        <w:spacing w:after="0" w:line="352" w:lineRule="exact"/>
        <w:rPr>
          <w:sz w:val="20"/>
          <w:szCs w:val="20"/>
          <w:color w:val="auto"/>
        </w:rPr>
      </w:pPr>
    </w:p>
    <w:p>
      <w:pPr>
        <w:ind w:left="124" w:hanging="124"/>
        <w:spacing w:after="0"/>
        <w:tabs>
          <w:tab w:leader="none" w:pos="1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13,530.00</w:t>
      </w:r>
    </w:p>
    <w:p>
      <w:pPr>
        <w:spacing w:after="0" w:line="62" w:lineRule="exact"/>
        <w:rPr>
          <w:rFonts w:ascii="Times New Roman" w:cs="Times New Roman" w:eastAsia="Times New Roman" w:hAnsi="Times New Roman"/>
          <w:sz w:val="17"/>
          <w:szCs w:val="17"/>
          <w:color w:val="auto"/>
        </w:rPr>
      </w:pP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-6350</wp:posOffset>
            </wp:positionV>
            <wp:extent cx="518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$ 14,375.62</w:t>
      </w:r>
    </w:p>
    <w:p>
      <w:pPr>
        <w:spacing w:after="0" w:line="294"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7"/>
          <w:szCs w:val="17"/>
          <w:color w:val="auto"/>
        </w:rPr>
        <w:t>$3.90</w:t>
      </w:r>
    </w:p>
    <w:p>
      <w:pPr>
        <w:spacing w:after="0" w:line="200" w:lineRule="exact"/>
        <w:rPr>
          <w:sz w:val="20"/>
          <w:szCs w:val="20"/>
          <w:color w:val="auto"/>
        </w:rPr>
      </w:pPr>
    </w:p>
    <w:p>
      <w:pPr>
        <w:spacing w:after="0" w:line="352"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7"/>
          <w:szCs w:val="17"/>
          <w:color w:val="auto"/>
        </w:rPr>
        <w:t>60%</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$ 8,625.37</w:t>
      </w:r>
    </w:p>
    <w:p>
      <w:pPr>
        <w:spacing w:after="0" w:line="294"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7"/>
          <w:szCs w:val="17"/>
          <w:color w:val="auto"/>
        </w:rPr>
        <w:t>$3.90</w:t>
      </w:r>
    </w:p>
    <w:p>
      <w:pPr>
        <w:spacing w:after="0" w:line="114" w:lineRule="exact"/>
        <w:rPr>
          <w:sz w:val="20"/>
          <w:szCs w:val="20"/>
          <w:color w:val="auto"/>
        </w:rPr>
      </w:pPr>
    </w:p>
    <w:p>
      <w:pPr>
        <w:sectPr>
          <w:pgSz w:w="11900" w:h="16838" w:orient="portrait"/>
          <w:cols w:equalWidth="0" w:num="2">
            <w:col w:w="5300" w:space="616"/>
            <w:col w:w="5244"/>
          </w:cols>
          <w:pgMar w:left="320" w:top="1120" w:right="4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Note: “Rent Inclusion Factor” is that part of the Fixed Rent payable by Sublessor under Lease Agreement allocable to the provision of electrical energy. In the original Lease Agreement and first three amendments thereto, the Fixed Rent was stated on a basis including the Rent Inclusion Factor. In the fourth and subsequent amendments to the Lease Agreement, the Fixed Rent is stated on a basis before the Rent Inclusion Factor, with the Rent Inclusion Factor identified separately. In the Original Sublease, the First Amendment, the Second Amendment and the Third Amendment, Sublessee’s Base Rent is based on a certain percentage of Sublessor’s Fixed Rent including the Rent Inclusion Factor. In the Fourth Amendment and this Fifth Amendment to Sublease Agreement, Sublessee’s share of the Fixed Rent is stated as a percentage of the Fixed Rent including the Rent Inclusion Factor, consistent with the Original Sublease and prior amendments.</w:t>
      </w:r>
    </w:p>
    <w:p>
      <w:pPr>
        <w:sectPr>
          <w:pgSz w:w="11900" w:h="16838" w:orient="portrait"/>
          <w:cols w:equalWidth="0" w:num="1">
            <w:col w:w="11160"/>
          </w:cols>
          <w:pgMar w:left="320" w:top="1120" w:right="4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21"/>
          <w:szCs w:val="21"/>
          <w:b w:val="1"/>
          <w:bCs w:val="1"/>
          <w:color w:val="001F5F"/>
        </w:rPr>
        <w:t>IES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b w:val="1"/>
          <w:bCs w:val="1"/>
          <w:color w:val="001F5F"/>
        </w:rPr>
        <w:t>INSIDER TRADING POLICY</w:t>
      </w:r>
    </w:p>
    <w:p>
      <w:pPr>
        <w:spacing w:after="0" w:line="152" w:lineRule="exact"/>
        <w:rPr>
          <w:sz w:val="20"/>
          <w:szCs w:val="20"/>
          <w:color w:val="auto"/>
        </w:rPr>
      </w:pPr>
    </w:p>
    <w:p>
      <w:pPr>
        <w:spacing w:after="0" w:line="297" w:lineRule="auto"/>
        <w:rPr>
          <w:sz w:val="20"/>
          <w:szCs w:val="20"/>
          <w:color w:val="auto"/>
        </w:rPr>
      </w:pPr>
      <w:r>
        <w:rPr>
          <w:rFonts w:ascii="Arial" w:cs="Arial" w:eastAsia="Arial" w:hAnsi="Arial"/>
          <w:sz w:val="15"/>
          <w:szCs w:val="15"/>
          <w:color w:val="7E7E7E"/>
        </w:rPr>
        <w:t>Directors, officers and employees of IES Holdings, Inc. (the "Company") who possess material information about the Company that has not been disclosed publicly (“material non-public information”) are subject to legal obligations with respect to their personal use or disclosure of such information. Violations of these obligations can result in criminal prosecution and civil proceedings against both the individual and the Company. The purpose of this Insider Trading Policy is to summarize the laws and regulations applicable to the use and disclosure of material non-public information and to set forth the Company’s policies with respect to trading in the Company’s securities, including the Company’s common stock (the “Company’s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7E7E7E"/>
        </w:rPr>
        <w:t>This Insider Trading Policy applies to (i) all directors, officers and employees of the Company (including the Company’s direct and indirect subsidiaries),</w:t>
      </w:r>
    </w:p>
    <w:p>
      <w:pPr>
        <w:spacing w:after="0" w:line="34" w:lineRule="exact"/>
        <w:rPr>
          <w:sz w:val="20"/>
          <w:szCs w:val="20"/>
          <w:color w:val="auto"/>
        </w:rPr>
      </w:pPr>
    </w:p>
    <w:p>
      <w:pPr>
        <w:ind w:right="260" w:firstLine="9"/>
        <w:spacing w:after="0" w:line="330" w:lineRule="auto"/>
        <w:tabs>
          <w:tab w:leader="none" w:pos="215" w:val="left"/>
        </w:tabs>
        <w:numPr>
          <w:ilvl w:val="0"/>
          <w:numId w:val="27"/>
        </w:numPr>
        <w:rPr>
          <w:rFonts w:ascii="Arial" w:cs="Arial" w:eastAsia="Arial" w:hAnsi="Arial"/>
          <w:sz w:val="15"/>
          <w:szCs w:val="15"/>
          <w:color w:val="7E7E7E"/>
        </w:rPr>
      </w:pPr>
      <w:r>
        <w:rPr>
          <w:rFonts w:ascii="Arial" w:cs="Arial" w:eastAsia="Arial" w:hAnsi="Arial"/>
          <w:sz w:val="15"/>
          <w:szCs w:val="15"/>
          <w:color w:val="7E7E7E"/>
        </w:rPr>
        <w:t>the Company’s contractors and consultants who may, as a result of their position with the Company, have access to material non-public information, and (iii) all immediate family members of, persons sharing a household with and entities that are controlled by each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116205</wp:posOffset>
            </wp:positionV>
            <wp:extent cx="2193925" cy="2202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2193925" cy="220218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INSIDER TRADING AND TIPPING</w:t>
      </w:r>
    </w:p>
    <w:p>
      <w:pPr>
        <w:spacing w:after="0" w:line="121" w:lineRule="exact"/>
        <w:rPr>
          <w:sz w:val="20"/>
          <w:szCs w:val="20"/>
          <w:color w:val="auto"/>
        </w:rPr>
      </w:pPr>
    </w:p>
    <w:p>
      <w:pPr>
        <w:ind w:right="5660"/>
        <w:spacing w:after="0" w:line="289" w:lineRule="auto"/>
        <w:rPr>
          <w:sz w:val="20"/>
          <w:szCs w:val="20"/>
          <w:color w:val="auto"/>
        </w:rPr>
      </w:pPr>
      <w:r>
        <w:rPr>
          <w:rFonts w:ascii="Arial" w:cs="Arial" w:eastAsia="Arial" w:hAnsi="Arial"/>
          <w:sz w:val="15"/>
          <w:szCs w:val="15"/>
          <w:color w:val="7E7E7E"/>
        </w:rPr>
        <w:t xml:space="preserve">The personal use or disclosure of material non-public information is prohibited by the securities laws and is a violation of this Insider Trading Policy and the Company's Conflict of Interest Policy. </w:t>
      </w:r>
      <w:r>
        <w:rPr>
          <w:rFonts w:ascii="Arial" w:cs="Arial" w:eastAsia="Arial" w:hAnsi="Arial"/>
          <w:sz w:val="15"/>
          <w:szCs w:val="15"/>
          <w:b w:val="1"/>
          <w:bCs w:val="1"/>
          <w:color w:val="1F3863"/>
        </w:rPr>
        <w:t>A basic tenet of</w:t>
      </w:r>
      <w:r>
        <w:rPr>
          <w:rFonts w:ascii="Arial" w:cs="Arial" w:eastAsia="Arial" w:hAnsi="Arial"/>
          <w:sz w:val="15"/>
          <w:szCs w:val="15"/>
          <w:color w:val="7E7E7E"/>
        </w:rPr>
        <w:t xml:space="preserve"> </w:t>
      </w:r>
      <w:r>
        <w:rPr>
          <w:rFonts w:ascii="Arial" w:cs="Arial" w:eastAsia="Arial" w:hAnsi="Arial"/>
          <w:sz w:val="15"/>
          <w:szCs w:val="15"/>
          <w:b w:val="1"/>
          <w:bCs w:val="1"/>
          <w:color w:val="1F3863"/>
        </w:rPr>
        <w:t xml:space="preserve">the securities laws is that persons with material non-public information regarding a company should not take advantage of such information by trading in the company’s securities, unless and until such information is made available to other members of the investing public. </w:t>
      </w:r>
      <w:r>
        <w:rPr>
          <w:rFonts w:ascii="Arial" w:cs="Arial" w:eastAsia="Arial" w:hAnsi="Arial"/>
          <w:sz w:val="15"/>
          <w:szCs w:val="15"/>
          <w:color w:val="7E7E7E"/>
        </w:rPr>
        <w:t>Disclosing such information to others, including</w:t>
      </w:r>
      <w:r>
        <w:rPr>
          <w:rFonts w:ascii="Arial" w:cs="Arial" w:eastAsia="Arial" w:hAnsi="Arial"/>
          <w:sz w:val="15"/>
          <w:szCs w:val="15"/>
          <w:b w:val="1"/>
          <w:bCs w:val="1"/>
          <w:color w:val="1F3863"/>
        </w:rPr>
        <w:t xml:space="preserve"> </w:t>
      </w:r>
      <w:r>
        <w:rPr>
          <w:rFonts w:ascii="Arial" w:cs="Arial" w:eastAsia="Arial" w:hAnsi="Arial"/>
          <w:sz w:val="15"/>
          <w:szCs w:val="15"/>
          <w:color w:val="7E7E7E"/>
        </w:rPr>
        <w:t>relatives or friends, a practice known as "tipping," is also prohibited by the securities laws. Until material non-public information is made public, it must be used only for Company business purposes and not for anyone's personal benefit.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PROHIBITED TRANSACTIONS</w:t>
      </w:r>
    </w:p>
    <w:p>
      <w:pPr>
        <w:spacing w:after="0" w:line="119" w:lineRule="exact"/>
        <w:rPr>
          <w:sz w:val="20"/>
          <w:szCs w:val="20"/>
          <w:color w:val="auto"/>
        </w:rPr>
      </w:pPr>
    </w:p>
    <w:p>
      <w:pPr>
        <w:ind w:right="520"/>
        <w:spacing w:after="0" w:line="344" w:lineRule="auto"/>
        <w:rPr>
          <w:sz w:val="20"/>
          <w:szCs w:val="20"/>
          <w:color w:val="auto"/>
        </w:rPr>
      </w:pPr>
      <w:r>
        <w:rPr>
          <w:rFonts w:ascii="Arial" w:cs="Arial" w:eastAsia="Arial" w:hAnsi="Arial"/>
          <w:sz w:val="15"/>
          <w:szCs w:val="15"/>
          <w:b w:val="1"/>
          <w:bCs w:val="1"/>
          <w:color w:val="1F497D"/>
        </w:rPr>
        <w:t>Any director, officer, employee, contractor or consultant who possesses material non-public information is prohibited from trading in the Company’s securities and from tipping such information to others.</w:t>
      </w:r>
    </w:p>
    <w:p>
      <w:pPr>
        <w:spacing w:after="0" w:line="152"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7E7E7E"/>
        </w:rPr>
        <w:t>In addition, any director, officer, employee, contractor or consultant who, as a result of his or her position with the Company, has access to material non-public information regarding another company, such as a customer or supplier, is prohibited from trading in the securities of such other company and from disclosing such information to others. Particular care should be exercised with respect to third-party information that is learned or developed in the course of a potential acquisition by the Company.</w:t>
      </w:r>
    </w:p>
    <w:p>
      <w:pPr>
        <w:spacing w:after="0" w:line="192" w:lineRule="exact"/>
        <w:rPr>
          <w:sz w:val="20"/>
          <w:szCs w:val="20"/>
          <w:color w:val="auto"/>
        </w:rPr>
      </w:pPr>
    </w:p>
    <w:p>
      <w:pPr>
        <w:ind w:right="60" w:hanging="1"/>
        <w:spacing w:after="0" w:line="301" w:lineRule="auto"/>
        <w:rPr>
          <w:sz w:val="20"/>
          <w:szCs w:val="20"/>
          <w:color w:val="auto"/>
        </w:rPr>
      </w:pPr>
      <w:r>
        <w:rPr>
          <w:rFonts w:ascii="Arial" w:cs="Arial" w:eastAsia="Arial" w:hAnsi="Arial"/>
          <w:sz w:val="15"/>
          <w:szCs w:val="15"/>
          <w:color w:val="7E7E7E"/>
        </w:rPr>
        <w:t>Speculative trading, such as in-and-out trading, is discouraged as a matter of policy. Accordingly, the Company’s directors, officers, and employees are prohibited from engaging in short sales (the sale of securities not owned) and sales against the box (the sale of securities owned but not delivered against the sale) of any of the Company’s securities. Similarly, the Company’s directors, officers, and employees are prohibited from purchasing or selling puts or calls or otherwise trading in or writing options on any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580"/>
          </w:cols>
          <w:pgMar w:left="640" w:top="1351" w:right="67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1F3863"/>
        </w:rPr>
        <w:t>TRADING WINDOWS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7E7E7E"/>
        </w:rPr>
        <w:t xml:space="preserve">To promote compliance with the trading prohibitions described above, </w:t>
      </w:r>
      <w:r>
        <w:rPr>
          <w:rFonts w:ascii="Arial" w:cs="Arial" w:eastAsia="Arial" w:hAnsi="Arial"/>
          <w:sz w:val="15"/>
          <w:szCs w:val="15"/>
          <w:b w:val="1"/>
          <w:bCs w:val="1"/>
          <w:color w:val="1F497D"/>
        </w:rPr>
        <w:t>it is the Company's policy that (i) all directors and officers of the Company,</w:t>
      </w:r>
    </w:p>
    <w:p>
      <w:pPr>
        <w:spacing w:after="0" w:line="42" w:lineRule="exact"/>
        <w:rPr>
          <w:sz w:val="20"/>
          <w:szCs w:val="20"/>
          <w:color w:val="auto"/>
        </w:rPr>
      </w:pPr>
    </w:p>
    <w:p>
      <w:pPr>
        <w:ind w:firstLine="8"/>
        <w:spacing w:after="0" w:line="302" w:lineRule="auto"/>
        <w:tabs>
          <w:tab w:leader="none" w:pos="232" w:val="left"/>
        </w:tabs>
        <w:numPr>
          <w:ilvl w:val="0"/>
          <w:numId w:val="28"/>
        </w:numPr>
        <w:rPr>
          <w:rFonts w:ascii="Arial" w:cs="Arial" w:eastAsia="Arial" w:hAnsi="Arial"/>
          <w:sz w:val="15"/>
          <w:szCs w:val="15"/>
          <w:b w:val="1"/>
          <w:bCs w:val="1"/>
          <w:color w:val="1F497D"/>
        </w:rPr>
      </w:pPr>
      <w:r>
        <w:rPr>
          <w:rFonts w:ascii="Arial" w:cs="Arial" w:eastAsia="Arial" w:hAnsi="Arial"/>
          <w:sz w:val="15"/>
          <w:szCs w:val="15"/>
          <w:b w:val="1"/>
          <w:bCs w:val="1"/>
          <w:color w:val="1F497D"/>
        </w:rPr>
        <w:t>any Company employees who hold a controller's position, (iii) any Company employees who work in the Company’s headquarters in Houston or Greenwich and (iv) certain other designated employees who shall be notified from time to time by the Company’s General Counsel that they are restricted (collectively, the “Restricted Group”) may only trade in the Company's securities (including gifts) during designated "open trading windows."</w:t>
      </w:r>
    </w:p>
    <w:p>
      <w:pPr>
        <w:spacing w:after="0" w:line="183" w:lineRule="exact"/>
        <w:rPr>
          <w:sz w:val="20"/>
          <w:szCs w:val="20"/>
          <w:color w:val="auto"/>
        </w:rPr>
      </w:pPr>
    </w:p>
    <w:p>
      <w:pPr>
        <w:jc w:val="both"/>
        <w:ind w:right="280"/>
        <w:spacing w:after="0" w:line="301" w:lineRule="auto"/>
        <w:rPr>
          <w:sz w:val="20"/>
          <w:szCs w:val="20"/>
          <w:color w:val="auto"/>
        </w:rPr>
      </w:pPr>
      <w:r>
        <w:rPr>
          <w:rFonts w:ascii="Arial" w:cs="Arial" w:eastAsia="Arial" w:hAnsi="Arial"/>
          <w:sz w:val="15"/>
          <w:szCs w:val="15"/>
          <w:color w:val="7E7E7E"/>
        </w:rPr>
        <w:t>Open trading windows begin after the second full trading day following the release of the Company’s annual or quarterly financial results and end two weeks prior to the end of the quarter (each, an “open window”). Trading windows close two weeks prior to the end of each quarter and remain closed through the end of the second full trading day following the release of the Company’s annual or quarterly financial results (each, a “closed window” or “quarterly blackout period”).</w:t>
      </w:r>
    </w:p>
    <w:p>
      <w:pPr>
        <w:spacing w:after="0" w:line="192"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7E7E7E"/>
        </w:rPr>
        <w:t>In addition, from time to time, an event may occur during an open window that is material to the Company that is known by only by the Company’s directors and officers and a limited number of employees. So long as the event remains material and non-public, those persons designated by the Company’s General Counsel as having access to information regarding the event may not trade in the Company’s securities (a “special blackout period”). The existence of a special blackout period will not be announced; instead, the existence of a special blackout period will be made known only to those directors, officers and employees who are aware of the event giving rise to, and are subject to, the special blackout. If you are notified of a special blackout period, then you may not disclose the existence of the special blackout period, or the event giving rise to the special blackout period, to any other person.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TRADING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19050</wp:posOffset>
            </wp:positionV>
            <wp:extent cx="2431415" cy="22269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2431415" cy="2226945"/>
                    </a:xfrm>
                    <a:prstGeom prst="rect">
                      <a:avLst/>
                    </a:prstGeom>
                    <a:noFill/>
                  </pic:spPr>
                </pic:pic>
              </a:graphicData>
            </a:graphic>
          </wp:anchor>
        </w:drawing>
      </w:r>
    </w:p>
    <w:p>
      <w:pPr>
        <w:spacing w:after="0" w:line="242" w:lineRule="exact"/>
        <w:rPr>
          <w:sz w:val="20"/>
          <w:szCs w:val="20"/>
          <w:color w:val="auto"/>
        </w:rPr>
      </w:pPr>
    </w:p>
    <w:p>
      <w:pPr>
        <w:ind w:left="20" w:right="5540"/>
        <w:spacing w:after="0" w:line="297" w:lineRule="auto"/>
        <w:rPr>
          <w:sz w:val="20"/>
          <w:szCs w:val="20"/>
          <w:color w:val="auto"/>
        </w:rPr>
      </w:pPr>
      <w:r>
        <w:rPr>
          <w:rFonts w:ascii="Arial" w:cs="Arial" w:eastAsia="Arial" w:hAnsi="Arial"/>
          <w:sz w:val="15"/>
          <w:szCs w:val="15"/>
          <w:color w:val="7E7E7E"/>
        </w:rPr>
        <w:t xml:space="preserve">In addition to only being permitted to trade in the Company’s securities during open windows, </w:t>
      </w:r>
      <w:r>
        <w:rPr>
          <w:rFonts w:ascii="Arial" w:cs="Arial" w:eastAsia="Arial" w:hAnsi="Arial"/>
          <w:sz w:val="15"/>
          <w:szCs w:val="15"/>
          <w:b w:val="1"/>
          <w:bCs w:val="1"/>
          <w:color w:val="1F3863"/>
        </w:rPr>
        <w:t>members of the Restricted Group (“Insiders”)</w:t>
      </w:r>
      <w:r>
        <w:rPr>
          <w:rFonts w:ascii="Arial" w:cs="Arial" w:eastAsia="Arial" w:hAnsi="Arial"/>
          <w:sz w:val="15"/>
          <w:szCs w:val="15"/>
          <w:color w:val="7E7E7E"/>
        </w:rPr>
        <w:t xml:space="preserve"> </w:t>
      </w:r>
      <w:r>
        <w:rPr>
          <w:rFonts w:ascii="Arial" w:cs="Arial" w:eastAsia="Arial" w:hAnsi="Arial"/>
          <w:sz w:val="15"/>
          <w:szCs w:val="15"/>
          <w:b w:val="1"/>
          <w:bCs w:val="1"/>
          <w:color w:val="1F3863"/>
        </w:rPr>
        <w:t xml:space="preserve">are required to request advance written approval from the Company’s General Counsel prior to trading in the Company’s securities (a “trading request”). </w:t>
      </w:r>
      <w:r>
        <w:rPr>
          <w:rFonts w:ascii="Arial" w:cs="Arial" w:eastAsia="Arial" w:hAnsi="Arial"/>
          <w:sz w:val="15"/>
          <w:szCs w:val="15"/>
          <w:color w:val="7E7E7E"/>
        </w:rPr>
        <w:t>Each trading request should be</w:t>
      </w:r>
      <w:r>
        <w:rPr>
          <w:rFonts w:ascii="Arial" w:cs="Arial" w:eastAsia="Arial" w:hAnsi="Arial"/>
          <w:sz w:val="15"/>
          <w:szCs w:val="15"/>
          <w:b w:val="1"/>
          <w:bCs w:val="1"/>
          <w:color w:val="1F3863"/>
        </w:rPr>
        <w:t xml:space="preserve"> </w:t>
      </w:r>
      <w:r>
        <w:rPr>
          <w:rFonts w:ascii="Arial" w:cs="Arial" w:eastAsia="Arial" w:hAnsi="Arial"/>
          <w:sz w:val="15"/>
          <w:szCs w:val="15"/>
          <w:color w:val="7E7E7E"/>
        </w:rPr>
        <w:t>submitted to the Company’s General Counsel at least two business days prior to the date of the proposed transaction.</w:t>
      </w:r>
    </w:p>
    <w:p>
      <w:pPr>
        <w:spacing w:after="0" w:line="195" w:lineRule="exact"/>
        <w:rPr>
          <w:sz w:val="20"/>
          <w:szCs w:val="20"/>
          <w:color w:val="auto"/>
        </w:rPr>
      </w:pPr>
    </w:p>
    <w:p>
      <w:pPr>
        <w:ind w:left="20" w:right="5540"/>
        <w:spacing w:after="0" w:line="295" w:lineRule="auto"/>
        <w:rPr>
          <w:sz w:val="20"/>
          <w:szCs w:val="20"/>
          <w:color w:val="auto"/>
        </w:rPr>
      </w:pPr>
      <w:r>
        <w:rPr>
          <w:rFonts w:ascii="Arial" w:cs="Arial" w:eastAsia="Arial" w:hAnsi="Arial"/>
          <w:sz w:val="15"/>
          <w:szCs w:val="15"/>
          <w:color w:val="7E7E7E"/>
        </w:rPr>
        <w:t>No trading request shall be approved at any time management believes the Insider requesting the trade may be deemed to be in possession of material non-public information. If the Insider requesting the trade becomes aware of material non-public information regarding the Company before the trade is executed, then the preclearance shall be void and the trade must not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RULE 10b5-1 PLANS</w:t>
      </w:r>
    </w:p>
    <w:p>
      <w:pPr>
        <w:spacing w:after="0" w:line="260" w:lineRule="exact"/>
        <w:rPr>
          <w:sz w:val="20"/>
          <w:szCs w:val="20"/>
          <w:color w:val="auto"/>
        </w:rPr>
      </w:pPr>
    </w:p>
    <w:p>
      <w:pPr>
        <w:ind w:left="20"/>
        <w:spacing w:after="0" w:line="302" w:lineRule="auto"/>
        <w:rPr>
          <w:sz w:val="20"/>
          <w:szCs w:val="20"/>
          <w:color w:val="auto"/>
        </w:rPr>
      </w:pPr>
      <w:r>
        <w:rPr>
          <w:rFonts w:ascii="Arial" w:cs="Arial" w:eastAsia="Arial" w:hAnsi="Arial"/>
          <w:sz w:val="15"/>
          <w:szCs w:val="15"/>
          <w:color w:val="7E7E7E"/>
        </w:rPr>
        <w:t xml:space="preserve">Notwithstanding the foregoing prohibitions and restrictions, </w:t>
      </w:r>
      <w:r>
        <w:rPr>
          <w:rFonts w:ascii="Arial" w:cs="Arial" w:eastAsia="Arial" w:hAnsi="Arial"/>
          <w:sz w:val="15"/>
          <w:szCs w:val="15"/>
          <w:b w:val="1"/>
          <w:bCs w:val="1"/>
          <w:color w:val="1F497D"/>
        </w:rPr>
        <w:t>an Insider may be permitted to trade in the Company’s securities while in possession</w:t>
      </w:r>
      <w:r>
        <w:rPr>
          <w:rFonts w:ascii="Arial" w:cs="Arial" w:eastAsia="Arial" w:hAnsi="Arial"/>
          <w:sz w:val="15"/>
          <w:szCs w:val="15"/>
          <w:color w:val="7E7E7E"/>
        </w:rPr>
        <w:t xml:space="preserve"> </w:t>
      </w:r>
      <w:r>
        <w:rPr>
          <w:rFonts w:ascii="Arial" w:cs="Arial" w:eastAsia="Arial" w:hAnsi="Arial"/>
          <w:sz w:val="15"/>
          <w:szCs w:val="15"/>
          <w:b w:val="1"/>
          <w:bCs w:val="1"/>
          <w:color w:val="1F497D"/>
        </w:rPr>
        <w:t xml:space="preserve">of material non-public information or during a closed window, if such trades are made pursuant to a written plan that is intended to satisfy the affirmative defense conditions of Rule 10b5-1(c) promulgated under the Securities Exchange Act of 1934, as amended (a “Rule 10b5-1 Plan”). </w:t>
      </w:r>
      <w:r>
        <w:rPr>
          <w:rFonts w:ascii="Arial" w:cs="Arial" w:eastAsia="Arial" w:hAnsi="Arial"/>
          <w:sz w:val="15"/>
          <w:szCs w:val="15"/>
          <w:color w:val="7E7E7E"/>
        </w:rPr>
        <w:t>To be effective, a Rule 10b5-1 Plan must meet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460"/>
          </w:cols>
          <w:pgMar w:left="640" w:top="1423" w:right="799" w:bottom="1440" w:gutter="0" w:footer="0" w:header="0"/>
        </w:sectPr>
      </w:pPr>
    </w:p>
    <w:bookmarkStart w:id="83" w:name="page84"/>
    <w:bookmarkEnd w:id="83"/>
    <w:p>
      <w:pPr>
        <w:ind w:left="640" w:hanging="304"/>
        <w:spacing w:after="0"/>
        <w:tabs>
          <w:tab w:leader="none" w:pos="640" w:val="left"/>
        </w:tabs>
        <w:numPr>
          <w:ilvl w:val="0"/>
          <w:numId w:val="29"/>
        </w:numPr>
        <w:rPr>
          <w:rFonts w:ascii="Times New Roman" w:cs="Times New Roman" w:eastAsia="Times New Roman" w:hAnsi="Times New Roman"/>
          <w:sz w:val="15"/>
          <w:szCs w:val="15"/>
          <w:color w:val="7E7E7E"/>
        </w:rPr>
      </w:pPr>
      <w:r>
        <w:rPr>
          <w:rFonts w:ascii="Arial" w:cs="Arial" w:eastAsia="Arial" w:hAnsi="Arial"/>
          <w:sz w:val="15"/>
          <w:szCs w:val="15"/>
          <w:color w:val="7E7E7E"/>
        </w:rPr>
        <w:t xml:space="preserve">The plan </w:t>
      </w:r>
      <w:r>
        <w:rPr>
          <w:rFonts w:ascii="Arial" w:cs="Arial" w:eastAsia="Arial" w:hAnsi="Arial"/>
          <w:sz w:val="15"/>
          <w:szCs w:val="15"/>
          <w:b w:val="1"/>
          <w:bCs w:val="1"/>
          <w:color w:val="1F497D"/>
        </w:rPr>
        <w:t>must be in entered into during an open window</w:t>
      </w:r>
      <w:r>
        <w:rPr>
          <w:rFonts w:ascii="Arial" w:cs="Arial" w:eastAsia="Arial" w:hAnsi="Arial"/>
          <w:sz w:val="15"/>
          <w:szCs w:val="15"/>
          <w:color w:val="7E7E7E"/>
        </w:rPr>
        <w:t>, while the Insider is not in possession of any material non-public information.</w:t>
      </w:r>
    </w:p>
    <w:p>
      <w:pPr>
        <w:spacing w:after="0" w:line="267" w:lineRule="exact"/>
        <w:rPr>
          <w:rFonts w:ascii="Times New Roman" w:cs="Times New Roman" w:eastAsia="Times New Roman" w:hAnsi="Times New Roman"/>
          <w:sz w:val="15"/>
          <w:szCs w:val="15"/>
          <w:color w:val="7E7E7E"/>
        </w:rPr>
      </w:pPr>
    </w:p>
    <w:p>
      <w:pPr>
        <w:ind w:left="640" w:hanging="304"/>
        <w:spacing w:after="0" w:line="308" w:lineRule="auto"/>
        <w:tabs>
          <w:tab w:leader="none" w:pos="630" w:val="left"/>
        </w:tabs>
        <w:numPr>
          <w:ilvl w:val="0"/>
          <w:numId w:val="29"/>
        </w:numPr>
        <w:rPr>
          <w:rFonts w:ascii="Arial" w:cs="Arial" w:eastAsia="Arial" w:hAnsi="Arial"/>
          <w:sz w:val="15"/>
          <w:szCs w:val="15"/>
          <w:color w:val="7E7E7E"/>
        </w:rPr>
      </w:pPr>
      <w:r>
        <w:rPr>
          <w:rFonts w:ascii="Arial" w:cs="Arial" w:eastAsia="Arial" w:hAnsi="Arial"/>
          <w:sz w:val="15"/>
          <w:szCs w:val="15"/>
          <w:color w:val="7E7E7E"/>
        </w:rPr>
        <w:t>The plan must either (i) specify (or include a written formula, algorithm or computer program for determining) the amount of Company securities to be purchased or sold, the price at which Company securities are to be traded, and the dates on which trades are to be made or (2) delegate discretion on these matters to an independent third party.</w:t>
      </w:r>
    </w:p>
    <w:p>
      <w:pPr>
        <w:spacing w:after="0" w:line="197" w:lineRule="exact"/>
        <w:rPr>
          <w:rFonts w:ascii="Arial" w:cs="Arial" w:eastAsia="Arial" w:hAnsi="Arial"/>
          <w:sz w:val="15"/>
          <w:szCs w:val="15"/>
          <w:color w:val="7E7E7E"/>
        </w:rPr>
      </w:pPr>
    </w:p>
    <w:p>
      <w:pPr>
        <w:ind w:left="640" w:hanging="304"/>
        <w:spacing w:after="0"/>
        <w:tabs>
          <w:tab w:leader="none" w:pos="640" w:val="left"/>
        </w:tabs>
        <w:numPr>
          <w:ilvl w:val="0"/>
          <w:numId w:val="29"/>
        </w:numPr>
        <w:rPr>
          <w:rFonts w:ascii="Times New Roman" w:cs="Times New Roman" w:eastAsia="Times New Roman" w:hAnsi="Times New Roman"/>
          <w:sz w:val="15"/>
          <w:szCs w:val="15"/>
          <w:color w:val="7E7E7E"/>
        </w:rPr>
      </w:pPr>
      <w:r>
        <w:rPr>
          <w:rFonts w:ascii="Arial" w:cs="Arial" w:eastAsia="Arial" w:hAnsi="Arial"/>
          <w:sz w:val="15"/>
          <w:szCs w:val="15"/>
          <w:color w:val="7E7E7E"/>
        </w:rPr>
        <w:t xml:space="preserve">The plan </w:t>
      </w:r>
      <w:r>
        <w:rPr>
          <w:rFonts w:ascii="Arial" w:cs="Arial" w:eastAsia="Arial" w:hAnsi="Arial"/>
          <w:sz w:val="15"/>
          <w:szCs w:val="15"/>
          <w:b w:val="1"/>
          <w:bCs w:val="1"/>
          <w:color w:val="1F497D"/>
        </w:rPr>
        <w:t>must include a required “cooling-off period”</w:t>
      </w:r>
      <w:r>
        <w:rPr>
          <w:rFonts w:ascii="Arial" w:cs="Arial" w:eastAsia="Arial" w:hAnsi="Arial"/>
          <w:sz w:val="15"/>
          <w:szCs w:val="15"/>
          <w:color w:val="7E7E7E"/>
        </w:rPr>
        <w:t xml:space="preserve"> before which trading can commence under the plan.</w:t>
      </w:r>
    </w:p>
    <w:p>
      <w:pPr>
        <w:spacing w:after="0" w:line="267" w:lineRule="exact"/>
        <w:rPr>
          <w:rFonts w:ascii="Times New Roman" w:cs="Times New Roman" w:eastAsia="Times New Roman" w:hAnsi="Times New Roman"/>
          <w:sz w:val="15"/>
          <w:szCs w:val="15"/>
          <w:color w:val="7E7E7E"/>
        </w:rPr>
      </w:pPr>
    </w:p>
    <w:p>
      <w:pPr>
        <w:ind w:left="960" w:right="440" w:hanging="314"/>
        <w:spacing w:after="0" w:line="308" w:lineRule="auto"/>
        <w:tabs>
          <w:tab w:leader="none" w:pos="950" w:val="left"/>
        </w:tabs>
        <w:numPr>
          <w:ilvl w:val="1"/>
          <w:numId w:val="29"/>
        </w:numPr>
        <w:rPr>
          <w:rFonts w:ascii="Times New Roman" w:cs="Times New Roman" w:eastAsia="Times New Roman" w:hAnsi="Times New Roman"/>
          <w:sz w:val="15"/>
          <w:szCs w:val="15"/>
          <w:color w:val="7E7E7E"/>
        </w:rPr>
      </w:pPr>
      <w:r>
        <w:rPr>
          <w:rFonts w:ascii="Arial" w:cs="Arial" w:eastAsia="Arial" w:hAnsi="Arial"/>
          <w:sz w:val="15"/>
          <w:szCs w:val="15"/>
          <w:color w:val="7E7E7E"/>
        </w:rPr>
        <w:t xml:space="preserve">For directors and officers, the minimum cooling-off period shall end on the later of (i) 90 days after the adoption (or modification) of the Rule 10b5-1 Plan or (ii) two business days following the disclosure of the Company’s financial results in an SEC periodic report for the fiscal quarter in which the plan was adopted, </w:t>
      </w:r>
      <w:r>
        <w:rPr>
          <w:rFonts w:ascii="Arial" w:cs="Arial" w:eastAsia="Arial" w:hAnsi="Arial"/>
          <w:sz w:val="15"/>
          <w:szCs w:val="15"/>
          <w:i w:val="1"/>
          <w:iCs w:val="1"/>
          <w:color w:val="7E7E7E"/>
        </w:rPr>
        <w:t>provided</w:t>
      </w:r>
      <w:r>
        <w:rPr>
          <w:rFonts w:ascii="Arial" w:cs="Arial" w:eastAsia="Arial" w:hAnsi="Arial"/>
          <w:sz w:val="15"/>
          <w:szCs w:val="15"/>
          <w:color w:val="7E7E7E"/>
        </w:rPr>
        <w:t xml:space="preserve"> that the maximum required cooling-off period is 120 days after adoption of the plan.</w:t>
      </w:r>
    </w:p>
    <w:p>
      <w:pPr>
        <w:spacing w:after="0" w:line="185" w:lineRule="exact"/>
        <w:rPr>
          <w:rFonts w:ascii="Times New Roman" w:cs="Times New Roman" w:eastAsia="Times New Roman" w:hAnsi="Times New Roman"/>
          <w:sz w:val="15"/>
          <w:szCs w:val="15"/>
          <w:color w:val="7E7E7E"/>
        </w:rPr>
      </w:pPr>
    </w:p>
    <w:p>
      <w:pPr>
        <w:ind w:left="960" w:right="760" w:hanging="314"/>
        <w:spacing w:after="0" w:line="329" w:lineRule="auto"/>
        <w:tabs>
          <w:tab w:leader="none" w:pos="950" w:val="left"/>
        </w:tabs>
        <w:numPr>
          <w:ilvl w:val="1"/>
          <w:numId w:val="29"/>
        </w:numPr>
        <w:rPr>
          <w:rFonts w:ascii="Times New Roman" w:cs="Times New Roman" w:eastAsia="Times New Roman" w:hAnsi="Times New Roman"/>
          <w:sz w:val="15"/>
          <w:szCs w:val="15"/>
          <w:color w:val="7E7E7E"/>
        </w:rPr>
      </w:pPr>
      <w:r>
        <w:rPr>
          <w:rFonts w:ascii="Arial" w:cs="Arial" w:eastAsia="Arial" w:hAnsi="Arial"/>
          <w:sz w:val="15"/>
          <w:szCs w:val="15"/>
          <w:color w:val="7E7E7E"/>
        </w:rPr>
        <w:t>For Insiders other than directors or officers, the minimum cooling-off period shall end 30 days after the adoption (or modification) of the Rule 10b5-1 Plan.</w:t>
      </w:r>
    </w:p>
    <w:p>
      <w:pPr>
        <w:spacing w:after="0" w:line="168" w:lineRule="exact"/>
        <w:rPr>
          <w:rFonts w:ascii="Times New Roman" w:cs="Times New Roman" w:eastAsia="Times New Roman" w:hAnsi="Times New Roman"/>
          <w:sz w:val="15"/>
          <w:szCs w:val="15"/>
          <w:color w:val="7E7E7E"/>
        </w:rPr>
      </w:pPr>
    </w:p>
    <w:p>
      <w:pPr>
        <w:ind w:left="640" w:right="560" w:hanging="304"/>
        <w:spacing w:after="0" w:line="309" w:lineRule="auto"/>
        <w:tabs>
          <w:tab w:leader="none" w:pos="630" w:val="left"/>
        </w:tabs>
        <w:numPr>
          <w:ilvl w:val="0"/>
          <w:numId w:val="29"/>
        </w:numPr>
        <w:rPr>
          <w:rFonts w:ascii="Times New Roman" w:cs="Times New Roman" w:eastAsia="Times New Roman" w:hAnsi="Times New Roman"/>
          <w:sz w:val="15"/>
          <w:szCs w:val="15"/>
          <w:color w:val="7E7E7E"/>
        </w:rPr>
      </w:pPr>
      <w:r>
        <w:rPr>
          <w:rFonts w:ascii="Arial" w:cs="Arial" w:eastAsia="Arial" w:hAnsi="Arial"/>
          <w:sz w:val="15"/>
          <w:szCs w:val="15"/>
          <w:color w:val="7E7E7E"/>
        </w:rPr>
        <w:t xml:space="preserve">For directors and officers, the plan must include a representation that the Insider (i) is </w:t>
      </w:r>
      <w:r>
        <w:rPr>
          <w:rFonts w:ascii="Arial" w:cs="Arial" w:eastAsia="Arial" w:hAnsi="Arial"/>
          <w:sz w:val="15"/>
          <w:szCs w:val="15"/>
          <w:b w:val="1"/>
          <w:bCs w:val="1"/>
          <w:color w:val="1F497D"/>
        </w:rPr>
        <w:t>not aware of any material nonpublic information</w:t>
      </w:r>
      <w:r>
        <w:rPr>
          <w:rFonts w:ascii="Arial" w:cs="Arial" w:eastAsia="Arial" w:hAnsi="Arial"/>
          <w:sz w:val="15"/>
          <w:szCs w:val="15"/>
          <w:color w:val="7E7E7E"/>
        </w:rPr>
        <w:t xml:space="preserve"> and (ii) is </w:t>
      </w:r>
      <w:r>
        <w:rPr>
          <w:rFonts w:ascii="Arial" w:cs="Arial" w:eastAsia="Arial" w:hAnsi="Arial"/>
          <w:sz w:val="15"/>
          <w:szCs w:val="15"/>
          <w:b w:val="1"/>
          <w:bCs w:val="1"/>
          <w:color w:val="1F497D"/>
        </w:rPr>
        <w:t>adopting the plan in good faith</w:t>
      </w:r>
      <w:r>
        <w:rPr>
          <w:rFonts w:ascii="Arial" w:cs="Arial" w:eastAsia="Arial" w:hAnsi="Arial"/>
          <w:sz w:val="15"/>
          <w:szCs w:val="15"/>
          <w:color w:val="7E7E7E"/>
        </w:rPr>
        <w:t xml:space="preserve"> and not as part of a plan or scheme to evade the prohibitions in Rule 10b-5 promulgated under the Securities Exchange Act of 1934, as amended (“Rule 10b-5”).</w:t>
      </w:r>
    </w:p>
    <w:p>
      <w:pPr>
        <w:spacing w:after="0" w:line="183" w:lineRule="exact"/>
        <w:rPr>
          <w:rFonts w:ascii="Times New Roman" w:cs="Times New Roman" w:eastAsia="Times New Roman" w:hAnsi="Times New Roman"/>
          <w:sz w:val="15"/>
          <w:szCs w:val="15"/>
          <w:color w:val="7E7E7E"/>
        </w:rPr>
      </w:pPr>
    </w:p>
    <w:p>
      <w:pPr>
        <w:jc w:val="both"/>
        <w:ind w:left="640" w:right="620" w:hanging="304"/>
        <w:spacing w:after="0" w:line="309" w:lineRule="auto"/>
        <w:tabs>
          <w:tab w:leader="none" w:pos="630" w:val="left"/>
        </w:tabs>
        <w:numPr>
          <w:ilvl w:val="0"/>
          <w:numId w:val="29"/>
        </w:numPr>
        <w:rPr>
          <w:rFonts w:ascii="Times New Roman" w:cs="Times New Roman" w:eastAsia="Times New Roman" w:hAnsi="Times New Roman"/>
          <w:sz w:val="15"/>
          <w:szCs w:val="15"/>
          <w:color w:val="7E7E7E"/>
        </w:rPr>
      </w:pPr>
      <w:r>
        <w:rPr>
          <w:rFonts w:ascii="Arial" w:cs="Arial" w:eastAsia="Arial" w:hAnsi="Arial"/>
          <w:sz w:val="15"/>
          <w:szCs w:val="15"/>
          <w:color w:val="7E7E7E"/>
        </w:rPr>
        <w:t xml:space="preserve">Once the plan is adopted, the Insider </w:t>
      </w:r>
      <w:r>
        <w:rPr>
          <w:rFonts w:ascii="Arial" w:cs="Arial" w:eastAsia="Arial" w:hAnsi="Arial"/>
          <w:sz w:val="15"/>
          <w:szCs w:val="15"/>
          <w:b w:val="1"/>
          <w:bCs w:val="1"/>
          <w:color w:val="1F497D"/>
        </w:rPr>
        <w:t>must not (i) exercise any influence over the plan</w:t>
      </w:r>
      <w:r>
        <w:rPr>
          <w:rFonts w:ascii="Arial" w:cs="Arial" w:eastAsia="Arial" w:hAnsi="Arial"/>
          <w:sz w:val="15"/>
          <w:szCs w:val="15"/>
          <w:color w:val="7E7E7E"/>
        </w:rPr>
        <w:t>, including with respect to how, when, or whether to effect trades under the plan, (ii) alter or deviate from the plan (whether by changing the amount, price, or timing of trades), or (iii) enter into or alter a corresponding or hedging transaction or position with respect to the Company’s securities.</w:t>
      </w:r>
    </w:p>
    <w:p>
      <w:pPr>
        <w:spacing w:after="0" w:line="184" w:lineRule="exact"/>
        <w:rPr>
          <w:sz w:val="20"/>
          <w:szCs w:val="20"/>
          <w:color w:val="auto"/>
        </w:rPr>
      </w:pPr>
    </w:p>
    <w:p>
      <w:pPr>
        <w:ind w:left="20" w:right="880"/>
        <w:spacing w:after="0" w:line="362" w:lineRule="auto"/>
        <w:rPr>
          <w:sz w:val="20"/>
          <w:szCs w:val="20"/>
          <w:color w:val="auto"/>
        </w:rPr>
      </w:pPr>
      <w:r>
        <w:rPr>
          <w:rFonts w:ascii="Arial" w:cs="Arial" w:eastAsia="Arial" w:hAnsi="Arial"/>
          <w:sz w:val="15"/>
          <w:szCs w:val="15"/>
          <w:color w:val="7E7E7E"/>
        </w:rPr>
        <w:t xml:space="preserve">An Insider may not enter into overlapping Rule 10b5-1 Plans and </w:t>
      </w:r>
      <w:r>
        <w:rPr>
          <w:rFonts w:ascii="Arial" w:cs="Arial" w:eastAsia="Arial" w:hAnsi="Arial"/>
          <w:sz w:val="15"/>
          <w:szCs w:val="15"/>
          <w:b w:val="1"/>
          <w:bCs w:val="1"/>
          <w:color w:val="1F497D"/>
        </w:rPr>
        <w:t>may only enter into one single-trade Rule 10b5-1 Plan during any 12-month</w:t>
      </w:r>
      <w:r>
        <w:rPr>
          <w:rFonts w:ascii="Arial" w:cs="Arial" w:eastAsia="Arial" w:hAnsi="Arial"/>
          <w:sz w:val="15"/>
          <w:szCs w:val="15"/>
          <w:color w:val="7E7E7E"/>
        </w:rPr>
        <w:t xml:space="preserve"> </w:t>
      </w:r>
      <w:r>
        <w:rPr>
          <w:rFonts w:ascii="Arial" w:cs="Arial" w:eastAsia="Arial" w:hAnsi="Arial"/>
          <w:sz w:val="15"/>
          <w:szCs w:val="15"/>
          <w:b w:val="1"/>
          <w:bCs w:val="1"/>
          <w:color w:val="1F497D"/>
        </w:rPr>
        <w:t>period</w:t>
      </w:r>
      <w:r>
        <w:rPr>
          <w:rFonts w:ascii="Arial" w:cs="Arial" w:eastAsia="Arial" w:hAnsi="Arial"/>
          <w:sz w:val="15"/>
          <w:szCs w:val="15"/>
          <w:color w:val="7E7E7E"/>
        </w:rPr>
        <w:t>, in each case, subject to certain exceptions.</w:t>
      </w:r>
    </w:p>
    <w:p>
      <w:pPr>
        <w:spacing w:after="0" w:line="139" w:lineRule="exact"/>
        <w:rPr>
          <w:sz w:val="20"/>
          <w:szCs w:val="20"/>
          <w:color w:val="auto"/>
        </w:rPr>
      </w:pPr>
    </w:p>
    <w:p>
      <w:pPr>
        <w:ind w:left="20" w:right="500"/>
        <w:spacing w:after="0" w:line="301" w:lineRule="auto"/>
        <w:rPr>
          <w:sz w:val="20"/>
          <w:szCs w:val="20"/>
          <w:color w:val="auto"/>
        </w:rPr>
      </w:pPr>
      <w:r>
        <w:rPr>
          <w:rFonts w:ascii="Arial" w:cs="Arial" w:eastAsia="Arial" w:hAnsi="Arial"/>
          <w:sz w:val="15"/>
          <w:szCs w:val="15"/>
          <w:color w:val="7E7E7E"/>
        </w:rPr>
        <w:t>In addition to the foregoing, it is the Company’s policy that (i) a Rule 10b5-1 Plan must meet all then-applicable requirements of the SEC’s rules and regulations, including the affirmative defense conditions of Rule 10b5-1(c) under the Exchange Act; (ii) a Rule 10b5-1 Plan must be entered into in good faith and not as part of a plan or scheme to evade the prohibitions of Rule 10b-5; and (iii) an Insider that adopts a Rule 10b5-1 Plan must at all times act in good faith with respect to the plan.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PRE-APPROVAL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-111760</wp:posOffset>
            </wp:positionV>
            <wp:extent cx="2275840" cy="2030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2275840" cy="2030095"/>
                    </a:xfrm>
                    <a:prstGeom prst="rect">
                      <a:avLst/>
                    </a:prstGeom>
                    <a:noFill/>
                  </pic:spPr>
                </pic:pic>
              </a:graphicData>
            </a:graphic>
          </wp:anchor>
        </w:drawing>
      </w:r>
    </w:p>
    <w:p>
      <w:pPr>
        <w:spacing w:after="0" w:line="111" w:lineRule="exact"/>
        <w:rPr>
          <w:sz w:val="20"/>
          <w:szCs w:val="20"/>
          <w:color w:val="auto"/>
        </w:rPr>
      </w:pPr>
    </w:p>
    <w:p>
      <w:pPr>
        <w:ind w:right="6160"/>
        <w:spacing w:after="0" w:line="295" w:lineRule="auto"/>
        <w:rPr>
          <w:sz w:val="20"/>
          <w:szCs w:val="20"/>
          <w:color w:val="auto"/>
        </w:rPr>
      </w:pPr>
      <w:r>
        <w:rPr>
          <w:rFonts w:ascii="Arial" w:cs="Arial" w:eastAsia="Arial" w:hAnsi="Arial"/>
          <w:sz w:val="15"/>
          <w:szCs w:val="15"/>
          <w:b w:val="1"/>
          <w:bCs w:val="1"/>
          <w:color w:val="1F497D"/>
        </w:rPr>
        <w:t xml:space="preserve">Any adoption, modification or termination of a Rule 10b5-1 Plan must be approved in advance by the Company’s General Counsel. </w:t>
      </w:r>
      <w:r>
        <w:rPr>
          <w:rFonts w:ascii="Arial" w:cs="Arial" w:eastAsia="Arial" w:hAnsi="Arial"/>
          <w:sz w:val="15"/>
          <w:szCs w:val="15"/>
          <w:color w:val="7E7E7E"/>
        </w:rPr>
        <w:t>A new Rule 10b5-1 Plan must be submitted to the</w:t>
      </w:r>
      <w:r>
        <w:rPr>
          <w:rFonts w:ascii="Arial" w:cs="Arial" w:eastAsia="Arial" w:hAnsi="Arial"/>
          <w:sz w:val="15"/>
          <w:szCs w:val="15"/>
          <w:b w:val="1"/>
          <w:bCs w:val="1"/>
          <w:color w:val="1F497D"/>
        </w:rPr>
        <w:t xml:space="preserve"> </w:t>
      </w:r>
      <w:r>
        <w:rPr>
          <w:rFonts w:ascii="Arial" w:cs="Arial" w:eastAsia="Arial" w:hAnsi="Arial"/>
          <w:sz w:val="15"/>
          <w:szCs w:val="15"/>
          <w:color w:val="7E7E7E"/>
        </w:rPr>
        <w:t>Company’s General Counsel not less than 5 business days prior to the desired date of adoption, and an amendment to a previously approved Rule 10b5-1 Plan must be submitted not less than 5 business days prior to the desired date of amendment. Once a Rule 10b5-1 Plan is approved by the Company’s General Counsel, transactions effected under the plan will not require further 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900"/>
          </w:cols>
          <w:pgMar w:left="640" w:top="1298" w:right="35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1F3863"/>
        </w:rPr>
        <w:t>WHAT IS MATERIAL INFORMATION</w:t>
      </w:r>
    </w:p>
    <w:p>
      <w:pPr>
        <w:spacing w:after="0" w:line="262" w:lineRule="exact"/>
        <w:rPr>
          <w:sz w:val="20"/>
          <w:szCs w:val="20"/>
          <w:color w:val="auto"/>
        </w:rPr>
      </w:pPr>
    </w:p>
    <w:p>
      <w:pPr>
        <w:ind w:left="20" w:right="160"/>
        <w:spacing w:after="0" w:line="301" w:lineRule="auto"/>
        <w:rPr>
          <w:sz w:val="20"/>
          <w:szCs w:val="20"/>
          <w:color w:val="auto"/>
        </w:rPr>
      </w:pPr>
      <w:r>
        <w:rPr>
          <w:rFonts w:ascii="Arial" w:cs="Arial" w:eastAsia="Arial" w:hAnsi="Arial"/>
          <w:sz w:val="15"/>
          <w:szCs w:val="15"/>
          <w:color w:val="7E7E7E"/>
        </w:rPr>
        <w:t xml:space="preserve">Information is considered “material” if a reasonable investor would consider the information to be important in making a decision to buy, hold or sell the Company’s securities or, in hindsight, if there is a substantial likelihood that a reasonable investor would have viewed the information as having significantly altered the “total mix” of information made available by the Company. Any information that could reasonably be expected to affect the Company’s stock price, whether it is positive or negative, should be considered material. There is no bright-line standard for determining materiality; instead, materiality is based on an assessment of all of the facts and circumstances with the benefit of hindsight. </w:t>
      </w:r>
      <w:r>
        <w:rPr>
          <w:rFonts w:ascii="Arial" w:cs="Arial" w:eastAsia="Arial" w:hAnsi="Arial"/>
          <w:sz w:val="15"/>
          <w:szCs w:val="15"/>
          <w:b w:val="1"/>
          <w:bCs w:val="1"/>
          <w:color w:val="1F497D"/>
        </w:rPr>
        <w:t>If you are uncertain whether</w:t>
      </w:r>
      <w:r>
        <w:rPr>
          <w:rFonts w:ascii="Arial" w:cs="Arial" w:eastAsia="Arial" w:hAnsi="Arial"/>
          <w:sz w:val="15"/>
          <w:szCs w:val="15"/>
          <w:color w:val="7E7E7E"/>
        </w:rPr>
        <w:t xml:space="preserve"> </w:t>
      </w:r>
      <w:r>
        <w:rPr>
          <w:rFonts w:ascii="Arial" w:cs="Arial" w:eastAsia="Arial" w:hAnsi="Arial"/>
          <w:sz w:val="15"/>
          <w:szCs w:val="15"/>
          <w:b w:val="1"/>
          <w:bCs w:val="1"/>
          <w:color w:val="1F497D"/>
        </w:rPr>
        <w:t>information is material, then you should assume it is, unless the Company’s General Counsel advises you otherwise.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EXAMPLES OF MATERIAL INFORMATION</w:t>
      </w:r>
    </w:p>
    <w:p>
      <w:pPr>
        <w:spacing w:after="0" w:line="146" w:lineRule="exact"/>
        <w:rPr>
          <w:sz w:val="20"/>
          <w:szCs w:val="20"/>
          <w:color w:val="auto"/>
        </w:rPr>
      </w:pPr>
    </w:p>
    <w:p>
      <w:pPr>
        <w:ind w:right="140"/>
        <w:spacing w:after="0" w:line="322" w:lineRule="auto"/>
        <w:rPr>
          <w:sz w:val="20"/>
          <w:szCs w:val="20"/>
          <w:color w:val="auto"/>
        </w:rPr>
      </w:pPr>
      <w:r>
        <w:rPr>
          <w:rFonts w:ascii="Arial" w:cs="Arial" w:eastAsia="Arial" w:hAnsi="Arial"/>
          <w:sz w:val="15"/>
          <w:szCs w:val="15"/>
          <w:color w:val="7E7E7E"/>
        </w:rPr>
        <w:t>While it is not possible to define all categories of material information, the following are some examples of information that generally would be regarded as material. This list is not meant to be exclusive, and other categories of information not included may also be material:</w:t>
      </w:r>
    </w:p>
    <w:p>
      <w:pPr>
        <w:sectPr>
          <w:pgSz w:w="11900" w:h="16838" w:orient="portrait"/>
          <w:cols w:equalWidth="0" w:num="1">
            <w:col w:w="10460"/>
          </w:cols>
          <w:pgMar w:left="640" w:top="1281" w:right="79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7E7E7E"/>
        </w:rPr>
        <w:t>Annual or quarterly financial results.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Operating reports.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Financial projections.</w:t>
      </w:r>
    </w:p>
    <w:p>
      <w:pPr>
        <w:spacing w:after="0" w:line="85" w:lineRule="exact"/>
        <w:rPr>
          <w:sz w:val="20"/>
          <w:szCs w:val="20"/>
          <w:color w:val="auto"/>
        </w:rPr>
      </w:pPr>
    </w:p>
    <w:p>
      <w:pPr>
        <w:jc w:val="both"/>
        <w:ind w:left="300" w:right="940" w:hanging="128"/>
        <w:spacing w:after="0" w:line="308" w:lineRule="auto"/>
        <w:rPr>
          <w:sz w:val="20"/>
          <w:szCs w:val="20"/>
          <w:color w:val="auto"/>
        </w:rPr>
      </w:pPr>
      <w:r>
        <w:rPr>
          <w:rFonts w:ascii="Arial" w:cs="Arial" w:eastAsia="Arial" w:hAnsi="Arial"/>
          <w:sz w:val="15"/>
          <w:szCs w:val="15"/>
          <w:color w:val="7E7E7E"/>
        </w:rPr>
        <w:t>Earnings estimates or changes in previously announced earnings estimates.</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Operating plans and projections.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Mergers, acquisitions and dispositions.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A significant new contract or customer.</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A significant expansion or curtailment</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7E7E7E"/>
        </w:rPr>
        <w:t>of operations.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7E7E7E"/>
        </w:rPr>
        <w:t>Entering into a new line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7E7E7E"/>
        </w:rPr>
        <w:t>Financing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Securities offerings.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Purchases or redemptions of the</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7E7E7E"/>
        </w:rPr>
        <w:t>Company’s securities.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Liquidity problems or bankruptcy</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7E7E7E"/>
        </w:rPr>
        <w:t>proceedings.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Significant changes in management.</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Stock splits and stock dividends.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Significant cost savings initiatives.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7E7E7E"/>
        </w:rPr>
        <w:t>Significant related party</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5"/>
          <w:szCs w:val="15"/>
          <w:color w:val="7E7E7E"/>
        </w:rPr>
        <w:t>transactions.</w:t>
      </w:r>
    </w:p>
    <w:p>
      <w:pPr>
        <w:spacing w:after="0" w:line="85" w:lineRule="exact"/>
        <w:rPr>
          <w:sz w:val="20"/>
          <w:szCs w:val="20"/>
          <w:color w:val="auto"/>
        </w:rPr>
      </w:pPr>
    </w:p>
    <w:p>
      <w:pPr>
        <w:jc w:val="right"/>
        <w:ind w:right="1060"/>
        <w:spacing w:after="0"/>
        <w:rPr>
          <w:sz w:val="20"/>
          <w:szCs w:val="20"/>
          <w:color w:val="auto"/>
        </w:rPr>
      </w:pPr>
      <w:r>
        <w:rPr>
          <w:rFonts w:ascii="Arial" w:cs="Arial" w:eastAsia="Arial" w:hAnsi="Arial"/>
          <w:sz w:val="15"/>
          <w:szCs w:val="15"/>
          <w:color w:val="7E7E7E"/>
        </w:rPr>
        <w:t>Significant litigation exposure due</w:t>
      </w:r>
    </w:p>
    <w:p>
      <w:pPr>
        <w:spacing w:after="0" w:line="34" w:lineRule="exact"/>
        <w:rPr>
          <w:sz w:val="20"/>
          <w:szCs w:val="20"/>
          <w:color w:val="auto"/>
        </w:rPr>
      </w:pPr>
    </w:p>
    <w:p>
      <w:pPr>
        <w:jc w:val="right"/>
        <w:ind w:right="1040"/>
        <w:spacing w:after="0"/>
        <w:rPr>
          <w:sz w:val="20"/>
          <w:szCs w:val="20"/>
          <w:color w:val="auto"/>
        </w:rPr>
      </w:pPr>
      <w:r>
        <w:rPr>
          <w:rFonts w:ascii="Arial" w:cs="Arial" w:eastAsia="Arial" w:hAnsi="Arial"/>
          <w:sz w:val="15"/>
          <w:szCs w:val="15"/>
          <w:color w:val="7E7E7E"/>
        </w:rPr>
        <w:t>to actual or threatened litigation.</w:t>
      </w:r>
    </w:p>
    <w:p>
      <w:pPr>
        <w:spacing w:after="0" w:line="20" w:lineRule="exact"/>
        <w:rPr>
          <w:sz w:val="20"/>
          <w:szCs w:val="20"/>
          <w:color w:val="auto"/>
        </w:rPr>
      </w:pPr>
      <w:r>
        <w:rPr>
          <w:sz w:val="20"/>
          <w:szCs w:val="20"/>
          <w:color w:val="auto"/>
        </w:rPr>
        <w:br w:type="column"/>
      </w:r>
    </w:p>
    <w:p>
      <w:pPr>
        <w:ind w:right="400" w:hanging="128"/>
        <w:spacing w:after="0" w:line="322" w:lineRule="auto"/>
        <w:rPr>
          <w:sz w:val="20"/>
          <w:szCs w:val="20"/>
          <w:color w:val="auto"/>
        </w:rPr>
      </w:pPr>
      <w:r>
        <w:rPr>
          <w:rFonts w:ascii="Arial" w:cs="Arial" w:eastAsia="Arial" w:hAnsi="Arial"/>
          <w:sz w:val="15"/>
          <w:szCs w:val="15"/>
          <w:color w:val="7E7E7E"/>
        </w:rPr>
        <w:t>Developments in outstanding significant litigation.</w:t>
      </w:r>
    </w:p>
    <w:p>
      <w:pPr>
        <w:spacing w:after="0" w:line="1" w:lineRule="exact"/>
        <w:rPr>
          <w:sz w:val="20"/>
          <w:szCs w:val="20"/>
          <w:color w:val="auto"/>
        </w:rPr>
      </w:pPr>
    </w:p>
    <w:p>
      <w:pPr>
        <w:ind w:right="420" w:hanging="128"/>
        <w:spacing w:after="0" w:line="308" w:lineRule="auto"/>
        <w:rPr>
          <w:sz w:val="20"/>
          <w:szCs w:val="20"/>
          <w:color w:val="auto"/>
        </w:rPr>
      </w:pPr>
      <w:r>
        <w:rPr>
          <w:rFonts w:ascii="Arial" w:cs="Arial" w:eastAsia="Arial" w:hAnsi="Arial"/>
          <w:sz w:val="15"/>
          <w:szCs w:val="15"/>
          <w:color w:val="7E7E7E"/>
        </w:rPr>
        <w:t>Regulatory violations and regulatory or governmental inquiries or investigations.</w:t>
      </w:r>
    </w:p>
    <w:p>
      <w:pPr>
        <w:spacing w:after="0" w:line="6" w:lineRule="exact"/>
        <w:rPr>
          <w:sz w:val="20"/>
          <w:szCs w:val="20"/>
          <w:color w:val="auto"/>
        </w:rPr>
      </w:pPr>
    </w:p>
    <w:p>
      <w:pPr>
        <w:jc w:val="both"/>
        <w:ind w:right="60" w:hanging="128"/>
        <w:spacing w:after="0" w:line="301" w:lineRule="auto"/>
        <w:rPr>
          <w:sz w:val="20"/>
          <w:szCs w:val="20"/>
          <w:color w:val="auto"/>
        </w:rPr>
      </w:pPr>
      <w:r>
        <w:rPr>
          <w:rFonts w:ascii="Arial" w:cs="Arial" w:eastAsia="Arial" w:hAnsi="Arial"/>
          <w:sz w:val="15"/>
          <w:szCs w:val="15"/>
          <w:color w:val="7E7E7E"/>
        </w:rPr>
        <w:t>Any other factors that could cause the Company’s financial results to be substantially different from analysts’ estimates.</w:t>
      </w:r>
    </w:p>
    <w:p>
      <w:pPr>
        <w:spacing w:after="0" w:line="1273" w:lineRule="exact"/>
        <w:rPr>
          <w:sz w:val="20"/>
          <w:szCs w:val="20"/>
          <w:color w:val="auto"/>
        </w:rPr>
      </w:pPr>
    </w:p>
    <w:p>
      <w:pPr>
        <w:sectPr>
          <w:pgSz w:w="11900" w:h="16838" w:orient="portrait"/>
          <w:cols w:equalWidth="0" w:num="3">
            <w:col w:w="3400" w:space="720"/>
            <w:col w:w="3360" w:space="720"/>
            <w:col w:w="2260"/>
          </w:cols>
          <w:pgMar w:left="640" w:top="1281" w:right="79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WHAT IS NON-PUBLIC INFORMATION</w:t>
      </w:r>
    </w:p>
    <w:p>
      <w:pPr>
        <w:spacing w:after="0" w:line="131"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7E7E7E"/>
        </w:rPr>
        <w:t xml:space="preserve">Information that has not been disclosed to the public is consider to be “non-public information.” </w:t>
      </w:r>
      <w:r>
        <w:rPr>
          <w:rFonts w:ascii="Arial" w:cs="Arial" w:eastAsia="Arial" w:hAnsi="Arial"/>
          <w:sz w:val="15"/>
          <w:szCs w:val="15"/>
          <w:b w:val="1"/>
          <w:bCs w:val="1"/>
          <w:color w:val="1F497D"/>
        </w:rPr>
        <w:t>For information to be disclosed to the public, the</w:t>
      </w:r>
      <w:r>
        <w:rPr>
          <w:rFonts w:ascii="Arial" w:cs="Arial" w:eastAsia="Arial" w:hAnsi="Arial"/>
          <w:sz w:val="15"/>
          <w:szCs w:val="15"/>
          <w:color w:val="7E7E7E"/>
        </w:rPr>
        <w:t xml:space="preserve"> </w:t>
      </w:r>
      <w:r>
        <w:rPr>
          <w:rFonts w:ascii="Arial" w:cs="Arial" w:eastAsia="Arial" w:hAnsi="Arial"/>
          <w:sz w:val="15"/>
          <w:szCs w:val="15"/>
          <w:b w:val="1"/>
          <w:bCs w:val="1"/>
          <w:color w:val="1F497D"/>
        </w:rPr>
        <w:t>information must be “broadly disseminated” in a manner sufficient to ensure its availability to the investing public generally</w:t>
      </w:r>
      <w:r>
        <w:rPr>
          <w:rFonts w:ascii="Arial" w:cs="Arial" w:eastAsia="Arial" w:hAnsi="Arial"/>
          <w:sz w:val="15"/>
          <w:szCs w:val="15"/>
          <w:color w:val="7E7E7E"/>
        </w:rPr>
        <w:t>, without favoring</w:t>
      </w:r>
      <w:r>
        <w:rPr>
          <w:rFonts w:ascii="Arial" w:cs="Arial" w:eastAsia="Arial" w:hAnsi="Arial"/>
          <w:sz w:val="15"/>
          <w:szCs w:val="15"/>
          <w:b w:val="1"/>
          <w:bCs w:val="1"/>
          <w:color w:val="1F497D"/>
        </w:rPr>
        <w:t xml:space="preserve"> </w:t>
      </w:r>
      <w:r>
        <w:rPr>
          <w:rFonts w:ascii="Arial" w:cs="Arial" w:eastAsia="Arial" w:hAnsi="Arial"/>
          <w:sz w:val="15"/>
          <w:szCs w:val="15"/>
          <w:color w:val="7E7E7E"/>
        </w:rPr>
        <w:t>any special person or group. Information generally will be considered to have been broadly disseminated if it has been disclosed through a method that is reasonably designed to effect a broad and non-exclusionary distribution to the public.</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5"/>
          <w:szCs w:val="15"/>
          <w:color w:val="7E7E7E"/>
        </w:rPr>
        <w:t>The Company can broadly disseminate material information by disclosing the information in a Form 8-K or other disclosure document that is filed with the SEC and available on the SEC’s website and/or by issuing a press release, posting the information on the Company’s website, announcing the information at a press conference or on a conference call of which the public had advance notice and to which the public was given access either in person, by telephonic transmission or by other electronic transmission (including use of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460"/>
          </w:cols>
          <w:pgMar w:left="640" w:top="1281" w:right="7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b w:val="1"/>
          <w:bCs w:val="1"/>
          <w:color w:val="1F3863"/>
        </w:rPr>
        <w:t>TRADING AFTER DISCLOSURE OF MATERIAL NON-PUBLIC INFORMATION</w:t>
      </w:r>
    </w:p>
    <w:p>
      <w:pPr>
        <w:spacing w:after="0" w:line="121"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color w:val="7E7E7E"/>
        </w:rPr>
        <w:t xml:space="preserve">Once material information is broadly disseminated, it is still necessary to allow the investing public sufficient time to absorb the information before the information is considered “public.” </w:t>
      </w:r>
      <w:r>
        <w:rPr>
          <w:rFonts w:ascii="Arial" w:cs="Arial" w:eastAsia="Arial" w:hAnsi="Arial"/>
          <w:sz w:val="15"/>
          <w:szCs w:val="15"/>
          <w:b w:val="1"/>
          <w:bCs w:val="1"/>
          <w:color w:val="1F497D"/>
        </w:rPr>
        <w:t xml:space="preserve">For purposes of insider trading law, you must wait a “reasonable” time after the disclosure of material non-public information to begin trading. What constitutes a reasonable time will depend on the facts and circumstances. As a general rule, once material non-public information is released, it takes two full trading days for the market to fully absorb the information. </w:t>
      </w:r>
      <w:r>
        <w:rPr>
          <w:rFonts w:ascii="Arial" w:cs="Arial" w:eastAsia="Arial" w:hAnsi="Arial"/>
          <w:sz w:val="15"/>
          <w:szCs w:val="15"/>
          <w:color w:val="7E7E7E"/>
        </w:rPr>
        <w:t>For example, if the</w:t>
      </w:r>
      <w:r>
        <w:rPr>
          <w:rFonts w:ascii="Arial" w:cs="Arial" w:eastAsia="Arial" w:hAnsi="Arial"/>
          <w:sz w:val="15"/>
          <w:szCs w:val="15"/>
          <w:b w:val="1"/>
          <w:bCs w:val="1"/>
          <w:color w:val="1F497D"/>
        </w:rPr>
        <w:t xml:space="preserve"> </w:t>
      </w:r>
      <w:r>
        <w:rPr>
          <w:rFonts w:ascii="Arial" w:cs="Arial" w:eastAsia="Arial" w:hAnsi="Arial"/>
          <w:sz w:val="15"/>
          <w:szCs w:val="15"/>
          <w:color w:val="7E7E7E"/>
        </w:rPr>
        <w:t xml:space="preserve">Company issues a press release disclosing material non-public information </w:t>
      </w:r>
      <w:r>
        <w:rPr>
          <w:rFonts w:ascii="Arial" w:cs="Arial" w:eastAsia="Arial" w:hAnsi="Arial"/>
          <w:sz w:val="15"/>
          <w:szCs w:val="15"/>
          <w:b w:val="1"/>
          <w:bCs w:val="1"/>
          <w:i w:val="1"/>
          <w:iCs w:val="1"/>
          <w:color w:val="1F497D"/>
        </w:rPr>
        <w:t>after</w:t>
      </w:r>
      <w:r>
        <w:rPr>
          <w:rFonts w:ascii="Arial" w:cs="Arial" w:eastAsia="Arial" w:hAnsi="Arial"/>
          <w:sz w:val="15"/>
          <w:szCs w:val="15"/>
          <w:color w:val="7E7E7E"/>
        </w:rPr>
        <w:t xml:space="preserve"> the market closes on Monday, then you should not trade in the Company’s securities until the market opens on Thursday. Alternatively, if the Company issues a press release </w:t>
      </w:r>
      <w:r>
        <w:rPr>
          <w:rFonts w:ascii="Arial" w:cs="Arial" w:eastAsia="Arial" w:hAnsi="Arial"/>
          <w:sz w:val="15"/>
          <w:szCs w:val="15"/>
          <w:b w:val="1"/>
          <w:bCs w:val="1"/>
          <w:i w:val="1"/>
          <w:iCs w:val="1"/>
          <w:color w:val="1F497D"/>
        </w:rPr>
        <w:t>before</w:t>
      </w:r>
      <w:r>
        <w:rPr>
          <w:rFonts w:ascii="Arial" w:cs="Arial" w:eastAsia="Arial" w:hAnsi="Arial"/>
          <w:sz w:val="15"/>
          <w:szCs w:val="15"/>
          <w:color w:val="7E7E7E"/>
        </w:rPr>
        <w:t xml:space="preserve"> the market opens on Monday, then you may begin trading in the Company’s securities when the market opens on Wednesday. Depending on the circumstances, the Company may determine that a longer or shorter period should apply. If you are unsure if a reasonable time has elapsed after the disclosure of material non-public information, then contact the Company’s General Counsel.</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CONSEQUENCES OF VIOLATIONS</w:t>
      </w:r>
    </w:p>
    <w:p>
      <w:pPr>
        <w:spacing w:after="0" w:line="121" w:lineRule="exact"/>
        <w:rPr>
          <w:sz w:val="20"/>
          <w:szCs w:val="20"/>
          <w:color w:val="auto"/>
        </w:rPr>
      </w:pPr>
    </w:p>
    <w:p>
      <w:pPr>
        <w:spacing w:after="0" w:line="292" w:lineRule="auto"/>
        <w:rPr>
          <w:sz w:val="20"/>
          <w:szCs w:val="20"/>
          <w:color w:val="auto"/>
        </w:rPr>
      </w:pPr>
      <w:r>
        <w:rPr>
          <w:rFonts w:ascii="Arial" w:cs="Arial" w:eastAsia="Arial" w:hAnsi="Arial"/>
          <w:sz w:val="15"/>
          <w:szCs w:val="15"/>
          <w:color w:val="7E7E7E"/>
        </w:rPr>
        <w:t xml:space="preserve">The purchase or sale of securities while aware of material non-public information, or the disclosure of material non-public information to others who then trade in the subject company’s securities, is prohibited by federal and applicable state securities laws. </w:t>
      </w:r>
      <w:r>
        <w:rPr>
          <w:rFonts w:ascii="Arial" w:cs="Arial" w:eastAsia="Arial" w:hAnsi="Arial"/>
          <w:sz w:val="15"/>
          <w:szCs w:val="15"/>
          <w:b w:val="1"/>
          <w:bCs w:val="1"/>
          <w:color w:val="1F497D"/>
        </w:rPr>
        <w:t>Insider trading violations are pursued</w:t>
      </w:r>
      <w:r>
        <w:rPr>
          <w:rFonts w:ascii="Arial" w:cs="Arial" w:eastAsia="Arial" w:hAnsi="Arial"/>
          <w:sz w:val="15"/>
          <w:szCs w:val="15"/>
          <w:color w:val="7E7E7E"/>
        </w:rPr>
        <w:t xml:space="preserve"> </w:t>
      </w:r>
      <w:r>
        <w:rPr>
          <w:rFonts w:ascii="Arial" w:cs="Arial" w:eastAsia="Arial" w:hAnsi="Arial"/>
          <w:sz w:val="15"/>
          <w:szCs w:val="15"/>
          <w:b w:val="1"/>
          <w:bCs w:val="1"/>
          <w:color w:val="1F497D"/>
        </w:rPr>
        <w:t xml:space="preserve">vigorously by the SEC, U.S. Attorneys and applicable state enforcement authorities, among others. Punishment for insider trading violations is severe, and could include significant fines and imprisonment. </w:t>
      </w:r>
      <w:r>
        <w:rPr>
          <w:rFonts w:ascii="Arial" w:cs="Arial" w:eastAsia="Arial" w:hAnsi="Arial"/>
          <w:sz w:val="15"/>
          <w:szCs w:val="15"/>
          <w:color w:val="7E7E7E"/>
        </w:rPr>
        <w:t>While the regulatory authorities concentrate their efforts on the individuals who</w:t>
      </w:r>
      <w:r>
        <w:rPr>
          <w:rFonts w:ascii="Arial" w:cs="Arial" w:eastAsia="Arial" w:hAnsi="Arial"/>
          <w:sz w:val="15"/>
          <w:szCs w:val="15"/>
          <w:b w:val="1"/>
          <w:bCs w:val="1"/>
          <w:color w:val="1F497D"/>
        </w:rPr>
        <w:t xml:space="preserve"> </w:t>
      </w:r>
      <w:r>
        <w:rPr>
          <w:rFonts w:ascii="Arial" w:cs="Arial" w:eastAsia="Arial" w:hAnsi="Arial"/>
          <w:sz w:val="15"/>
          <w:szCs w:val="15"/>
          <w:color w:val="7E7E7E"/>
        </w:rPr>
        <w:t>trade, or who tip inside information to others who trade, the federal securities laws also impose potential liability on companies and other “controlling persons” if they fail to take reasonable steps to prevent insider trading by Company employees. In addition, an individual’s failure to comply with this Insider Trading Policy may subject the individual to Company disciplinary action up to and including dismissal for cause, whether or not the employee’s failure to comply results in a violation of law. A violation of law, or even an SEC investigation that does not result in prosecution, can tarnish a person’s reputation and irreparably damage a career. Accordingly, the Company strongly urges all persons covered by this Insider Trading Policy to strictly comply with its terms.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REPORTING VIOLATIONS</w:t>
      </w:r>
    </w:p>
    <w:p>
      <w:pPr>
        <w:spacing w:after="0" w:line="131"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b w:val="1"/>
          <w:bCs w:val="1"/>
          <w:color w:val="1F497D"/>
        </w:rPr>
        <w:t xml:space="preserve">Any director, officer or employee who violates this Insider Trading Policy or any federal or state securities laws, including laws that prohibit insider trading or tipping, or who knows of any such violation by any other person, must report the violation immediately to the Company’s General Counsel. </w:t>
      </w:r>
      <w:r>
        <w:rPr>
          <w:rFonts w:ascii="Arial" w:cs="Arial" w:eastAsia="Arial" w:hAnsi="Arial"/>
          <w:sz w:val="15"/>
          <w:szCs w:val="15"/>
          <w:color w:val="7E7E7E"/>
        </w:rPr>
        <w:t>Upon learning of any such violation, the Company’s General Counsel, in consultation with the appropriate members of senior</w:t>
      </w:r>
      <w:r>
        <w:rPr>
          <w:rFonts w:ascii="Arial" w:cs="Arial" w:eastAsia="Arial" w:hAnsi="Arial"/>
          <w:sz w:val="15"/>
          <w:szCs w:val="15"/>
          <w:b w:val="1"/>
          <w:bCs w:val="1"/>
          <w:color w:val="1F497D"/>
        </w:rPr>
        <w:t xml:space="preserve"> </w:t>
      </w:r>
      <w:r>
        <w:rPr>
          <w:rFonts w:ascii="Arial" w:cs="Arial" w:eastAsia="Arial" w:hAnsi="Arial"/>
          <w:sz w:val="15"/>
          <w:szCs w:val="15"/>
          <w:color w:val="7E7E7E"/>
        </w:rPr>
        <w:t>management and the Company’s outside legal counsel, will determine whether a violation has occurred, and if a violation is determined to have occurred, what response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205740</wp:posOffset>
            </wp:positionV>
            <wp:extent cx="2193925" cy="2054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2193925" cy="205486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1F3863"/>
        </w:rPr>
        <w:t>WHAT TO DO IN CASE OF DOUBT</w:t>
      </w:r>
    </w:p>
    <w:p>
      <w:pPr>
        <w:spacing w:after="0" w:line="121" w:lineRule="exact"/>
        <w:rPr>
          <w:sz w:val="20"/>
          <w:szCs w:val="20"/>
          <w:color w:val="auto"/>
        </w:rPr>
      </w:pPr>
    </w:p>
    <w:p>
      <w:pPr>
        <w:ind w:right="5640"/>
        <w:spacing w:after="0" w:line="294" w:lineRule="auto"/>
        <w:rPr>
          <w:sz w:val="20"/>
          <w:szCs w:val="20"/>
          <w:color w:val="auto"/>
        </w:rPr>
      </w:pPr>
      <w:r>
        <w:rPr>
          <w:rFonts w:ascii="Arial" w:cs="Arial" w:eastAsia="Arial" w:hAnsi="Arial"/>
          <w:sz w:val="15"/>
          <w:szCs w:val="15"/>
          <w:color w:val="7E7E7E"/>
        </w:rPr>
        <w:t>If you are uncertain whether information is material or whether it has been publicly disclosed, then you should assume such information is material non-public information and you should not trade in the Company’s securities or disclose the information outside of the Company, until you receive clearance from the Company’s General Counsel. If you are ever in doubt, or if you are unsure if a violation has occurred, then contact the Company’s General Counsel immediately.</w:t>
      </w:r>
    </w:p>
    <w:p>
      <w:pPr>
        <w:spacing w:after="0" w:line="66" w:lineRule="exact"/>
        <w:rPr>
          <w:sz w:val="20"/>
          <w:szCs w:val="20"/>
          <w:color w:val="auto"/>
        </w:rPr>
      </w:pPr>
    </w:p>
    <w:p>
      <w:pPr>
        <w:ind w:right="6040"/>
        <w:spacing w:after="0" w:line="315" w:lineRule="auto"/>
        <w:rPr>
          <w:sz w:val="20"/>
          <w:szCs w:val="20"/>
          <w:color w:val="auto"/>
        </w:rPr>
      </w:pPr>
      <w:r>
        <w:rPr>
          <w:rFonts w:ascii="Arial" w:cs="Arial" w:eastAsia="Arial" w:hAnsi="Arial"/>
          <w:sz w:val="15"/>
          <w:szCs w:val="15"/>
          <w:b w:val="1"/>
          <w:bCs w:val="1"/>
          <w:color w:val="1F497D"/>
        </w:rPr>
        <w:t>Please direct all inquiries regarding any of the provisions or procedures set forth in this Insider Trading Policy to the Company’s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460"/>
          </w:cols>
          <w:pgMar w:left="640" w:top="1371" w:right="7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1600"/>
              <w:spacing w:after="0"/>
              <w:rPr>
                <w:sz w:val="20"/>
                <w:szCs w:val="20"/>
                <w:color w:val="auto"/>
              </w:rPr>
            </w:pPr>
            <w:r>
              <w:rPr>
                <w:rFonts w:ascii="Times New Roman" w:cs="Times New Roman" w:eastAsia="Times New Roman" w:hAnsi="Times New Roman"/>
                <w:sz w:val="17"/>
                <w:szCs w:val="17"/>
                <w:b w:val="1"/>
                <w:bCs w:val="1"/>
                <w:color w:val="auto"/>
                <w:w w:val="97"/>
              </w:rPr>
              <w:t>Exhibit 21.1</w:t>
            </w:r>
          </w:p>
        </w:tc>
      </w:tr>
      <w:tr>
        <w:trPr>
          <w:trHeight w:val="425"/>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020" w:type="dxa"/>
            <w:vAlign w:val="bottom"/>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r>
      <w:tr>
        <w:trPr>
          <w:trHeight w:val="451"/>
        </w:trPr>
        <w:tc>
          <w:tcPr>
            <w:tcW w:w="20" w:type="dxa"/>
            <w:vAlign w:val="bottom"/>
          </w:tcPr>
          <w:p>
            <w:pPr>
              <w:spacing w:after="0"/>
              <w:rPr>
                <w:sz w:val="24"/>
                <w:szCs w:val="24"/>
                <w:color w:val="auto"/>
              </w:rPr>
            </w:pP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Subsidiary</w:t>
            </w:r>
          </w:p>
        </w:tc>
        <w:tc>
          <w:tcPr>
            <w:tcW w:w="70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Jurisdiction of Incorporation</w:t>
            </w:r>
          </w:p>
        </w:tc>
      </w:tr>
      <w:tr>
        <w:trPr>
          <w:trHeight w:val="247"/>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Aerial Lighting &amp; Electric, Inc.</w:t>
            </w:r>
          </w:p>
        </w:tc>
        <w:tc>
          <w:tcPr>
            <w:tcW w:w="7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Connecticut</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Azimuth Communications,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Oregon</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Bayonet Plumbing, Heating &amp; Air Conditioning,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Calumet Armature and Electric,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Illinois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Edmonson Electric,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Four Point Dynamics,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Freeman Enclosure Systems,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Ohio</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Greiner Industries,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Pennsylvania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Hotchkiss Alarms,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Connecticut</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ICS Holdings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Arizona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Commercial,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Communications,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Consolidation,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FL RE,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Infrastructure Solutions,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Investments,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Management LP</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Management ROO, LP</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OK RE,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Oklahoma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Operations Group,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PA RE,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Residential,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SC RE,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Shared Services,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Subsidiary Holdings,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Integrated Electrical Finance,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K.E.P. Electric,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Ohio</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Key Electrical Supply,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Magnetech Industrial Services,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Indiana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NEXT Electric,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Wisconsin</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Plant Power and Control Systems,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Alabama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Southern Industrial Sales and Services,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Georgia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Technibus,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Popp &amp; Company</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Ohio</w:t>
            </w:r>
          </w:p>
        </w:tc>
      </w:tr>
      <w:tr>
        <w:trPr>
          <w:trHeight w:val="223"/>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Wedlake Fabricating,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Oklahoma</w:t>
            </w:r>
          </w:p>
        </w:tc>
      </w:tr>
    </w:tbl>
    <w:p>
      <w:pPr>
        <w:sectPr>
          <w:pgSz w:w="11900" w:h="16838" w:orient="portrait"/>
          <w:cols w:equalWidth="0" w:num="1">
            <w:col w:w="11240"/>
          </w:cols>
          <w:pgMar w:left="320" w:top="94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30"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(No. 333-209483) pertaining to the Amended and Restated 2006 Equity Incentive Plan of IES Holdings, Inc.;</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(No. 333-134100) pertaining to the 2006 Equity Incentive Plan of IES Holdings, Inc.;</w:t>
      </w:r>
    </w:p>
    <w:p>
      <w:pPr>
        <w:ind w:left="620" w:right="460" w:hanging="307"/>
        <w:spacing w:after="0" w:line="237" w:lineRule="auto"/>
        <w:tabs>
          <w:tab w:leader="none" w:pos="61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(No. 333-186786) pertaining to the registration for resale of common stock of IES Holdings, Inc. by the selling stockholders named therein; and</w:t>
      </w:r>
    </w:p>
    <w:p>
      <w:pPr>
        <w:ind w:left="620" w:right="460" w:hanging="307"/>
        <w:spacing w:after="0" w:line="249" w:lineRule="auto"/>
        <w:tabs>
          <w:tab w:leader="none" w:pos="61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(No. 333-215071) pertaining to the registration for resale of common stock of IES Holdings, Inc. by the selling stockholders named therein;</w:t>
      </w:r>
    </w:p>
    <w:p>
      <w:pPr>
        <w:spacing w:after="0" w:line="1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of our reports dated November 22, 2024,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2024.</w:t>
      </w:r>
    </w:p>
    <w:p>
      <w:pPr>
        <w:spacing w:after="0" w:line="3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22, 2024</w:t>
      </w:r>
    </w:p>
    <w:p>
      <w:pPr>
        <w:sectPr>
          <w:pgSz w:w="11900" w:h="16838" w:orient="portrait"/>
          <w:cols w:equalWidth="0" w:num="1">
            <w:col w:w="11240"/>
          </w:cols>
          <w:pgMar w:left="320" w:top="105"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22, 2024</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22, 2024</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Annual Report of IES Holdings, Inc. (the “Company”) on Form 10-K for the period ending September 30, 2024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November 22,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Annual Report of IES Holdings, Inc. (the “Company”) on Form 10-K for the period ending September 30, 2024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November 22,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47" w:right="339" w:bottom="1440" w:gutter="0" w:footer="0" w:header="0"/>
        </w:sectPr>
      </w:pPr>
    </w:p>
    <w:bookmarkStart w:id="92" w:name="page93"/>
    <w:bookmarkEnd w:id="92"/>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IES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INCENTIVE AWARD RECOUPMENT POLICY</w:t>
      </w:r>
    </w:p>
    <w:p>
      <w:pPr>
        <w:spacing w:after="0" w:line="194"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This INCENTIVE AWARD RECOUPMENT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is adopted as of October 2,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the Human Resources and Compensation Committee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IES Holdings, Inc., a Delaware corporation (our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Section 304 of the Sarbanes Oxley Act of 2002 ("</w:t>
      </w:r>
      <w:r>
        <w:rPr>
          <w:rFonts w:ascii="Times New Roman" w:cs="Times New Roman" w:eastAsia="Times New Roman" w:hAnsi="Times New Roman"/>
          <w:sz w:val="21"/>
          <w:szCs w:val="21"/>
          <w:b w:val="1"/>
          <w:bCs w:val="1"/>
          <w:i w:val="1"/>
          <w:iCs w:val="1"/>
          <w:color w:val="auto"/>
        </w:rPr>
        <w:t>Section 304</w:t>
      </w:r>
      <w:r>
        <w:rPr>
          <w:rFonts w:ascii="Times New Roman" w:cs="Times New Roman" w:eastAsia="Times New Roman" w:hAnsi="Times New Roman"/>
          <w:sz w:val="21"/>
          <w:szCs w:val="21"/>
          <w:color w:val="auto"/>
        </w:rPr>
        <w:t>") requires the Chief Executive Officer and the Chief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Financial Officer of our Company to reimburse our Company for certain Incentive Compensation either receives (including profits they realize on the sale of our Company’s securities) during the 12-month period preceding a required restatement of our Company’s audited financial statements that resulted from their respective Misconduct;</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applicable recoupment provisions of the Dodd-Frank Wall Street Reform and Consumer Protection 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Dodd-Frank</w:t>
      </w:r>
      <w:r>
        <w:rPr>
          <w:rFonts w:ascii="Times New Roman" w:cs="Times New Roman" w:eastAsia="Times New Roman" w:hAnsi="Times New Roman"/>
          <w:sz w:val="21"/>
          <w:szCs w:val="21"/>
          <w:color w:val="auto"/>
        </w:rPr>
        <w:t>") are broader than Section 304 and will become effective with respect to certain Incentive Compensation that is Received by a Covered Individual on or after October 2, 2023; and</w:t>
      </w:r>
    </w:p>
    <w:p>
      <w:pPr>
        <w:spacing w:after="0" w:line="20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Committee believes it would be in the best interests of our Company's shareholders to have this Policy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adopted by the Committee.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the applicable provisions of this Policy are as follows:</w:t>
      </w:r>
    </w:p>
    <w:p>
      <w:pPr>
        <w:spacing w:after="0" w:line="240" w:lineRule="exact"/>
        <w:rPr>
          <w:sz w:val="20"/>
          <w:szCs w:val="20"/>
          <w:color w:val="auto"/>
        </w:rPr>
      </w:pPr>
    </w:p>
    <w:p>
      <w:pPr>
        <w:ind w:left="980" w:hanging="358"/>
        <w:spacing w:after="0"/>
        <w:tabs>
          <w:tab w:leader="none" w:pos="9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Except as otherwise provided above, terminology used in this Policy shall have the following meanings:</w:t>
      </w:r>
    </w:p>
    <w:p>
      <w:pPr>
        <w:spacing w:after="0" w:line="229"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3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means a requirement that the Company prepare an accounting restatement due to the 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(i) retrospective application of a change in accounting principle; (ii) retrospective revision to reportable segment information due to a change in the structure of the Company’s internal organization; (iii) retrospective reclassification due to a discontinued operation; (iv) retrospective application of a change in reporting entity, such as from a reorganization of entities under common control; and (v) retrospective revision for stock splits, reverse stock splits, stock dividends or other changes in capital structure.</w:t>
      </w:r>
    </w:p>
    <w:p>
      <w:pPr>
        <w:spacing w:after="0" w:line="201" w:lineRule="exact"/>
        <w:rPr>
          <w:rFonts w:ascii="Times New Roman" w:cs="Times New Roman" w:eastAsia="Times New Roman" w:hAnsi="Times New Roman"/>
          <w:sz w:val="21"/>
          <w:szCs w:val="21"/>
          <w:color w:val="auto"/>
        </w:rPr>
      </w:pPr>
    </w:p>
    <w:p>
      <w:pPr>
        <w:jc w:val="both"/>
        <w:ind w:firstLine="1241"/>
        <w:spacing w:after="0" w:line="265" w:lineRule="auto"/>
        <w:tabs>
          <w:tab w:leader="none" w:pos="168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Covered Individual</w:t>
      </w:r>
      <w:r>
        <w:rPr>
          <w:rFonts w:ascii="Times New Roman" w:cs="Times New Roman" w:eastAsia="Times New Roman" w:hAnsi="Times New Roman"/>
          <w:sz w:val="21"/>
          <w:szCs w:val="21"/>
          <w:color w:val="auto"/>
        </w:rPr>
        <w:t>" shall mean differently depending upon whether the reference to Covered Individual relates to the Dodd-Frank clawback or the Section 304 clawback. For purposes of the Dodd-Frank clawback set forth in Section 2(a) of this Policy,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term Covered Individual means, both former and current, the (i) named executive officers of our Company; (ii) each "executive officer" of our Company (as such term is defined under Section 16 of the Securities Exchange Act of 1934); and (iii) any officer of our Company or any of its subsidiaries that is designated by the Committee as being subject to this Policy. For purposes of the Section 304 clawback set forth in Section 3(b) of this Policy, the term Covered individual means the current Chief Executive Officer and/or current Chief Financial Officer of the Company.</w:t>
      </w:r>
    </w:p>
    <w:p>
      <w:pPr>
        <w:spacing w:after="0" w:line="191" w:lineRule="exact"/>
        <w:rPr>
          <w:sz w:val="20"/>
          <w:szCs w:val="20"/>
          <w:color w:val="auto"/>
        </w:rPr>
      </w:pPr>
    </w:p>
    <w:p>
      <w:pPr>
        <w:jc w:val="both"/>
        <w:ind w:firstLine="1241"/>
        <w:spacing w:after="0" w:line="250" w:lineRule="auto"/>
        <w:tabs>
          <w:tab w:leader="none" w:pos="180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means the amount of Incentive Compensation that was Received that exceeds the amount of Incentive Compensation that otherwise would have been Received had the amount of Incentive Compensation been determined based on the restated Financial Reporting Measures, computed without regard to any taxes paid by the Covered Individual or by the Company on the Covered Individual’s behalf. For Incentive Compensation based on total shareholder return or Company stock price,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 The Company will maintain documentation of the determination of that reasonable estimate and provide such documentation to NASDAQ as required.</w:t>
      </w:r>
    </w:p>
    <w:p>
      <w:pPr>
        <w:spacing w:after="0" w:line="198" w:lineRule="exact"/>
        <w:rPr>
          <w:rFonts w:ascii="Times New Roman" w:cs="Times New Roman" w:eastAsia="Times New Roman" w:hAnsi="Times New Roman"/>
          <w:sz w:val="21"/>
          <w:szCs w:val="21"/>
          <w:color w:val="auto"/>
        </w:rPr>
      </w:pPr>
    </w:p>
    <w:p>
      <w:pPr>
        <w:jc w:val="both"/>
        <w:ind w:firstLine="1241"/>
        <w:spacing w:after="0" w:line="258" w:lineRule="auto"/>
        <w:tabs>
          <w:tab w:leader="none" w:pos="176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Measures</w:t>
      </w:r>
      <w:r>
        <w:rPr>
          <w:rFonts w:ascii="Times New Roman" w:cs="Times New Roman" w:eastAsia="Times New Roman" w:hAnsi="Times New Roman"/>
          <w:sz w:val="21"/>
          <w:szCs w:val="21"/>
          <w:color w:val="auto"/>
        </w:rPr>
        <w:t>" means (i) measures that are determined and presented in accordance with the 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(ii) Company stock price and (iii) Company total shareholder return.</w:t>
      </w:r>
    </w:p>
    <w:p>
      <w:pPr>
        <w:spacing w:after="0" w:line="186" w:lineRule="exact"/>
        <w:rPr>
          <w:rFonts w:ascii="Times New Roman" w:cs="Times New Roman" w:eastAsia="Times New Roman" w:hAnsi="Times New Roman"/>
          <w:sz w:val="21"/>
          <w:szCs w:val="21"/>
          <w:color w:val="auto"/>
        </w:rPr>
      </w:pPr>
    </w:p>
    <w:p>
      <w:pPr>
        <w:jc w:val="both"/>
        <w:ind w:firstLine="1241"/>
        <w:spacing w:after="0" w:line="259" w:lineRule="auto"/>
        <w:tabs>
          <w:tab w:leader="none" w:pos="175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 Compensation</w:t>
      </w:r>
      <w:r>
        <w:rPr>
          <w:rFonts w:ascii="Times New Roman" w:cs="Times New Roman" w:eastAsia="Times New Roman" w:hAnsi="Times New Roman"/>
          <w:sz w:val="21"/>
          <w:szCs w:val="21"/>
          <w:color w:val="auto"/>
        </w:rPr>
        <w:t>" shall mean a Covered Individual's cash bonus awarded under our Company's annual incentive plan and any equity-based awards granted pursuant to our Company's long-term incentive plans that are earned, paid/granted or vested wholly (or in part) upon the attainment of any Financial Reporting Measure of our Company.</w:t>
      </w:r>
    </w:p>
    <w:p>
      <w:pPr>
        <w:spacing w:after="0" w:line="185" w:lineRule="exact"/>
        <w:rPr>
          <w:rFonts w:ascii="Times New Roman" w:cs="Times New Roman" w:eastAsia="Times New Roman" w:hAnsi="Times New Roman"/>
          <w:sz w:val="21"/>
          <w:szCs w:val="21"/>
          <w:color w:val="auto"/>
        </w:rPr>
      </w:pPr>
    </w:p>
    <w:p>
      <w:pPr>
        <w:jc w:val="both"/>
        <w:ind w:firstLine="1241"/>
        <w:spacing w:after="0" w:line="251" w:lineRule="auto"/>
        <w:tabs>
          <w:tab w:leader="none" w:pos="175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Look-Back Period</w:t>
      </w:r>
      <w:r>
        <w:rPr>
          <w:rFonts w:ascii="Times New Roman" w:cs="Times New Roman" w:eastAsia="Times New Roman" w:hAnsi="Times New Roman"/>
          <w:sz w:val="21"/>
          <w:szCs w:val="21"/>
          <w:color w:val="auto"/>
        </w:rPr>
        <w:t>" shall have different meaning depending upon whether the reference to Look-Back Period relates to the Dodd-Frank clawback or the Section 304 clawback. For purposes of the Dodd-Frank clawback set forth in Section 2(a) of this Policy, the Look-Back Period shall mean the three completed fiscal years immediately preceding the earlier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And too, if there is a change in the Company’s fiscal year end, the Look-Back Period will also include any transition period to the extent required by Section 303A.14. In contrast, for purposes of the Section 304 clawback set forth in Section 2(b)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Policy, the Look-Back Period shall mean the 12-month period immediately preceding the date on which the Company files full or partial restated financial statements with the Securities Exchange Commission.</w:t>
      </w:r>
    </w:p>
    <w:p>
      <w:pPr>
        <w:spacing w:after="0" w:line="161" w:lineRule="exact"/>
        <w:rPr>
          <w:sz w:val="20"/>
          <w:szCs w:val="20"/>
          <w:color w:val="auto"/>
        </w:rPr>
      </w:pPr>
    </w:p>
    <w:p>
      <w:pPr>
        <w:jc w:val="both"/>
        <w:ind w:firstLine="1241"/>
        <w:spacing w:after="0" w:line="259" w:lineRule="auto"/>
        <w:tabs>
          <w:tab w:leader="none" w:pos="173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shall mean, with respect to Incentive Compensation of a Covered Individual, the fiscal year to which the Financial Reporting Measure is attained, irrespective of whether the Incentive Compensation is subject to additional time or non-financial performance vesting conditions.</w:t>
      </w:r>
    </w:p>
    <w:p>
      <w:pPr>
        <w:spacing w:after="0" w:line="191"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Recoupment of Incentive Compensation – Restatement of Financial Statements</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Dodd-Frank Clawback</w:t>
      </w:r>
      <w:r>
        <w:rPr>
          <w:rFonts w:ascii="Times New Roman" w:cs="Times New Roman" w:eastAsia="Times New Roman" w:hAnsi="Times New Roman"/>
          <w:sz w:val="21"/>
          <w:szCs w:val="21"/>
          <w:color w:val="auto"/>
        </w:rPr>
        <w:t>. Subject to the terms of this Policy and the requirements of Section 303A.14, if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is required to prepare an Accounting Restatement, then the Company shall recover, reasonably promptly from each Covered Individual as set forth in Section 5 below, any Erroneously Awarded Compensation that was Received by such Covered Individual during the Look-Back Period. Any amounts otherwise recoverable by the Company under this Section 2(a) shall be reduced on a dollar-for-dollar basis by any amounts recoverable by the Company under Section 2(b) of this Policy. Notwithstanding anything herein to the contrary, this Policy shall be deemed automatically and unilaterally amended to the minimum extent necessary to comply with the applicable listing standards to which the Company is listed.</w:t>
      </w:r>
    </w:p>
    <w:p>
      <w:pPr>
        <w:spacing w:after="0" w:line="197"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Section 304 Clawback</w:t>
      </w:r>
      <w:r>
        <w:rPr>
          <w:rFonts w:ascii="Times New Roman" w:cs="Times New Roman" w:eastAsia="Times New Roman" w:hAnsi="Times New Roman"/>
          <w:sz w:val="21"/>
          <w:szCs w:val="21"/>
          <w:color w:val="auto"/>
        </w:rPr>
        <w:t>. In the event the Company is required to restate its financial statements as the result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Misconduct of a Covered Individual, then such Covered Individual that engaged in the Misconduct must reimburse the Company for any Erroneously Awarded Compensation that was Received by him or her during the Look-Back Period. For purposes of this Section 2(b), the term "</w:t>
      </w:r>
      <w:r>
        <w:rPr>
          <w:rFonts w:ascii="Times New Roman" w:cs="Times New Roman" w:eastAsia="Times New Roman" w:hAnsi="Times New Roman"/>
          <w:sz w:val="21"/>
          <w:szCs w:val="21"/>
          <w:b w:val="1"/>
          <w:bCs w:val="1"/>
          <w:i w:val="1"/>
          <w:iCs w:val="1"/>
          <w:color w:val="auto"/>
        </w:rPr>
        <w:t>Misconduct</w:t>
      </w:r>
      <w:r>
        <w:rPr>
          <w:rFonts w:ascii="Times New Roman" w:cs="Times New Roman" w:eastAsia="Times New Roman" w:hAnsi="Times New Roman"/>
          <w:sz w:val="21"/>
          <w:szCs w:val="21"/>
          <w:color w:val="auto"/>
        </w:rPr>
        <w:t>" shall mean fraud, intentional misconduct, gross negligence or a material violation of the Company’s code of ethics or insider trading policy or any other policies or regulations of the Company governing the conduct of its employees, as determined in the reasonable discretion of the Committee.</w:t>
      </w:r>
    </w:p>
    <w:p>
      <w:pPr>
        <w:spacing w:after="0" w:line="197" w:lineRule="exact"/>
        <w:rPr>
          <w:rFonts w:ascii="Times New Roman" w:cs="Times New Roman" w:eastAsia="Times New Roman" w:hAnsi="Times New Roman"/>
          <w:sz w:val="21"/>
          <w:szCs w:val="21"/>
          <w:color w:val="auto"/>
        </w:rPr>
      </w:pPr>
    </w:p>
    <w:p>
      <w:pPr>
        <w:jc w:val="both"/>
        <w:ind w:firstLine="622"/>
        <w:spacing w:after="0" w:line="252" w:lineRule="auto"/>
        <w:tabs>
          <w:tab w:leader="none" w:pos="9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w:t>
      </w:r>
      <w:r>
        <w:rPr>
          <w:rFonts w:ascii="Times New Roman" w:cs="Times New Roman" w:eastAsia="Times New Roman" w:hAnsi="Times New Roman"/>
          <w:sz w:val="21"/>
          <w:szCs w:val="21"/>
          <w:color w:val="auto"/>
        </w:rPr>
        <w:t>. The Committee may, in determining appropriate remedial action, take into account the financial cost of penalties or punishments imposed by third parties, such as law enforcement agencies, regulators or other authorities; however, such determinations shall not mitigate or eliminate the Company’s obligations to clawback Erroneously Awarded Compensation pursuant to Section 2 of this Policy.</w:t>
      </w:r>
    </w:p>
    <w:p>
      <w:pPr>
        <w:spacing w:after="0" w:line="210" w:lineRule="exact"/>
        <w:rPr>
          <w:rFonts w:ascii="Times New Roman" w:cs="Times New Roman" w:eastAsia="Times New Roman" w:hAnsi="Times New Roman"/>
          <w:sz w:val="21"/>
          <w:szCs w:val="21"/>
          <w:color w:val="auto"/>
        </w:rPr>
      </w:pPr>
    </w:p>
    <w:p>
      <w:pPr>
        <w:jc w:val="both"/>
        <w:ind w:firstLine="622"/>
        <w:spacing w:after="0" w:line="252" w:lineRule="auto"/>
        <w:tabs>
          <w:tab w:leader="none" w:pos="103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Termination and Interpretation</w:t>
      </w:r>
      <w:r>
        <w:rPr>
          <w:rFonts w:ascii="Times New Roman" w:cs="Times New Roman" w:eastAsia="Times New Roman" w:hAnsi="Times New Roman"/>
          <w:sz w:val="21"/>
          <w:szCs w:val="21"/>
          <w:color w:val="auto"/>
        </w:rPr>
        <w:t>. The Committee may at any time suspend, amend or terminate this Policy to the minimum extent necessary to comply with applicable laws. Pursuant to Section 5, below, the Committee shall have the sole discretion to interpret and enforce this Policy. To that end, this Policy shall be interpreted to be automatically amended to the minimum extent necessary to comply with the provisions of the Dodd-Frank clawback and the Section 304 clawback.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93" w:lineRule="exact"/>
        <w:rPr>
          <w:sz w:val="20"/>
          <w:szCs w:val="20"/>
          <w:color w:val="auto"/>
        </w:rPr>
      </w:pPr>
    </w:p>
    <w:p>
      <w:pPr>
        <w:jc w:val="both"/>
        <w:ind w:firstLine="622"/>
        <w:spacing w:after="0" w:line="262" w:lineRule="auto"/>
        <w:tabs>
          <w:tab w:leader="none" w:pos="9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and Impracticability</w:t>
      </w:r>
      <w:r>
        <w:rPr>
          <w:rFonts w:ascii="Times New Roman" w:cs="Times New Roman" w:eastAsia="Times New Roman" w:hAnsi="Times New Roman"/>
          <w:sz w:val="20"/>
          <w:szCs w:val="20"/>
          <w:color w:val="auto"/>
        </w:rPr>
        <w:t>. The Committee shall recover any Incentive Compensation in accordance with this Policy unless such recovery would be impracticable, as determined by the Committee in accordance with Rule 10D-1 of the of the Securities Exchange Act of 1934 and the listing standards of the national securities exchange on which the Company’s securities are listed. To the extent the Committee determines to enforce recoupment, (i) the Committee shall provide the Covered Individual written notice of its intent to recoup Incentive Compensation under this Policy, along with the timeline within which the Covered Individual must respond,</w:t>
      </w:r>
    </w:p>
    <w:p>
      <w:pPr>
        <w:spacing w:after="0" w:line="4" w:lineRule="exact"/>
        <w:rPr>
          <w:rFonts w:ascii="Times New Roman" w:cs="Times New Roman" w:eastAsia="Times New Roman" w:hAnsi="Times New Roman"/>
          <w:sz w:val="20"/>
          <w:szCs w:val="20"/>
          <w:color w:val="auto"/>
        </w:rPr>
      </w:pPr>
    </w:p>
    <w:p>
      <w:pPr>
        <w:jc w:val="both"/>
        <w:ind w:firstLine="3"/>
        <w:spacing w:after="0" w:line="247" w:lineRule="auto"/>
        <w:tabs>
          <w:tab w:leader="none" w:pos="33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Covered Individual does not intend to comply with such recoupment efforts, he or she must respond to the Committee in writing detailing the reasons why non-compliance is warranted and such response must be provided to the Committee within fifteen (15) business days from the Covered Individual receiving the Committee’s initial notice, and (iii) if the Committee disagrees with the Covered Individual’s assertions, then the Committee must respond to the Covered Individual in writing detailing such reasons within the fifteen (15) business days immediately following its receipt of the Covered Individual’s written response.</w:t>
      </w:r>
    </w:p>
    <w:p>
      <w:pPr>
        <w:spacing w:after="0" w:line="205" w:lineRule="exact"/>
        <w:rPr>
          <w:rFonts w:ascii="Times New Roman" w:cs="Times New Roman" w:eastAsia="Times New Roman" w:hAnsi="Times New Roman"/>
          <w:sz w:val="21"/>
          <w:szCs w:val="21"/>
          <w:color w:val="auto"/>
        </w:rPr>
      </w:pPr>
    </w:p>
    <w:p>
      <w:pPr>
        <w:jc w:val="both"/>
        <w:ind w:firstLine="622"/>
        <w:spacing w:after="0" w:line="249" w:lineRule="auto"/>
        <w:tabs>
          <w:tab w:leader="none" w:pos="101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Means of Recovery</w:t>
      </w:r>
      <w:r>
        <w:rPr>
          <w:rFonts w:ascii="Times New Roman" w:cs="Times New Roman" w:eastAsia="Times New Roman" w:hAnsi="Times New Roman"/>
          <w:sz w:val="21"/>
          <w:szCs w:val="21"/>
          <w:color w:val="auto"/>
        </w:rPr>
        <w:t>. With respect to recovery of Erroneously Awarded Compensation and subject to the requirement that recovery be made reasonably promptly, the Committee will determine the appropriate means of recovery, which may vary, without limitation, between Covered Individuals or based on the nature of the applicable Incentive Compensation, and which may involve, without limitation, establishing a deferred repayment plan or set off against current or future compensation otherwise payable to the Covered Person. Recovery of Erroneously Awarded Compensation will be made without regard to income taxes paid by the Covered Individual or by the Company on the Covered Individual’s behalf in connection with such Erroneously Awarded Compensation.</w:t>
      </w:r>
    </w:p>
    <w:p>
      <w:pPr>
        <w:spacing w:after="0" w:line="218" w:lineRule="exact"/>
        <w:rPr>
          <w:rFonts w:ascii="Times New Roman" w:cs="Times New Roman" w:eastAsia="Times New Roman" w:hAnsi="Times New Roman"/>
          <w:sz w:val="21"/>
          <w:szCs w:val="21"/>
          <w:color w:val="auto"/>
        </w:rPr>
      </w:pPr>
    </w:p>
    <w:p>
      <w:pPr>
        <w:jc w:val="both"/>
        <w:ind w:firstLine="622"/>
        <w:spacing w:after="0" w:line="256" w:lineRule="auto"/>
        <w:tabs>
          <w:tab w:leader="none" w:pos="104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Not Subject to this Policy</w:t>
      </w:r>
      <w:r>
        <w:rPr>
          <w:rFonts w:ascii="Times New Roman" w:cs="Times New Roman" w:eastAsia="Times New Roman" w:hAnsi="Times New Roman"/>
          <w:sz w:val="21"/>
          <w:szCs w:val="21"/>
          <w:color w:val="auto"/>
        </w:rPr>
        <w:t>. Section 2(a) of this Policy does not apply to Incentive-Compensation that was Received before October 2, 2023, and does not apply to Incentive Compensation that was Received by a Covered Individual before beginning service as an Executive Officer.</w:t>
      </w:r>
    </w:p>
    <w:p>
      <w:pPr>
        <w:spacing w:after="0" w:line="194" w:lineRule="exact"/>
        <w:rPr>
          <w:rFonts w:ascii="Times New Roman" w:cs="Times New Roman" w:eastAsia="Times New Roman" w:hAnsi="Times New Roman"/>
          <w:sz w:val="21"/>
          <w:szCs w:val="21"/>
          <w:color w:val="auto"/>
        </w:rPr>
      </w:pPr>
    </w:p>
    <w:p>
      <w:pPr>
        <w:jc w:val="both"/>
        <w:ind w:firstLine="622"/>
        <w:spacing w:after="0" w:line="256" w:lineRule="auto"/>
        <w:tabs>
          <w:tab w:leader="none" w:pos="104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 or Company-Paid Insurance</w:t>
      </w:r>
      <w:r>
        <w:rPr>
          <w:rFonts w:ascii="Times New Roman" w:cs="Times New Roman" w:eastAsia="Times New Roman" w:hAnsi="Times New Roman"/>
          <w:sz w:val="21"/>
          <w:szCs w:val="21"/>
          <w:color w:val="auto"/>
        </w:rPr>
        <w:t>. The Company will not indemnify or reimburse any Covered Individual against or for the loss of Erroneously Awarded Compensation and will not pay or reimburse any Covered Individual for the purchase of a third-party insurance policy to fund potential recovery obligations.</w:t>
      </w:r>
    </w:p>
    <w:p>
      <w:pPr>
        <w:spacing w:after="0" w:line="207" w:lineRule="exact"/>
        <w:rPr>
          <w:rFonts w:ascii="Times New Roman" w:cs="Times New Roman" w:eastAsia="Times New Roman" w:hAnsi="Times New Roman"/>
          <w:sz w:val="21"/>
          <w:szCs w:val="21"/>
          <w:color w:val="auto"/>
        </w:rPr>
      </w:pPr>
    </w:p>
    <w:p>
      <w:pPr>
        <w:jc w:val="both"/>
        <w:ind w:firstLine="622"/>
        <w:spacing w:after="0" w:line="256" w:lineRule="auto"/>
        <w:tabs>
          <w:tab w:leader="none" w:pos="107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This Policy shall apply to all Covered Individuals from and after the Effective Date with respect to the Dodd-Frank clawback under Section 2(a) of this Policy, and with respect to the Section 304 clawback under Section 2(b) of this Policy, as required by applicable law.</w:t>
      </w:r>
    </w:p>
    <w:p>
      <w:pPr>
        <w:spacing w:after="0" w:line="190"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lowerRoman"/>
      <w:start w:val="2"/>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lowerRoman"/>
      <w:start w:val="4"/>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amp;"/>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Letter"/>
      <w:start w:val="1"/>
    </w:lvl>
    <w:lvl w:ilvl="1">
      <w:lvlJc w:val="left"/>
      <w:lvlText w:val="%2."/>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lvl w:ilvl="1">
      <w:lvlJc w:val="left"/>
      <w:lvlText w:val="(%2)"/>
      <w:numFmt w:val="lowerLetter"/>
      <w:start w:val="1"/>
    </w:lvl>
  </w:abstractNum>
  <w:abstractNum w:abstractNumId="22">
    <w:nsid w:val="5577F8E1"/>
    <w:multiLevelType w:val="hybridMultilevel"/>
    <w:lvl w:ilvl="0">
      <w:lvlJc w:val="left"/>
      <w:lvlText w:val="*"/>
      <w:numFmt w:val="bullet"/>
      <w:start w:val="1"/>
    </w:lvl>
    <w:lvl w:ilvl="1">
      <w:lvlJc w:val="left"/>
      <w:lvlText w:val="(%2)"/>
      <w:numFmt w:val="lowerLetter"/>
      <w:start w:val="2"/>
    </w:lvl>
  </w:abstractNum>
  <w:abstractNum w:abstractNumId="23">
    <w:nsid w:val="440BADF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Roman"/>
      <w:start w:val="2"/>
    </w:lvl>
  </w:abstractNum>
  <w:abstractNum w:abstractNumId="27">
    <w:nsid w:val="7724C67E"/>
    <w:multiLevelType w:val="hybridMultilevel"/>
    <w:lvl w:ilvl="0">
      <w:lvlJc w:val="left"/>
      <w:lvlText w:val="(%1)"/>
      <w:numFmt w:val="lowerRoman"/>
      <w:start w:val="2"/>
    </w:lvl>
  </w:abstractNum>
  <w:abstractNum w:abstractNumId="28">
    <w:nsid w:val="5C482A97"/>
    <w:multiLevelType w:val="hybridMultilevel"/>
    <w:lvl w:ilvl="0">
      <w:lvlJc w:val="left"/>
      <w:lvlText w:val="•"/>
      <w:numFmt w:val="bullet"/>
      <w:start w:val="1"/>
    </w:lvl>
    <w:lvl w:ilvl="1">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31">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32">
    <w:nsid w:val="2D517796"/>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lowerLetter"/>
      <w:start w:val="1"/>
    </w:lvl>
    <w:lvl w:ilvl="1">
      <w:lvlJc w:val="left"/>
      <w:lvlText w:val="(%2)"/>
      <w:numFmt w:val="lowerLetter"/>
      <w:start w:val="2"/>
    </w:lvl>
  </w:abstractNum>
  <w:abstractNum w:abstractNumId="35">
    <w:nsid w:val="3855585C"/>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36">
    <w:nsid w:val="70A64E2A"/>
    <w:multiLevelType w:val="hybridMultilevel"/>
    <w:lvl w:ilvl="0">
      <w:lvlJc w:val="left"/>
      <w:lvlText w:val="(%1)"/>
      <w:numFmt w:val="lowerLetter"/>
      <w:start w:val="3"/>
    </w:lvl>
    <w:lvl w:ilvl="1">
      <w:lvlJc w:val="left"/>
      <w:lvlText w:val="(%2)"/>
      <w:numFmt w:val="lowerLetter"/>
      <w:start w:val="4"/>
    </w:lvl>
  </w:abstractNum>
  <w:abstractNum w:abstractNumId="37">
    <w:nsid w:val="6A2342EC"/>
    <w:multiLevelType w:val="hybridMultilevel"/>
    <w:lvl w:ilvl="0">
      <w:lvlJc w:val="left"/>
      <w:lvlText w:val="%1."/>
      <w:numFmt w:val="decimal"/>
      <w:start w:val="5"/>
    </w:lvl>
  </w:abstractNum>
  <w:abstractNum w:abstractNumId="38">
    <w:nsid w:val="2A487CB0"/>
    <w:multiLevelType w:val="hybridMultilevel"/>
    <w:lvl w:ilvl="0">
      <w:lvlJc w:val="left"/>
      <w:lvlText w:val="(%1)"/>
      <w:numFmt w:val="lowerLetter"/>
      <w:start w:val="1"/>
    </w:lvl>
    <w:lvl w:ilvl="1">
      <w:lvlJc w:val="left"/>
      <w:lvlText w:val="(%2)"/>
      <w:numFmt w:val="lowerLetter"/>
      <w:start w:val="2"/>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lowerLetter"/>
      <w:start w:val="3"/>
    </w:lvl>
  </w:abstractNum>
  <w:abstractNum w:abstractNumId="43">
    <w:nsid w:val="7A6D8D3C"/>
    <w:multiLevelType w:val="hybridMultilevel"/>
    <w:lvl w:ilvl="0">
      <w:lvlJc w:val="left"/>
      <w:lvlText w:val="%1"/>
      <w:numFmt w:val="decimal"/>
      <w:start w:val="1"/>
    </w:lvl>
    <w:lvl w:ilvl="1">
      <w:lvlJc w:val="left"/>
      <w:lvlText w:val="(%2)"/>
      <w:numFmt w:val="lowerLetter"/>
      <w:start w:val="7"/>
    </w:lvl>
  </w:abstractNum>
  <w:abstractNum w:abstractNumId="44">
    <w:nsid w:val="4B588F54"/>
    <w:multiLevelType w:val="hybridMultilevel"/>
    <w:lvl w:ilvl="0">
      <w:lvlJc w:val="left"/>
      <w:lvlText w:val="%1."/>
      <w:numFmt w:val="decimal"/>
      <w:start w:val="2"/>
    </w:lvl>
    <w:lvl w:ilvl="1">
      <w:lvlJc w:val="left"/>
      <w:lvlText w:val="(%2)"/>
      <w:numFmt w:val="lowerLetter"/>
      <w:start w:val="1"/>
    </w:lvl>
  </w:abstractNum>
  <w:abstractNum w:abstractNumId="45">
    <w:nsid w:val="542289EC"/>
    <w:multiLevelType w:val="hybridMultilevel"/>
    <w:lvl w:ilvl="0">
      <w:lvlJc w:val="left"/>
      <w:lvlText w:val="%1"/>
      <w:numFmt w:val="lowerRoman"/>
      <w:start w:val="1"/>
    </w:lvl>
    <w:lvl w:ilvl="1">
      <w:lvlJc w:val="left"/>
      <w:lvlText w:val="%2."/>
      <w:numFmt w:val="decimal"/>
      <w:start w:val="5"/>
    </w:lvl>
    <w:lvl w:ilvl="2">
      <w:lvlJc w:val="left"/>
      <w:lvlText w:val="*"/>
      <w:numFmt w:val="bullet"/>
      <w:start w:val="1"/>
    </w:lvl>
  </w:abstractNum>
  <w:abstractNum w:abstractNumId="46">
    <w:nsid w:val="6DE91B18"/>
    <w:multiLevelType w:val="hybridMultilevel"/>
    <w:lvl w:ilvl="0">
      <w:lvlJc w:val="left"/>
      <w:lvlText w:val="(%1)"/>
      <w:numFmt w:val="lowerRoman"/>
      <w:start w:val="2"/>
    </w:lvl>
    <w:lvl w:ilvl="1">
      <w:lvlJc w:val="left"/>
      <w:lvlText w:val="%2."/>
      <w:numFmt w:val="decimal"/>
      <w:start w:val="6"/>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4" Type="http://schemas.openxmlformats.org/officeDocument/2006/relationships/image" Target="media/image93.png"/><Relationship Id="rId118" Type="http://schemas.openxmlformats.org/officeDocument/2006/relationships/image" Target="media/image94.png"/><Relationship Id="rId120" Type="http://schemas.openxmlformats.org/officeDocument/2006/relationships/image" Target="media/image95.png"/><Relationship Id="rId123" Type="http://schemas.openxmlformats.org/officeDocument/2006/relationships/image" Target="media/image96.png"/><Relationship Id="rId125" Type="http://schemas.openxmlformats.org/officeDocument/2006/relationships/image" Target="media/image97.png"/><Relationship Id="rId129" Type="http://schemas.openxmlformats.org/officeDocument/2006/relationships/image" Target="media/image98.png"/><Relationship Id="rId132" Type="http://schemas.openxmlformats.org/officeDocument/2006/relationships/image" Target="media/image99.png"/><Relationship Id="rId135" Type="http://schemas.openxmlformats.org/officeDocument/2006/relationships/image" Target="media/image100.png"/><Relationship Id="rId138" Type="http://schemas.openxmlformats.org/officeDocument/2006/relationships/image" Target="media/image101.png"/><Relationship Id="rId141" Type="http://schemas.openxmlformats.org/officeDocument/2006/relationships/image" Target="media/image102.png"/><Relationship Id="rId143" Type="http://schemas.openxmlformats.org/officeDocument/2006/relationships/image" Target="media/image103.png"/><Relationship Id="rId145" Type="http://schemas.openxmlformats.org/officeDocument/2006/relationships/image" Target="media/image104.png"/><Relationship Id="rId148" Type="http://schemas.openxmlformats.org/officeDocument/2006/relationships/image" Target="media/image105.png"/><Relationship Id="rId151"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jpeg"/><Relationship Id="rId167" Type="http://schemas.openxmlformats.org/officeDocument/2006/relationships/image" Target="media/image121.jpeg"/><Relationship Id="rId168" Type="http://schemas.openxmlformats.org/officeDocument/2006/relationships/image" Target="media/image122.jpeg"/><Relationship Id="rId169" Type="http://schemas.openxmlformats.org/officeDocument/2006/relationships/image" Target="media/image123.jpe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98" Type="http://schemas.openxmlformats.org/officeDocument/2006/relationships/hyperlink" Target="https://www.sec.gov/Archives/edgar/data/1048268/000119312516674386/d211495dex31.htm" TargetMode="External"/><Relationship Id="rId99" Type="http://schemas.openxmlformats.org/officeDocument/2006/relationships/hyperlink" Target="https://www.sec.gov/Archives/edgar/data/1048268/000119312513026383/d474722dex31.htm" TargetMode="External"/><Relationship Id="rId100" Type="http://schemas.openxmlformats.org/officeDocument/2006/relationships/hyperlink" Target="https://www.sec.gov/Archives/edgar/data/1048268/000119312521171027/d87196dex31.htm" TargetMode="External"/><Relationship Id="rId101" Type="http://schemas.openxmlformats.org/officeDocument/2006/relationships/hyperlink" Target="https://www.sec.gov/Archives/edgar/data/0001048268/000104826821000065/amendedandrestatedbylawsof.htm" TargetMode="External"/><Relationship Id="rId102" Type="http://schemas.openxmlformats.org/officeDocument/2006/relationships/hyperlink" Target="https://www.sec.gov/Archives/edgar/data/1048268/000119312516789187/d310826dex41.htm" TargetMode="External"/><Relationship Id="rId103" Type="http://schemas.openxmlformats.org/officeDocument/2006/relationships/hyperlink" Target="https://www.sec.gov/Archives/edgar/data/1048268/000095012906005627/h36237exv10w5.htm" TargetMode="External"/><Relationship Id="rId104" Type="http://schemas.openxmlformats.org/officeDocument/2006/relationships/hyperlink" Target="https://www.sec.gov/Archives/edgar/data/1048268/000119312512503507/d452277dex1024.htm" TargetMode="External"/><Relationship Id="rId105" Type="http://schemas.openxmlformats.org/officeDocument/2006/relationships/hyperlink" Target="https://www.sec.gov/Archives/edgar/data/1048268/000104826823000097/q42023ex44.htm" TargetMode="External"/><Relationship Id="rId106" Type="http://schemas.openxmlformats.org/officeDocument/2006/relationships/hyperlink" Target="https://www.sec.gov/Archives/edgar/data/1048268/000095012310049149/h73084exv10w1.htm" TargetMode="External"/><Relationship Id="rId107" Type="http://schemas.openxmlformats.org/officeDocument/2006/relationships/hyperlink" Target="https://www.sec.gov/Archives/edgar/data/1048268/000104826812000030/ies_amd1indemnityagmt-2012.htm" TargetMode="External"/><Relationship Id="rId108" Type="http://schemas.openxmlformats.org/officeDocument/2006/relationships/hyperlink" Target="https://www.sec.gov/Archives/edgar/data/1048268/000119312516708628/d258745dex101.htm" TargetMode="External"/><Relationship Id="rId109" Type="http://schemas.openxmlformats.org/officeDocument/2006/relationships/hyperlink" Target="https://www.sec.gov/Archives/edgar/data/1048268/000119312517227986/d419769dex101.htm" TargetMode="External"/><Relationship Id="rId110" Type="http://schemas.openxmlformats.org/officeDocument/2006/relationships/hyperlink" Target="https://www.sec.gov/Archives/edgar/data/1048268/000119312520225684/d97671dex101.htm" TargetMode="External"/><Relationship Id="rId113" Type="http://schemas.openxmlformats.org/officeDocument/2006/relationships/hyperlink" Target="https://www.sec.gov/Archives/edgar/data/1048268/000104826822000048/thirdamendedandrestatedcre.htm" TargetMode="External"/><Relationship Id="rId115" Type="http://schemas.openxmlformats.org/officeDocument/2006/relationships/hyperlink" Target="https://www.sec.gov/Archives/edgar/data/1048268/000104826822000099/amendmentno1tothirdarcredi.htm" TargetMode="External"/><Relationship Id="rId116" Type="http://schemas.openxmlformats.org/officeDocument/2006/relationships/hyperlink" Target="https://www.sec.gov/Archives/edgar/data/1048268/000119312512232008/d351050dex101.htm" TargetMode="External"/><Relationship Id="rId117" Type="http://schemas.openxmlformats.org/officeDocument/2006/relationships/hyperlink" Target="https://www.sec.gov/Archives/edgar/data/1048268/000119312516582843/d193200dex105.htm" TargetMode="External"/><Relationship Id="rId119" Type="http://schemas.openxmlformats.org/officeDocument/2006/relationships/hyperlink" Target="https://www.sec.gov/Archives/edgar/data/1048268/000119312518344274/d668006dex1017.htm" TargetMode="External"/><Relationship Id="rId121" Type="http://schemas.openxmlformats.org/officeDocument/2006/relationships/hyperlink" Target="https://www.sec.gov/Archives/edgar/data/1048268/000104826807000040/d72828_ex10-3.htm" TargetMode="External"/><Relationship Id="rId122" Type="http://schemas.openxmlformats.org/officeDocument/2006/relationships/hyperlink" Target="https://www.sec.gov/Archives/edgar/data/1048268/000104826807000040/d72828_ex10-1.htm" TargetMode="External"/><Relationship Id="rId124" Type="http://schemas.openxmlformats.org/officeDocument/2006/relationships/hyperlink" Target="https://www.sec.gov/Archives/edgar/data/1048268/000119312516453210/d133572dex101.htm" TargetMode="External"/><Relationship Id="rId126" Type="http://schemas.openxmlformats.org/officeDocument/2006/relationships/hyperlink" Target="https://www.sec.gov/Archives/edgar/data/1048268/000119312515413732/d103218ddef14a.htm" TargetMode="External"/><Relationship Id="rId127" Type="http://schemas.openxmlformats.org/officeDocument/2006/relationships/hyperlink" Target="https://www.sec.gov/Archives/edgar/data/1048268/000119312516582843/d193200dex104.htm" TargetMode="External"/><Relationship Id="rId128" Type="http://schemas.openxmlformats.org/officeDocument/2006/relationships/hyperlink" Target="https://www.sec.gov/Archives/edgar/data/1048268/000119312516582843/d193200dex103.htm" TargetMode="External"/><Relationship Id="rId130" Type="http://schemas.openxmlformats.org/officeDocument/2006/relationships/hyperlink" Target="https://www.sec.gov/Archives/edgar/data/1048268/000119312516582843/d193200dex102.htm" TargetMode="External"/><Relationship Id="rId131" Type="http://schemas.openxmlformats.org/officeDocument/2006/relationships/hyperlink" Target="https://www.sec.gov/Archives/edgar/data/1048268/000104746908013171/a2188873zex-10_33.htm" TargetMode="External"/><Relationship Id="rId133" Type="http://schemas.openxmlformats.org/officeDocument/2006/relationships/hyperlink" Target="https://www.sec.gov/Archives/edgar/data/1048268/000104826809000014/ltipfy2009_2010.htm" TargetMode="External"/><Relationship Id="rId134" Type="http://schemas.openxmlformats.org/officeDocument/2006/relationships/hyperlink" Target="https://www.sec.gov/Archives/edgar/data/1048268/000104826821000065/amendedandrestatedseveranc.htm" TargetMode="External"/><Relationship Id="rId136" Type="http://schemas.openxmlformats.org/officeDocument/2006/relationships/hyperlink" Target="https://www.sec.gov/Archives/edgar/data/1048268/000119312519138305/d740684dex102.htm" TargetMode="External"/><Relationship Id="rId137" Type="http://schemas.openxmlformats.org/officeDocument/2006/relationships/hyperlink" Target="https://www.sec.gov/Archives/edgar/data/1048268/000119312519064120/d697792dex101.htm" TargetMode="External"/><Relationship Id="rId139" Type="http://schemas.openxmlformats.org/officeDocument/2006/relationships/hyperlink" Target="https://www.sec.gov/Archives/edgar/data/1048268/000119312519064120/d697792dex102.htm" TargetMode="External"/><Relationship Id="rId140" Type="http://schemas.openxmlformats.org/officeDocument/2006/relationships/hyperlink" Target="https://www.sec.gov/Archives/edgar/data/1048268/000104826820000005/q12020ex102.htm" TargetMode="External"/><Relationship Id="rId142" Type="http://schemas.openxmlformats.org/officeDocument/2006/relationships/hyperlink" Target="https://www.sec.gov/Archives/edgar/data/1048268/000104826820000005/q12020ex103.htm" TargetMode="External"/><Relationship Id="rId144" Type="http://schemas.openxmlformats.org/officeDocument/2006/relationships/hyperlink" Target="https://www.sec.gov/Archives/edgar/data/1048268/000119312519138305/d740684dex105.htm" TargetMode="External"/><Relationship Id="rId146" Type="http://schemas.openxmlformats.org/officeDocument/2006/relationships/hyperlink" Target="https://www.sec.gov/Archives/edgar/data/1048268/000119312519307837/d835677dex101.htm" TargetMode="External"/><Relationship Id="rId147" Type="http://schemas.openxmlformats.org/officeDocument/2006/relationships/hyperlink" Target="https://www.sec.gov/Archives/edgar/data/1048268/000119312520263380/d41776dex101.htm" TargetMode="External"/><Relationship Id="rId149" Type="http://schemas.openxmlformats.org/officeDocument/2006/relationships/hyperlink" Target="https://www.sec.gov/Archives/edgar/data/1048268/000104826821000163/psugrant-matthewsimmes.htm" TargetMode="External"/><Relationship Id="rId150" Type="http://schemas.openxmlformats.org/officeDocument/2006/relationships/hyperlink" Target="https://www.sec.gov/Archives/edgar/data/1048268/000104826821000163/psugrant-jeffreygendell.htm" TargetMode="External"/><Relationship Id="rId152" Type="http://schemas.openxmlformats.org/officeDocument/2006/relationships/hyperlink" Target="https://www.sec.gov/Archives/edgar/data/1048268/000104826823000098/q42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2024-11-22T06:56:57Z</dcterms:created>
  <dcterms:modified xsi:type="dcterms:W3CDTF">2024-11-22T06:56:57Z</dcterms:modified>
</cp:coreProperties>
</file>